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5"/>
          <w:szCs w:val="25"/>
          <w:b w:val="1"/>
          <w:bCs w:val="1"/>
          <w:color w:val="auto"/>
        </w:rPr>
        <w:t>UNITED STATES</w:t>
      </w:r>
    </w:p>
    <w:p>
      <w:pPr>
        <w:spacing w:after="0" w:line="49"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Washington, D.C. 20549</w:t>
      </w:r>
    </w:p>
    <w:p>
      <w:pPr>
        <w:spacing w:after="0" w:line="17"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pacing w:after="0" w:line="178" w:lineRule="exact"/>
        <w:rPr>
          <w:sz w:val="24"/>
          <w:szCs w:val="24"/>
          <w:color w:val="auto"/>
        </w:rPr>
      </w:pPr>
    </w:p>
    <w:p>
      <w:pPr>
        <w:jc w:val="center"/>
        <w:ind w:right="-339"/>
        <w:spacing w:after="0"/>
        <w:rPr>
          <w:sz w:val="20"/>
          <w:szCs w:val="20"/>
          <w:color w:val="auto"/>
        </w:rPr>
      </w:pPr>
      <w:r>
        <w:rPr>
          <w:rFonts w:ascii="Arial" w:cs="Arial" w:eastAsia="Arial" w:hAnsi="Arial"/>
          <w:sz w:val="29"/>
          <w:szCs w:val="29"/>
          <w:b w:val="1"/>
          <w:bCs w:val="1"/>
          <w:color w:val="auto"/>
        </w:rPr>
        <w:t>FORM 10-Q</w:t>
      </w:r>
    </w:p>
    <w:p>
      <w:pPr>
        <w:spacing w:after="0" w:line="59"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(Mark One)</w:t>
      </w:r>
    </w:p>
    <w:p>
      <w:pPr>
        <w:spacing w:after="0" w:line="131" w:lineRule="exact"/>
        <w:rPr>
          <w:sz w:val="24"/>
          <w:szCs w:val="24"/>
          <w:color w:val="auto"/>
        </w:rPr>
      </w:pPr>
    </w:p>
    <w:p>
      <w:pPr>
        <w:ind w:left="3940" w:right="1080" w:hanging="2940"/>
        <w:spacing w:after="0" w:line="419" w:lineRule="auto"/>
        <w:tabs>
          <w:tab w:leader="none" w:pos="185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For the quarterly period ended </w:t>
      </w:r>
      <w:r>
        <w:rPr>
          <w:rFonts w:ascii="Arial" w:cs="Arial" w:eastAsia="Arial" w:hAnsi="Arial"/>
          <w:sz w:val="17"/>
          <w:szCs w:val="17"/>
          <w:b w:val="1"/>
          <w:bCs w:val="1"/>
          <w:color w:val="auto"/>
        </w:rPr>
        <w:t>March 31, 2026</w:t>
      </w:r>
    </w:p>
    <w:p>
      <w:pPr>
        <w:spacing w:after="0" w:line="26"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3780" w:right="1080" w:hanging="2780"/>
        <w:spacing w:after="0" w:line="420" w:lineRule="auto"/>
        <w:tabs>
          <w:tab w:leader="none" w:pos="18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w:t>
      </w:r>
    </w:p>
    <w:p>
      <w:pPr>
        <w:spacing w:after="0" w:line="53"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001-40691</w:t>
      </w:r>
    </w:p>
    <w:p>
      <w:pPr>
        <w:spacing w:after="0" w:line="35"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3468370</wp:posOffset>
            </wp:positionH>
            <wp:positionV relativeFrom="paragraph">
              <wp:posOffset>-1270</wp:posOffset>
            </wp:positionV>
            <wp:extent cx="41148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148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Robinhood Markets, Inc.</w:t>
      </w:r>
    </w:p>
    <w:p>
      <w:pPr>
        <w:spacing w:after="0" w:line="107" w:lineRule="exact"/>
        <w:rPr>
          <w:sz w:val="24"/>
          <w:szCs w:val="24"/>
          <w:color w:val="auto"/>
        </w:rPr>
      </w:pPr>
    </w:p>
    <w:p>
      <w:pPr>
        <w:jc w:val="center"/>
        <w:ind w:right="-339"/>
        <w:spacing w:after="0"/>
        <w:rPr>
          <w:sz w:val="20"/>
          <w:szCs w:val="20"/>
          <w:color w:val="auto"/>
        </w:rPr>
      </w:pPr>
      <w:r>
        <w:rPr>
          <w:rFonts w:ascii="Arial" w:cs="Arial" w:eastAsia="Arial" w:hAnsi="Arial"/>
          <w:sz w:val="14"/>
          <w:szCs w:val="14"/>
          <w:color w:val="auto"/>
        </w:rPr>
        <w:t>(Exact name of registrant as specified in its charter)</w:t>
      </w:r>
    </w:p>
    <w:p>
      <w:pPr>
        <w:spacing w:after="0" w:line="63"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239"/>
        </w:trPr>
        <w:tc>
          <w:tcPr>
            <w:tcW w:w="464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2400" w:type="dxa"/>
            <w:vAlign w:val="bottom"/>
          </w:tcPr>
          <w:p>
            <w:pPr>
              <w:spacing w:after="0"/>
              <w:rPr>
                <w:sz w:val="20"/>
                <w:szCs w:val="20"/>
                <w:color w:val="auto"/>
              </w:rPr>
            </w:pPr>
          </w:p>
        </w:tc>
        <w:tc>
          <w:tcPr>
            <w:tcW w:w="4200" w:type="dxa"/>
            <w:vAlign w:val="bottom"/>
          </w:tcPr>
          <w:p>
            <w:pPr>
              <w:jc w:val="center"/>
              <w:ind w:right="723"/>
              <w:spacing w:after="0"/>
              <w:rPr>
                <w:sz w:val="20"/>
                <w:szCs w:val="20"/>
                <w:color w:val="auto"/>
              </w:rPr>
            </w:pPr>
            <w:r>
              <w:rPr>
                <w:rFonts w:ascii="Arial" w:cs="Arial" w:eastAsia="Arial" w:hAnsi="Arial"/>
                <w:sz w:val="18"/>
                <w:szCs w:val="18"/>
                <w:b w:val="1"/>
                <w:bCs w:val="1"/>
                <w:color w:val="auto"/>
                <w:w w:val="99"/>
              </w:rPr>
              <w:t>46-4364776</w:t>
            </w:r>
          </w:p>
        </w:tc>
      </w:tr>
      <w:tr>
        <w:trPr>
          <w:trHeight w:val="148"/>
        </w:trPr>
        <w:tc>
          <w:tcPr>
            <w:tcW w:w="4640" w:type="dxa"/>
            <w:vAlign w:val="bottom"/>
          </w:tcPr>
          <w:p>
            <w:pPr>
              <w:jc w:val="center"/>
              <w:spacing w:after="0" w:line="149" w:lineRule="exact"/>
              <w:rPr>
                <w:sz w:val="20"/>
                <w:szCs w:val="20"/>
                <w:color w:val="auto"/>
              </w:rPr>
            </w:pPr>
            <w:r>
              <w:rPr>
                <w:rFonts w:ascii="Arial" w:cs="Arial" w:eastAsia="Arial" w:hAnsi="Arial"/>
                <w:sz w:val="14"/>
                <w:szCs w:val="14"/>
                <w:color w:val="auto"/>
              </w:rPr>
              <w:t>(State or other jurisdiction of</w:t>
            </w:r>
          </w:p>
        </w:tc>
        <w:tc>
          <w:tcPr>
            <w:tcW w:w="2400" w:type="dxa"/>
            <w:vAlign w:val="bottom"/>
          </w:tcPr>
          <w:p>
            <w:pPr>
              <w:spacing w:after="0"/>
              <w:rPr>
                <w:sz w:val="12"/>
                <w:szCs w:val="12"/>
                <w:color w:val="auto"/>
              </w:rPr>
            </w:pPr>
          </w:p>
        </w:tc>
        <w:tc>
          <w:tcPr>
            <w:tcW w:w="4200" w:type="dxa"/>
            <w:vAlign w:val="bottom"/>
          </w:tcPr>
          <w:p>
            <w:pPr>
              <w:jc w:val="center"/>
              <w:ind w:right="703"/>
              <w:spacing w:after="0" w:line="149" w:lineRule="exact"/>
              <w:rPr>
                <w:sz w:val="20"/>
                <w:szCs w:val="20"/>
                <w:color w:val="auto"/>
              </w:rPr>
            </w:pPr>
            <w:r>
              <w:rPr>
                <w:rFonts w:ascii="Arial" w:cs="Arial" w:eastAsia="Arial" w:hAnsi="Arial"/>
                <w:sz w:val="14"/>
                <w:szCs w:val="14"/>
                <w:color w:val="auto"/>
              </w:rPr>
              <w:t>(IRS Employer</w:t>
            </w:r>
          </w:p>
        </w:tc>
      </w:tr>
      <w:tr>
        <w:trPr>
          <w:trHeight w:val="190"/>
        </w:trPr>
        <w:tc>
          <w:tcPr>
            <w:tcW w:w="4640" w:type="dxa"/>
            <w:vAlign w:val="bottom"/>
          </w:tcPr>
          <w:p>
            <w:pPr>
              <w:jc w:val="center"/>
              <w:spacing w:after="0"/>
              <w:rPr>
                <w:sz w:val="20"/>
                <w:szCs w:val="20"/>
                <w:color w:val="auto"/>
              </w:rPr>
            </w:pPr>
            <w:r>
              <w:rPr>
                <w:rFonts w:ascii="Arial" w:cs="Arial" w:eastAsia="Arial" w:hAnsi="Arial"/>
                <w:sz w:val="14"/>
                <w:szCs w:val="14"/>
                <w:color w:val="auto"/>
              </w:rPr>
              <w:t>incorporation or organization)</w:t>
            </w:r>
          </w:p>
        </w:tc>
        <w:tc>
          <w:tcPr>
            <w:tcW w:w="2400" w:type="dxa"/>
            <w:vAlign w:val="bottom"/>
          </w:tcPr>
          <w:p>
            <w:pPr>
              <w:spacing w:after="0"/>
              <w:rPr>
                <w:sz w:val="16"/>
                <w:szCs w:val="16"/>
                <w:color w:val="auto"/>
              </w:rPr>
            </w:pPr>
          </w:p>
        </w:tc>
        <w:tc>
          <w:tcPr>
            <w:tcW w:w="4200" w:type="dxa"/>
            <w:vAlign w:val="bottom"/>
          </w:tcPr>
          <w:p>
            <w:pPr>
              <w:jc w:val="center"/>
              <w:ind w:right="723"/>
              <w:spacing w:after="0"/>
              <w:rPr>
                <w:sz w:val="20"/>
                <w:szCs w:val="20"/>
                <w:color w:val="auto"/>
              </w:rPr>
            </w:pPr>
            <w:r>
              <w:rPr>
                <w:rFonts w:ascii="Arial" w:cs="Arial" w:eastAsia="Arial" w:hAnsi="Arial"/>
                <w:sz w:val="14"/>
                <w:szCs w:val="14"/>
                <w:color w:val="auto"/>
              </w:rPr>
              <w:t>Identification No.)</w:t>
            </w:r>
          </w:p>
        </w:tc>
      </w:tr>
      <w:tr>
        <w:trPr>
          <w:trHeight w:val="286"/>
        </w:trPr>
        <w:tc>
          <w:tcPr>
            <w:tcW w:w="4640" w:type="dxa"/>
            <w:vAlign w:val="bottom"/>
          </w:tcPr>
          <w:p>
            <w:pPr>
              <w:spacing w:after="0"/>
              <w:rPr>
                <w:sz w:val="24"/>
                <w:szCs w:val="24"/>
                <w:color w:val="auto"/>
              </w:rPr>
            </w:pPr>
          </w:p>
        </w:tc>
        <w:tc>
          <w:tcPr>
            <w:tcW w:w="2400" w:type="dxa"/>
            <w:vAlign w:val="bottom"/>
          </w:tcPr>
          <w:p>
            <w:pPr>
              <w:jc w:val="center"/>
              <w:ind w:right="15"/>
              <w:spacing w:after="0"/>
              <w:rPr>
                <w:sz w:val="20"/>
                <w:szCs w:val="20"/>
                <w:color w:val="auto"/>
              </w:rPr>
            </w:pPr>
            <w:r>
              <w:rPr>
                <w:rFonts w:ascii="Arial" w:cs="Arial" w:eastAsia="Arial" w:hAnsi="Arial"/>
                <w:sz w:val="18"/>
                <w:szCs w:val="18"/>
                <w:b w:val="1"/>
                <w:bCs w:val="1"/>
                <w:color w:val="auto"/>
                <w:w w:val="99"/>
              </w:rPr>
              <w:t>85 Willow Rd</w:t>
            </w:r>
          </w:p>
        </w:tc>
        <w:tc>
          <w:tcPr>
            <w:tcW w:w="4200" w:type="dxa"/>
            <w:vAlign w:val="bottom"/>
          </w:tcPr>
          <w:p>
            <w:pPr>
              <w:spacing w:after="0"/>
              <w:rPr>
                <w:sz w:val="24"/>
                <w:szCs w:val="24"/>
                <w:color w:val="auto"/>
              </w:rPr>
            </w:pPr>
          </w:p>
        </w:tc>
      </w:tr>
      <w:tr>
        <w:trPr>
          <w:trHeight w:val="226"/>
        </w:trPr>
        <w:tc>
          <w:tcPr>
            <w:tcW w:w="4640" w:type="dxa"/>
            <w:vAlign w:val="bottom"/>
          </w:tcPr>
          <w:p>
            <w:pPr>
              <w:spacing w:after="0"/>
              <w:rPr>
                <w:sz w:val="19"/>
                <w:szCs w:val="19"/>
                <w:color w:val="auto"/>
              </w:rPr>
            </w:pPr>
          </w:p>
        </w:tc>
        <w:tc>
          <w:tcPr>
            <w:tcW w:w="2400" w:type="dxa"/>
            <w:vAlign w:val="bottom"/>
          </w:tcPr>
          <w:p>
            <w:pPr>
              <w:jc w:val="center"/>
              <w:ind w:right="15"/>
              <w:spacing w:after="0"/>
              <w:rPr>
                <w:sz w:val="20"/>
                <w:szCs w:val="20"/>
                <w:color w:val="auto"/>
              </w:rPr>
            </w:pPr>
            <w:r>
              <w:rPr>
                <w:rFonts w:ascii="Arial" w:cs="Arial" w:eastAsia="Arial" w:hAnsi="Arial"/>
                <w:sz w:val="18"/>
                <w:szCs w:val="18"/>
                <w:b w:val="1"/>
                <w:bCs w:val="1"/>
                <w:color w:val="auto"/>
                <w:w w:val="99"/>
              </w:rPr>
              <w:t>Menlo Park, CA 94025</w:t>
            </w:r>
          </w:p>
        </w:tc>
        <w:tc>
          <w:tcPr>
            <w:tcW w:w="4200" w:type="dxa"/>
            <w:vAlign w:val="bottom"/>
          </w:tcPr>
          <w:p>
            <w:pPr>
              <w:spacing w:after="0"/>
              <w:rPr>
                <w:sz w:val="19"/>
                <w:szCs w:val="19"/>
                <w:color w:val="auto"/>
              </w:rPr>
            </w:pPr>
          </w:p>
        </w:tc>
      </w:tr>
      <w:tr>
        <w:trPr>
          <w:trHeight w:val="190"/>
        </w:trPr>
        <w:tc>
          <w:tcPr>
            <w:tcW w:w="11240" w:type="dxa"/>
            <w:vAlign w:val="bottom"/>
            <w:gridSpan w:val="3"/>
          </w:tcPr>
          <w:p>
            <w:pPr>
              <w:jc w:val="center"/>
              <w:ind w:left="244"/>
              <w:spacing w:after="0"/>
              <w:rPr>
                <w:sz w:val="20"/>
                <w:szCs w:val="20"/>
                <w:color w:val="auto"/>
              </w:rPr>
            </w:pPr>
            <w:r>
              <w:rPr>
                <w:rFonts w:ascii="Arial" w:cs="Arial" w:eastAsia="Arial" w:hAnsi="Arial"/>
                <w:sz w:val="14"/>
                <w:szCs w:val="14"/>
                <w:color w:val="auto"/>
              </w:rPr>
              <w:t>(Address of principal executive offices, including zip code)</w:t>
            </w:r>
          </w:p>
        </w:tc>
      </w:tr>
      <w:tr>
        <w:trPr>
          <w:trHeight w:val="309"/>
        </w:trPr>
        <w:tc>
          <w:tcPr>
            <w:tcW w:w="4640" w:type="dxa"/>
            <w:vAlign w:val="bottom"/>
          </w:tcPr>
          <w:p>
            <w:pPr>
              <w:spacing w:after="0"/>
              <w:rPr>
                <w:sz w:val="24"/>
                <w:szCs w:val="24"/>
                <w:color w:val="auto"/>
              </w:rPr>
            </w:pPr>
          </w:p>
        </w:tc>
        <w:tc>
          <w:tcPr>
            <w:tcW w:w="2400" w:type="dxa"/>
            <w:vAlign w:val="bottom"/>
          </w:tcPr>
          <w:p>
            <w:pPr>
              <w:jc w:val="center"/>
              <w:ind w:right="15"/>
              <w:spacing w:after="0"/>
              <w:rPr>
                <w:sz w:val="20"/>
                <w:szCs w:val="20"/>
                <w:color w:val="auto"/>
              </w:rPr>
            </w:pPr>
            <w:r>
              <w:rPr>
                <w:rFonts w:ascii="Arial" w:cs="Arial" w:eastAsia="Arial" w:hAnsi="Arial"/>
                <w:sz w:val="18"/>
                <w:szCs w:val="18"/>
                <w:b w:val="1"/>
                <w:bCs w:val="1"/>
                <w:color w:val="auto"/>
                <w:w w:val="99"/>
              </w:rPr>
              <w:t>(844) 428-5411</w:t>
            </w:r>
          </w:p>
        </w:tc>
        <w:tc>
          <w:tcPr>
            <w:tcW w:w="4200" w:type="dxa"/>
            <w:vAlign w:val="bottom"/>
          </w:tcPr>
          <w:p>
            <w:pPr>
              <w:spacing w:after="0"/>
              <w:rPr>
                <w:sz w:val="24"/>
                <w:szCs w:val="24"/>
                <w:color w:val="auto"/>
              </w:rPr>
            </w:pPr>
          </w:p>
        </w:tc>
      </w:tr>
      <w:tr>
        <w:trPr>
          <w:trHeight w:val="190"/>
        </w:trPr>
        <w:tc>
          <w:tcPr>
            <w:tcW w:w="11240" w:type="dxa"/>
            <w:vAlign w:val="bottom"/>
            <w:gridSpan w:val="3"/>
          </w:tcPr>
          <w:p>
            <w:pPr>
              <w:jc w:val="center"/>
              <w:ind w:left="264"/>
              <w:spacing w:after="0"/>
              <w:rPr>
                <w:sz w:val="20"/>
                <w:szCs w:val="20"/>
                <w:color w:val="auto"/>
              </w:rPr>
            </w:pPr>
            <w:r>
              <w:rPr>
                <w:rFonts w:ascii="Arial" w:cs="Arial" w:eastAsia="Arial" w:hAnsi="Arial"/>
                <w:sz w:val="14"/>
                <w:szCs w:val="14"/>
                <w:color w:val="auto"/>
              </w:rPr>
              <w:t>(Registrant’s telephone number, including area code)</w:t>
            </w:r>
          </w:p>
        </w:tc>
      </w:tr>
      <w:tr>
        <w:trPr>
          <w:trHeight w:val="446"/>
        </w:trPr>
        <w:tc>
          <w:tcPr>
            <w:tcW w:w="4640" w:type="dxa"/>
            <w:vAlign w:val="bottom"/>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4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116"/>
        </w:trPr>
        <w:tc>
          <w:tcPr>
            <w:tcW w:w="46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r>
      <w:tr>
        <w:trPr>
          <w:trHeight w:val="209"/>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95"/>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Class A Common Stock - $0.0001 par value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HOOD</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256"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96"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96"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69" w:lineRule="exact"/>
        <w:rPr>
          <w:sz w:val="24"/>
          <w:szCs w:val="24"/>
          <w:color w:val="auto"/>
        </w:rPr>
      </w:pPr>
    </w:p>
    <w:p>
      <w:pPr>
        <w:spacing w:after="0" w:line="184" w:lineRule="exact"/>
        <w:tabs>
          <w:tab w:leader="none" w:pos="2000" w:val="left"/>
          <w:tab w:leader="none" w:pos="354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Wingdings" w:cs="Wingdings" w:eastAsia="Wingdings" w:hAnsi="Wingdings"/>
          <w:sz w:val="16"/>
          <w:szCs w:val="16"/>
          <w:b w:val="1"/>
          <w:bCs w:val="1"/>
          <w:color w:val="auto"/>
        </w:rPr>
        <w:t>o</w:t>
      </w:r>
      <w:r>
        <w:rPr>
          <w:rFonts w:ascii="Arial" w:cs="Arial" w:eastAsia="Arial" w:hAnsi="Arial"/>
          <w:sz w:val="16"/>
          <w:szCs w:val="16"/>
          <w:color w:val="auto"/>
        </w:rPr>
        <w:tab/>
        <w:t xml:space="preserve">Non-accelerated filer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84" w:lineRule="exact"/>
        <w:rPr>
          <w:sz w:val="24"/>
          <w:szCs w:val="24"/>
          <w:color w:val="auto"/>
        </w:rPr>
      </w:pPr>
    </w:p>
    <w:p>
      <w:pPr>
        <w:jc w:val="both"/>
        <w:ind w:right="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4" w:lineRule="exact"/>
        <w:rPr>
          <w:sz w:val="24"/>
          <w:szCs w:val="24"/>
          <w:color w:val="auto"/>
        </w:rPr>
      </w:pPr>
    </w:p>
    <w:p>
      <w:pPr>
        <w:spacing w:after="0"/>
        <w:rPr>
          <w:sz w:val="20"/>
          <w:szCs w:val="20"/>
          <w:color w:val="auto"/>
        </w:rPr>
      </w:pPr>
      <w:r>
        <w:rPr>
          <w:rFonts w:ascii="Arial" w:cs="Arial" w:eastAsia="Arial" w:hAnsi="Arial"/>
          <w:sz w:val="16"/>
          <w:szCs w:val="16"/>
          <w:color w:val="auto"/>
        </w:rPr>
        <w:t>As of April 23, 2026, the numbers of shares of the issuer’s Class A and Class B common stock outstanding were 791,184,698 and 109,320,359.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282575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3" w:right="339" w:bottom="1440" w:gutter="0" w:footer="0" w:header="0"/>
        </w:sectPr>
      </w:pPr>
    </w:p>
    <w:bookmarkStart w:id="1" w:name="page2"/>
    <w:bookmarkEnd w:id="1"/>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TABLE OF CONTENTS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shd w:val="clear" w:color="auto" w:fill="CCEEFF"/>
          </w:tcPr>
          <w:p>
            <w:pPr>
              <w:spacing w:after="0"/>
              <w:rPr>
                <w:sz w:val="19"/>
                <w:szCs w:val="19"/>
                <w:color w:val="auto"/>
              </w:rPr>
            </w:pPr>
          </w:p>
        </w:tc>
        <w:tc>
          <w:tcPr>
            <w:tcW w:w="9340" w:type="dxa"/>
            <w:vAlign w:val="bottom"/>
            <w:gridSpan w:val="35"/>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1880" w:type="dxa"/>
            <w:vAlign w:val="bottom"/>
            <w:gridSpan w:val="6"/>
            <w:shd w:val="clear" w:color="auto" w:fill="CCEEFF"/>
          </w:tcPr>
          <w:p>
            <w:pPr>
              <w:ind w:left="1040"/>
              <w:spacing w:after="0"/>
              <w:rPr>
                <w:sz w:val="20"/>
                <w:szCs w:val="20"/>
                <w:color w:val="auto"/>
              </w:rPr>
            </w:pPr>
            <w:r>
              <w:rPr>
                <w:rFonts w:ascii="Arial" w:cs="Arial" w:eastAsia="Arial" w:hAnsi="Arial"/>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1000" w:type="dxa"/>
            <w:vAlign w:val="bottom"/>
          </w:tcPr>
          <w:p>
            <w:pPr>
              <w:spacing w:after="0" w:line="189" w:lineRule="exact"/>
              <w:rPr>
                <w:sz w:val="20"/>
                <w:szCs w:val="20"/>
                <w:color w:val="auto"/>
              </w:rPr>
            </w:pPr>
            <w:r>
              <w:rPr>
                <w:rFonts w:ascii="Arial" w:cs="Arial" w:eastAsia="Arial" w:hAnsi="Arial"/>
                <w:sz w:val="18"/>
                <w:szCs w:val="18"/>
                <w:color w:val="auto"/>
              </w:rPr>
              <w:t>ITEM 1.</w:t>
            </w:r>
          </w:p>
        </w:tc>
        <w:tc>
          <w:tcPr>
            <w:tcW w:w="8340" w:type="dxa"/>
            <w:vAlign w:val="bottom"/>
            <w:gridSpan w:val="34"/>
          </w:tcPr>
          <w:p>
            <w:pPr>
              <w:ind w:left="200"/>
              <w:spacing w:after="0" w:line="189" w:lineRule="exact"/>
              <w:rPr>
                <w:sz w:val="20"/>
                <w:szCs w:val="20"/>
                <w:color w:val="auto"/>
              </w:rPr>
            </w:pPr>
            <w:r>
              <w:rPr>
                <w:rFonts w:ascii="Arial" w:cs="Arial" w:eastAsia="Arial" w:hAnsi="Arial"/>
                <w:sz w:val="18"/>
                <w:szCs w:val="18"/>
                <w:color w:val="0000FF"/>
              </w:rPr>
              <w:t>Unaudited Financial Statements</w:t>
            </w: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34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0000FF"/>
                <w:w w:val="99"/>
              </w:rPr>
              <w:t>Condensed Consolidated Balance Sheets</w:t>
            </w:r>
          </w:p>
        </w:tc>
        <w:tc>
          <w:tcPr>
            <w:tcW w:w="4800" w:type="dxa"/>
            <w:vAlign w:val="bottom"/>
            <w:gridSpan w:val="16"/>
            <w:shd w:val="clear" w:color="auto" w:fill="CCEEFF"/>
          </w:tcPr>
          <w:p>
            <w:pPr>
              <w:spacing w:after="0"/>
              <w:rPr>
                <w:sz w:val="16"/>
                <w:szCs w:val="16"/>
                <w:color w:val="auto"/>
              </w:rPr>
            </w:pP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10</w:t>
            </w: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40" w:type="dxa"/>
            <w:vAlign w:val="bottom"/>
            <w:gridSpan w:val="33"/>
          </w:tcPr>
          <w:p>
            <w:pPr>
              <w:spacing w:after="0" w:line="189" w:lineRule="exact"/>
              <w:rPr>
                <w:sz w:val="20"/>
                <w:szCs w:val="20"/>
                <w:color w:val="auto"/>
              </w:rPr>
            </w:pPr>
            <w:r>
              <w:rPr>
                <w:rFonts w:ascii="Arial" w:cs="Arial" w:eastAsia="Arial" w:hAnsi="Arial"/>
                <w:sz w:val="18"/>
                <w:szCs w:val="18"/>
                <w:color w:val="0000FF"/>
              </w:rPr>
              <w:t>Condensed Consolidated Statements of Operations</w:t>
            </w:r>
          </w:p>
        </w:tc>
        <w:tc>
          <w:tcPr>
            <w:tcW w:w="1560" w:type="dxa"/>
            <w:vAlign w:val="bottom"/>
            <w:gridSpan w:val="4"/>
          </w:tcPr>
          <w:p>
            <w:pPr>
              <w:jc w:val="center"/>
              <w:ind w:left="1250"/>
              <w:spacing w:after="0" w:line="189" w:lineRule="exact"/>
              <w:rPr>
                <w:sz w:val="20"/>
                <w:szCs w:val="20"/>
                <w:color w:val="auto"/>
              </w:rPr>
            </w:pPr>
            <w:r>
              <w:rPr>
                <w:rFonts w:ascii="Arial" w:cs="Arial" w:eastAsia="Arial" w:hAnsi="Arial"/>
                <w:sz w:val="18"/>
                <w:szCs w:val="18"/>
                <w:color w:val="0000FF"/>
                <w:w w:val="89"/>
              </w:rPr>
              <w:t>11</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140" w:type="dxa"/>
            <w:vAlign w:val="bottom"/>
            <w:gridSpan w:val="29"/>
            <w:shd w:val="clear" w:color="auto" w:fill="CCEEFF"/>
          </w:tcPr>
          <w:p>
            <w:pPr>
              <w:spacing w:after="0" w:line="189" w:lineRule="exact"/>
              <w:rPr>
                <w:sz w:val="20"/>
                <w:szCs w:val="20"/>
                <w:color w:val="auto"/>
              </w:rPr>
            </w:pPr>
            <w:r>
              <w:rPr>
                <w:rFonts w:ascii="Arial" w:cs="Arial" w:eastAsia="Arial" w:hAnsi="Arial"/>
                <w:sz w:val="18"/>
                <w:szCs w:val="18"/>
                <w:color w:val="0000FF"/>
                <w:w w:val="99"/>
              </w:rPr>
              <w:t>Condensed Consolidated Statements of Comprehensive Income</w:t>
            </w:r>
          </w:p>
        </w:tc>
        <w:tc>
          <w:tcPr>
            <w:tcW w:w="3000" w:type="dxa"/>
            <w:vAlign w:val="bottom"/>
            <w:gridSpan w:val="4"/>
            <w:shd w:val="clear" w:color="auto" w:fill="CCEEFF"/>
          </w:tcPr>
          <w:p>
            <w:pPr>
              <w:spacing w:after="0"/>
              <w:rPr>
                <w:sz w:val="16"/>
                <w:szCs w:val="16"/>
                <w:color w:val="auto"/>
              </w:rPr>
            </w:pP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12</w:t>
            </w:r>
          </w:p>
        </w:tc>
        <w:tc>
          <w:tcPr>
            <w:tcW w:w="2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140" w:type="dxa"/>
            <w:vAlign w:val="bottom"/>
            <w:gridSpan w:val="29"/>
          </w:tcPr>
          <w:p>
            <w:pPr>
              <w:spacing w:after="0" w:line="189" w:lineRule="exact"/>
              <w:rPr>
                <w:sz w:val="20"/>
                <w:szCs w:val="20"/>
                <w:color w:val="auto"/>
              </w:rPr>
            </w:pPr>
            <w:r>
              <w:rPr>
                <w:rFonts w:ascii="Arial" w:cs="Arial" w:eastAsia="Arial" w:hAnsi="Arial"/>
                <w:sz w:val="18"/>
                <w:szCs w:val="18"/>
                <w:color w:val="0000FF"/>
              </w:rPr>
              <w:t>Condensed Consolidated Statements of Cash Flows</w:t>
            </w:r>
          </w:p>
        </w:tc>
        <w:tc>
          <w:tcPr>
            <w:tcW w:w="3000" w:type="dxa"/>
            <w:vAlign w:val="bottom"/>
            <w:gridSpan w:val="4"/>
          </w:tcPr>
          <w:p>
            <w:pPr>
              <w:spacing w:after="0"/>
              <w:rPr>
                <w:sz w:val="16"/>
                <w:szCs w:val="16"/>
                <w:color w:val="auto"/>
              </w:rPr>
            </w:pPr>
          </w:p>
        </w:tc>
        <w:tc>
          <w:tcPr>
            <w:tcW w:w="1600" w:type="dxa"/>
            <w:vAlign w:val="bottom"/>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13</w:t>
            </w:r>
          </w:p>
        </w:tc>
        <w:tc>
          <w:tcPr>
            <w:tcW w:w="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140" w:type="dxa"/>
            <w:vAlign w:val="bottom"/>
            <w:gridSpan w:val="33"/>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Stockholders’ Equity</w:t>
            </w: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15</w:t>
            </w: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40" w:type="dxa"/>
            <w:vAlign w:val="bottom"/>
            <w:gridSpan w:val="33"/>
          </w:tcPr>
          <w:p>
            <w:pPr>
              <w:spacing w:after="0" w:line="189" w:lineRule="exact"/>
              <w:rPr>
                <w:sz w:val="20"/>
                <w:szCs w:val="20"/>
                <w:color w:val="auto"/>
              </w:rPr>
            </w:pPr>
            <w:r>
              <w:rPr>
                <w:rFonts w:ascii="Arial" w:cs="Arial" w:eastAsia="Arial" w:hAnsi="Arial"/>
                <w:sz w:val="18"/>
                <w:szCs w:val="18"/>
                <w:color w:val="0000FF"/>
              </w:rPr>
              <w:t>Notes to Unaudited Condensed Consolidated Financial Statements</w:t>
            </w: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4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w w:val="99"/>
              </w:rPr>
              <w:t>Note 1 - Description of Business and Summary of Significant Accounting Policies</w:t>
            </w:r>
          </w:p>
        </w:tc>
        <w:tc>
          <w:tcPr>
            <w:tcW w:w="1480" w:type="dxa"/>
            <w:vAlign w:val="bottom"/>
            <w:gridSpan w:val="2"/>
            <w:shd w:val="clear" w:color="auto" w:fill="CCEEFF"/>
          </w:tcPr>
          <w:p>
            <w:pPr>
              <w:spacing w:after="0"/>
              <w:rPr>
                <w:sz w:val="16"/>
                <w:szCs w:val="16"/>
                <w:color w:val="auto"/>
              </w:rPr>
            </w:pP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16</w:t>
            </w: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40" w:type="dxa"/>
            <w:vAlign w:val="bottom"/>
            <w:gridSpan w:val="30"/>
          </w:tcPr>
          <w:p>
            <w:pPr>
              <w:spacing w:after="0" w:line="189" w:lineRule="exact"/>
              <w:rPr>
                <w:sz w:val="20"/>
                <w:szCs w:val="20"/>
                <w:color w:val="auto"/>
              </w:rPr>
            </w:pPr>
            <w:r>
              <w:rPr>
                <w:rFonts w:ascii="Arial" w:cs="Arial" w:eastAsia="Arial" w:hAnsi="Arial"/>
                <w:sz w:val="18"/>
                <w:szCs w:val="18"/>
                <w:color w:val="0000FF"/>
              </w:rPr>
              <w:t>Note 2 - Recent Accounting Pronouncements</w:t>
            </w:r>
          </w:p>
        </w:tc>
        <w:tc>
          <w:tcPr>
            <w:tcW w:w="1480" w:type="dxa"/>
            <w:vAlign w:val="bottom"/>
            <w:gridSpan w:val="2"/>
          </w:tcPr>
          <w:p>
            <w:pPr>
              <w:spacing w:after="0"/>
              <w:rPr>
                <w:sz w:val="16"/>
                <w:szCs w:val="16"/>
                <w:color w:val="auto"/>
              </w:rPr>
            </w:pPr>
          </w:p>
        </w:tc>
        <w:tc>
          <w:tcPr>
            <w:tcW w:w="1600" w:type="dxa"/>
            <w:vAlign w:val="bottom"/>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18</w:t>
            </w: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580" w:type="dxa"/>
            <w:vAlign w:val="bottom"/>
            <w:gridSpan w:val="14"/>
            <w:shd w:val="clear" w:color="auto" w:fill="CCEEFF"/>
          </w:tcPr>
          <w:p>
            <w:pPr>
              <w:spacing w:after="0" w:line="189" w:lineRule="exact"/>
              <w:rPr>
                <w:sz w:val="20"/>
                <w:szCs w:val="20"/>
                <w:color w:val="auto"/>
              </w:rPr>
            </w:pPr>
            <w:r>
              <w:rPr>
                <w:rFonts w:ascii="Arial" w:cs="Arial" w:eastAsia="Arial" w:hAnsi="Arial"/>
                <w:sz w:val="18"/>
                <w:szCs w:val="18"/>
                <w:color w:val="0000FF"/>
                <w:w w:val="99"/>
              </w:rPr>
              <w:t>Note 3 - Business Combinations</w:t>
            </w:r>
          </w:p>
        </w:tc>
        <w:tc>
          <w:tcPr>
            <w:tcW w:w="5340" w:type="dxa"/>
            <w:vAlign w:val="bottom"/>
            <w:gridSpan w:val="18"/>
            <w:shd w:val="clear" w:color="auto" w:fill="CCEEFF"/>
          </w:tcPr>
          <w:p>
            <w:pPr>
              <w:spacing w:after="0"/>
              <w:rPr>
                <w:sz w:val="16"/>
                <w:szCs w:val="16"/>
                <w:color w:val="auto"/>
              </w:rPr>
            </w:pP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18</w:t>
            </w: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920" w:type="dxa"/>
            <w:vAlign w:val="bottom"/>
            <w:gridSpan w:val="32"/>
          </w:tcPr>
          <w:p>
            <w:pPr>
              <w:spacing w:after="0" w:line="189" w:lineRule="exact"/>
              <w:rPr>
                <w:sz w:val="20"/>
                <w:szCs w:val="20"/>
                <w:color w:val="auto"/>
              </w:rPr>
            </w:pPr>
            <w:r>
              <w:rPr>
                <w:rFonts w:ascii="Arial" w:cs="Arial" w:eastAsia="Arial" w:hAnsi="Arial"/>
                <w:sz w:val="18"/>
                <w:szCs w:val="18"/>
                <w:color w:val="0000FF"/>
              </w:rPr>
              <w:t>Note 4 - Goodwill and Intangible Assets</w:t>
            </w:r>
          </w:p>
        </w:tc>
        <w:tc>
          <w:tcPr>
            <w:tcW w:w="1600" w:type="dxa"/>
            <w:vAlign w:val="bottom"/>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22</w:t>
            </w:r>
          </w:p>
        </w:tc>
        <w:tc>
          <w:tcPr>
            <w:tcW w:w="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92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Note 5 - Revenues</w:t>
            </w: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23</w:t>
            </w:r>
          </w:p>
        </w:tc>
        <w:tc>
          <w:tcPr>
            <w:tcW w:w="2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920" w:type="dxa"/>
            <w:vAlign w:val="bottom"/>
            <w:gridSpan w:val="32"/>
          </w:tcPr>
          <w:p>
            <w:pPr>
              <w:spacing w:after="0" w:line="189" w:lineRule="exact"/>
              <w:rPr>
                <w:sz w:val="20"/>
                <w:szCs w:val="20"/>
                <w:color w:val="auto"/>
              </w:rPr>
            </w:pPr>
            <w:r>
              <w:rPr>
                <w:rFonts w:ascii="Arial" w:cs="Arial" w:eastAsia="Arial" w:hAnsi="Arial"/>
                <w:sz w:val="18"/>
                <w:szCs w:val="18"/>
                <w:color w:val="0000FF"/>
              </w:rPr>
              <w:t>Note 6 - Allowance for Credit Losses</w:t>
            </w:r>
          </w:p>
        </w:tc>
        <w:tc>
          <w:tcPr>
            <w:tcW w:w="1600" w:type="dxa"/>
            <w:vAlign w:val="bottom"/>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25</w:t>
            </w:r>
          </w:p>
        </w:tc>
        <w:tc>
          <w:tcPr>
            <w:tcW w:w="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92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Note 7 - Investments and Fair Value Measurement</w:t>
            </w: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27</w:t>
            </w:r>
          </w:p>
        </w:tc>
        <w:tc>
          <w:tcPr>
            <w:tcW w:w="2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20" w:type="dxa"/>
            <w:vAlign w:val="bottom"/>
            <w:gridSpan w:val="23"/>
          </w:tcPr>
          <w:p>
            <w:pPr>
              <w:spacing w:after="0" w:line="189" w:lineRule="exact"/>
              <w:rPr>
                <w:sz w:val="20"/>
                <w:szCs w:val="20"/>
                <w:color w:val="auto"/>
              </w:rPr>
            </w:pPr>
            <w:r>
              <w:rPr>
                <w:rFonts w:ascii="Arial" w:cs="Arial" w:eastAsia="Arial" w:hAnsi="Arial"/>
                <w:sz w:val="18"/>
                <w:szCs w:val="18"/>
                <w:color w:val="0000FF"/>
              </w:rPr>
              <w:t>Note 8 - Income Taxes</w:t>
            </w:r>
          </w:p>
        </w:tc>
        <w:tc>
          <w:tcPr>
            <w:tcW w:w="3900" w:type="dxa"/>
            <w:vAlign w:val="bottom"/>
            <w:gridSpan w:val="9"/>
          </w:tcPr>
          <w:p>
            <w:pPr>
              <w:spacing w:after="0"/>
              <w:rPr>
                <w:sz w:val="16"/>
                <w:szCs w:val="16"/>
                <w:color w:val="auto"/>
              </w:rPr>
            </w:pPr>
          </w:p>
        </w:tc>
        <w:tc>
          <w:tcPr>
            <w:tcW w:w="1600" w:type="dxa"/>
            <w:vAlign w:val="bottom"/>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29</w:t>
            </w:r>
          </w:p>
        </w:tc>
        <w:tc>
          <w:tcPr>
            <w:tcW w:w="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92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Note 9 - Securities Borrowing and Lending</w:t>
            </w: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29</w:t>
            </w: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920" w:type="dxa"/>
            <w:vAlign w:val="bottom"/>
            <w:gridSpan w:val="32"/>
          </w:tcPr>
          <w:p>
            <w:pPr>
              <w:spacing w:after="0" w:line="189" w:lineRule="exact"/>
              <w:rPr>
                <w:sz w:val="20"/>
                <w:szCs w:val="20"/>
                <w:color w:val="auto"/>
              </w:rPr>
            </w:pPr>
            <w:r>
              <w:rPr>
                <w:rFonts w:ascii="Arial" w:cs="Arial" w:eastAsia="Arial" w:hAnsi="Arial"/>
                <w:sz w:val="18"/>
                <w:szCs w:val="18"/>
                <w:color w:val="0000FF"/>
              </w:rPr>
              <w:t>Note 10 - Financing Activities and Off-Balance Sheet Risk</w:t>
            </w:r>
          </w:p>
        </w:tc>
        <w:tc>
          <w:tcPr>
            <w:tcW w:w="1600" w:type="dxa"/>
            <w:vAlign w:val="bottom"/>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30</w:t>
            </w: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92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Note 11 - Common Stock and Stockholders’ Equity</w:t>
            </w: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34</w:t>
            </w: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40" w:type="dxa"/>
            <w:vAlign w:val="bottom"/>
            <w:gridSpan w:val="24"/>
          </w:tcPr>
          <w:p>
            <w:pPr>
              <w:spacing w:after="0" w:line="189" w:lineRule="exact"/>
              <w:rPr>
                <w:sz w:val="20"/>
                <w:szCs w:val="20"/>
                <w:color w:val="auto"/>
              </w:rPr>
            </w:pPr>
            <w:r>
              <w:rPr>
                <w:rFonts w:ascii="Arial" w:cs="Arial" w:eastAsia="Arial" w:hAnsi="Arial"/>
                <w:sz w:val="18"/>
                <w:szCs w:val="18"/>
                <w:color w:val="0000FF"/>
              </w:rPr>
              <w:t>Note 12 - Net Income per Share</w:t>
            </w:r>
          </w:p>
        </w:tc>
        <w:tc>
          <w:tcPr>
            <w:tcW w:w="3880" w:type="dxa"/>
            <w:vAlign w:val="bottom"/>
            <w:gridSpan w:val="8"/>
          </w:tcPr>
          <w:p>
            <w:pPr>
              <w:spacing w:after="0"/>
              <w:rPr>
                <w:sz w:val="16"/>
                <w:szCs w:val="16"/>
                <w:color w:val="auto"/>
              </w:rPr>
            </w:pPr>
          </w:p>
        </w:tc>
        <w:tc>
          <w:tcPr>
            <w:tcW w:w="1600" w:type="dxa"/>
            <w:vAlign w:val="bottom"/>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37</w:t>
            </w: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0000FF"/>
                <w:w w:val="99"/>
              </w:rPr>
              <w:t>Note 13 - Leases</w:t>
            </w:r>
          </w:p>
        </w:tc>
        <w:tc>
          <w:tcPr>
            <w:tcW w:w="6540" w:type="dxa"/>
            <w:vAlign w:val="bottom"/>
            <w:gridSpan w:val="25"/>
            <w:shd w:val="clear" w:color="auto" w:fill="CCEEFF"/>
          </w:tcPr>
          <w:p>
            <w:pPr>
              <w:spacing w:after="0"/>
              <w:rPr>
                <w:sz w:val="16"/>
                <w:szCs w:val="16"/>
                <w:color w:val="auto"/>
              </w:rPr>
            </w:pP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38</w:t>
            </w:r>
          </w:p>
        </w:tc>
        <w:tc>
          <w:tcPr>
            <w:tcW w:w="2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920" w:type="dxa"/>
            <w:vAlign w:val="bottom"/>
            <w:gridSpan w:val="32"/>
          </w:tcPr>
          <w:p>
            <w:pPr>
              <w:spacing w:after="0" w:line="189" w:lineRule="exact"/>
              <w:rPr>
                <w:sz w:val="20"/>
                <w:szCs w:val="20"/>
                <w:color w:val="auto"/>
              </w:rPr>
            </w:pPr>
            <w:r>
              <w:rPr>
                <w:rFonts w:ascii="Arial" w:cs="Arial" w:eastAsia="Arial" w:hAnsi="Arial"/>
                <w:sz w:val="18"/>
                <w:szCs w:val="18"/>
                <w:color w:val="0000FF"/>
              </w:rPr>
              <w:t>Note 14 - Commitments &amp; Contingencies</w:t>
            </w:r>
          </w:p>
        </w:tc>
        <w:tc>
          <w:tcPr>
            <w:tcW w:w="1600" w:type="dxa"/>
            <w:vAlign w:val="bottom"/>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38</w:t>
            </w: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2.</w:t>
            </w:r>
          </w:p>
        </w:tc>
        <w:tc>
          <w:tcPr>
            <w:tcW w:w="200" w:type="dxa"/>
            <w:vAlign w:val="bottom"/>
            <w:shd w:val="clear" w:color="auto" w:fill="CCEEFF"/>
          </w:tcPr>
          <w:p>
            <w:pPr>
              <w:spacing w:after="0"/>
              <w:rPr>
                <w:sz w:val="16"/>
                <w:szCs w:val="16"/>
                <w:color w:val="auto"/>
              </w:rPr>
            </w:pPr>
          </w:p>
        </w:tc>
        <w:tc>
          <w:tcPr>
            <w:tcW w:w="8140" w:type="dxa"/>
            <w:vAlign w:val="bottom"/>
            <w:gridSpan w:val="33"/>
            <w:shd w:val="clear" w:color="auto" w:fill="CCEEFF"/>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44</w:t>
            </w: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ind w:left="40"/>
              <w:spacing w:after="0" w:line="189" w:lineRule="exact"/>
              <w:rPr>
                <w:sz w:val="20"/>
                <w:szCs w:val="20"/>
                <w:color w:val="auto"/>
              </w:rPr>
            </w:pPr>
            <w:r>
              <w:rPr>
                <w:rFonts w:ascii="Arial" w:cs="Arial" w:eastAsia="Arial" w:hAnsi="Arial"/>
                <w:sz w:val="18"/>
                <w:szCs w:val="18"/>
                <w:color w:val="auto"/>
              </w:rPr>
              <w:t>ITEM 3.</w:t>
            </w:r>
          </w:p>
        </w:tc>
        <w:tc>
          <w:tcPr>
            <w:tcW w:w="200" w:type="dxa"/>
            <w:vAlign w:val="bottom"/>
          </w:tcPr>
          <w:p>
            <w:pPr>
              <w:spacing w:after="0"/>
              <w:rPr>
                <w:sz w:val="16"/>
                <w:szCs w:val="16"/>
                <w:color w:val="auto"/>
              </w:rPr>
            </w:pPr>
          </w:p>
        </w:tc>
        <w:tc>
          <w:tcPr>
            <w:tcW w:w="7080" w:type="dxa"/>
            <w:vAlign w:val="bottom"/>
            <w:gridSpan w:val="32"/>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1060" w:type="dxa"/>
            <w:vAlign w:val="bottom"/>
          </w:tcPr>
          <w:p>
            <w:pPr>
              <w:spacing w:after="0"/>
              <w:rPr>
                <w:sz w:val="16"/>
                <w:szCs w:val="16"/>
                <w:color w:val="auto"/>
              </w:rPr>
            </w:pPr>
          </w:p>
        </w:tc>
        <w:tc>
          <w:tcPr>
            <w:tcW w:w="1600" w:type="dxa"/>
            <w:vAlign w:val="bottom"/>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58</w:t>
            </w: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4.</w:t>
            </w:r>
          </w:p>
        </w:tc>
        <w:tc>
          <w:tcPr>
            <w:tcW w:w="8340" w:type="dxa"/>
            <w:vAlign w:val="bottom"/>
            <w:gridSpan w:val="34"/>
            <w:shd w:val="clear" w:color="auto" w:fill="CCEEFF"/>
          </w:tcPr>
          <w:p>
            <w:pPr>
              <w:ind w:left="200"/>
              <w:spacing w:after="0" w:line="189" w:lineRule="exact"/>
              <w:rPr>
                <w:sz w:val="20"/>
                <w:szCs w:val="20"/>
                <w:color w:val="auto"/>
              </w:rPr>
            </w:pPr>
            <w:r>
              <w:rPr>
                <w:rFonts w:ascii="Arial" w:cs="Arial" w:eastAsia="Arial" w:hAnsi="Arial"/>
                <w:sz w:val="18"/>
                <w:szCs w:val="18"/>
                <w:color w:val="0000FF"/>
              </w:rPr>
              <w:t>Controls and Procedures</w:t>
            </w: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60</w:t>
            </w:r>
          </w:p>
        </w:tc>
        <w:tc>
          <w:tcPr>
            <w:tcW w:w="280" w:type="dxa"/>
            <w:vAlign w:val="bottom"/>
            <w:shd w:val="clear" w:color="auto" w:fill="CCEEFF"/>
          </w:tcPr>
          <w:p>
            <w:pPr>
              <w:spacing w:after="0"/>
              <w:rPr>
                <w:sz w:val="18"/>
                <w:szCs w:val="18"/>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1200" w:type="dxa"/>
            <w:vAlign w:val="bottom"/>
            <w:tcBorders>
              <w:top w:val="single" w:sz="8" w:color="CCEEFF"/>
            </w:tcBorders>
            <w:gridSpan w:val="2"/>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32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3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r>
      <w:tr>
        <w:trPr>
          <w:trHeight w:val="209"/>
        </w:trPr>
        <w:tc>
          <w:tcPr>
            <w:tcW w:w="20" w:type="dxa"/>
            <w:vAlign w:val="bottom"/>
            <w:shd w:val="clear" w:color="auto" w:fill="CCEEFF"/>
          </w:tcPr>
          <w:p>
            <w:pPr>
              <w:spacing w:after="0"/>
              <w:rPr>
                <w:sz w:val="18"/>
                <w:szCs w:val="18"/>
                <w:color w:val="auto"/>
              </w:rPr>
            </w:pPr>
          </w:p>
        </w:tc>
        <w:tc>
          <w:tcPr>
            <w:tcW w:w="9340" w:type="dxa"/>
            <w:vAlign w:val="bottom"/>
            <w:gridSpan w:val="35"/>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PART II - OTHER INFORMATION</w:t>
            </w: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000" w:type="dxa"/>
            <w:vAlign w:val="bottom"/>
            <w:tcBorders>
              <w:top w:val="single" w:sz="8" w:color="0000FF"/>
            </w:tcBorders>
          </w:tcPr>
          <w:p>
            <w:pPr>
              <w:ind w:left="40"/>
              <w:spacing w:after="0" w:line="189" w:lineRule="exact"/>
              <w:rPr>
                <w:sz w:val="20"/>
                <w:szCs w:val="20"/>
                <w:color w:val="auto"/>
              </w:rPr>
            </w:pPr>
            <w:r>
              <w:rPr>
                <w:rFonts w:ascii="Arial" w:cs="Arial" w:eastAsia="Arial" w:hAnsi="Arial"/>
                <w:sz w:val="18"/>
                <w:szCs w:val="18"/>
                <w:color w:val="auto"/>
              </w:rPr>
              <w:t>ITEM 1.</w:t>
            </w:r>
          </w:p>
        </w:tc>
        <w:tc>
          <w:tcPr>
            <w:tcW w:w="1720" w:type="dxa"/>
            <w:vAlign w:val="bottom"/>
            <w:tcBorders>
              <w:top w:val="single" w:sz="8" w:color="0000FF"/>
            </w:tcBorders>
            <w:gridSpan w:val="8"/>
          </w:tcPr>
          <w:p>
            <w:pPr>
              <w:ind w:left="200"/>
              <w:spacing w:after="0" w:line="189" w:lineRule="exact"/>
              <w:rPr>
                <w:sz w:val="20"/>
                <w:szCs w:val="20"/>
                <w:color w:val="auto"/>
              </w:rPr>
            </w:pPr>
            <w:r>
              <w:rPr>
                <w:rFonts w:ascii="Arial" w:cs="Arial" w:eastAsia="Arial" w:hAnsi="Arial"/>
                <w:sz w:val="18"/>
                <w:szCs w:val="18"/>
                <w:color w:val="0000FF"/>
              </w:rPr>
              <w:t>Legal Proceedings</w:t>
            </w:r>
          </w:p>
        </w:tc>
        <w:tc>
          <w:tcPr>
            <w:tcW w:w="6620" w:type="dxa"/>
            <w:vAlign w:val="bottom"/>
            <w:tcBorders>
              <w:top w:val="single" w:sz="8" w:color="CCEEFF"/>
            </w:tcBorders>
            <w:gridSpan w:val="26"/>
          </w:tcPr>
          <w:p>
            <w:pPr>
              <w:spacing w:after="0"/>
              <w:rPr>
                <w:sz w:val="16"/>
                <w:szCs w:val="16"/>
                <w:color w:val="auto"/>
              </w:rPr>
            </w:pPr>
          </w:p>
        </w:tc>
        <w:tc>
          <w:tcPr>
            <w:tcW w:w="1600" w:type="dxa"/>
            <w:vAlign w:val="bottom"/>
            <w:tcBorders>
              <w:top w:val="single" w:sz="8" w:color="CCEEFF"/>
            </w:tcBorders>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61</w:t>
            </w:r>
          </w:p>
        </w:tc>
        <w:tc>
          <w:tcPr>
            <w:tcW w:w="28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1A.</w:t>
            </w:r>
          </w:p>
        </w:tc>
        <w:tc>
          <w:tcPr>
            <w:tcW w:w="200" w:type="dxa"/>
            <w:vAlign w:val="bottom"/>
            <w:shd w:val="clear" w:color="auto" w:fill="CCEEFF"/>
          </w:tcPr>
          <w:p>
            <w:pPr>
              <w:spacing w:after="0"/>
              <w:rPr>
                <w:sz w:val="16"/>
                <w:szCs w:val="16"/>
                <w:color w:val="auto"/>
              </w:rPr>
            </w:pPr>
          </w:p>
        </w:tc>
        <w:tc>
          <w:tcPr>
            <w:tcW w:w="8140" w:type="dxa"/>
            <w:vAlign w:val="bottom"/>
            <w:gridSpan w:val="33"/>
            <w:shd w:val="clear" w:color="auto" w:fill="CCEEFF"/>
          </w:tcPr>
          <w:p>
            <w:pPr>
              <w:spacing w:after="0" w:line="189" w:lineRule="exact"/>
              <w:rPr>
                <w:sz w:val="20"/>
                <w:szCs w:val="20"/>
                <w:color w:val="auto"/>
              </w:rPr>
            </w:pPr>
            <w:r>
              <w:rPr>
                <w:rFonts w:ascii="Arial" w:cs="Arial" w:eastAsia="Arial" w:hAnsi="Arial"/>
                <w:sz w:val="18"/>
                <w:szCs w:val="18"/>
                <w:color w:val="0000FF"/>
              </w:rPr>
              <w:t>Risk Factors</w:t>
            </w: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62</w:t>
            </w:r>
          </w:p>
        </w:tc>
        <w:tc>
          <w:tcPr>
            <w:tcW w:w="2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ind w:left="40"/>
              <w:spacing w:after="0" w:line="189" w:lineRule="exact"/>
              <w:rPr>
                <w:sz w:val="20"/>
                <w:szCs w:val="20"/>
                <w:color w:val="auto"/>
              </w:rPr>
            </w:pPr>
            <w:r>
              <w:rPr>
                <w:rFonts w:ascii="Arial" w:cs="Arial" w:eastAsia="Arial" w:hAnsi="Arial"/>
                <w:sz w:val="18"/>
                <w:szCs w:val="18"/>
                <w:color w:val="auto"/>
              </w:rPr>
              <w:t>ITEM 2.</w:t>
            </w:r>
          </w:p>
        </w:tc>
        <w:tc>
          <w:tcPr>
            <w:tcW w:w="200" w:type="dxa"/>
            <w:vAlign w:val="bottom"/>
          </w:tcPr>
          <w:p>
            <w:pPr>
              <w:spacing w:after="0"/>
              <w:rPr>
                <w:sz w:val="16"/>
                <w:szCs w:val="16"/>
                <w:color w:val="auto"/>
              </w:rPr>
            </w:pPr>
          </w:p>
        </w:tc>
        <w:tc>
          <w:tcPr>
            <w:tcW w:w="8140" w:type="dxa"/>
            <w:vAlign w:val="bottom"/>
            <w:gridSpan w:val="33"/>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1880" w:type="dxa"/>
            <w:vAlign w:val="bottom"/>
            <w:gridSpan w:val="6"/>
          </w:tcPr>
          <w:p>
            <w:pPr>
              <w:jc w:val="center"/>
              <w:ind w:left="930"/>
              <w:spacing w:after="0" w:line="189" w:lineRule="exact"/>
              <w:rPr>
                <w:sz w:val="20"/>
                <w:szCs w:val="20"/>
                <w:color w:val="auto"/>
              </w:rPr>
            </w:pPr>
            <w:r>
              <w:rPr>
                <w:rFonts w:ascii="Arial" w:cs="Arial" w:eastAsia="Arial" w:hAnsi="Arial"/>
                <w:sz w:val="18"/>
                <w:szCs w:val="18"/>
                <w:color w:val="0000FF"/>
                <w:w w:val="99"/>
              </w:rPr>
              <w:t>129</w:t>
            </w: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3.</w:t>
            </w:r>
          </w:p>
        </w:tc>
        <w:tc>
          <w:tcPr>
            <w:tcW w:w="200" w:type="dxa"/>
            <w:vAlign w:val="bottom"/>
            <w:shd w:val="clear" w:color="auto" w:fill="CCEEFF"/>
          </w:tcPr>
          <w:p>
            <w:pPr>
              <w:spacing w:after="0"/>
              <w:rPr>
                <w:sz w:val="16"/>
                <w:szCs w:val="16"/>
                <w:color w:val="auto"/>
              </w:rPr>
            </w:pPr>
          </w:p>
        </w:tc>
        <w:tc>
          <w:tcPr>
            <w:tcW w:w="256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w w:val="99"/>
              </w:rPr>
              <w:t>Defaults Upon Senior Securities</w:t>
            </w:r>
          </w:p>
        </w:tc>
        <w:tc>
          <w:tcPr>
            <w:tcW w:w="5580" w:type="dxa"/>
            <w:vAlign w:val="bottom"/>
            <w:gridSpan w:val="20"/>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580" w:type="dxa"/>
            <w:vAlign w:val="bottom"/>
            <w:gridSpan w:val="5"/>
            <w:shd w:val="clear" w:color="auto" w:fill="CCEEFF"/>
          </w:tcPr>
          <w:p>
            <w:pPr>
              <w:jc w:val="center"/>
              <w:ind w:right="280"/>
              <w:spacing w:after="0" w:line="189" w:lineRule="exact"/>
              <w:rPr>
                <w:sz w:val="20"/>
                <w:szCs w:val="20"/>
                <w:color w:val="auto"/>
              </w:rPr>
            </w:pPr>
            <w:r>
              <w:rPr>
                <w:rFonts w:ascii="Arial" w:cs="Arial" w:eastAsia="Arial" w:hAnsi="Arial"/>
                <w:sz w:val="18"/>
                <w:szCs w:val="18"/>
                <w:color w:val="0000FF"/>
                <w:w w:val="99"/>
              </w:rPr>
              <w:t>131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ind w:left="40"/>
              <w:spacing w:after="0" w:line="189" w:lineRule="exact"/>
              <w:rPr>
                <w:sz w:val="20"/>
                <w:szCs w:val="20"/>
                <w:color w:val="auto"/>
              </w:rPr>
            </w:pPr>
            <w:r>
              <w:rPr>
                <w:rFonts w:ascii="Arial" w:cs="Arial" w:eastAsia="Arial" w:hAnsi="Arial"/>
                <w:sz w:val="18"/>
                <w:szCs w:val="18"/>
                <w:color w:val="auto"/>
              </w:rPr>
              <w:t>ITEM 4.</w:t>
            </w:r>
          </w:p>
        </w:tc>
        <w:tc>
          <w:tcPr>
            <w:tcW w:w="200" w:type="dxa"/>
            <w:vAlign w:val="bottom"/>
          </w:tcPr>
          <w:p>
            <w:pPr>
              <w:spacing w:after="0"/>
              <w:rPr>
                <w:sz w:val="16"/>
                <w:szCs w:val="16"/>
                <w:color w:val="auto"/>
              </w:rPr>
            </w:pPr>
          </w:p>
        </w:tc>
        <w:tc>
          <w:tcPr>
            <w:tcW w:w="2560" w:type="dxa"/>
            <w:vAlign w:val="bottom"/>
            <w:gridSpan w:val="13"/>
          </w:tcPr>
          <w:p>
            <w:pPr>
              <w:spacing w:after="0" w:line="189" w:lineRule="exact"/>
              <w:rPr>
                <w:sz w:val="20"/>
                <w:szCs w:val="20"/>
                <w:color w:val="auto"/>
              </w:rPr>
            </w:pPr>
            <w:r>
              <w:rPr>
                <w:rFonts w:ascii="Arial" w:cs="Arial" w:eastAsia="Arial" w:hAnsi="Arial"/>
                <w:sz w:val="18"/>
                <w:szCs w:val="18"/>
                <w:color w:val="0000FF"/>
              </w:rPr>
              <w:t>Mine Safety Disclosures</w:t>
            </w:r>
          </w:p>
        </w:tc>
        <w:tc>
          <w:tcPr>
            <w:tcW w:w="5580" w:type="dxa"/>
            <w:vAlign w:val="bottom"/>
            <w:gridSpan w:val="20"/>
          </w:tcPr>
          <w:p>
            <w:pPr>
              <w:spacing w:after="0"/>
              <w:rPr>
                <w:sz w:val="16"/>
                <w:szCs w:val="16"/>
                <w:color w:val="auto"/>
              </w:rPr>
            </w:pPr>
          </w:p>
        </w:tc>
        <w:tc>
          <w:tcPr>
            <w:tcW w:w="1300" w:type="dxa"/>
            <w:vAlign w:val="bottom"/>
          </w:tcPr>
          <w:p>
            <w:pPr>
              <w:spacing w:after="0"/>
              <w:rPr>
                <w:sz w:val="16"/>
                <w:szCs w:val="16"/>
                <w:color w:val="auto"/>
              </w:rPr>
            </w:pPr>
          </w:p>
        </w:tc>
        <w:tc>
          <w:tcPr>
            <w:tcW w:w="580" w:type="dxa"/>
            <w:vAlign w:val="bottom"/>
            <w:gridSpan w:val="5"/>
          </w:tcPr>
          <w:p>
            <w:pPr>
              <w:jc w:val="center"/>
              <w:ind w:right="280"/>
              <w:spacing w:after="0" w:line="189" w:lineRule="exact"/>
              <w:rPr>
                <w:sz w:val="20"/>
                <w:szCs w:val="20"/>
                <w:color w:val="auto"/>
              </w:rPr>
            </w:pPr>
            <w:r>
              <w:rPr>
                <w:rFonts w:ascii="Arial" w:cs="Arial" w:eastAsia="Arial" w:hAnsi="Arial"/>
                <w:sz w:val="18"/>
                <w:szCs w:val="18"/>
                <w:color w:val="0000FF"/>
                <w:w w:val="99"/>
              </w:rPr>
              <w:t>131</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5.</w:t>
            </w:r>
          </w:p>
        </w:tc>
        <w:tc>
          <w:tcPr>
            <w:tcW w:w="200" w:type="dxa"/>
            <w:vAlign w:val="bottom"/>
            <w:shd w:val="clear" w:color="auto" w:fill="CCEEFF"/>
          </w:tcPr>
          <w:p>
            <w:pPr>
              <w:spacing w:after="0"/>
              <w:rPr>
                <w:sz w:val="16"/>
                <w:szCs w:val="16"/>
                <w:color w:val="auto"/>
              </w:rPr>
            </w:pPr>
          </w:p>
        </w:tc>
        <w:tc>
          <w:tcPr>
            <w:tcW w:w="8140" w:type="dxa"/>
            <w:vAlign w:val="bottom"/>
            <w:gridSpan w:val="33"/>
            <w:shd w:val="clear" w:color="auto" w:fill="CCEEFF"/>
          </w:tcPr>
          <w:p>
            <w:pPr>
              <w:spacing w:after="0" w:line="189" w:lineRule="exact"/>
              <w:rPr>
                <w:sz w:val="20"/>
                <w:szCs w:val="20"/>
                <w:color w:val="auto"/>
              </w:rPr>
            </w:pPr>
            <w:r>
              <w:rPr>
                <w:rFonts w:ascii="Arial" w:cs="Arial" w:eastAsia="Arial" w:hAnsi="Arial"/>
                <w:sz w:val="18"/>
                <w:szCs w:val="18"/>
                <w:color w:val="0000FF"/>
              </w:rPr>
              <w:t>Other Information</w:t>
            </w:r>
          </w:p>
        </w:tc>
        <w:tc>
          <w:tcPr>
            <w:tcW w:w="1880" w:type="dxa"/>
            <w:vAlign w:val="bottom"/>
            <w:gridSpan w:val="6"/>
            <w:shd w:val="clear" w:color="auto" w:fill="CCEEFF"/>
          </w:tcPr>
          <w:p>
            <w:pPr>
              <w:jc w:val="center"/>
              <w:ind w:left="930"/>
              <w:spacing w:after="0" w:line="189" w:lineRule="exact"/>
              <w:rPr>
                <w:sz w:val="20"/>
                <w:szCs w:val="20"/>
                <w:color w:val="auto"/>
              </w:rPr>
            </w:pPr>
            <w:r>
              <w:rPr>
                <w:rFonts w:ascii="Arial" w:cs="Arial" w:eastAsia="Arial" w:hAnsi="Arial"/>
                <w:sz w:val="18"/>
                <w:szCs w:val="18"/>
                <w:color w:val="0000FF"/>
                <w:w w:val="99"/>
              </w:rPr>
              <w:t>131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ind w:left="40"/>
              <w:spacing w:after="0" w:line="189" w:lineRule="exact"/>
              <w:rPr>
                <w:sz w:val="20"/>
                <w:szCs w:val="20"/>
                <w:color w:val="auto"/>
              </w:rPr>
            </w:pPr>
            <w:r>
              <w:rPr>
                <w:rFonts w:ascii="Arial" w:cs="Arial" w:eastAsia="Arial" w:hAnsi="Arial"/>
                <w:sz w:val="18"/>
                <w:szCs w:val="18"/>
                <w:color w:val="auto"/>
              </w:rPr>
              <w:t>ITEM 6.</w:t>
            </w:r>
          </w:p>
        </w:tc>
        <w:tc>
          <w:tcPr>
            <w:tcW w:w="200" w:type="dxa"/>
            <w:vAlign w:val="bottom"/>
          </w:tcPr>
          <w:p>
            <w:pPr>
              <w:spacing w:after="0"/>
              <w:rPr>
                <w:sz w:val="16"/>
                <w:szCs w:val="16"/>
                <w:color w:val="auto"/>
              </w:rPr>
            </w:pPr>
          </w:p>
        </w:tc>
        <w:tc>
          <w:tcPr>
            <w:tcW w:w="1400" w:type="dxa"/>
            <w:vAlign w:val="bottom"/>
            <w:gridSpan w:val="5"/>
          </w:tcPr>
          <w:p>
            <w:pPr>
              <w:spacing w:after="0" w:line="189" w:lineRule="exact"/>
              <w:rPr>
                <w:sz w:val="20"/>
                <w:szCs w:val="20"/>
                <w:color w:val="auto"/>
              </w:rPr>
            </w:pPr>
            <w:r>
              <w:rPr>
                <w:rFonts w:ascii="Arial" w:cs="Arial" w:eastAsia="Arial" w:hAnsi="Arial"/>
                <w:sz w:val="18"/>
                <w:szCs w:val="18"/>
                <w:color w:val="0000FF"/>
              </w:rPr>
              <w:t>Exhibit Index</w:t>
            </w:r>
          </w:p>
        </w:tc>
        <w:tc>
          <w:tcPr>
            <w:tcW w:w="6740" w:type="dxa"/>
            <w:vAlign w:val="bottom"/>
            <w:gridSpan w:val="28"/>
          </w:tcPr>
          <w:p>
            <w:pPr>
              <w:spacing w:after="0"/>
              <w:rPr>
                <w:sz w:val="16"/>
                <w:szCs w:val="16"/>
                <w:color w:val="auto"/>
              </w:rPr>
            </w:pPr>
          </w:p>
        </w:tc>
        <w:tc>
          <w:tcPr>
            <w:tcW w:w="1300" w:type="dxa"/>
            <w:vAlign w:val="bottom"/>
          </w:tcPr>
          <w:p>
            <w:pPr>
              <w:spacing w:after="0"/>
              <w:rPr>
                <w:sz w:val="16"/>
                <w:szCs w:val="16"/>
                <w:color w:val="auto"/>
              </w:rPr>
            </w:pPr>
          </w:p>
        </w:tc>
        <w:tc>
          <w:tcPr>
            <w:tcW w:w="580" w:type="dxa"/>
            <w:vAlign w:val="bottom"/>
            <w:gridSpan w:val="5"/>
          </w:tcPr>
          <w:p>
            <w:pPr>
              <w:jc w:val="center"/>
              <w:ind w:right="280"/>
              <w:spacing w:after="0" w:line="189" w:lineRule="exact"/>
              <w:rPr>
                <w:sz w:val="20"/>
                <w:szCs w:val="20"/>
                <w:color w:val="auto"/>
              </w:rPr>
            </w:pPr>
            <w:r>
              <w:rPr>
                <w:rFonts w:ascii="Arial" w:cs="Arial" w:eastAsia="Arial" w:hAnsi="Arial"/>
                <w:sz w:val="18"/>
                <w:szCs w:val="18"/>
                <w:color w:val="0000FF"/>
                <w:w w:val="99"/>
              </w:rPr>
              <w:t>132</w:t>
            </w: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340" w:type="dxa"/>
            <w:vAlign w:val="bottom"/>
            <w:gridSpan w:val="34"/>
            <w:shd w:val="clear" w:color="auto" w:fill="CCEEFF"/>
          </w:tcPr>
          <w:p>
            <w:pPr>
              <w:ind w:left="200"/>
              <w:spacing w:after="0" w:line="189" w:lineRule="exact"/>
              <w:rPr>
                <w:sz w:val="20"/>
                <w:szCs w:val="20"/>
                <w:color w:val="auto"/>
              </w:rPr>
            </w:pPr>
            <w:r>
              <w:rPr>
                <w:rFonts w:ascii="Arial" w:cs="Arial" w:eastAsia="Arial" w:hAnsi="Arial"/>
                <w:sz w:val="18"/>
                <w:szCs w:val="18"/>
                <w:color w:val="0000FF"/>
              </w:rPr>
              <w:t>Signatures</w:t>
            </w:r>
          </w:p>
        </w:tc>
        <w:tc>
          <w:tcPr>
            <w:tcW w:w="1880" w:type="dxa"/>
            <w:vAlign w:val="bottom"/>
            <w:gridSpan w:val="6"/>
            <w:shd w:val="clear" w:color="auto" w:fill="CCEEFF"/>
          </w:tcPr>
          <w:p>
            <w:pPr>
              <w:jc w:val="center"/>
              <w:ind w:left="930"/>
              <w:spacing w:after="0" w:line="189" w:lineRule="exact"/>
              <w:rPr>
                <w:sz w:val="20"/>
                <w:szCs w:val="20"/>
                <w:color w:val="auto"/>
              </w:rPr>
            </w:pPr>
            <w:r>
              <w:rPr>
                <w:rFonts w:ascii="Arial" w:cs="Arial" w:eastAsia="Arial" w:hAnsi="Arial"/>
                <w:sz w:val="18"/>
                <w:szCs w:val="18"/>
                <w:color w:val="0000FF"/>
                <w:w w:val="99"/>
              </w:rPr>
              <w:t>134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Glossary of Terms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terms, abbreviations and acronyms are used to identify frequently used terms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Abbreviation and Meaning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1940 Act</w:t>
            </w:r>
          </w:p>
        </w:tc>
        <w:tc>
          <w:tcPr>
            <w:tcW w:w="3740" w:type="dxa"/>
            <w:vAlign w:val="bottom"/>
          </w:tcPr>
          <w:p>
            <w:pPr>
              <w:ind w:left="120"/>
              <w:spacing w:after="0"/>
              <w:rPr>
                <w:sz w:val="20"/>
                <w:szCs w:val="20"/>
                <w:color w:val="auto"/>
              </w:rPr>
            </w:pPr>
            <w:r>
              <w:rPr>
                <w:rFonts w:ascii="Arial" w:cs="Arial" w:eastAsia="Arial" w:hAnsi="Arial"/>
                <w:sz w:val="10"/>
                <w:szCs w:val="10"/>
                <w:color w:val="auto"/>
              </w:rPr>
              <w:t>Investment Company Act of 1940, as amended</w:t>
            </w:r>
          </w:p>
        </w:tc>
        <w:tc>
          <w:tcPr>
            <w:tcW w:w="1960" w:type="dxa"/>
            <w:vAlign w:val="bottom"/>
          </w:tcPr>
          <w:p>
            <w:pPr>
              <w:ind w:left="480"/>
              <w:spacing w:after="0"/>
              <w:rPr>
                <w:sz w:val="20"/>
                <w:szCs w:val="20"/>
                <w:color w:val="auto"/>
              </w:rPr>
            </w:pPr>
            <w:r>
              <w:rPr>
                <w:rFonts w:ascii="Arial" w:cs="Arial" w:eastAsia="Arial" w:hAnsi="Arial"/>
                <w:sz w:val="10"/>
                <w:szCs w:val="10"/>
                <w:b w:val="1"/>
                <w:bCs w:val="1"/>
                <w:color w:val="auto"/>
              </w:rPr>
              <w:t>Equity Exchange Rights</w:t>
            </w:r>
          </w:p>
        </w:tc>
        <w:tc>
          <w:tcPr>
            <w:tcW w:w="4140" w:type="dxa"/>
            <w:vAlign w:val="bottom"/>
          </w:tcPr>
          <w:p>
            <w:pPr>
              <w:ind w:left="20"/>
              <w:spacing w:after="0"/>
              <w:rPr>
                <w:sz w:val="20"/>
                <w:szCs w:val="20"/>
                <w:color w:val="auto"/>
              </w:rPr>
            </w:pPr>
            <w:r>
              <w:rPr>
                <w:rFonts w:ascii="Arial" w:cs="Arial" w:eastAsia="Arial" w:hAnsi="Arial"/>
                <w:sz w:val="10"/>
                <w:szCs w:val="10"/>
                <w:color w:val="auto"/>
              </w:rPr>
              <w:t>A right (but not an obligation) each of our founders has to require us to exchange, for shares</w:t>
            </w:r>
          </w:p>
        </w:tc>
      </w:tr>
      <w:tr>
        <w:trPr>
          <w:trHeight w:val="98"/>
        </w:trPr>
        <w:tc>
          <w:tcPr>
            <w:tcW w:w="14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4140" w:type="dxa"/>
            <w:vAlign w:val="bottom"/>
          </w:tcPr>
          <w:p>
            <w:pPr>
              <w:ind w:left="20"/>
              <w:spacing w:after="0" w:line="98" w:lineRule="exact"/>
              <w:rPr>
                <w:sz w:val="20"/>
                <w:szCs w:val="20"/>
                <w:color w:val="auto"/>
              </w:rPr>
            </w:pPr>
            <w:r>
              <w:rPr>
                <w:rFonts w:ascii="Arial" w:cs="Arial" w:eastAsia="Arial" w:hAnsi="Arial"/>
                <w:sz w:val="10"/>
                <w:szCs w:val="10"/>
                <w:color w:val="auto"/>
              </w:rPr>
              <w:t>of Class B common stock, any shares of Class A common stock received by them upon the</w:t>
            </w:r>
          </w:p>
        </w:tc>
      </w:tr>
      <w:tr>
        <w:trPr>
          <w:trHeight w:val="94"/>
        </w:trPr>
        <w:tc>
          <w:tcPr>
            <w:tcW w:w="14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4140" w:type="dxa"/>
            <w:vAlign w:val="bottom"/>
          </w:tcPr>
          <w:p>
            <w:pPr>
              <w:ind w:left="20"/>
              <w:spacing w:after="0" w:line="95" w:lineRule="exact"/>
              <w:rPr>
                <w:sz w:val="20"/>
                <w:szCs w:val="20"/>
                <w:color w:val="auto"/>
              </w:rPr>
            </w:pPr>
            <w:r>
              <w:rPr>
                <w:rFonts w:ascii="Arial" w:cs="Arial" w:eastAsia="Arial" w:hAnsi="Arial"/>
                <w:sz w:val="10"/>
                <w:szCs w:val="10"/>
                <w:color w:val="auto"/>
              </w:rPr>
              <w:t>vesting and settlement of pre-IPO RSUs, pursuant to the equity exchange right agreements</w:t>
            </w:r>
          </w:p>
        </w:tc>
      </w:tr>
      <w:tr>
        <w:trPr>
          <w:trHeight w:val="132"/>
        </w:trPr>
        <w:tc>
          <w:tcPr>
            <w:tcW w:w="14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140" w:type="dxa"/>
            <w:vAlign w:val="bottom"/>
          </w:tcPr>
          <w:p>
            <w:pPr>
              <w:ind w:left="20"/>
              <w:spacing w:after="0"/>
              <w:rPr>
                <w:sz w:val="20"/>
                <w:szCs w:val="20"/>
                <w:color w:val="auto"/>
              </w:rPr>
            </w:pPr>
            <w:r>
              <w:rPr>
                <w:rFonts w:ascii="Arial" w:cs="Arial" w:eastAsia="Arial" w:hAnsi="Arial"/>
                <w:sz w:val="10"/>
                <w:szCs w:val="10"/>
                <w:color w:val="auto"/>
              </w:rPr>
              <w:t>entered into between us and each of our founders in connection with our IPO</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2013 Plan</w:t>
            </w:r>
          </w:p>
        </w:tc>
        <w:tc>
          <w:tcPr>
            <w:tcW w:w="3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Amended and Restated 2013 Stock Plan, as amended</w:t>
            </w:r>
          </w:p>
        </w:tc>
        <w:tc>
          <w:tcPr>
            <w:tcW w:w="1960" w:type="dxa"/>
            <w:vAlign w:val="bottom"/>
            <w:shd w:val="clear" w:color="auto" w:fill="CCEEFF"/>
          </w:tcPr>
          <w:p>
            <w:pPr>
              <w:ind w:left="480"/>
              <w:spacing w:after="0"/>
              <w:rPr>
                <w:sz w:val="20"/>
                <w:szCs w:val="20"/>
                <w:color w:val="auto"/>
              </w:rPr>
            </w:pPr>
            <w:r>
              <w:rPr>
                <w:rFonts w:ascii="Arial" w:cs="Arial" w:eastAsia="Arial" w:hAnsi="Arial"/>
                <w:sz w:val="10"/>
                <w:szCs w:val="10"/>
                <w:b w:val="1"/>
                <w:bCs w:val="1"/>
                <w:color w:val="auto"/>
              </w:rPr>
              <w:t>ERM</w:t>
            </w:r>
          </w:p>
        </w:tc>
        <w:tc>
          <w:tcPr>
            <w:tcW w:w="4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Enterprise Risk Management</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2020 Plan</w:t>
            </w:r>
          </w:p>
        </w:tc>
        <w:tc>
          <w:tcPr>
            <w:tcW w:w="3740" w:type="dxa"/>
            <w:vAlign w:val="bottom"/>
          </w:tcPr>
          <w:p>
            <w:pPr>
              <w:ind w:left="120"/>
              <w:spacing w:after="0"/>
              <w:rPr>
                <w:sz w:val="20"/>
                <w:szCs w:val="20"/>
                <w:color w:val="auto"/>
              </w:rPr>
            </w:pPr>
            <w:r>
              <w:rPr>
                <w:rFonts w:ascii="Arial" w:cs="Arial" w:eastAsia="Arial" w:hAnsi="Arial"/>
                <w:sz w:val="10"/>
                <w:szCs w:val="10"/>
                <w:color w:val="auto"/>
              </w:rPr>
              <w:t>2020 Equity Incentive Plan, as amended</w:t>
            </w:r>
          </w:p>
        </w:tc>
        <w:tc>
          <w:tcPr>
            <w:tcW w:w="1960" w:type="dxa"/>
            <w:vAlign w:val="bottom"/>
          </w:tcPr>
          <w:p>
            <w:pPr>
              <w:ind w:left="480"/>
              <w:spacing w:after="0"/>
              <w:rPr>
                <w:sz w:val="20"/>
                <w:szCs w:val="20"/>
                <w:color w:val="auto"/>
              </w:rPr>
            </w:pPr>
            <w:r>
              <w:rPr>
                <w:rFonts w:ascii="Arial" w:cs="Arial" w:eastAsia="Arial" w:hAnsi="Arial"/>
                <w:sz w:val="10"/>
                <w:szCs w:val="10"/>
                <w:b w:val="1"/>
                <w:bCs w:val="1"/>
                <w:color w:val="auto"/>
              </w:rPr>
              <w:t>ESPP</w:t>
            </w:r>
          </w:p>
        </w:tc>
        <w:tc>
          <w:tcPr>
            <w:tcW w:w="4140" w:type="dxa"/>
            <w:vAlign w:val="bottom"/>
          </w:tcPr>
          <w:p>
            <w:pPr>
              <w:ind w:left="20"/>
              <w:spacing w:after="0"/>
              <w:rPr>
                <w:sz w:val="20"/>
                <w:szCs w:val="20"/>
                <w:color w:val="auto"/>
              </w:rPr>
            </w:pPr>
            <w:r>
              <w:rPr>
                <w:rFonts w:ascii="Arial" w:cs="Arial" w:eastAsia="Arial" w:hAnsi="Arial"/>
                <w:sz w:val="10"/>
                <w:szCs w:val="10"/>
                <w:color w:val="auto"/>
              </w:rPr>
              <w:t>Employee Share Purchase Plan</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2021 Plan</w:t>
            </w:r>
          </w:p>
        </w:tc>
        <w:tc>
          <w:tcPr>
            <w:tcW w:w="3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2021 Omnibus Incentive Plan</w:t>
            </w:r>
          </w:p>
        </w:tc>
        <w:tc>
          <w:tcPr>
            <w:tcW w:w="1960" w:type="dxa"/>
            <w:vAlign w:val="bottom"/>
            <w:shd w:val="clear" w:color="auto" w:fill="CCEEFF"/>
          </w:tcPr>
          <w:p>
            <w:pPr>
              <w:ind w:left="480"/>
              <w:spacing w:after="0"/>
              <w:rPr>
                <w:sz w:val="20"/>
                <w:szCs w:val="20"/>
                <w:color w:val="auto"/>
              </w:rPr>
            </w:pPr>
            <w:r>
              <w:rPr>
                <w:rFonts w:ascii="Arial" w:cs="Arial" w:eastAsia="Arial" w:hAnsi="Arial"/>
                <w:sz w:val="10"/>
                <w:szCs w:val="10"/>
                <w:b w:val="1"/>
                <w:bCs w:val="1"/>
                <w:color w:val="auto"/>
              </w:rPr>
              <w:t>ETPs</w:t>
            </w:r>
          </w:p>
        </w:tc>
        <w:tc>
          <w:tcPr>
            <w:tcW w:w="4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Exchange Traded Products</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Adjusted EBITDA</w:t>
            </w:r>
          </w:p>
        </w:tc>
        <w:tc>
          <w:tcPr>
            <w:tcW w:w="3740" w:type="dxa"/>
            <w:vAlign w:val="bottom"/>
          </w:tcPr>
          <w:p>
            <w:pPr>
              <w:ind w:left="120"/>
              <w:spacing w:after="0"/>
              <w:rPr>
                <w:sz w:val="20"/>
                <w:szCs w:val="20"/>
                <w:color w:val="auto"/>
              </w:rPr>
            </w:pPr>
            <w:r>
              <w:rPr>
                <w:rFonts w:ascii="Arial" w:cs="Arial" w:eastAsia="Arial" w:hAnsi="Arial"/>
                <w:sz w:val="10"/>
                <w:szCs w:val="10"/>
                <w:color w:val="auto"/>
              </w:rPr>
              <w:t>Adjusted earnings before interest, taxes, depreciation, and amortization</w:t>
            </w:r>
          </w:p>
        </w:tc>
        <w:tc>
          <w:tcPr>
            <w:tcW w:w="1960" w:type="dxa"/>
            <w:vAlign w:val="bottom"/>
          </w:tcPr>
          <w:p>
            <w:pPr>
              <w:ind w:left="480"/>
              <w:spacing w:after="0"/>
              <w:rPr>
                <w:sz w:val="20"/>
                <w:szCs w:val="20"/>
                <w:color w:val="auto"/>
              </w:rPr>
            </w:pPr>
            <w:r>
              <w:rPr>
                <w:rFonts w:ascii="Arial" w:cs="Arial" w:eastAsia="Arial" w:hAnsi="Arial"/>
                <w:sz w:val="10"/>
                <w:szCs w:val="10"/>
                <w:b w:val="1"/>
                <w:bCs w:val="1"/>
                <w:color w:val="auto"/>
              </w:rPr>
              <w:t>ETR</w:t>
            </w:r>
          </w:p>
        </w:tc>
        <w:tc>
          <w:tcPr>
            <w:tcW w:w="4140" w:type="dxa"/>
            <w:vAlign w:val="bottom"/>
          </w:tcPr>
          <w:p>
            <w:pPr>
              <w:ind w:left="20"/>
              <w:spacing w:after="0"/>
              <w:rPr>
                <w:sz w:val="20"/>
                <w:szCs w:val="20"/>
                <w:color w:val="auto"/>
              </w:rPr>
            </w:pPr>
            <w:r>
              <w:rPr>
                <w:rFonts w:ascii="Arial" w:cs="Arial" w:eastAsia="Arial" w:hAnsi="Arial"/>
                <w:sz w:val="10"/>
                <w:szCs w:val="10"/>
                <w:color w:val="auto"/>
              </w:rPr>
              <w:t>Effective tax rate</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Advisers Act</w:t>
            </w:r>
          </w:p>
        </w:tc>
        <w:tc>
          <w:tcPr>
            <w:tcW w:w="3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Investment Advisers Act of 1940</w:t>
            </w:r>
          </w:p>
        </w:tc>
        <w:tc>
          <w:tcPr>
            <w:tcW w:w="1960" w:type="dxa"/>
            <w:vAlign w:val="bottom"/>
            <w:shd w:val="clear" w:color="auto" w:fill="CCEEFF"/>
          </w:tcPr>
          <w:p>
            <w:pPr>
              <w:ind w:left="480"/>
              <w:spacing w:after="0"/>
              <w:rPr>
                <w:sz w:val="20"/>
                <w:szCs w:val="20"/>
                <w:color w:val="auto"/>
              </w:rPr>
            </w:pPr>
            <w:r>
              <w:rPr>
                <w:rFonts w:ascii="Arial" w:cs="Arial" w:eastAsia="Arial" w:hAnsi="Arial"/>
                <w:sz w:val="10"/>
                <w:szCs w:val="10"/>
                <w:b w:val="1"/>
                <w:bCs w:val="1"/>
                <w:color w:val="auto"/>
              </w:rPr>
              <w:t>EU</w:t>
            </w:r>
          </w:p>
        </w:tc>
        <w:tc>
          <w:tcPr>
            <w:tcW w:w="4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The European Union</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AI</w:t>
            </w:r>
          </w:p>
        </w:tc>
        <w:tc>
          <w:tcPr>
            <w:tcW w:w="3740" w:type="dxa"/>
            <w:vAlign w:val="bottom"/>
          </w:tcPr>
          <w:p>
            <w:pPr>
              <w:ind w:left="120"/>
              <w:spacing w:after="0"/>
              <w:rPr>
                <w:sz w:val="20"/>
                <w:szCs w:val="20"/>
                <w:color w:val="auto"/>
              </w:rPr>
            </w:pPr>
            <w:r>
              <w:rPr>
                <w:rFonts w:ascii="Arial" w:cs="Arial" w:eastAsia="Arial" w:hAnsi="Arial"/>
                <w:sz w:val="10"/>
                <w:szCs w:val="10"/>
                <w:color w:val="auto"/>
              </w:rPr>
              <w:t>Artificial Intelligence</w:t>
            </w:r>
          </w:p>
        </w:tc>
        <w:tc>
          <w:tcPr>
            <w:tcW w:w="1960" w:type="dxa"/>
            <w:vAlign w:val="bottom"/>
          </w:tcPr>
          <w:p>
            <w:pPr>
              <w:ind w:left="480"/>
              <w:spacing w:after="0"/>
              <w:rPr>
                <w:sz w:val="20"/>
                <w:szCs w:val="20"/>
                <w:color w:val="auto"/>
              </w:rPr>
            </w:pPr>
            <w:r>
              <w:rPr>
                <w:rFonts w:ascii="Arial" w:cs="Arial" w:eastAsia="Arial" w:hAnsi="Arial"/>
                <w:sz w:val="10"/>
                <w:szCs w:val="10"/>
                <w:b w:val="1"/>
                <w:bCs w:val="1"/>
                <w:color w:val="auto"/>
              </w:rPr>
              <w:t>Exchange Act</w:t>
            </w:r>
          </w:p>
        </w:tc>
        <w:tc>
          <w:tcPr>
            <w:tcW w:w="4140" w:type="dxa"/>
            <w:vAlign w:val="bottom"/>
          </w:tcPr>
          <w:p>
            <w:pPr>
              <w:ind w:left="20"/>
              <w:spacing w:after="0"/>
              <w:rPr>
                <w:sz w:val="20"/>
                <w:szCs w:val="20"/>
                <w:color w:val="auto"/>
              </w:rPr>
            </w:pPr>
            <w:r>
              <w:rPr>
                <w:rFonts w:ascii="Arial" w:cs="Arial" w:eastAsia="Arial" w:hAnsi="Arial"/>
                <w:sz w:val="10"/>
                <w:szCs w:val="10"/>
                <w:color w:val="auto"/>
              </w:rPr>
              <w:t>Securities Exchange Act of 1934, as amended</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AML</w:t>
            </w:r>
          </w:p>
        </w:tc>
        <w:tc>
          <w:tcPr>
            <w:tcW w:w="3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Anti-money Laundering</w:t>
            </w:r>
          </w:p>
        </w:tc>
        <w:tc>
          <w:tcPr>
            <w:tcW w:w="1960" w:type="dxa"/>
            <w:vAlign w:val="bottom"/>
            <w:shd w:val="clear" w:color="auto" w:fill="CCEEFF"/>
          </w:tcPr>
          <w:p>
            <w:pPr>
              <w:ind w:left="480"/>
              <w:spacing w:after="0"/>
              <w:rPr>
                <w:sz w:val="20"/>
                <w:szCs w:val="20"/>
                <w:color w:val="auto"/>
              </w:rPr>
            </w:pPr>
            <w:r>
              <w:rPr>
                <w:rFonts w:ascii="Arial" w:cs="Arial" w:eastAsia="Arial" w:hAnsi="Arial"/>
                <w:sz w:val="10"/>
                <w:szCs w:val="10"/>
                <w:b w:val="1"/>
                <w:bCs w:val="1"/>
                <w:color w:val="auto"/>
              </w:rPr>
              <w:t>FASB</w:t>
            </w:r>
          </w:p>
        </w:tc>
        <w:tc>
          <w:tcPr>
            <w:tcW w:w="4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Financial Accounting Standards Board</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ASC</w:t>
            </w:r>
          </w:p>
        </w:tc>
        <w:tc>
          <w:tcPr>
            <w:tcW w:w="3740" w:type="dxa"/>
            <w:vAlign w:val="bottom"/>
          </w:tcPr>
          <w:p>
            <w:pPr>
              <w:ind w:left="120"/>
              <w:spacing w:after="0"/>
              <w:rPr>
                <w:sz w:val="20"/>
                <w:szCs w:val="20"/>
                <w:color w:val="auto"/>
              </w:rPr>
            </w:pPr>
            <w:r>
              <w:rPr>
                <w:rFonts w:ascii="Arial" w:cs="Arial" w:eastAsia="Arial" w:hAnsi="Arial"/>
                <w:sz w:val="10"/>
                <w:szCs w:val="10"/>
                <w:color w:val="auto"/>
              </w:rPr>
              <w:t>Accounting Standards Codification</w:t>
            </w:r>
          </w:p>
        </w:tc>
        <w:tc>
          <w:tcPr>
            <w:tcW w:w="1960" w:type="dxa"/>
            <w:vAlign w:val="bottom"/>
          </w:tcPr>
          <w:p>
            <w:pPr>
              <w:ind w:left="480"/>
              <w:spacing w:after="0"/>
              <w:rPr>
                <w:sz w:val="20"/>
                <w:szCs w:val="20"/>
                <w:color w:val="auto"/>
              </w:rPr>
            </w:pPr>
            <w:r>
              <w:rPr>
                <w:rFonts w:ascii="Arial" w:cs="Arial" w:eastAsia="Arial" w:hAnsi="Arial"/>
                <w:sz w:val="10"/>
                <w:szCs w:val="10"/>
                <w:b w:val="1"/>
                <w:bCs w:val="1"/>
                <w:color w:val="auto"/>
              </w:rPr>
              <w:t>FCA</w:t>
            </w:r>
          </w:p>
        </w:tc>
        <w:tc>
          <w:tcPr>
            <w:tcW w:w="4140" w:type="dxa"/>
            <w:vAlign w:val="bottom"/>
          </w:tcPr>
          <w:p>
            <w:pPr>
              <w:ind w:left="20"/>
              <w:spacing w:after="0"/>
              <w:rPr>
                <w:sz w:val="20"/>
                <w:szCs w:val="20"/>
                <w:color w:val="auto"/>
              </w:rPr>
            </w:pPr>
            <w:r>
              <w:rPr>
                <w:rFonts w:ascii="Arial" w:cs="Arial" w:eastAsia="Arial" w:hAnsi="Arial"/>
                <w:sz w:val="10"/>
                <w:szCs w:val="10"/>
                <w:color w:val="auto"/>
              </w:rPr>
              <w:t>Financial Conduct Authority</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Barclays</w:t>
            </w:r>
          </w:p>
        </w:tc>
        <w:tc>
          <w:tcPr>
            <w:tcW w:w="3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Barclays Bank PLC</w:t>
            </w:r>
          </w:p>
        </w:tc>
        <w:tc>
          <w:tcPr>
            <w:tcW w:w="1960" w:type="dxa"/>
            <w:vAlign w:val="bottom"/>
            <w:shd w:val="clear" w:color="auto" w:fill="CCEEFF"/>
          </w:tcPr>
          <w:p>
            <w:pPr>
              <w:ind w:left="480"/>
              <w:spacing w:after="0"/>
              <w:rPr>
                <w:sz w:val="20"/>
                <w:szCs w:val="20"/>
                <w:color w:val="auto"/>
              </w:rPr>
            </w:pPr>
            <w:r>
              <w:rPr>
                <w:rFonts w:ascii="Arial" w:cs="Arial" w:eastAsia="Arial" w:hAnsi="Arial"/>
                <w:sz w:val="10"/>
                <w:szCs w:val="10"/>
                <w:b w:val="1"/>
                <w:bCs w:val="1"/>
                <w:color w:val="auto"/>
              </w:rPr>
              <w:t>FCM</w:t>
            </w:r>
          </w:p>
        </w:tc>
        <w:tc>
          <w:tcPr>
            <w:tcW w:w="4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Futures Commission Merchant</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Binance</w:t>
            </w:r>
          </w:p>
        </w:tc>
        <w:tc>
          <w:tcPr>
            <w:tcW w:w="3740" w:type="dxa"/>
            <w:vAlign w:val="bottom"/>
          </w:tcPr>
          <w:p>
            <w:pPr>
              <w:ind w:left="120"/>
              <w:spacing w:after="0"/>
              <w:rPr>
                <w:sz w:val="20"/>
                <w:szCs w:val="20"/>
                <w:color w:val="auto"/>
              </w:rPr>
            </w:pPr>
            <w:r>
              <w:rPr>
                <w:rFonts w:ascii="Arial" w:cs="Arial" w:eastAsia="Arial" w:hAnsi="Arial"/>
                <w:sz w:val="10"/>
                <w:szCs w:val="10"/>
                <w:color w:val="auto"/>
              </w:rPr>
              <w:t>Binance Holdings Ltd., and its affiliated U.S. entity, among others</w:t>
            </w:r>
          </w:p>
        </w:tc>
        <w:tc>
          <w:tcPr>
            <w:tcW w:w="1960" w:type="dxa"/>
            <w:vAlign w:val="bottom"/>
          </w:tcPr>
          <w:p>
            <w:pPr>
              <w:ind w:left="480"/>
              <w:spacing w:after="0"/>
              <w:rPr>
                <w:sz w:val="20"/>
                <w:szCs w:val="20"/>
                <w:color w:val="auto"/>
              </w:rPr>
            </w:pPr>
            <w:r>
              <w:rPr>
                <w:rFonts w:ascii="Arial" w:cs="Arial" w:eastAsia="Arial" w:hAnsi="Arial"/>
                <w:sz w:val="10"/>
                <w:szCs w:val="10"/>
                <w:b w:val="1"/>
                <w:bCs w:val="1"/>
                <w:color w:val="auto"/>
              </w:rPr>
              <w:t>FCPA</w:t>
            </w:r>
          </w:p>
        </w:tc>
        <w:tc>
          <w:tcPr>
            <w:tcW w:w="4140" w:type="dxa"/>
            <w:vAlign w:val="bottom"/>
          </w:tcPr>
          <w:p>
            <w:pPr>
              <w:ind w:left="20"/>
              <w:spacing w:after="0"/>
              <w:rPr>
                <w:sz w:val="20"/>
                <w:szCs w:val="20"/>
                <w:color w:val="auto"/>
              </w:rPr>
            </w:pPr>
            <w:r>
              <w:rPr>
                <w:rFonts w:ascii="Arial" w:cs="Arial" w:eastAsia="Arial" w:hAnsi="Arial"/>
                <w:sz w:val="10"/>
                <w:szCs w:val="10"/>
                <w:color w:val="auto"/>
              </w:rPr>
              <w:t>Foreign Corrupt Practices Act</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Bitstamp</w:t>
            </w:r>
          </w:p>
        </w:tc>
        <w:tc>
          <w:tcPr>
            <w:tcW w:w="3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Bitstamp Ltd.</w:t>
            </w:r>
          </w:p>
        </w:tc>
        <w:tc>
          <w:tcPr>
            <w:tcW w:w="1960" w:type="dxa"/>
            <w:vAlign w:val="bottom"/>
            <w:shd w:val="clear" w:color="auto" w:fill="CCEEFF"/>
          </w:tcPr>
          <w:p>
            <w:pPr>
              <w:ind w:left="480"/>
              <w:spacing w:after="0"/>
              <w:rPr>
                <w:sz w:val="20"/>
                <w:szCs w:val="20"/>
                <w:color w:val="auto"/>
              </w:rPr>
            </w:pPr>
            <w:r>
              <w:rPr>
                <w:rFonts w:ascii="Arial" w:cs="Arial" w:eastAsia="Arial" w:hAnsi="Arial"/>
                <w:sz w:val="10"/>
                <w:szCs w:val="10"/>
                <w:b w:val="1"/>
                <w:bCs w:val="1"/>
                <w:color w:val="auto"/>
              </w:rPr>
              <w:t>FDIC</w:t>
            </w:r>
          </w:p>
        </w:tc>
        <w:tc>
          <w:tcPr>
            <w:tcW w:w="4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Federal Deposit Insurance Corporation</w:t>
            </w:r>
          </w:p>
        </w:tc>
      </w:tr>
      <w:tr>
        <w:trPr>
          <w:trHeight w:val="118"/>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BOATS</w:t>
            </w:r>
          </w:p>
        </w:tc>
        <w:tc>
          <w:tcPr>
            <w:tcW w:w="3740" w:type="dxa"/>
            <w:vAlign w:val="bottom"/>
          </w:tcPr>
          <w:p>
            <w:pPr>
              <w:ind w:left="120"/>
              <w:spacing w:after="0"/>
              <w:rPr>
                <w:sz w:val="20"/>
                <w:szCs w:val="20"/>
                <w:color w:val="auto"/>
              </w:rPr>
            </w:pPr>
            <w:r>
              <w:rPr>
                <w:rFonts w:ascii="Arial" w:cs="Arial" w:eastAsia="Arial" w:hAnsi="Arial"/>
                <w:sz w:val="10"/>
                <w:szCs w:val="10"/>
                <w:color w:val="auto"/>
              </w:rPr>
              <w:t>Blue Oceans ATS, LLC</w:t>
            </w:r>
          </w:p>
        </w:tc>
        <w:tc>
          <w:tcPr>
            <w:tcW w:w="1960" w:type="dxa"/>
            <w:vAlign w:val="bottom"/>
          </w:tcPr>
          <w:p>
            <w:pPr>
              <w:ind w:left="480"/>
              <w:spacing w:after="0"/>
              <w:rPr>
                <w:sz w:val="20"/>
                <w:szCs w:val="20"/>
                <w:color w:val="auto"/>
              </w:rPr>
            </w:pPr>
            <w:r>
              <w:rPr>
                <w:rFonts w:ascii="Arial" w:cs="Arial" w:eastAsia="Arial" w:hAnsi="Arial"/>
                <w:sz w:val="10"/>
                <w:szCs w:val="10"/>
                <w:b w:val="1"/>
                <w:bCs w:val="1"/>
                <w:color w:val="auto"/>
              </w:rPr>
              <w:t>Final Rules</w:t>
            </w:r>
          </w:p>
        </w:tc>
        <w:tc>
          <w:tcPr>
            <w:tcW w:w="4140" w:type="dxa"/>
            <w:vAlign w:val="bottom"/>
          </w:tcPr>
          <w:p>
            <w:pPr>
              <w:ind w:left="20"/>
              <w:spacing w:after="0"/>
              <w:rPr>
                <w:sz w:val="20"/>
                <w:szCs w:val="20"/>
                <w:color w:val="auto"/>
              </w:rPr>
            </w:pPr>
            <w:r>
              <w:rPr>
                <w:rFonts w:ascii="Arial" w:cs="Arial" w:eastAsia="Arial" w:hAnsi="Arial"/>
                <w:sz w:val="10"/>
                <w:szCs w:val="10"/>
                <w:color w:val="auto"/>
              </w:rPr>
              <w:t>Final rules under SEC Release No. 34-99678 and No. 33-11275, “The Enhancement and</w:t>
            </w:r>
          </w:p>
        </w:tc>
      </w:tr>
      <w:tr>
        <w:trPr>
          <w:trHeight w:val="134"/>
        </w:trPr>
        <w:tc>
          <w:tcPr>
            <w:tcW w:w="14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140" w:type="dxa"/>
            <w:vAlign w:val="bottom"/>
          </w:tcPr>
          <w:p>
            <w:pPr>
              <w:ind w:left="20"/>
              <w:spacing w:after="0"/>
              <w:rPr>
                <w:sz w:val="20"/>
                <w:szCs w:val="20"/>
                <w:color w:val="auto"/>
              </w:rPr>
            </w:pPr>
            <w:r>
              <w:rPr>
                <w:rFonts w:ascii="Arial" w:cs="Arial" w:eastAsia="Arial" w:hAnsi="Arial"/>
                <w:sz w:val="10"/>
                <w:szCs w:val="10"/>
                <w:color w:val="auto"/>
              </w:rPr>
              <w:t>Standardization of Climate-Related Disclosures for Investors”</w:t>
            </w:r>
          </w:p>
        </w:tc>
      </w:tr>
      <w:tr>
        <w:trPr>
          <w:trHeight w:val="153"/>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BSV</w:t>
            </w:r>
          </w:p>
        </w:tc>
        <w:tc>
          <w:tcPr>
            <w:tcW w:w="3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Bitcoin SV</w:t>
            </w:r>
          </w:p>
        </w:tc>
        <w:tc>
          <w:tcPr>
            <w:tcW w:w="1960" w:type="dxa"/>
            <w:vAlign w:val="bottom"/>
            <w:shd w:val="clear" w:color="auto" w:fill="CCEEFF"/>
          </w:tcPr>
          <w:p>
            <w:pPr>
              <w:ind w:left="480"/>
              <w:spacing w:after="0"/>
              <w:rPr>
                <w:sz w:val="20"/>
                <w:szCs w:val="20"/>
                <w:color w:val="auto"/>
              </w:rPr>
            </w:pPr>
            <w:r>
              <w:rPr>
                <w:rFonts w:ascii="Arial" w:cs="Arial" w:eastAsia="Arial" w:hAnsi="Arial"/>
                <w:sz w:val="10"/>
                <w:szCs w:val="10"/>
                <w:b w:val="1"/>
                <w:bCs w:val="1"/>
                <w:color w:val="auto"/>
              </w:rPr>
              <w:t>FinCEN</w:t>
            </w:r>
          </w:p>
        </w:tc>
        <w:tc>
          <w:tcPr>
            <w:tcW w:w="4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Financial Crimes Enforcement Network</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Bylaws</w:t>
            </w:r>
          </w:p>
        </w:tc>
        <w:tc>
          <w:tcPr>
            <w:tcW w:w="3740" w:type="dxa"/>
            <w:vAlign w:val="bottom"/>
          </w:tcPr>
          <w:p>
            <w:pPr>
              <w:ind w:left="120"/>
              <w:spacing w:after="0"/>
              <w:rPr>
                <w:sz w:val="20"/>
                <w:szCs w:val="20"/>
                <w:color w:val="auto"/>
              </w:rPr>
            </w:pPr>
            <w:r>
              <w:rPr>
                <w:rFonts w:ascii="Arial" w:cs="Arial" w:eastAsia="Arial" w:hAnsi="Arial"/>
                <w:sz w:val="10"/>
                <w:szCs w:val="10"/>
                <w:color w:val="auto"/>
              </w:rPr>
              <w:t>Amended and Restated Bylaws</w:t>
            </w:r>
          </w:p>
        </w:tc>
        <w:tc>
          <w:tcPr>
            <w:tcW w:w="1960" w:type="dxa"/>
            <w:vAlign w:val="bottom"/>
          </w:tcPr>
          <w:p>
            <w:pPr>
              <w:ind w:left="480"/>
              <w:spacing w:after="0"/>
              <w:rPr>
                <w:sz w:val="20"/>
                <w:szCs w:val="20"/>
                <w:color w:val="auto"/>
              </w:rPr>
            </w:pPr>
            <w:r>
              <w:rPr>
                <w:rFonts w:ascii="Arial" w:cs="Arial" w:eastAsia="Arial" w:hAnsi="Arial"/>
                <w:sz w:val="10"/>
                <w:szCs w:val="10"/>
                <w:b w:val="1"/>
                <w:bCs w:val="1"/>
                <w:color w:val="auto"/>
              </w:rPr>
              <w:t>FINRA</w:t>
            </w:r>
          </w:p>
        </w:tc>
        <w:tc>
          <w:tcPr>
            <w:tcW w:w="4140" w:type="dxa"/>
            <w:vAlign w:val="bottom"/>
          </w:tcPr>
          <w:p>
            <w:pPr>
              <w:ind w:left="20"/>
              <w:spacing w:after="0"/>
              <w:rPr>
                <w:sz w:val="20"/>
                <w:szCs w:val="20"/>
                <w:color w:val="auto"/>
              </w:rPr>
            </w:pPr>
            <w:r>
              <w:rPr>
                <w:rFonts w:ascii="Arial" w:cs="Arial" w:eastAsia="Arial" w:hAnsi="Arial"/>
                <w:sz w:val="10"/>
                <w:szCs w:val="10"/>
                <w:color w:val="auto"/>
              </w:rPr>
              <w:t>Financial Industry Regulatory Authority</w:t>
            </w:r>
          </w:p>
        </w:tc>
      </w:tr>
      <w:tr>
        <w:trPr>
          <w:trHeight w:val="119"/>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w:t>
            </w:r>
          </w:p>
        </w:tc>
        <w:tc>
          <w:tcPr>
            <w:tcW w:w="3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Canadian dollars</w:t>
            </w:r>
          </w:p>
        </w:tc>
        <w:tc>
          <w:tcPr>
            <w:tcW w:w="1960" w:type="dxa"/>
            <w:vAlign w:val="bottom"/>
            <w:shd w:val="clear" w:color="auto" w:fill="CCEEFF"/>
          </w:tcPr>
          <w:p>
            <w:pPr>
              <w:ind w:left="480"/>
              <w:spacing w:after="0"/>
              <w:rPr>
                <w:sz w:val="20"/>
                <w:szCs w:val="20"/>
                <w:color w:val="auto"/>
              </w:rPr>
            </w:pPr>
            <w:r>
              <w:rPr>
                <w:rFonts w:ascii="Arial" w:cs="Arial" w:eastAsia="Arial" w:hAnsi="Arial"/>
                <w:sz w:val="10"/>
                <w:szCs w:val="10"/>
                <w:b w:val="1"/>
                <w:bCs w:val="1"/>
                <w:color w:val="auto"/>
                <w:w w:val="99"/>
              </w:rPr>
              <w:t>Fixed-Term Securities Lending</w:t>
            </w:r>
          </w:p>
        </w:tc>
        <w:tc>
          <w:tcPr>
            <w:tcW w:w="4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Fixed-term securities lending agreements with two financial institution counterparties, as</w:t>
            </w:r>
          </w:p>
        </w:tc>
      </w:tr>
      <w:tr>
        <w:trPr>
          <w:trHeight w:val="140"/>
        </w:trPr>
        <w:tc>
          <w:tcPr>
            <w:tcW w:w="1400" w:type="dxa"/>
            <w:vAlign w:val="bottom"/>
            <w:shd w:val="clear" w:color="auto" w:fill="CCEEFF"/>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1960" w:type="dxa"/>
            <w:vAlign w:val="bottom"/>
            <w:shd w:val="clear" w:color="auto" w:fill="CCEEFF"/>
          </w:tcPr>
          <w:p>
            <w:pPr>
              <w:ind w:left="480"/>
              <w:spacing w:after="0"/>
              <w:rPr>
                <w:sz w:val="20"/>
                <w:szCs w:val="20"/>
                <w:color w:val="auto"/>
              </w:rPr>
            </w:pPr>
            <w:r>
              <w:rPr>
                <w:rFonts w:ascii="Arial" w:cs="Arial" w:eastAsia="Arial" w:hAnsi="Arial"/>
                <w:sz w:val="10"/>
                <w:szCs w:val="10"/>
                <w:b w:val="1"/>
                <w:bCs w:val="1"/>
                <w:color w:val="auto"/>
              </w:rPr>
              <w:t>Agreements</w:t>
            </w:r>
          </w:p>
        </w:tc>
        <w:tc>
          <w:tcPr>
            <w:tcW w:w="4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described below</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CAGO</w:t>
            </w:r>
          </w:p>
        </w:tc>
        <w:tc>
          <w:tcPr>
            <w:tcW w:w="3740" w:type="dxa"/>
            <w:vAlign w:val="bottom"/>
          </w:tcPr>
          <w:p>
            <w:pPr>
              <w:ind w:left="120"/>
              <w:spacing w:after="0"/>
              <w:rPr>
                <w:sz w:val="20"/>
                <w:szCs w:val="20"/>
                <w:color w:val="auto"/>
              </w:rPr>
            </w:pPr>
            <w:r>
              <w:rPr>
                <w:rFonts w:ascii="Arial" w:cs="Arial" w:eastAsia="Arial" w:hAnsi="Arial"/>
                <w:sz w:val="10"/>
                <w:szCs w:val="10"/>
                <w:color w:val="auto"/>
              </w:rPr>
              <w:t>California Attorney General’s Office</w:t>
            </w:r>
          </w:p>
        </w:tc>
        <w:tc>
          <w:tcPr>
            <w:tcW w:w="1960" w:type="dxa"/>
            <w:vAlign w:val="bottom"/>
          </w:tcPr>
          <w:p>
            <w:pPr>
              <w:ind w:left="480"/>
              <w:spacing w:after="0"/>
              <w:rPr>
                <w:sz w:val="20"/>
                <w:szCs w:val="20"/>
                <w:color w:val="auto"/>
              </w:rPr>
            </w:pPr>
            <w:r>
              <w:rPr>
                <w:rFonts w:ascii="Arial" w:cs="Arial" w:eastAsia="Arial" w:hAnsi="Arial"/>
                <w:sz w:val="10"/>
                <w:szCs w:val="10"/>
                <w:b w:val="1"/>
                <w:bCs w:val="1"/>
                <w:color w:val="auto"/>
              </w:rPr>
              <w:t>Founder Affiliates</w:t>
            </w:r>
          </w:p>
        </w:tc>
        <w:tc>
          <w:tcPr>
            <w:tcW w:w="4140" w:type="dxa"/>
            <w:vAlign w:val="bottom"/>
          </w:tcPr>
          <w:p>
            <w:pPr>
              <w:ind w:left="20"/>
              <w:spacing w:after="0"/>
              <w:rPr>
                <w:sz w:val="20"/>
                <w:szCs w:val="20"/>
                <w:color w:val="auto"/>
              </w:rPr>
            </w:pPr>
            <w:r>
              <w:rPr>
                <w:rFonts w:ascii="Arial" w:cs="Arial" w:eastAsia="Arial" w:hAnsi="Arial"/>
                <w:sz w:val="10"/>
                <w:szCs w:val="10"/>
                <w:color w:val="auto"/>
              </w:rPr>
              <w:t>Founders related entities</w:t>
            </w:r>
          </w:p>
        </w:tc>
      </w:tr>
      <w:tr>
        <w:trPr>
          <w:trHeight w:val="12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CAT</w:t>
            </w:r>
          </w:p>
        </w:tc>
        <w:tc>
          <w:tcPr>
            <w:tcW w:w="3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Consolidated Audit Trail</w:t>
            </w:r>
          </w:p>
        </w:tc>
        <w:tc>
          <w:tcPr>
            <w:tcW w:w="1960" w:type="dxa"/>
            <w:vAlign w:val="bottom"/>
            <w:shd w:val="clear" w:color="auto" w:fill="CCEEFF"/>
          </w:tcPr>
          <w:p>
            <w:pPr>
              <w:ind w:left="480"/>
              <w:spacing w:after="0"/>
              <w:rPr>
                <w:sz w:val="20"/>
                <w:szCs w:val="20"/>
                <w:color w:val="auto"/>
              </w:rPr>
            </w:pPr>
            <w:r>
              <w:rPr>
                <w:rFonts w:ascii="Arial" w:cs="Arial" w:eastAsia="Arial" w:hAnsi="Arial"/>
                <w:sz w:val="10"/>
                <w:szCs w:val="10"/>
                <w:b w:val="1"/>
                <w:bCs w:val="1"/>
                <w:color w:val="auto"/>
              </w:rPr>
              <w:t>Founders’ Voting Agreement</w:t>
            </w:r>
          </w:p>
        </w:tc>
        <w:tc>
          <w:tcPr>
            <w:tcW w:w="4140" w:type="dxa"/>
            <w:vAlign w:val="bottom"/>
            <w:shd w:val="clear" w:color="auto" w:fill="CCEEFF"/>
          </w:tcPr>
          <w:p>
            <w:pPr>
              <w:ind w:left="20"/>
              <w:spacing w:after="0"/>
              <w:rPr>
                <w:sz w:val="20"/>
                <w:szCs w:val="20"/>
                <w:color w:val="auto"/>
              </w:rPr>
            </w:pPr>
            <w:r>
              <w:rPr>
                <w:rFonts w:ascii="Arial" w:cs="Arial" w:eastAsia="Arial" w:hAnsi="Arial"/>
                <w:sz w:val="10"/>
                <w:szCs w:val="10"/>
                <w:color w:val="auto"/>
                <w:w w:val="98"/>
              </w:rPr>
              <w:t>Voting Agreement, dated July 26, 2021, among RHM, Baiju Bhatt, Vladimir Tenev, and certain</w:t>
            </w:r>
          </w:p>
        </w:tc>
      </w:tr>
      <w:tr>
        <w:trPr>
          <w:trHeight w:val="138"/>
        </w:trPr>
        <w:tc>
          <w:tcPr>
            <w:tcW w:w="1400" w:type="dxa"/>
            <w:vAlign w:val="bottom"/>
            <w:shd w:val="clear" w:color="auto" w:fill="CCEEFF"/>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related entities</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CEA</w:t>
            </w:r>
          </w:p>
        </w:tc>
        <w:tc>
          <w:tcPr>
            <w:tcW w:w="3740" w:type="dxa"/>
            <w:vAlign w:val="bottom"/>
          </w:tcPr>
          <w:p>
            <w:pPr>
              <w:ind w:left="120"/>
              <w:spacing w:after="0"/>
              <w:rPr>
                <w:sz w:val="20"/>
                <w:szCs w:val="20"/>
                <w:color w:val="auto"/>
              </w:rPr>
            </w:pPr>
            <w:r>
              <w:rPr>
                <w:rFonts w:ascii="Arial" w:cs="Arial" w:eastAsia="Arial" w:hAnsi="Arial"/>
                <w:sz w:val="10"/>
                <w:szCs w:val="10"/>
                <w:color w:val="auto"/>
              </w:rPr>
              <w:t>U.S. Commodity Exchange Act</w:t>
            </w:r>
          </w:p>
        </w:tc>
        <w:tc>
          <w:tcPr>
            <w:tcW w:w="1960" w:type="dxa"/>
            <w:vAlign w:val="bottom"/>
          </w:tcPr>
          <w:p>
            <w:pPr>
              <w:ind w:left="480"/>
              <w:spacing w:after="0"/>
              <w:rPr>
                <w:sz w:val="20"/>
                <w:szCs w:val="20"/>
                <w:color w:val="auto"/>
              </w:rPr>
            </w:pPr>
            <w:r>
              <w:rPr>
                <w:rFonts w:ascii="Arial" w:cs="Arial" w:eastAsia="Arial" w:hAnsi="Arial"/>
                <w:sz w:val="10"/>
                <w:szCs w:val="10"/>
                <w:b w:val="1"/>
                <w:bCs w:val="1"/>
                <w:color w:val="auto"/>
              </w:rPr>
              <w:t>Fourth parties</w:t>
            </w:r>
          </w:p>
        </w:tc>
        <w:tc>
          <w:tcPr>
            <w:tcW w:w="4140" w:type="dxa"/>
            <w:vAlign w:val="bottom"/>
          </w:tcPr>
          <w:p>
            <w:pPr>
              <w:ind w:left="20"/>
              <w:spacing w:after="0"/>
              <w:rPr>
                <w:sz w:val="20"/>
                <w:szCs w:val="20"/>
                <w:color w:val="auto"/>
              </w:rPr>
            </w:pPr>
            <w:r>
              <w:rPr>
                <w:rFonts w:ascii="Arial" w:cs="Arial" w:eastAsia="Arial" w:hAnsi="Arial"/>
                <w:sz w:val="10"/>
                <w:szCs w:val="10"/>
                <w:color w:val="auto"/>
              </w:rPr>
              <w:t>Third parties’ common suppliers or vendors</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CEO</w:t>
            </w:r>
          </w:p>
        </w:tc>
        <w:tc>
          <w:tcPr>
            <w:tcW w:w="3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Chief Executive Officer</w:t>
            </w:r>
          </w:p>
        </w:tc>
        <w:tc>
          <w:tcPr>
            <w:tcW w:w="1960" w:type="dxa"/>
            <w:vAlign w:val="bottom"/>
            <w:shd w:val="clear" w:color="auto" w:fill="CCEEFF"/>
          </w:tcPr>
          <w:p>
            <w:pPr>
              <w:ind w:left="480"/>
              <w:spacing w:after="0"/>
              <w:rPr>
                <w:sz w:val="20"/>
                <w:szCs w:val="20"/>
                <w:color w:val="auto"/>
              </w:rPr>
            </w:pPr>
            <w:r>
              <w:rPr>
                <w:rFonts w:ascii="Arial" w:cs="Arial" w:eastAsia="Arial" w:hAnsi="Arial"/>
                <w:sz w:val="10"/>
                <w:szCs w:val="10"/>
                <w:b w:val="1"/>
                <w:bCs w:val="1"/>
                <w:color w:val="auto"/>
              </w:rPr>
              <w:t>Futures</w:t>
            </w:r>
          </w:p>
        </w:tc>
        <w:tc>
          <w:tcPr>
            <w:tcW w:w="4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Futures contracts, which includes options on futures and swaps, including event contracts</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CFPB</w:t>
            </w:r>
          </w:p>
        </w:tc>
        <w:tc>
          <w:tcPr>
            <w:tcW w:w="3740" w:type="dxa"/>
            <w:vAlign w:val="bottom"/>
          </w:tcPr>
          <w:p>
            <w:pPr>
              <w:ind w:left="120"/>
              <w:spacing w:after="0"/>
              <w:rPr>
                <w:sz w:val="20"/>
                <w:szCs w:val="20"/>
                <w:color w:val="auto"/>
              </w:rPr>
            </w:pPr>
            <w:r>
              <w:rPr>
                <w:rFonts w:ascii="Arial" w:cs="Arial" w:eastAsia="Arial" w:hAnsi="Arial"/>
                <w:sz w:val="10"/>
                <w:szCs w:val="10"/>
                <w:color w:val="auto"/>
              </w:rPr>
              <w:t>Consumer Financial Protection Bureau</w:t>
            </w:r>
          </w:p>
        </w:tc>
        <w:tc>
          <w:tcPr>
            <w:tcW w:w="1960" w:type="dxa"/>
            <w:vAlign w:val="bottom"/>
          </w:tcPr>
          <w:p>
            <w:pPr>
              <w:ind w:left="480"/>
              <w:spacing w:after="0"/>
              <w:rPr>
                <w:sz w:val="20"/>
                <w:szCs w:val="20"/>
                <w:color w:val="auto"/>
              </w:rPr>
            </w:pPr>
            <w:r>
              <w:rPr>
                <w:rFonts w:ascii="Arial" w:cs="Arial" w:eastAsia="Arial" w:hAnsi="Arial"/>
                <w:sz w:val="10"/>
                <w:szCs w:val="10"/>
                <w:b w:val="1"/>
                <w:bCs w:val="1"/>
                <w:color w:val="auto"/>
              </w:rPr>
              <w:t>GAAP</w:t>
            </w:r>
          </w:p>
        </w:tc>
        <w:tc>
          <w:tcPr>
            <w:tcW w:w="4140" w:type="dxa"/>
            <w:vAlign w:val="bottom"/>
          </w:tcPr>
          <w:p>
            <w:pPr>
              <w:ind w:left="20"/>
              <w:spacing w:after="0"/>
              <w:rPr>
                <w:sz w:val="20"/>
                <w:szCs w:val="20"/>
                <w:color w:val="auto"/>
              </w:rPr>
            </w:pPr>
            <w:r>
              <w:rPr>
                <w:rFonts w:ascii="Arial" w:cs="Arial" w:eastAsia="Arial" w:hAnsi="Arial"/>
                <w:sz w:val="10"/>
                <w:szCs w:val="10"/>
                <w:color w:val="auto"/>
              </w:rPr>
              <w:t>Generally accepted accounting principles in the United States</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CFTC</w:t>
            </w:r>
          </w:p>
        </w:tc>
        <w:tc>
          <w:tcPr>
            <w:tcW w:w="3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Commodity Futures Trading Commission</w:t>
            </w:r>
          </w:p>
        </w:tc>
        <w:tc>
          <w:tcPr>
            <w:tcW w:w="1960" w:type="dxa"/>
            <w:vAlign w:val="bottom"/>
            <w:shd w:val="clear" w:color="auto" w:fill="CCEEFF"/>
          </w:tcPr>
          <w:p>
            <w:pPr>
              <w:ind w:left="480"/>
              <w:spacing w:after="0"/>
              <w:rPr>
                <w:sz w:val="20"/>
                <w:szCs w:val="20"/>
                <w:color w:val="auto"/>
              </w:rPr>
            </w:pPr>
            <w:r>
              <w:rPr>
                <w:rFonts w:ascii="Arial" w:cs="Arial" w:eastAsia="Arial" w:hAnsi="Arial"/>
                <w:sz w:val="10"/>
                <w:szCs w:val="10"/>
                <w:b w:val="1"/>
                <w:bCs w:val="1"/>
                <w:color w:val="auto"/>
              </w:rPr>
              <w:t>GENIUS Act</w:t>
            </w:r>
          </w:p>
        </w:tc>
        <w:tc>
          <w:tcPr>
            <w:tcW w:w="4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Guiding and Establishing National Innovation for U.S. Stablecoins Act</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Charter</w:t>
            </w:r>
          </w:p>
        </w:tc>
        <w:tc>
          <w:tcPr>
            <w:tcW w:w="3740" w:type="dxa"/>
            <w:vAlign w:val="bottom"/>
          </w:tcPr>
          <w:p>
            <w:pPr>
              <w:ind w:left="120"/>
              <w:spacing w:after="0"/>
              <w:rPr>
                <w:sz w:val="20"/>
                <w:szCs w:val="20"/>
                <w:color w:val="auto"/>
              </w:rPr>
            </w:pPr>
            <w:r>
              <w:rPr>
                <w:rFonts w:ascii="Arial" w:cs="Arial" w:eastAsia="Arial" w:hAnsi="Arial"/>
                <w:sz w:val="10"/>
                <w:szCs w:val="10"/>
                <w:color w:val="auto"/>
              </w:rPr>
              <w:t>Amended and Restated Certificate of Incorporation</w:t>
            </w:r>
          </w:p>
        </w:tc>
        <w:tc>
          <w:tcPr>
            <w:tcW w:w="1960" w:type="dxa"/>
            <w:vAlign w:val="bottom"/>
          </w:tcPr>
          <w:p>
            <w:pPr>
              <w:ind w:left="480"/>
              <w:spacing w:after="0"/>
              <w:rPr>
                <w:sz w:val="20"/>
                <w:szCs w:val="20"/>
                <w:color w:val="auto"/>
              </w:rPr>
            </w:pPr>
            <w:r>
              <w:rPr>
                <w:rFonts w:ascii="Arial" w:cs="Arial" w:eastAsia="Arial" w:hAnsi="Arial"/>
                <w:sz w:val="10"/>
                <w:szCs w:val="10"/>
                <w:b w:val="1"/>
                <w:bCs w:val="1"/>
                <w:color w:val="auto"/>
              </w:rPr>
              <w:t>GHG</w:t>
            </w:r>
          </w:p>
        </w:tc>
        <w:tc>
          <w:tcPr>
            <w:tcW w:w="4140" w:type="dxa"/>
            <w:vAlign w:val="bottom"/>
          </w:tcPr>
          <w:p>
            <w:pPr>
              <w:ind w:left="20"/>
              <w:spacing w:after="0"/>
              <w:rPr>
                <w:sz w:val="20"/>
                <w:szCs w:val="20"/>
                <w:color w:val="auto"/>
              </w:rPr>
            </w:pPr>
            <w:r>
              <w:rPr>
                <w:rFonts w:ascii="Arial" w:cs="Arial" w:eastAsia="Arial" w:hAnsi="Arial"/>
                <w:sz w:val="10"/>
                <w:szCs w:val="10"/>
                <w:color w:val="auto"/>
              </w:rPr>
              <w:t>Greenhouse gas</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CIP</w:t>
            </w:r>
          </w:p>
        </w:tc>
        <w:tc>
          <w:tcPr>
            <w:tcW w:w="3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Customer identification program</w:t>
            </w:r>
          </w:p>
        </w:tc>
        <w:tc>
          <w:tcPr>
            <w:tcW w:w="1960" w:type="dxa"/>
            <w:vAlign w:val="bottom"/>
            <w:shd w:val="clear" w:color="auto" w:fill="CCEEFF"/>
          </w:tcPr>
          <w:p>
            <w:pPr>
              <w:ind w:left="480"/>
              <w:spacing w:after="0"/>
              <w:rPr>
                <w:sz w:val="20"/>
                <w:szCs w:val="20"/>
                <w:color w:val="auto"/>
              </w:rPr>
            </w:pPr>
            <w:r>
              <w:rPr>
                <w:rFonts w:ascii="Arial" w:cs="Arial" w:eastAsia="Arial" w:hAnsi="Arial"/>
                <w:sz w:val="10"/>
                <w:szCs w:val="10"/>
                <w:b w:val="1"/>
                <w:bCs w:val="1"/>
                <w:color w:val="auto"/>
              </w:rPr>
              <w:t>Goldman Sachs</w:t>
            </w:r>
          </w:p>
        </w:tc>
        <w:tc>
          <w:tcPr>
            <w:tcW w:w="4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Goldman Sachs USA</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Circle</w:t>
            </w:r>
          </w:p>
        </w:tc>
        <w:tc>
          <w:tcPr>
            <w:tcW w:w="3740" w:type="dxa"/>
            <w:vAlign w:val="bottom"/>
          </w:tcPr>
          <w:p>
            <w:pPr>
              <w:ind w:left="120"/>
              <w:spacing w:after="0"/>
              <w:rPr>
                <w:sz w:val="20"/>
                <w:szCs w:val="20"/>
                <w:color w:val="auto"/>
              </w:rPr>
            </w:pPr>
            <w:r>
              <w:rPr>
                <w:rFonts w:ascii="Arial" w:cs="Arial" w:eastAsia="Arial" w:hAnsi="Arial"/>
                <w:sz w:val="10"/>
                <w:szCs w:val="10"/>
                <w:color w:val="auto"/>
              </w:rPr>
              <w:t>Circle Internet Financial, LLC</w:t>
            </w:r>
          </w:p>
        </w:tc>
        <w:tc>
          <w:tcPr>
            <w:tcW w:w="1960" w:type="dxa"/>
            <w:vAlign w:val="bottom"/>
          </w:tcPr>
          <w:p>
            <w:pPr>
              <w:ind w:left="480"/>
              <w:spacing w:after="0"/>
              <w:rPr>
                <w:sz w:val="20"/>
                <w:szCs w:val="20"/>
                <w:color w:val="auto"/>
              </w:rPr>
            </w:pPr>
            <w:r>
              <w:rPr>
                <w:rFonts w:ascii="Arial" w:cs="Arial" w:eastAsia="Arial" w:hAnsi="Arial"/>
                <w:sz w:val="10"/>
                <w:szCs w:val="10"/>
                <w:b w:val="1"/>
                <w:bCs w:val="1"/>
                <w:color w:val="auto"/>
              </w:rPr>
              <w:t>IPO</w:t>
            </w:r>
          </w:p>
        </w:tc>
        <w:tc>
          <w:tcPr>
            <w:tcW w:w="4140" w:type="dxa"/>
            <w:vAlign w:val="bottom"/>
          </w:tcPr>
          <w:p>
            <w:pPr>
              <w:ind w:left="20"/>
              <w:spacing w:after="0"/>
              <w:rPr>
                <w:sz w:val="20"/>
                <w:szCs w:val="20"/>
                <w:color w:val="auto"/>
              </w:rPr>
            </w:pPr>
            <w:r>
              <w:rPr>
                <w:rFonts w:ascii="Arial" w:cs="Arial" w:eastAsia="Arial" w:hAnsi="Arial"/>
                <w:sz w:val="10"/>
                <w:szCs w:val="10"/>
                <w:color w:val="auto"/>
              </w:rPr>
              <w:t>Initial public offering</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CLARITY Act</w:t>
            </w:r>
          </w:p>
        </w:tc>
        <w:tc>
          <w:tcPr>
            <w:tcW w:w="3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Digital Asset Market Clarity Act of 2025</w:t>
            </w:r>
          </w:p>
        </w:tc>
        <w:tc>
          <w:tcPr>
            <w:tcW w:w="1960" w:type="dxa"/>
            <w:vAlign w:val="bottom"/>
            <w:shd w:val="clear" w:color="auto" w:fill="CCEEFF"/>
          </w:tcPr>
          <w:p>
            <w:pPr>
              <w:ind w:left="480"/>
              <w:spacing w:after="0"/>
              <w:rPr>
                <w:sz w:val="20"/>
                <w:szCs w:val="20"/>
                <w:color w:val="auto"/>
              </w:rPr>
            </w:pPr>
            <w:r>
              <w:rPr>
                <w:rFonts w:ascii="Arial" w:cs="Arial" w:eastAsia="Arial" w:hAnsi="Arial"/>
                <w:sz w:val="10"/>
                <w:szCs w:val="10"/>
                <w:b w:val="1"/>
                <w:bCs w:val="1"/>
                <w:color w:val="auto"/>
              </w:rPr>
              <w:t>IRA</w:t>
            </w:r>
          </w:p>
        </w:tc>
        <w:tc>
          <w:tcPr>
            <w:tcW w:w="4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Individual Retirement Account</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Coastal Bank</w:t>
            </w:r>
          </w:p>
        </w:tc>
        <w:tc>
          <w:tcPr>
            <w:tcW w:w="3740" w:type="dxa"/>
            <w:vAlign w:val="bottom"/>
          </w:tcPr>
          <w:p>
            <w:pPr>
              <w:ind w:left="120"/>
              <w:spacing w:after="0"/>
              <w:rPr>
                <w:sz w:val="20"/>
                <w:szCs w:val="20"/>
                <w:color w:val="auto"/>
              </w:rPr>
            </w:pPr>
            <w:r>
              <w:rPr>
                <w:rFonts w:ascii="Arial" w:cs="Arial" w:eastAsia="Arial" w:hAnsi="Arial"/>
                <w:sz w:val="10"/>
                <w:szCs w:val="10"/>
                <w:color w:val="auto"/>
              </w:rPr>
              <w:t>Coastal Community Bank</w:t>
            </w:r>
          </w:p>
        </w:tc>
        <w:tc>
          <w:tcPr>
            <w:tcW w:w="1960" w:type="dxa"/>
            <w:vAlign w:val="bottom"/>
          </w:tcPr>
          <w:p>
            <w:pPr>
              <w:ind w:left="480"/>
              <w:spacing w:after="0"/>
              <w:rPr>
                <w:sz w:val="20"/>
                <w:szCs w:val="20"/>
                <w:color w:val="auto"/>
              </w:rPr>
            </w:pPr>
            <w:r>
              <w:rPr>
                <w:rFonts w:ascii="Arial" w:cs="Arial" w:eastAsia="Arial" w:hAnsi="Arial"/>
                <w:sz w:val="10"/>
                <w:szCs w:val="10"/>
                <w:b w:val="1"/>
                <w:bCs w:val="1"/>
                <w:color w:val="auto"/>
              </w:rPr>
              <w:t>ISOs</w:t>
            </w:r>
          </w:p>
        </w:tc>
        <w:tc>
          <w:tcPr>
            <w:tcW w:w="4140" w:type="dxa"/>
            <w:vAlign w:val="bottom"/>
          </w:tcPr>
          <w:p>
            <w:pPr>
              <w:ind w:left="20"/>
              <w:spacing w:after="0"/>
              <w:rPr>
                <w:sz w:val="20"/>
                <w:szCs w:val="20"/>
                <w:color w:val="auto"/>
              </w:rPr>
            </w:pPr>
            <w:r>
              <w:rPr>
                <w:rFonts w:ascii="Arial" w:cs="Arial" w:eastAsia="Arial" w:hAnsi="Arial"/>
                <w:sz w:val="10"/>
                <w:szCs w:val="10"/>
                <w:color w:val="auto"/>
              </w:rPr>
              <w:t>Incentive stock options</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Code</w:t>
            </w:r>
          </w:p>
        </w:tc>
        <w:tc>
          <w:tcPr>
            <w:tcW w:w="3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Internal Revenue Code of 1986, as amended</w:t>
            </w:r>
          </w:p>
        </w:tc>
        <w:tc>
          <w:tcPr>
            <w:tcW w:w="1960" w:type="dxa"/>
            <w:vAlign w:val="bottom"/>
            <w:shd w:val="clear" w:color="auto" w:fill="CCEEFF"/>
          </w:tcPr>
          <w:p>
            <w:pPr>
              <w:ind w:left="480"/>
              <w:spacing w:after="0"/>
              <w:rPr>
                <w:sz w:val="20"/>
                <w:szCs w:val="20"/>
                <w:color w:val="auto"/>
              </w:rPr>
            </w:pPr>
            <w:r>
              <w:rPr>
                <w:rFonts w:ascii="Arial" w:cs="Arial" w:eastAsia="Arial" w:hAnsi="Arial"/>
                <w:sz w:val="10"/>
                <w:szCs w:val="10"/>
                <w:b w:val="1"/>
                <w:bCs w:val="1"/>
                <w:color w:val="auto"/>
              </w:rPr>
              <w:t>Kraken</w:t>
            </w:r>
          </w:p>
        </w:tc>
        <w:tc>
          <w:tcPr>
            <w:tcW w:w="4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Payward, Inc. and Payward Ventures Inc.</w:t>
            </w:r>
          </w:p>
        </w:tc>
      </w:tr>
      <w:tr>
        <w:trPr>
          <w:trHeight w:val="118"/>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Coinbase</w:t>
            </w:r>
          </w:p>
        </w:tc>
        <w:tc>
          <w:tcPr>
            <w:tcW w:w="3740" w:type="dxa"/>
            <w:vAlign w:val="bottom"/>
          </w:tcPr>
          <w:p>
            <w:pPr>
              <w:ind w:left="120"/>
              <w:spacing w:after="0"/>
              <w:rPr>
                <w:sz w:val="20"/>
                <w:szCs w:val="20"/>
                <w:color w:val="auto"/>
              </w:rPr>
            </w:pPr>
            <w:r>
              <w:rPr>
                <w:rFonts w:ascii="Arial" w:cs="Arial" w:eastAsia="Arial" w:hAnsi="Arial"/>
                <w:sz w:val="10"/>
                <w:szCs w:val="10"/>
                <w:color w:val="auto"/>
              </w:rPr>
              <w:t>Coinbase Global, Inc., and Coinbase, Inc.</w:t>
            </w:r>
          </w:p>
        </w:tc>
        <w:tc>
          <w:tcPr>
            <w:tcW w:w="1960" w:type="dxa"/>
            <w:vAlign w:val="bottom"/>
          </w:tcPr>
          <w:p>
            <w:pPr>
              <w:ind w:left="480"/>
              <w:spacing w:after="0"/>
              <w:rPr>
                <w:sz w:val="20"/>
                <w:szCs w:val="20"/>
                <w:color w:val="auto"/>
              </w:rPr>
            </w:pPr>
            <w:r>
              <w:rPr>
                <w:rFonts w:ascii="Arial" w:cs="Arial" w:eastAsia="Arial" w:hAnsi="Arial"/>
                <w:sz w:val="10"/>
                <w:szCs w:val="10"/>
                <w:b w:val="1"/>
                <w:bCs w:val="1"/>
                <w:color w:val="auto"/>
              </w:rPr>
              <w:t>Market-Based RSUs</w:t>
            </w:r>
          </w:p>
        </w:tc>
        <w:tc>
          <w:tcPr>
            <w:tcW w:w="4140" w:type="dxa"/>
            <w:vAlign w:val="bottom"/>
          </w:tcPr>
          <w:p>
            <w:pPr>
              <w:ind w:left="20"/>
              <w:spacing w:after="0"/>
              <w:rPr>
                <w:sz w:val="20"/>
                <w:szCs w:val="20"/>
                <w:color w:val="auto"/>
              </w:rPr>
            </w:pPr>
            <w:r>
              <w:rPr>
                <w:rFonts w:ascii="Arial" w:cs="Arial" w:eastAsia="Arial" w:hAnsi="Arial"/>
                <w:sz w:val="10"/>
                <w:szCs w:val="10"/>
                <w:color w:val="auto"/>
              </w:rPr>
              <w:t>RSUs that vest upon the satisfaction of all the following conditions: time-based service</w:t>
            </w:r>
          </w:p>
        </w:tc>
      </w:tr>
      <w:tr>
        <w:trPr>
          <w:trHeight w:val="134"/>
        </w:trPr>
        <w:tc>
          <w:tcPr>
            <w:tcW w:w="14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140" w:type="dxa"/>
            <w:vAlign w:val="bottom"/>
          </w:tcPr>
          <w:p>
            <w:pPr>
              <w:ind w:left="20"/>
              <w:spacing w:after="0"/>
              <w:rPr>
                <w:sz w:val="20"/>
                <w:szCs w:val="20"/>
                <w:color w:val="auto"/>
              </w:rPr>
            </w:pPr>
            <w:r>
              <w:rPr>
                <w:rFonts w:ascii="Arial" w:cs="Arial" w:eastAsia="Arial" w:hAnsi="Arial"/>
                <w:sz w:val="10"/>
                <w:szCs w:val="10"/>
                <w:color w:val="auto"/>
              </w:rPr>
              <w:t>conditions, performance-based conditions, and market-based conditions</w:t>
            </w:r>
          </w:p>
        </w:tc>
      </w:tr>
      <w:tr>
        <w:trPr>
          <w:trHeight w:val="123"/>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Crypto Listing Frameworks</w:t>
            </w:r>
          </w:p>
        </w:tc>
        <w:tc>
          <w:tcPr>
            <w:tcW w:w="57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 xml:space="preserve">Our internal policies and procedures with respect to the listing of cryptocurrencies on our </w:t>
            </w:r>
            <w:r>
              <w:rPr>
                <w:rFonts w:ascii="Arial" w:cs="Arial" w:eastAsia="Arial" w:hAnsi="Arial"/>
                <w:sz w:val="10"/>
                <w:szCs w:val="10"/>
                <w:b w:val="1"/>
                <w:bCs w:val="1"/>
                <w:color w:val="auto"/>
              </w:rPr>
              <w:t>Market Makers</w:t>
            </w:r>
          </w:p>
        </w:tc>
        <w:tc>
          <w:tcPr>
            <w:tcW w:w="4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Non-exchange liquidity providers</w:t>
            </w:r>
          </w:p>
        </w:tc>
      </w:tr>
      <w:tr>
        <w:trPr>
          <w:trHeight w:val="138"/>
        </w:trPr>
        <w:tc>
          <w:tcPr>
            <w:tcW w:w="1400" w:type="dxa"/>
            <w:vAlign w:val="bottom"/>
            <w:shd w:val="clear" w:color="auto" w:fill="CCEEFF"/>
          </w:tcPr>
          <w:p>
            <w:pPr>
              <w:spacing w:after="0"/>
              <w:rPr>
                <w:sz w:val="12"/>
                <w:szCs w:val="12"/>
                <w:color w:val="auto"/>
              </w:rPr>
            </w:pPr>
          </w:p>
        </w:tc>
        <w:tc>
          <w:tcPr>
            <w:tcW w:w="3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platforms</w:t>
            </w:r>
          </w:p>
        </w:tc>
        <w:tc>
          <w:tcPr>
            <w:tcW w:w="196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Crypto Transfers</w:t>
            </w:r>
          </w:p>
        </w:tc>
        <w:tc>
          <w:tcPr>
            <w:tcW w:w="3740" w:type="dxa"/>
            <w:vAlign w:val="bottom"/>
          </w:tcPr>
          <w:p>
            <w:pPr>
              <w:ind w:left="120"/>
              <w:spacing w:after="0"/>
              <w:rPr>
                <w:sz w:val="20"/>
                <w:szCs w:val="20"/>
                <w:color w:val="auto"/>
              </w:rPr>
            </w:pPr>
            <w:r>
              <w:rPr>
                <w:rFonts w:ascii="Arial" w:cs="Arial" w:eastAsia="Arial" w:hAnsi="Arial"/>
                <w:sz w:val="10"/>
                <w:szCs w:val="10"/>
                <w:color w:val="auto"/>
              </w:rPr>
              <w:t>Cryptocurrency transfers</w:t>
            </w:r>
          </w:p>
        </w:tc>
        <w:tc>
          <w:tcPr>
            <w:tcW w:w="1960" w:type="dxa"/>
            <w:vAlign w:val="bottom"/>
          </w:tcPr>
          <w:p>
            <w:pPr>
              <w:ind w:left="480"/>
              <w:spacing w:after="0"/>
              <w:rPr>
                <w:sz w:val="20"/>
                <w:szCs w:val="20"/>
                <w:color w:val="auto"/>
              </w:rPr>
            </w:pPr>
            <w:r>
              <w:rPr>
                <w:rFonts w:ascii="Arial" w:cs="Arial" w:eastAsia="Arial" w:hAnsi="Arial"/>
                <w:sz w:val="10"/>
                <w:szCs w:val="10"/>
                <w:b w:val="1"/>
                <w:bCs w:val="1"/>
                <w:color w:val="auto"/>
              </w:rPr>
              <w:t>MAS</w:t>
            </w:r>
          </w:p>
        </w:tc>
        <w:tc>
          <w:tcPr>
            <w:tcW w:w="4140" w:type="dxa"/>
            <w:vAlign w:val="bottom"/>
          </w:tcPr>
          <w:p>
            <w:pPr>
              <w:ind w:left="20"/>
              <w:spacing w:after="0"/>
              <w:rPr>
                <w:sz w:val="20"/>
                <w:szCs w:val="20"/>
                <w:color w:val="auto"/>
              </w:rPr>
            </w:pPr>
            <w:r>
              <w:rPr>
                <w:rFonts w:ascii="Arial" w:cs="Arial" w:eastAsia="Arial" w:hAnsi="Arial"/>
                <w:sz w:val="10"/>
                <w:szCs w:val="10"/>
                <w:color w:val="auto"/>
              </w:rPr>
              <w:t>Monetary Authority of Singapore</w:t>
            </w:r>
          </w:p>
        </w:tc>
      </w:tr>
      <w:tr>
        <w:trPr>
          <w:trHeight w:val="164"/>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DFAL</w:t>
            </w:r>
          </w:p>
        </w:tc>
        <w:tc>
          <w:tcPr>
            <w:tcW w:w="3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Digital Financial Assets Law</w:t>
            </w:r>
          </w:p>
        </w:tc>
        <w:tc>
          <w:tcPr>
            <w:tcW w:w="1960" w:type="dxa"/>
            <w:vAlign w:val="bottom"/>
            <w:shd w:val="clear" w:color="auto" w:fill="CCEEFF"/>
          </w:tcPr>
          <w:p>
            <w:pPr>
              <w:ind w:left="480"/>
              <w:spacing w:after="0"/>
              <w:rPr>
                <w:sz w:val="20"/>
                <w:szCs w:val="20"/>
                <w:color w:val="auto"/>
              </w:rPr>
            </w:pPr>
            <w:r>
              <w:rPr>
                <w:rFonts w:ascii="Arial" w:cs="Arial" w:eastAsia="Arial" w:hAnsi="Arial"/>
                <w:sz w:val="10"/>
                <w:szCs w:val="10"/>
                <w:b w:val="1"/>
                <w:bCs w:val="1"/>
                <w:color w:val="auto"/>
              </w:rPr>
              <w:t>MIAXdx</w:t>
            </w:r>
          </w:p>
        </w:tc>
        <w:tc>
          <w:tcPr>
            <w:tcW w:w="4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MIAX Derivatives Exchange</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DOJ</w:t>
            </w:r>
          </w:p>
        </w:tc>
        <w:tc>
          <w:tcPr>
            <w:tcW w:w="3740" w:type="dxa"/>
            <w:vAlign w:val="bottom"/>
          </w:tcPr>
          <w:p>
            <w:pPr>
              <w:ind w:left="120"/>
              <w:spacing w:after="0"/>
              <w:rPr>
                <w:sz w:val="20"/>
                <w:szCs w:val="20"/>
                <w:color w:val="auto"/>
              </w:rPr>
            </w:pPr>
            <w:r>
              <w:rPr>
                <w:rFonts w:ascii="Arial" w:cs="Arial" w:eastAsia="Arial" w:hAnsi="Arial"/>
                <w:sz w:val="10"/>
                <w:szCs w:val="10"/>
                <w:color w:val="auto"/>
              </w:rPr>
              <w:t>U.S. Department of Justice</w:t>
            </w:r>
          </w:p>
        </w:tc>
        <w:tc>
          <w:tcPr>
            <w:tcW w:w="1960" w:type="dxa"/>
            <w:vAlign w:val="bottom"/>
          </w:tcPr>
          <w:p>
            <w:pPr>
              <w:ind w:left="480"/>
              <w:spacing w:after="0"/>
              <w:rPr>
                <w:sz w:val="20"/>
                <w:szCs w:val="20"/>
                <w:color w:val="auto"/>
              </w:rPr>
            </w:pPr>
            <w:r>
              <w:rPr>
                <w:rFonts w:ascii="Arial" w:cs="Arial" w:eastAsia="Arial" w:hAnsi="Arial"/>
                <w:sz w:val="10"/>
                <w:szCs w:val="10"/>
                <w:b w:val="1"/>
                <w:bCs w:val="1"/>
                <w:color w:val="auto"/>
              </w:rPr>
              <w:t>MiCA</w:t>
            </w:r>
          </w:p>
        </w:tc>
        <w:tc>
          <w:tcPr>
            <w:tcW w:w="4140" w:type="dxa"/>
            <w:vAlign w:val="bottom"/>
          </w:tcPr>
          <w:p>
            <w:pPr>
              <w:ind w:left="20"/>
              <w:spacing w:after="0"/>
              <w:rPr>
                <w:sz w:val="20"/>
                <w:szCs w:val="20"/>
                <w:color w:val="auto"/>
              </w:rPr>
            </w:pPr>
            <w:r>
              <w:rPr>
                <w:rFonts w:ascii="Arial" w:cs="Arial" w:eastAsia="Arial" w:hAnsi="Arial"/>
                <w:sz w:val="10"/>
                <w:szCs w:val="10"/>
                <w:color w:val="auto"/>
              </w:rPr>
              <w:t>Markets in Crypto-Assets Regulation</w:t>
            </w:r>
          </w:p>
        </w:tc>
      </w:tr>
      <w:tr>
        <w:trPr>
          <w:trHeight w:val="164"/>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EBS</w:t>
            </w:r>
          </w:p>
        </w:tc>
        <w:tc>
          <w:tcPr>
            <w:tcW w:w="3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Electronic Blue Sheets</w:t>
            </w:r>
          </w:p>
        </w:tc>
        <w:tc>
          <w:tcPr>
            <w:tcW w:w="1960" w:type="dxa"/>
            <w:vAlign w:val="bottom"/>
            <w:shd w:val="clear" w:color="auto" w:fill="CCEEFF"/>
          </w:tcPr>
          <w:p>
            <w:pPr>
              <w:ind w:left="480"/>
              <w:spacing w:after="0"/>
              <w:rPr>
                <w:sz w:val="20"/>
                <w:szCs w:val="20"/>
                <w:color w:val="auto"/>
              </w:rPr>
            </w:pPr>
            <w:r>
              <w:rPr>
                <w:rFonts w:ascii="Arial" w:cs="Arial" w:eastAsia="Arial" w:hAnsi="Arial"/>
                <w:sz w:val="10"/>
                <w:szCs w:val="10"/>
                <w:b w:val="1"/>
                <w:bCs w:val="1"/>
                <w:color w:val="auto"/>
              </w:rPr>
              <w:t>MiFID</w:t>
            </w:r>
          </w:p>
        </w:tc>
        <w:tc>
          <w:tcPr>
            <w:tcW w:w="4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Markets in Financial Instruments Directive II</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EEA</w:t>
            </w:r>
          </w:p>
        </w:tc>
        <w:tc>
          <w:tcPr>
            <w:tcW w:w="3740" w:type="dxa"/>
            <w:vAlign w:val="bottom"/>
          </w:tcPr>
          <w:p>
            <w:pPr>
              <w:ind w:left="120"/>
              <w:spacing w:after="0"/>
              <w:rPr>
                <w:sz w:val="20"/>
                <w:szCs w:val="20"/>
                <w:color w:val="auto"/>
              </w:rPr>
            </w:pPr>
            <w:r>
              <w:rPr>
                <w:rFonts w:ascii="Arial" w:cs="Arial" w:eastAsia="Arial" w:hAnsi="Arial"/>
                <w:sz w:val="10"/>
                <w:szCs w:val="10"/>
                <w:color w:val="auto"/>
              </w:rPr>
              <w:t>European Economic Area</w:t>
            </w:r>
          </w:p>
        </w:tc>
        <w:tc>
          <w:tcPr>
            <w:tcW w:w="1960" w:type="dxa"/>
            <w:vAlign w:val="bottom"/>
          </w:tcPr>
          <w:p>
            <w:pPr>
              <w:ind w:left="480"/>
              <w:spacing w:after="0"/>
              <w:rPr>
                <w:sz w:val="20"/>
                <w:szCs w:val="20"/>
                <w:color w:val="auto"/>
              </w:rPr>
            </w:pPr>
            <w:r>
              <w:rPr>
                <w:rFonts w:ascii="Arial" w:cs="Arial" w:eastAsia="Arial" w:hAnsi="Arial"/>
                <w:sz w:val="10"/>
                <w:szCs w:val="10"/>
                <w:b w:val="1"/>
                <w:bCs w:val="1"/>
                <w:color w:val="auto"/>
              </w:rPr>
              <w:t>Mizuho</w:t>
            </w:r>
          </w:p>
        </w:tc>
        <w:tc>
          <w:tcPr>
            <w:tcW w:w="4140" w:type="dxa"/>
            <w:vAlign w:val="bottom"/>
          </w:tcPr>
          <w:p>
            <w:pPr>
              <w:ind w:left="20"/>
              <w:spacing w:after="0"/>
              <w:rPr>
                <w:sz w:val="20"/>
                <w:szCs w:val="20"/>
                <w:color w:val="auto"/>
              </w:rPr>
            </w:pPr>
            <w:r>
              <w:rPr>
                <w:rFonts w:ascii="Arial" w:cs="Arial" w:eastAsia="Arial" w:hAnsi="Arial"/>
                <w:sz w:val="10"/>
                <w:szCs w:val="10"/>
                <w:color w:val="auto"/>
              </w:rPr>
              <w:t>Mizuho Bank, Ltd</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EFTA</w:t>
            </w:r>
          </w:p>
        </w:tc>
        <w:tc>
          <w:tcPr>
            <w:tcW w:w="3740" w:type="dxa"/>
            <w:vAlign w:val="bottom"/>
            <w:shd w:val="clear" w:color="auto" w:fill="CCEEFF"/>
          </w:tcPr>
          <w:p>
            <w:pPr>
              <w:ind w:left="120"/>
              <w:spacing w:after="0"/>
              <w:rPr>
                <w:sz w:val="20"/>
                <w:szCs w:val="20"/>
                <w:color w:val="auto"/>
              </w:rPr>
            </w:pPr>
            <w:r>
              <w:rPr>
                <w:rFonts w:ascii="Arial" w:cs="Arial" w:eastAsia="Arial" w:hAnsi="Arial"/>
                <w:sz w:val="10"/>
                <w:szCs w:val="10"/>
                <w:color w:val="auto"/>
              </w:rPr>
              <w:t>Electronic Funds Transfer Act</w:t>
            </w:r>
          </w:p>
        </w:tc>
        <w:tc>
          <w:tcPr>
            <w:tcW w:w="1960" w:type="dxa"/>
            <w:vAlign w:val="bottom"/>
            <w:shd w:val="clear" w:color="auto" w:fill="CCEEFF"/>
          </w:tcPr>
          <w:p>
            <w:pPr>
              <w:ind w:left="480"/>
              <w:spacing w:after="0"/>
              <w:rPr>
                <w:sz w:val="20"/>
                <w:szCs w:val="20"/>
                <w:color w:val="auto"/>
              </w:rPr>
            </w:pPr>
            <w:r>
              <w:rPr>
                <w:rFonts w:ascii="Arial" w:cs="Arial" w:eastAsia="Arial" w:hAnsi="Arial"/>
                <w:sz w:val="10"/>
                <w:szCs w:val="10"/>
                <w:b w:val="1"/>
                <w:bCs w:val="1"/>
                <w:color w:val="auto"/>
              </w:rPr>
              <w:t>MSD</w:t>
            </w:r>
          </w:p>
        </w:tc>
        <w:tc>
          <w:tcPr>
            <w:tcW w:w="4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Massachusetts Securities Division</w:t>
            </w:r>
          </w:p>
        </w:tc>
      </w:tr>
      <w:tr>
        <w:trPr>
          <w:trHeight w:val="144"/>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EPS</w:t>
            </w:r>
          </w:p>
        </w:tc>
        <w:tc>
          <w:tcPr>
            <w:tcW w:w="3740" w:type="dxa"/>
            <w:vAlign w:val="bottom"/>
          </w:tcPr>
          <w:p>
            <w:pPr>
              <w:ind w:left="120"/>
              <w:spacing w:after="0"/>
              <w:rPr>
                <w:sz w:val="20"/>
                <w:szCs w:val="20"/>
                <w:color w:val="auto"/>
              </w:rPr>
            </w:pPr>
            <w:r>
              <w:rPr>
                <w:rFonts w:ascii="Arial" w:cs="Arial" w:eastAsia="Arial" w:hAnsi="Arial"/>
                <w:sz w:val="10"/>
                <w:szCs w:val="10"/>
                <w:color w:val="auto"/>
              </w:rPr>
              <w:t>Earnings (loss) per share</w:t>
            </w:r>
          </w:p>
        </w:tc>
        <w:tc>
          <w:tcPr>
            <w:tcW w:w="1960" w:type="dxa"/>
            <w:vAlign w:val="bottom"/>
          </w:tcPr>
          <w:p>
            <w:pPr>
              <w:ind w:left="480"/>
              <w:spacing w:after="0"/>
              <w:rPr>
                <w:sz w:val="20"/>
                <w:szCs w:val="20"/>
                <w:color w:val="auto"/>
              </w:rPr>
            </w:pPr>
            <w:r>
              <w:rPr>
                <w:rFonts w:ascii="Arial" w:cs="Arial" w:eastAsia="Arial" w:hAnsi="Arial"/>
                <w:sz w:val="10"/>
                <w:szCs w:val="10"/>
                <w:b w:val="1"/>
                <w:bCs w:val="1"/>
                <w:color w:val="auto"/>
              </w:rPr>
              <w:t>MSLA</w:t>
            </w:r>
          </w:p>
        </w:tc>
        <w:tc>
          <w:tcPr>
            <w:tcW w:w="4140" w:type="dxa"/>
            <w:vAlign w:val="bottom"/>
          </w:tcPr>
          <w:p>
            <w:pPr>
              <w:ind w:left="20"/>
              <w:spacing w:after="0"/>
              <w:rPr>
                <w:sz w:val="20"/>
                <w:szCs w:val="20"/>
                <w:color w:val="auto"/>
              </w:rPr>
            </w:pPr>
            <w:r>
              <w:rPr>
                <w:rFonts w:ascii="Arial" w:cs="Arial" w:eastAsia="Arial" w:hAnsi="Arial"/>
                <w:sz w:val="10"/>
                <w:szCs w:val="10"/>
                <w:color w:val="auto"/>
              </w:rPr>
              <w:t>Master securities loan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NASAA</w:t>
            </w:r>
          </w:p>
        </w:tc>
        <w:tc>
          <w:tcPr>
            <w:tcW w:w="42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North American Securities Association</w:t>
            </w:r>
          </w:p>
        </w:tc>
        <w:tc>
          <w:tcPr>
            <w:tcW w:w="14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Rothera E&amp;C</w:t>
            </w:r>
          </w:p>
        </w:tc>
        <w:tc>
          <w:tcPr>
            <w:tcW w:w="4160" w:type="dxa"/>
            <w:vAlign w:val="bottom"/>
            <w:shd w:val="clear" w:color="auto" w:fill="CCEEFF"/>
          </w:tcPr>
          <w:p>
            <w:pPr>
              <w:ind w:left="40"/>
              <w:spacing w:after="0"/>
              <w:rPr>
                <w:sz w:val="20"/>
                <w:szCs w:val="20"/>
                <w:color w:val="auto"/>
              </w:rPr>
            </w:pPr>
            <w:r>
              <w:rPr>
                <w:rFonts w:ascii="Arial" w:cs="Arial" w:eastAsia="Arial" w:hAnsi="Arial"/>
                <w:sz w:val="10"/>
                <w:szCs w:val="10"/>
                <w:color w:val="auto"/>
              </w:rPr>
              <w:t>Rothera Exchange and Clearing LLC (formerly LedgerX LLC, doing business as MIAXdx)</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Net Capital Rule</w:t>
            </w:r>
          </w:p>
        </w:tc>
        <w:tc>
          <w:tcPr>
            <w:tcW w:w="4200" w:type="dxa"/>
            <w:vAlign w:val="bottom"/>
          </w:tcPr>
          <w:p>
            <w:pPr>
              <w:ind w:left="120"/>
              <w:spacing w:after="0"/>
              <w:rPr>
                <w:sz w:val="20"/>
                <w:szCs w:val="20"/>
                <w:color w:val="auto"/>
              </w:rPr>
            </w:pPr>
            <w:r>
              <w:rPr>
                <w:rFonts w:ascii="Arial" w:cs="Arial" w:eastAsia="Arial" w:hAnsi="Arial"/>
                <w:sz w:val="10"/>
                <w:szCs w:val="10"/>
                <w:color w:val="auto"/>
              </w:rPr>
              <w:t>Rule 15c3-1 under the Securities Exchange Act of 1934, as amended</w:t>
            </w:r>
          </w:p>
        </w:tc>
        <w:tc>
          <w:tcPr>
            <w:tcW w:w="1480" w:type="dxa"/>
            <w:vAlign w:val="bottom"/>
          </w:tcPr>
          <w:p>
            <w:pPr>
              <w:ind w:left="20"/>
              <w:spacing w:after="0"/>
              <w:rPr>
                <w:sz w:val="20"/>
                <w:szCs w:val="20"/>
                <w:color w:val="auto"/>
              </w:rPr>
            </w:pPr>
            <w:r>
              <w:rPr>
                <w:rFonts w:ascii="Arial" w:cs="Arial" w:eastAsia="Arial" w:hAnsi="Arial"/>
                <w:sz w:val="10"/>
                <w:szCs w:val="10"/>
                <w:b w:val="1"/>
                <w:bCs w:val="1"/>
                <w:color w:val="auto"/>
              </w:rPr>
              <w:t>RSAs</w:t>
            </w:r>
          </w:p>
        </w:tc>
        <w:tc>
          <w:tcPr>
            <w:tcW w:w="4160" w:type="dxa"/>
            <w:vAlign w:val="bottom"/>
          </w:tcPr>
          <w:p>
            <w:pPr>
              <w:ind w:left="40"/>
              <w:spacing w:after="0"/>
              <w:rPr>
                <w:sz w:val="20"/>
                <w:szCs w:val="20"/>
                <w:color w:val="auto"/>
              </w:rPr>
            </w:pPr>
            <w:r>
              <w:rPr>
                <w:rFonts w:ascii="Arial" w:cs="Arial" w:eastAsia="Arial" w:hAnsi="Arial"/>
                <w:sz w:val="10"/>
                <w:szCs w:val="10"/>
                <w:color w:val="auto"/>
              </w:rPr>
              <w:t>Restricted stock awards</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NFA</w:t>
            </w:r>
          </w:p>
        </w:tc>
        <w:tc>
          <w:tcPr>
            <w:tcW w:w="42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National Futures Association</w:t>
            </w:r>
          </w:p>
        </w:tc>
        <w:tc>
          <w:tcPr>
            <w:tcW w:w="14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RSUs</w:t>
            </w:r>
          </w:p>
        </w:tc>
        <w:tc>
          <w:tcPr>
            <w:tcW w:w="4160" w:type="dxa"/>
            <w:vAlign w:val="bottom"/>
            <w:shd w:val="clear" w:color="auto" w:fill="CCEEFF"/>
          </w:tcPr>
          <w:p>
            <w:pPr>
              <w:ind w:left="40"/>
              <w:spacing w:after="0"/>
              <w:rPr>
                <w:sz w:val="20"/>
                <w:szCs w:val="20"/>
                <w:color w:val="auto"/>
              </w:rPr>
            </w:pPr>
            <w:r>
              <w:rPr>
                <w:rFonts w:ascii="Arial" w:cs="Arial" w:eastAsia="Arial" w:hAnsi="Arial"/>
                <w:sz w:val="10"/>
                <w:szCs w:val="10"/>
                <w:color w:val="auto"/>
              </w:rPr>
              <w:t>Restricted stock units</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NMS</w:t>
            </w:r>
          </w:p>
        </w:tc>
        <w:tc>
          <w:tcPr>
            <w:tcW w:w="4200" w:type="dxa"/>
            <w:vAlign w:val="bottom"/>
          </w:tcPr>
          <w:p>
            <w:pPr>
              <w:ind w:left="120"/>
              <w:spacing w:after="0"/>
              <w:rPr>
                <w:sz w:val="20"/>
                <w:szCs w:val="20"/>
                <w:color w:val="auto"/>
              </w:rPr>
            </w:pPr>
            <w:r>
              <w:rPr>
                <w:rFonts w:ascii="Arial" w:cs="Arial" w:eastAsia="Arial" w:hAnsi="Arial"/>
                <w:sz w:val="10"/>
                <w:szCs w:val="10"/>
                <w:color w:val="auto"/>
              </w:rPr>
              <w:t>National market system</w:t>
            </w:r>
          </w:p>
        </w:tc>
        <w:tc>
          <w:tcPr>
            <w:tcW w:w="1480" w:type="dxa"/>
            <w:vAlign w:val="bottom"/>
          </w:tcPr>
          <w:p>
            <w:pPr>
              <w:ind w:left="20"/>
              <w:spacing w:after="0"/>
              <w:rPr>
                <w:sz w:val="20"/>
                <w:szCs w:val="20"/>
                <w:color w:val="auto"/>
              </w:rPr>
            </w:pPr>
            <w:r>
              <w:rPr>
                <w:rFonts w:ascii="Arial" w:cs="Arial" w:eastAsia="Arial" w:hAnsi="Arial"/>
                <w:sz w:val="10"/>
                <w:szCs w:val="10"/>
                <w:b w:val="1"/>
                <w:bCs w:val="1"/>
                <w:color w:val="auto"/>
              </w:rPr>
              <w:t>RVI</w:t>
            </w:r>
          </w:p>
        </w:tc>
        <w:tc>
          <w:tcPr>
            <w:tcW w:w="4160" w:type="dxa"/>
            <w:vAlign w:val="bottom"/>
          </w:tcPr>
          <w:p>
            <w:pPr>
              <w:ind w:left="40"/>
              <w:spacing w:after="0"/>
              <w:rPr>
                <w:sz w:val="20"/>
                <w:szCs w:val="20"/>
                <w:color w:val="auto"/>
              </w:rPr>
            </w:pPr>
            <w:r>
              <w:rPr>
                <w:rFonts w:ascii="Arial" w:cs="Arial" w:eastAsia="Arial" w:hAnsi="Arial"/>
                <w:sz w:val="10"/>
                <w:szCs w:val="10"/>
                <w:color w:val="auto"/>
              </w:rPr>
              <w:t>Robinhood Ventures Fund I</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NOLs</w:t>
            </w:r>
          </w:p>
        </w:tc>
        <w:tc>
          <w:tcPr>
            <w:tcW w:w="42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Net operating loss carryforwards</w:t>
            </w:r>
          </w:p>
        </w:tc>
        <w:tc>
          <w:tcPr>
            <w:tcW w:w="14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Safety Committee</w:t>
            </w:r>
          </w:p>
        </w:tc>
        <w:tc>
          <w:tcPr>
            <w:tcW w:w="4160" w:type="dxa"/>
            <w:vAlign w:val="bottom"/>
            <w:shd w:val="clear" w:color="auto" w:fill="CCEEFF"/>
          </w:tcPr>
          <w:p>
            <w:pPr>
              <w:ind w:left="40"/>
              <w:spacing w:after="0"/>
              <w:rPr>
                <w:sz w:val="20"/>
                <w:szCs w:val="20"/>
                <w:color w:val="auto"/>
              </w:rPr>
            </w:pPr>
            <w:r>
              <w:rPr>
                <w:rFonts w:ascii="Arial" w:cs="Arial" w:eastAsia="Arial" w:hAnsi="Arial"/>
                <w:sz w:val="10"/>
                <w:szCs w:val="10"/>
                <w:color w:val="auto"/>
              </w:rPr>
              <w:t>Safety, Risk and Regulatory Committee of the board of directors</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NSCC</w:t>
            </w:r>
          </w:p>
        </w:tc>
        <w:tc>
          <w:tcPr>
            <w:tcW w:w="4200" w:type="dxa"/>
            <w:vAlign w:val="bottom"/>
          </w:tcPr>
          <w:p>
            <w:pPr>
              <w:ind w:left="120"/>
              <w:spacing w:after="0"/>
              <w:rPr>
                <w:sz w:val="20"/>
                <w:szCs w:val="20"/>
                <w:color w:val="auto"/>
              </w:rPr>
            </w:pPr>
            <w:r>
              <w:rPr>
                <w:rFonts w:ascii="Arial" w:cs="Arial" w:eastAsia="Arial" w:hAnsi="Arial"/>
                <w:sz w:val="10"/>
                <w:szCs w:val="10"/>
                <w:color w:val="auto"/>
              </w:rPr>
              <w:t>National Securities Clearing Corporation</w:t>
            </w:r>
          </w:p>
        </w:tc>
        <w:tc>
          <w:tcPr>
            <w:tcW w:w="1480" w:type="dxa"/>
            <w:vAlign w:val="bottom"/>
          </w:tcPr>
          <w:p>
            <w:pPr>
              <w:ind w:left="20"/>
              <w:spacing w:after="0"/>
              <w:rPr>
                <w:sz w:val="20"/>
                <w:szCs w:val="20"/>
                <w:color w:val="auto"/>
              </w:rPr>
            </w:pPr>
            <w:r>
              <w:rPr>
                <w:rFonts w:ascii="Arial" w:cs="Arial" w:eastAsia="Arial" w:hAnsi="Arial"/>
                <w:sz w:val="10"/>
                <w:szCs w:val="10"/>
                <w:b w:val="1"/>
                <w:bCs w:val="1"/>
                <w:color w:val="auto"/>
              </w:rPr>
              <w:t>SAR</w:t>
            </w:r>
          </w:p>
        </w:tc>
        <w:tc>
          <w:tcPr>
            <w:tcW w:w="4160" w:type="dxa"/>
            <w:vAlign w:val="bottom"/>
          </w:tcPr>
          <w:p>
            <w:pPr>
              <w:ind w:left="40"/>
              <w:spacing w:after="0"/>
              <w:rPr>
                <w:sz w:val="20"/>
                <w:szCs w:val="20"/>
                <w:color w:val="auto"/>
              </w:rPr>
            </w:pPr>
            <w:r>
              <w:rPr>
                <w:rFonts w:ascii="Arial" w:cs="Arial" w:eastAsia="Arial" w:hAnsi="Arial"/>
                <w:sz w:val="10"/>
                <w:szCs w:val="10"/>
                <w:color w:val="auto"/>
              </w:rPr>
              <w:t>Suspicious activity reporting</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NSOs</w:t>
            </w:r>
          </w:p>
        </w:tc>
        <w:tc>
          <w:tcPr>
            <w:tcW w:w="42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Non-statutory stock options</w:t>
            </w:r>
          </w:p>
        </w:tc>
        <w:tc>
          <w:tcPr>
            <w:tcW w:w="14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SARs</w:t>
            </w:r>
          </w:p>
        </w:tc>
        <w:tc>
          <w:tcPr>
            <w:tcW w:w="4160" w:type="dxa"/>
            <w:vAlign w:val="bottom"/>
            <w:shd w:val="clear" w:color="auto" w:fill="CCEEFF"/>
          </w:tcPr>
          <w:p>
            <w:pPr>
              <w:ind w:left="40"/>
              <w:spacing w:after="0"/>
              <w:rPr>
                <w:sz w:val="20"/>
                <w:szCs w:val="20"/>
                <w:color w:val="auto"/>
              </w:rPr>
            </w:pPr>
            <w:r>
              <w:rPr>
                <w:rFonts w:ascii="Arial" w:cs="Arial" w:eastAsia="Arial" w:hAnsi="Arial"/>
                <w:sz w:val="10"/>
                <w:szCs w:val="10"/>
                <w:color w:val="auto"/>
              </w:rPr>
              <w:t>Stock appreciation rights</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NYDFS</w:t>
            </w:r>
          </w:p>
        </w:tc>
        <w:tc>
          <w:tcPr>
            <w:tcW w:w="4200" w:type="dxa"/>
            <w:vAlign w:val="bottom"/>
          </w:tcPr>
          <w:p>
            <w:pPr>
              <w:ind w:left="120"/>
              <w:spacing w:after="0"/>
              <w:rPr>
                <w:sz w:val="20"/>
                <w:szCs w:val="20"/>
                <w:color w:val="auto"/>
              </w:rPr>
            </w:pPr>
            <w:r>
              <w:rPr>
                <w:rFonts w:ascii="Arial" w:cs="Arial" w:eastAsia="Arial" w:hAnsi="Arial"/>
                <w:sz w:val="10"/>
                <w:szCs w:val="10"/>
                <w:color w:val="auto"/>
              </w:rPr>
              <w:t>New York State Department of Financial Services</w:t>
            </w:r>
          </w:p>
        </w:tc>
        <w:tc>
          <w:tcPr>
            <w:tcW w:w="1480" w:type="dxa"/>
            <w:vAlign w:val="bottom"/>
          </w:tcPr>
          <w:p>
            <w:pPr>
              <w:ind w:left="20"/>
              <w:spacing w:after="0"/>
              <w:rPr>
                <w:sz w:val="20"/>
                <w:szCs w:val="20"/>
                <w:color w:val="auto"/>
              </w:rPr>
            </w:pPr>
            <w:r>
              <w:rPr>
                <w:rFonts w:ascii="Arial" w:cs="Arial" w:eastAsia="Arial" w:hAnsi="Arial"/>
                <w:sz w:val="10"/>
                <w:szCs w:val="10"/>
                <w:b w:val="1"/>
                <w:bCs w:val="1"/>
                <w:color w:val="auto"/>
              </w:rPr>
              <w:t>SBC</w:t>
            </w:r>
          </w:p>
        </w:tc>
        <w:tc>
          <w:tcPr>
            <w:tcW w:w="4160" w:type="dxa"/>
            <w:vAlign w:val="bottom"/>
          </w:tcPr>
          <w:p>
            <w:pPr>
              <w:ind w:left="40"/>
              <w:spacing w:after="0"/>
              <w:rPr>
                <w:sz w:val="20"/>
                <w:szCs w:val="20"/>
                <w:color w:val="auto"/>
              </w:rPr>
            </w:pPr>
            <w:r>
              <w:rPr>
                <w:rFonts w:ascii="Arial" w:cs="Arial" w:eastAsia="Arial" w:hAnsi="Arial"/>
                <w:sz w:val="10"/>
                <w:szCs w:val="10"/>
                <w:color w:val="auto"/>
              </w:rPr>
              <w:t>Share-based compensation</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OECD</w:t>
            </w:r>
          </w:p>
        </w:tc>
        <w:tc>
          <w:tcPr>
            <w:tcW w:w="42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Organization for Economic Cooperation and Development</w:t>
            </w:r>
          </w:p>
        </w:tc>
        <w:tc>
          <w:tcPr>
            <w:tcW w:w="14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SEC</w:t>
            </w:r>
          </w:p>
        </w:tc>
        <w:tc>
          <w:tcPr>
            <w:tcW w:w="4160" w:type="dxa"/>
            <w:vAlign w:val="bottom"/>
            <w:shd w:val="clear" w:color="auto" w:fill="CCEEFF"/>
          </w:tcPr>
          <w:p>
            <w:pPr>
              <w:ind w:left="40"/>
              <w:spacing w:after="0"/>
              <w:rPr>
                <w:sz w:val="20"/>
                <w:szCs w:val="20"/>
                <w:color w:val="auto"/>
              </w:rPr>
            </w:pPr>
            <w:r>
              <w:rPr>
                <w:rFonts w:ascii="Arial" w:cs="Arial" w:eastAsia="Arial" w:hAnsi="Arial"/>
                <w:sz w:val="10"/>
                <w:szCs w:val="10"/>
                <w:color w:val="auto"/>
              </w:rPr>
              <w:t>U.S. Securities and Exchange Commission</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OFAC</w:t>
            </w:r>
          </w:p>
        </w:tc>
        <w:tc>
          <w:tcPr>
            <w:tcW w:w="4200" w:type="dxa"/>
            <w:vAlign w:val="bottom"/>
          </w:tcPr>
          <w:p>
            <w:pPr>
              <w:ind w:left="120"/>
              <w:spacing w:after="0"/>
              <w:rPr>
                <w:sz w:val="20"/>
                <w:szCs w:val="20"/>
                <w:color w:val="auto"/>
              </w:rPr>
            </w:pPr>
            <w:r>
              <w:rPr>
                <w:rFonts w:ascii="Arial" w:cs="Arial" w:eastAsia="Arial" w:hAnsi="Arial"/>
                <w:sz w:val="10"/>
                <w:szCs w:val="10"/>
                <w:color w:val="auto"/>
              </w:rPr>
              <w:t>U.S. Department of the Treasury’s Office of Foreign Assets Controls</w:t>
            </w:r>
          </w:p>
        </w:tc>
        <w:tc>
          <w:tcPr>
            <w:tcW w:w="1480" w:type="dxa"/>
            <w:vAlign w:val="bottom"/>
          </w:tcPr>
          <w:p>
            <w:pPr>
              <w:ind w:left="20"/>
              <w:spacing w:after="0"/>
              <w:rPr>
                <w:sz w:val="20"/>
                <w:szCs w:val="20"/>
                <w:color w:val="auto"/>
              </w:rPr>
            </w:pPr>
            <w:r>
              <w:rPr>
                <w:rFonts w:ascii="Arial" w:cs="Arial" w:eastAsia="Arial" w:hAnsi="Arial"/>
                <w:sz w:val="10"/>
                <w:szCs w:val="10"/>
                <w:b w:val="1"/>
                <w:bCs w:val="1"/>
                <w:color w:val="auto"/>
              </w:rPr>
              <w:t>SEC Staff</w:t>
            </w:r>
          </w:p>
        </w:tc>
        <w:tc>
          <w:tcPr>
            <w:tcW w:w="4160" w:type="dxa"/>
            <w:vAlign w:val="bottom"/>
          </w:tcPr>
          <w:p>
            <w:pPr>
              <w:ind w:left="40"/>
              <w:spacing w:after="0"/>
              <w:rPr>
                <w:sz w:val="20"/>
                <w:szCs w:val="20"/>
                <w:color w:val="auto"/>
              </w:rPr>
            </w:pPr>
            <w:r>
              <w:rPr>
                <w:rFonts w:ascii="Arial" w:cs="Arial" w:eastAsia="Arial" w:hAnsi="Arial"/>
                <w:sz w:val="10"/>
                <w:szCs w:val="10"/>
                <w:color w:val="auto"/>
              </w:rPr>
              <w:t>The Staff of the SEC</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PFOF</w:t>
            </w:r>
          </w:p>
        </w:tc>
        <w:tc>
          <w:tcPr>
            <w:tcW w:w="42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Payment for order flow</w:t>
            </w:r>
          </w:p>
        </w:tc>
        <w:tc>
          <w:tcPr>
            <w:tcW w:w="14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Securities Act</w:t>
            </w:r>
          </w:p>
        </w:tc>
        <w:tc>
          <w:tcPr>
            <w:tcW w:w="4160" w:type="dxa"/>
            <w:vAlign w:val="bottom"/>
            <w:shd w:val="clear" w:color="auto" w:fill="CCEEFF"/>
          </w:tcPr>
          <w:p>
            <w:pPr>
              <w:ind w:left="40"/>
              <w:spacing w:after="0"/>
              <w:rPr>
                <w:sz w:val="20"/>
                <w:szCs w:val="20"/>
                <w:color w:val="auto"/>
              </w:rPr>
            </w:pPr>
            <w:r>
              <w:rPr>
                <w:rFonts w:ascii="Arial" w:cs="Arial" w:eastAsia="Arial" w:hAnsi="Arial"/>
                <w:sz w:val="10"/>
                <w:szCs w:val="10"/>
                <w:color w:val="auto"/>
              </w:rPr>
              <w:t>Securities Act of 1933, as amended</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Prior Repurchase Program</w:t>
            </w:r>
          </w:p>
        </w:tc>
        <w:tc>
          <w:tcPr>
            <w:tcW w:w="4200" w:type="dxa"/>
            <w:vAlign w:val="bottom"/>
          </w:tcPr>
          <w:p>
            <w:pPr>
              <w:ind w:left="120"/>
              <w:spacing w:after="0"/>
              <w:rPr>
                <w:sz w:val="20"/>
                <w:szCs w:val="20"/>
                <w:color w:val="auto"/>
              </w:rPr>
            </w:pPr>
            <w:r>
              <w:rPr>
                <w:rFonts w:ascii="Arial" w:cs="Arial" w:eastAsia="Arial" w:hAnsi="Arial"/>
                <w:sz w:val="10"/>
                <w:szCs w:val="10"/>
                <w:color w:val="auto"/>
              </w:rPr>
              <w:t>Prior share repurchase authorizations previously approved by the Board</w:t>
            </w:r>
          </w:p>
        </w:tc>
        <w:tc>
          <w:tcPr>
            <w:tcW w:w="1480" w:type="dxa"/>
            <w:vAlign w:val="bottom"/>
          </w:tcPr>
          <w:p>
            <w:pPr>
              <w:ind w:left="20"/>
              <w:spacing w:after="0"/>
              <w:rPr>
                <w:sz w:val="20"/>
                <w:szCs w:val="20"/>
                <w:color w:val="auto"/>
              </w:rPr>
            </w:pPr>
            <w:r>
              <w:rPr>
                <w:rFonts w:ascii="Arial" w:cs="Arial" w:eastAsia="Arial" w:hAnsi="Arial"/>
                <w:sz w:val="10"/>
                <w:szCs w:val="10"/>
                <w:b w:val="1"/>
                <w:bCs w:val="1"/>
                <w:color w:val="auto"/>
              </w:rPr>
              <w:t>Sherwood Media</w:t>
            </w:r>
          </w:p>
        </w:tc>
        <w:tc>
          <w:tcPr>
            <w:tcW w:w="4160" w:type="dxa"/>
            <w:vAlign w:val="bottom"/>
          </w:tcPr>
          <w:p>
            <w:pPr>
              <w:ind w:left="40"/>
              <w:spacing w:after="0"/>
              <w:rPr>
                <w:sz w:val="20"/>
                <w:szCs w:val="20"/>
                <w:color w:val="auto"/>
              </w:rPr>
            </w:pPr>
            <w:r>
              <w:rPr>
                <w:rFonts w:ascii="Arial" w:cs="Arial" w:eastAsia="Arial" w:hAnsi="Arial"/>
                <w:sz w:val="10"/>
                <w:szCs w:val="10"/>
                <w:color w:val="auto"/>
              </w:rPr>
              <w:t>Sherwood Media, LLC</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Product-market fit</w:t>
            </w:r>
          </w:p>
        </w:tc>
        <w:tc>
          <w:tcPr>
            <w:tcW w:w="42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The need to adapt, localize, and position our products for specific countries</w:t>
            </w:r>
          </w:p>
        </w:tc>
        <w:tc>
          <w:tcPr>
            <w:tcW w:w="14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SIG</w:t>
            </w:r>
          </w:p>
        </w:tc>
        <w:tc>
          <w:tcPr>
            <w:tcW w:w="4160" w:type="dxa"/>
            <w:vAlign w:val="bottom"/>
            <w:shd w:val="clear" w:color="auto" w:fill="CCEEFF"/>
          </w:tcPr>
          <w:p>
            <w:pPr>
              <w:ind w:left="40"/>
              <w:spacing w:after="0"/>
              <w:rPr>
                <w:sz w:val="20"/>
                <w:szCs w:val="20"/>
                <w:color w:val="auto"/>
              </w:rPr>
            </w:pPr>
            <w:r>
              <w:rPr>
                <w:rFonts w:ascii="Arial" w:cs="Arial" w:eastAsia="Arial" w:hAnsi="Arial"/>
                <w:sz w:val="10"/>
                <w:szCs w:val="10"/>
                <w:color w:val="auto"/>
              </w:rPr>
              <w:t>Susquehanna International Group</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RAM</w:t>
            </w:r>
          </w:p>
        </w:tc>
        <w:tc>
          <w:tcPr>
            <w:tcW w:w="4200" w:type="dxa"/>
            <w:vAlign w:val="bottom"/>
          </w:tcPr>
          <w:p>
            <w:pPr>
              <w:ind w:left="120"/>
              <w:spacing w:after="0"/>
              <w:rPr>
                <w:sz w:val="20"/>
                <w:szCs w:val="20"/>
                <w:color w:val="auto"/>
              </w:rPr>
            </w:pPr>
            <w:r>
              <w:rPr>
                <w:rFonts w:ascii="Arial" w:cs="Arial" w:eastAsia="Arial" w:hAnsi="Arial"/>
                <w:sz w:val="10"/>
                <w:szCs w:val="10"/>
                <w:color w:val="auto"/>
              </w:rPr>
              <w:t>Robinhood Asset Management, LLC</w:t>
            </w:r>
          </w:p>
        </w:tc>
        <w:tc>
          <w:tcPr>
            <w:tcW w:w="1480" w:type="dxa"/>
            <w:vAlign w:val="bottom"/>
          </w:tcPr>
          <w:p>
            <w:pPr>
              <w:ind w:left="20"/>
              <w:spacing w:after="0"/>
              <w:rPr>
                <w:sz w:val="20"/>
                <w:szCs w:val="20"/>
                <w:color w:val="auto"/>
              </w:rPr>
            </w:pPr>
            <w:r>
              <w:rPr>
                <w:rFonts w:ascii="Arial" w:cs="Arial" w:eastAsia="Arial" w:hAnsi="Arial"/>
                <w:sz w:val="10"/>
                <w:szCs w:val="10"/>
                <w:b w:val="1"/>
                <w:bCs w:val="1"/>
                <w:color w:val="auto"/>
              </w:rPr>
              <w:t>SIPC</w:t>
            </w:r>
          </w:p>
        </w:tc>
        <w:tc>
          <w:tcPr>
            <w:tcW w:w="4160" w:type="dxa"/>
            <w:vAlign w:val="bottom"/>
          </w:tcPr>
          <w:p>
            <w:pPr>
              <w:ind w:left="40"/>
              <w:spacing w:after="0"/>
              <w:rPr>
                <w:sz w:val="20"/>
                <w:szCs w:val="20"/>
                <w:color w:val="auto"/>
              </w:rPr>
            </w:pPr>
            <w:r>
              <w:rPr>
                <w:rFonts w:ascii="Arial" w:cs="Arial" w:eastAsia="Arial" w:hAnsi="Arial"/>
                <w:sz w:val="10"/>
                <w:szCs w:val="10"/>
                <w:color w:val="auto"/>
              </w:rPr>
              <w:t>Securities Investor Protection Corporation</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Repurchase Program</w:t>
            </w:r>
          </w:p>
        </w:tc>
        <w:tc>
          <w:tcPr>
            <w:tcW w:w="42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Share repurchase program</w:t>
            </w:r>
          </w:p>
        </w:tc>
        <w:tc>
          <w:tcPr>
            <w:tcW w:w="14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SOFR</w:t>
            </w:r>
          </w:p>
        </w:tc>
        <w:tc>
          <w:tcPr>
            <w:tcW w:w="4160" w:type="dxa"/>
            <w:vAlign w:val="bottom"/>
            <w:shd w:val="clear" w:color="auto" w:fill="CCEEFF"/>
          </w:tcPr>
          <w:p>
            <w:pPr>
              <w:ind w:left="40"/>
              <w:spacing w:after="0"/>
              <w:rPr>
                <w:sz w:val="20"/>
                <w:szCs w:val="20"/>
                <w:color w:val="auto"/>
              </w:rPr>
            </w:pPr>
            <w:r>
              <w:rPr>
                <w:rFonts w:ascii="Arial" w:cs="Arial" w:eastAsia="Arial" w:hAnsi="Arial"/>
                <w:sz w:val="10"/>
                <w:szCs w:val="10"/>
                <w:color w:val="auto"/>
              </w:rPr>
              <w:t>Secured Overnight Financing Rate</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RFIA</w:t>
            </w:r>
          </w:p>
        </w:tc>
        <w:tc>
          <w:tcPr>
            <w:tcW w:w="4200" w:type="dxa"/>
            <w:vAlign w:val="bottom"/>
          </w:tcPr>
          <w:p>
            <w:pPr>
              <w:ind w:left="120"/>
              <w:spacing w:after="0"/>
              <w:rPr>
                <w:sz w:val="20"/>
                <w:szCs w:val="20"/>
                <w:color w:val="auto"/>
              </w:rPr>
            </w:pPr>
            <w:r>
              <w:rPr>
                <w:rFonts w:ascii="Arial" w:cs="Arial" w:eastAsia="Arial" w:hAnsi="Arial"/>
                <w:sz w:val="10"/>
                <w:szCs w:val="10"/>
                <w:color w:val="auto"/>
              </w:rPr>
              <w:t>Responsible Financial Innovation Act of 2025</w:t>
            </w:r>
          </w:p>
        </w:tc>
        <w:tc>
          <w:tcPr>
            <w:tcW w:w="1480" w:type="dxa"/>
            <w:vAlign w:val="bottom"/>
          </w:tcPr>
          <w:p>
            <w:pPr>
              <w:ind w:left="20"/>
              <w:spacing w:after="0"/>
              <w:rPr>
                <w:sz w:val="20"/>
                <w:szCs w:val="20"/>
                <w:color w:val="auto"/>
              </w:rPr>
            </w:pPr>
            <w:r>
              <w:rPr>
                <w:rFonts w:ascii="Arial" w:cs="Arial" w:eastAsia="Arial" w:hAnsi="Arial"/>
                <w:sz w:val="10"/>
                <w:szCs w:val="10"/>
                <w:b w:val="1"/>
                <w:bCs w:val="1"/>
                <w:color w:val="auto"/>
              </w:rPr>
              <w:t>SPV</w:t>
            </w:r>
          </w:p>
        </w:tc>
        <w:tc>
          <w:tcPr>
            <w:tcW w:w="4160" w:type="dxa"/>
            <w:vAlign w:val="bottom"/>
          </w:tcPr>
          <w:p>
            <w:pPr>
              <w:ind w:left="40"/>
              <w:spacing w:after="0"/>
              <w:rPr>
                <w:sz w:val="20"/>
                <w:szCs w:val="20"/>
                <w:color w:val="auto"/>
              </w:rPr>
            </w:pPr>
            <w:r>
              <w:rPr>
                <w:rFonts w:ascii="Arial" w:cs="Arial" w:eastAsia="Arial" w:hAnsi="Arial"/>
                <w:sz w:val="10"/>
                <w:szCs w:val="10"/>
                <w:color w:val="auto"/>
              </w:rPr>
              <w:t>Special purpose vehicle</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RHC</w:t>
            </w:r>
          </w:p>
        </w:tc>
        <w:tc>
          <w:tcPr>
            <w:tcW w:w="42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Robinhood Crypto, LLC</w:t>
            </w:r>
          </w:p>
        </w:tc>
        <w:tc>
          <w:tcPr>
            <w:tcW w:w="14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SROs</w:t>
            </w:r>
          </w:p>
        </w:tc>
        <w:tc>
          <w:tcPr>
            <w:tcW w:w="4160" w:type="dxa"/>
            <w:vAlign w:val="bottom"/>
            <w:shd w:val="clear" w:color="auto" w:fill="CCEEFF"/>
          </w:tcPr>
          <w:p>
            <w:pPr>
              <w:ind w:left="40"/>
              <w:spacing w:after="0"/>
              <w:rPr>
                <w:sz w:val="20"/>
                <w:szCs w:val="20"/>
                <w:color w:val="auto"/>
              </w:rPr>
            </w:pPr>
            <w:r>
              <w:rPr>
                <w:rFonts w:ascii="Arial" w:cs="Arial" w:eastAsia="Arial" w:hAnsi="Arial"/>
                <w:sz w:val="10"/>
                <w:szCs w:val="10"/>
                <w:color w:val="auto"/>
              </w:rPr>
              <w:t>Self-Regulatory Organizations</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RHD</w:t>
            </w:r>
          </w:p>
        </w:tc>
        <w:tc>
          <w:tcPr>
            <w:tcW w:w="4200" w:type="dxa"/>
            <w:vAlign w:val="bottom"/>
          </w:tcPr>
          <w:p>
            <w:pPr>
              <w:ind w:left="120"/>
              <w:spacing w:after="0"/>
              <w:rPr>
                <w:sz w:val="20"/>
                <w:szCs w:val="20"/>
                <w:color w:val="auto"/>
              </w:rPr>
            </w:pPr>
            <w:r>
              <w:rPr>
                <w:rFonts w:ascii="Arial" w:cs="Arial" w:eastAsia="Arial" w:hAnsi="Arial"/>
                <w:sz w:val="10"/>
                <w:szCs w:val="10"/>
                <w:color w:val="auto"/>
              </w:rPr>
              <w:t>Robinhood Derivatives, LLC</w:t>
            </w:r>
          </w:p>
        </w:tc>
        <w:tc>
          <w:tcPr>
            <w:tcW w:w="1480" w:type="dxa"/>
            <w:vAlign w:val="bottom"/>
          </w:tcPr>
          <w:p>
            <w:pPr>
              <w:ind w:left="20"/>
              <w:spacing w:after="0"/>
              <w:rPr>
                <w:sz w:val="20"/>
                <w:szCs w:val="20"/>
                <w:color w:val="auto"/>
              </w:rPr>
            </w:pPr>
            <w:r>
              <w:rPr>
                <w:rFonts w:ascii="Arial" w:cs="Arial" w:eastAsia="Arial" w:hAnsi="Arial"/>
                <w:sz w:val="10"/>
                <w:szCs w:val="10"/>
                <w:b w:val="1"/>
                <w:bCs w:val="1"/>
                <w:color w:val="auto"/>
              </w:rPr>
              <w:t>Sutton</w:t>
            </w:r>
          </w:p>
        </w:tc>
        <w:tc>
          <w:tcPr>
            <w:tcW w:w="4160" w:type="dxa"/>
            <w:vAlign w:val="bottom"/>
          </w:tcPr>
          <w:p>
            <w:pPr>
              <w:ind w:left="40"/>
              <w:spacing w:after="0"/>
              <w:rPr>
                <w:sz w:val="20"/>
                <w:szCs w:val="20"/>
                <w:color w:val="auto"/>
              </w:rPr>
            </w:pPr>
            <w:r>
              <w:rPr>
                <w:rFonts w:ascii="Arial" w:cs="Arial" w:eastAsia="Arial" w:hAnsi="Arial"/>
                <w:sz w:val="10"/>
                <w:szCs w:val="10"/>
                <w:color w:val="auto"/>
              </w:rPr>
              <w:t>Sutton Bank</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RHEU</w:t>
            </w:r>
          </w:p>
        </w:tc>
        <w:tc>
          <w:tcPr>
            <w:tcW w:w="42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Robinhood Europe, UAB</w:t>
            </w:r>
          </w:p>
        </w:tc>
        <w:tc>
          <w:tcPr>
            <w:tcW w:w="14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SVB</w:t>
            </w:r>
          </w:p>
        </w:tc>
        <w:tc>
          <w:tcPr>
            <w:tcW w:w="4160" w:type="dxa"/>
            <w:vAlign w:val="bottom"/>
            <w:shd w:val="clear" w:color="auto" w:fill="CCEEFF"/>
          </w:tcPr>
          <w:p>
            <w:pPr>
              <w:ind w:left="40"/>
              <w:spacing w:after="0"/>
              <w:rPr>
                <w:sz w:val="20"/>
                <w:szCs w:val="20"/>
                <w:color w:val="auto"/>
              </w:rPr>
            </w:pPr>
            <w:r>
              <w:rPr>
                <w:rFonts w:ascii="Arial" w:cs="Arial" w:eastAsia="Arial" w:hAnsi="Arial"/>
                <w:sz w:val="10"/>
                <w:szCs w:val="10"/>
                <w:color w:val="auto"/>
              </w:rPr>
              <w:t>Silicon Valley Bank</w:t>
            </w:r>
          </w:p>
        </w:tc>
      </w:tr>
      <w:tr>
        <w:trPr>
          <w:trHeight w:val="11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RHF</w:t>
            </w:r>
          </w:p>
        </w:tc>
        <w:tc>
          <w:tcPr>
            <w:tcW w:w="4200" w:type="dxa"/>
            <w:vAlign w:val="bottom"/>
          </w:tcPr>
          <w:p>
            <w:pPr>
              <w:ind w:left="120"/>
              <w:spacing w:after="0"/>
              <w:rPr>
                <w:sz w:val="20"/>
                <w:szCs w:val="20"/>
                <w:color w:val="auto"/>
              </w:rPr>
            </w:pPr>
            <w:r>
              <w:rPr>
                <w:rFonts w:ascii="Arial" w:cs="Arial" w:eastAsia="Arial" w:hAnsi="Arial"/>
                <w:sz w:val="10"/>
                <w:szCs w:val="10"/>
                <w:color w:val="auto"/>
              </w:rPr>
              <w:t>Robinhood Financial LLC</w:t>
            </w:r>
          </w:p>
        </w:tc>
        <w:tc>
          <w:tcPr>
            <w:tcW w:w="1480" w:type="dxa"/>
            <w:vAlign w:val="bottom"/>
          </w:tcPr>
          <w:p>
            <w:pPr>
              <w:ind w:left="20"/>
              <w:spacing w:after="0"/>
              <w:rPr>
                <w:sz w:val="20"/>
                <w:szCs w:val="20"/>
                <w:color w:val="auto"/>
              </w:rPr>
            </w:pPr>
            <w:r>
              <w:rPr>
                <w:rFonts w:ascii="Arial" w:cs="Arial" w:eastAsia="Arial" w:hAnsi="Arial"/>
                <w:sz w:val="10"/>
                <w:szCs w:val="10"/>
                <w:b w:val="1"/>
                <w:bCs w:val="1"/>
                <w:color w:val="auto"/>
              </w:rPr>
              <w:t>Tick Size and Access Fee Cap</w:t>
            </w:r>
          </w:p>
        </w:tc>
        <w:tc>
          <w:tcPr>
            <w:tcW w:w="4160" w:type="dxa"/>
            <w:vAlign w:val="bottom"/>
          </w:tcPr>
          <w:p>
            <w:pPr>
              <w:ind w:left="40"/>
              <w:spacing w:after="0"/>
              <w:rPr>
                <w:sz w:val="20"/>
                <w:szCs w:val="20"/>
                <w:color w:val="auto"/>
              </w:rPr>
            </w:pPr>
            <w:r>
              <w:rPr>
                <w:rFonts w:ascii="Arial" w:cs="Arial" w:eastAsia="Arial" w:hAnsi="Arial"/>
                <w:sz w:val="10"/>
                <w:szCs w:val="10"/>
                <w:color w:val="auto"/>
              </w:rPr>
              <w:t>Rules related to order tick size and access fee caps adopted by the SEC in September 2024</w:t>
            </w:r>
          </w:p>
        </w:tc>
      </w:tr>
      <w:tr>
        <w:trPr>
          <w:trHeight w:val="138"/>
        </w:trPr>
        <w:tc>
          <w:tcPr>
            <w:tcW w:w="140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480" w:type="dxa"/>
            <w:vAlign w:val="bottom"/>
          </w:tcPr>
          <w:p>
            <w:pPr>
              <w:ind w:left="20"/>
              <w:spacing w:after="0"/>
              <w:rPr>
                <w:sz w:val="20"/>
                <w:szCs w:val="20"/>
                <w:color w:val="auto"/>
              </w:rPr>
            </w:pPr>
            <w:r>
              <w:rPr>
                <w:rFonts w:ascii="Arial" w:cs="Arial" w:eastAsia="Arial" w:hAnsi="Arial"/>
                <w:sz w:val="10"/>
                <w:szCs w:val="10"/>
                <w:b w:val="1"/>
                <w:bCs w:val="1"/>
                <w:color w:val="auto"/>
              </w:rPr>
              <w:t>Rules</w:t>
            </w:r>
          </w:p>
        </w:tc>
        <w:tc>
          <w:tcPr>
            <w:tcW w:w="4160" w:type="dxa"/>
            <w:vAlign w:val="bottom"/>
          </w:tcPr>
          <w:p>
            <w:pPr>
              <w:spacing w:after="0"/>
              <w:rPr>
                <w:sz w:val="11"/>
                <w:szCs w:val="11"/>
                <w:color w:val="auto"/>
              </w:rPr>
            </w:pPr>
          </w:p>
        </w:tc>
      </w:tr>
      <w:tr>
        <w:trPr>
          <w:trHeight w:val="119"/>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RHM March 2026 Credit</w:t>
            </w:r>
          </w:p>
        </w:tc>
        <w:tc>
          <w:tcPr>
            <w:tcW w:w="56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 xml:space="preserve">Third Amended and Restated Credit Agreement, dated as of March 21, 2025, among RHM, </w:t>
            </w:r>
            <w:r>
              <w:rPr>
                <w:rFonts w:ascii="Arial" w:cs="Arial" w:eastAsia="Arial" w:hAnsi="Arial"/>
                <w:sz w:val="10"/>
                <w:szCs w:val="10"/>
                <w:b w:val="1"/>
                <w:bCs w:val="1"/>
                <w:color w:val="auto"/>
              </w:rPr>
              <w:t>Time-Based RSUs</w:t>
            </w:r>
          </w:p>
        </w:tc>
        <w:tc>
          <w:tcPr>
            <w:tcW w:w="4160" w:type="dxa"/>
            <w:vAlign w:val="bottom"/>
            <w:shd w:val="clear" w:color="auto" w:fill="CCEEFF"/>
          </w:tcPr>
          <w:p>
            <w:pPr>
              <w:ind w:left="40"/>
              <w:spacing w:after="0"/>
              <w:rPr>
                <w:sz w:val="20"/>
                <w:szCs w:val="20"/>
                <w:color w:val="auto"/>
              </w:rPr>
            </w:pPr>
            <w:r>
              <w:rPr>
                <w:rFonts w:ascii="Arial" w:cs="Arial" w:eastAsia="Arial" w:hAnsi="Arial"/>
                <w:sz w:val="10"/>
                <w:szCs w:val="10"/>
                <w:color w:val="auto"/>
              </w:rPr>
              <w:t>Time-based RSUs that vest upon the satisfaction of a time-based service condition</w:t>
            </w:r>
          </w:p>
        </w:tc>
      </w:tr>
      <w:tr>
        <w:trPr>
          <w:trHeight w:val="100"/>
        </w:trPr>
        <w:tc>
          <w:tcPr>
            <w:tcW w:w="1400" w:type="dxa"/>
            <w:vAlign w:val="bottom"/>
            <w:shd w:val="clear" w:color="auto" w:fill="CCEEFF"/>
          </w:tcPr>
          <w:p>
            <w:pPr>
              <w:ind w:left="20"/>
              <w:spacing w:after="0" w:line="100" w:lineRule="exact"/>
              <w:rPr>
                <w:sz w:val="20"/>
                <w:szCs w:val="20"/>
                <w:color w:val="auto"/>
              </w:rPr>
            </w:pPr>
            <w:r>
              <w:rPr>
                <w:rFonts w:ascii="Arial" w:cs="Arial" w:eastAsia="Arial" w:hAnsi="Arial"/>
                <w:sz w:val="10"/>
                <w:szCs w:val="10"/>
                <w:b w:val="1"/>
                <w:bCs w:val="1"/>
                <w:color w:val="auto"/>
              </w:rPr>
              <w:t>Agreement</w:t>
            </w:r>
          </w:p>
        </w:tc>
        <w:tc>
          <w:tcPr>
            <w:tcW w:w="4200" w:type="dxa"/>
            <w:vAlign w:val="bottom"/>
            <w:shd w:val="clear" w:color="auto" w:fill="CCEEFF"/>
          </w:tcPr>
          <w:p>
            <w:pPr>
              <w:ind w:left="120"/>
              <w:spacing w:after="0" w:line="100" w:lineRule="exact"/>
              <w:rPr>
                <w:sz w:val="20"/>
                <w:szCs w:val="20"/>
                <w:color w:val="auto"/>
              </w:rPr>
            </w:pPr>
            <w:r>
              <w:rPr>
                <w:rFonts w:ascii="Arial" w:cs="Arial" w:eastAsia="Arial" w:hAnsi="Arial"/>
                <w:sz w:val="10"/>
                <w:szCs w:val="10"/>
                <w:color w:val="auto"/>
                <w:w w:val="99"/>
              </w:rPr>
              <w:t>as borrower, and a syndicate of banks, as amended by the Second Amendment, dated as of</w:t>
            </w:r>
          </w:p>
        </w:tc>
        <w:tc>
          <w:tcPr>
            <w:tcW w:w="1480" w:type="dxa"/>
            <w:vAlign w:val="bottom"/>
            <w:shd w:val="clear" w:color="auto" w:fill="CCEEFF"/>
          </w:tcPr>
          <w:p>
            <w:pPr>
              <w:spacing w:after="0"/>
              <w:rPr>
                <w:sz w:val="8"/>
                <w:szCs w:val="8"/>
                <w:color w:val="auto"/>
              </w:rPr>
            </w:pPr>
          </w:p>
        </w:tc>
        <w:tc>
          <w:tcPr>
            <w:tcW w:w="4160" w:type="dxa"/>
            <w:vAlign w:val="bottom"/>
            <w:shd w:val="clear" w:color="auto" w:fill="CCEEFF"/>
          </w:tcPr>
          <w:p>
            <w:pPr>
              <w:spacing w:after="0"/>
              <w:rPr>
                <w:sz w:val="8"/>
                <w:szCs w:val="8"/>
                <w:color w:val="auto"/>
              </w:rPr>
            </w:pPr>
          </w:p>
        </w:tc>
      </w:tr>
      <w:tr>
        <w:trPr>
          <w:trHeight w:val="135"/>
        </w:trPr>
        <w:tc>
          <w:tcPr>
            <w:tcW w:w="1400" w:type="dxa"/>
            <w:vAlign w:val="bottom"/>
            <w:shd w:val="clear" w:color="auto" w:fill="CCEEFF"/>
          </w:tcPr>
          <w:p>
            <w:pPr>
              <w:spacing w:after="0"/>
              <w:rPr>
                <w:sz w:val="11"/>
                <w:szCs w:val="11"/>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March 9, 2026</w:t>
            </w:r>
          </w:p>
        </w:tc>
        <w:tc>
          <w:tcPr>
            <w:tcW w:w="1480" w:type="dxa"/>
            <w:vAlign w:val="bottom"/>
            <w:shd w:val="clear" w:color="auto" w:fill="CCEEFF"/>
          </w:tcPr>
          <w:p>
            <w:pPr>
              <w:spacing w:after="0"/>
              <w:rPr>
                <w:sz w:val="11"/>
                <w:szCs w:val="11"/>
                <w:color w:val="auto"/>
              </w:rPr>
            </w:pPr>
          </w:p>
        </w:tc>
        <w:tc>
          <w:tcPr>
            <w:tcW w:w="4160" w:type="dxa"/>
            <w:vAlign w:val="bottom"/>
            <w:shd w:val="clear" w:color="auto" w:fill="CCEEFF"/>
          </w:tcPr>
          <w:p>
            <w:pPr>
              <w:spacing w:after="0"/>
              <w:rPr>
                <w:sz w:val="11"/>
                <w:szCs w:val="11"/>
                <w:color w:val="auto"/>
              </w:rPr>
            </w:pP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RHS</w:t>
            </w:r>
          </w:p>
        </w:tc>
        <w:tc>
          <w:tcPr>
            <w:tcW w:w="4200" w:type="dxa"/>
            <w:vAlign w:val="bottom"/>
          </w:tcPr>
          <w:p>
            <w:pPr>
              <w:ind w:left="120"/>
              <w:spacing w:after="0"/>
              <w:rPr>
                <w:sz w:val="20"/>
                <w:szCs w:val="20"/>
                <w:color w:val="auto"/>
              </w:rPr>
            </w:pPr>
            <w:r>
              <w:rPr>
                <w:rFonts w:ascii="Arial" w:cs="Arial" w:eastAsia="Arial" w:hAnsi="Arial"/>
                <w:sz w:val="10"/>
                <w:szCs w:val="10"/>
                <w:color w:val="auto"/>
              </w:rPr>
              <w:t>Robinhood Securities, LLC</w:t>
            </w:r>
          </w:p>
        </w:tc>
        <w:tc>
          <w:tcPr>
            <w:tcW w:w="1480" w:type="dxa"/>
            <w:vAlign w:val="bottom"/>
          </w:tcPr>
          <w:p>
            <w:pPr>
              <w:ind w:left="20"/>
              <w:spacing w:after="0"/>
              <w:rPr>
                <w:sz w:val="20"/>
                <w:szCs w:val="20"/>
                <w:color w:val="auto"/>
              </w:rPr>
            </w:pPr>
            <w:r>
              <w:rPr>
                <w:rFonts w:ascii="Arial" w:cs="Arial" w:eastAsia="Arial" w:hAnsi="Arial"/>
                <w:sz w:val="10"/>
                <w:szCs w:val="10"/>
                <w:b w:val="1"/>
                <w:bCs w:val="1"/>
                <w:color w:val="auto"/>
              </w:rPr>
              <w:t>TradePMR</w:t>
            </w:r>
          </w:p>
        </w:tc>
        <w:tc>
          <w:tcPr>
            <w:tcW w:w="4160" w:type="dxa"/>
            <w:vAlign w:val="bottom"/>
          </w:tcPr>
          <w:p>
            <w:pPr>
              <w:ind w:left="40"/>
              <w:spacing w:after="0"/>
              <w:rPr>
                <w:sz w:val="20"/>
                <w:szCs w:val="20"/>
                <w:color w:val="auto"/>
              </w:rPr>
            </w:pPr>
            <w:r>
              <w:rPr>
                <w:rFonts w:ascii="Arial" w:cs="Arial" w:eastAsia="Arial" w:hAnsi="Arial"/>
                <w:sz w:val="10"/>
                <w:szCs w:val="10"/>
                <w:color w:val="auto"/>
              </w:rPr>
              <w:t>Trade-PMR, Inc.</w:t>
            </w:r>
          </w:p>
        </w:tc>
      </w:tr>
      <w:tr>
        <w:trPr>
          <w:trHeight w:val="119"/>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RHS March 2026 Credit</w:t>
            </w:r>
          </w:p>
        </w:tc>
        <w:tc>
          <w:tcPr>
            <w:tcW w:w="56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 xml:space="preserve">Fifth Amended and Restated Credit Agreement, dated as of March 20, 2026, among RHS, as </w:t>
            </w:r>
            <w:r>
              <w:rPr>
                <w:rFonts w:ascii="Arial" w:cs="Arial" w:eastAsia="Arial" w:hAnsi="Arial"/>
                <w:sz w:val="10"/>
                <w:szCs w:val="10"/>
                <w:b w:val="1"/>
                <w:bCs w:val="1"/>
                <w:color w:val="auto"/>
              </w:rPr>
              <w:t>TRF</w:t>
            </w:r>
          </w:p>
        </w:tc>
        <w:tc>
          <w:tcPr>
            <w:tcW w:w="4160" w:type="dxa"/>
            <w:vAlign w:val="bottom"/>
            <w:shd w:val="clear" w:color="auto" w:fill="CCEEFF"/>
          </w:tcPr>
          <w:p>
            <w:pPr>
              <w:ind w:left="40"/>
              <w:spacing w:after="0"/>
              <w:rPr>
                <w:sz w:val="20"/>
                <w:szCs w:val="20"/>
                <w:color w:val="auto"/>
              </w:rPr>
            </w:pPr>
            <w:r>
              <w:rPr>
                <w:rFonts w:ascii="Arial" w:cs="Arial" w:eastAsia="Arial" w:hAnsi="Arial"/>
                <w:sz w:val="10"/>
                <w:szCs w:val="10"/>
                <w:color w:val="auto"/>
              </w:rPr>
              <w:t>Trade Reporting Facilities</w:t>
            </w:r>
          </w:p>
        </w:tc>
      </w:tr>
      <w:tr>
        <w:trPr>
          <w:trHeight w:val="100"/>
        </w:trPr>
        <w:tc>
          <w:tcPr>
            <w:tcW w:w="1400" w:type="dxa"/>
            <w:vAlign w:val="bottom"/>
            <w:shd w:val="clear" w:color="auto" w:fill="CCEEFF"/>
          </w:tcPr>
          <w:p>
            <w:pPr>
              <w:ind w:left="20"/>
              <w:spacing w:after="0" w:line="100" w:lineRule="exact"/>
              <w:rPr>
                <w:sz w:val="20"/>
                <w:szCs w:val="20"/>
                <w:color w:val="auto"/>
              </w:rPr>
            </w:pPr>
            <w:r>
              <w:rPr>
                <w:rFonts w:ascii="Arial" w:cs="Arial" w:eastAsia="Arial" w:hAnsi="Arial"/>
                <w:sz w:val="10"/>
                <w:szCs w:val="10"/>
                <w:b w:val="1"/>
                <w:bCs w:val="1"/>
                <w:color w:val="auto"/>
              </w:rPr>
              <w:t>Agreement</w:t>
            </w:r>
          </w:p>
        </w:tc>
        <w:tc>
          <w:tcPr>
            <w:tcW w:w="4200" w:type="dxa"/>
            <w:vAlign w:val="bottom"/>
            <w:shd w:val="clear" w:color="auto" w:fill="CCEEFF"/>
          </w:tcPr>
          <w:p>
            <w:pPr>
              <w:ind w:left="120"/>
              <w:spacing w:after="0" w:line="100" w:lineRule="exact"/>
              <w:rPr>
                <w:sz w:val="20"/>
                <w:szCs w:val="20"/>
                <w:color w:val="auto"/>
              </w:rPr>
            </w:pPr>
            <w:r>
              <w:rPr>
                <w:rFonts w:ascii="Arial" w:cs="Arial" w:eastAsia="Arial" w:hAnsi="Arial"/>
                <w:sz w:val="10"/>
                <w:szCs w:val="10"/>
                <w:color w:val="auto"/>
              </w:rPr>
              <w:t>borrower, the lenders party thereto, and JPMorgan Chase Bank, N.A., as administrative</w:t>
            </w:r>
          </w:p>
        </w:tc>
        <w:tc>
          <w:tcPr>
            <w:tcW w:w="1480" w:type="dxa"/>
            <w:vAlign w:val="bottom"/>
            <w:shd w:val="clear" w:color="auto" w:fill="CCEEFF"/>
          </w:tcPr>
          <w:p>
            <w:pPr>
              <w:spacing w:after="0"/>
              <w:rPr>
                <w:sz w:val="8"/>
                <w:szCs w:val="8"/>
                <w:color w:val="auto"/>
              </w:rPr>
            </w:pPr>
          </w:p>
        </w:tc>
        <w:tc>
          <w:tcPr>
            <w:tcW w:w="4160" w:type="dxa"/>
            <w:vAlign w:val="bottom"/>
            <w:shd w:val="clear" w:color="auto" w:fill="CCEEFF"/>
          </w:tcPr>
          <w:p>
            <w:pPr>
              <w:spacing w:after="0"/>
              <w:rPr>
                <w:sz w:val="8"/>
                <w:szCs w:val="8"/>
                <w:color w:val="auto"/>
              </w:rPr>
            </w:pPr>
          </w:p>
        </w:tc>
      </w:tr>
      <w:tr>
        <w:trPr>
          <w:trHeight w:val="135"/>
        </w:trPr>
        <w:tc>
          <w:tcPr>
            <w:tcW w:w="1400" w:type="dxa"/>
            <w:vAlign w:val="bottom"/>
            <w:shd w:val="clear" w:color="auto" w:fill="CCEEFF"/>
          </w:tcPr>
          <w:p>
            <w:pPr>
              <w:spacing w:after="0"/>
              <w:rPr>
                <w:sz w:val="11"/>
                <w:szCs w:val="11"/>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agent</w:t>
            </w:r>
          </w:p>
        </w:tc>
        <w:tc>
          <w:tcPr>
            <w:tcW w:w="1480" w:type="dxa"/>
            <w:vAlign w:val="bottom"/>
            <w:shd w:val="clear" w:color="auto" w:fill="CCEEFF"/>
          </w:tcPr>
          <w:p>
            <w:pPr>
              <w:spacing w:after="0"/>
              <w:rPr>
                <w:sz w:val="11"/>
                <w:szCs w:val="11"/>
                <w:color w:val="auto"/>
              </w:rPr>
            </w:pPr>
          </w:p>
        </w:tc>
        <w:tc>
          <w:tcPr>
            <w:tcW w:w="4160" w:type="dxa"/>
            <w:vAlign w:val="bottom"/>
            <w:shd w:val="clear" w:color="auto" w:fill="CCEEFF"/>
          </w:tcPr>
          <w:p>
            <w:pPr>
              <w:spacing w:after="0"/>
              <w:rPr>
                <w:sz w:val="11"/>
                <w:szCs w:val="11"/>
                <w:color w:val="auto"/>
              </w:rPr>
            </w:pP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RHUK</w:t>
            </w:r>
          </w:p>
        </w:tc>
        <w:tc>
          <w:tcPr>
            <w:tcW w:w="4200" w:type="dxa"/>
            <w:vAlign w:val="bottom"/>
          </w:tcPr>
          <w:p>
            <w:pPr>
              <w:ind w:left="120"/>
              <w:spacing w:after="0"/>
              <w:rPr>
                <w:sz w:val="20"/>
                <w:szCs w:val="20"/>
                <w:color w:val="auto"/>
              </w:rPr>
            </w:pPr>
            <w:r>
              <w:rPr>
                <w:rFonts w:ascii="Arial" w:cs="Arial" w:eastAsia="Arial" w:hAnsi="Arial"/>
                <w:sz w:val="10"/>
                <w:szCs w:val="10"/>
                <w:color w:val="auto"/>
              </w:rPr>
              <w:t>Robinhood U.K. Ltd</w:t>
            </w:r>
          </w:p>
        </w:tc>
        <w:tc>
          <w:tcPr>
            <w:tcW w:w="1480" w:type="dxa"/>
            <w:vAlign w:val="bottom"/>
          </w:tcPr>
          <w:p>
            <w:pPr>
              <w:ind w:left="20"/>
              <w:spacing w:after="0"/>
              <w:rPr>
                <w:sz w:val="20"/>
                <w:szCs w:val="20"/>
                <w:color w:val="auto"/>
              </w:rPr>
            </w:pPr>
            <w:r>
              <w:rPr>
                <w:rFonts w:ascii="Arial" w:cs="Arial" w:eastAsia="Arial" w:hAnsi="Arial"/>
                <w:sz w:val="10"/>
                <w:szCs w:val="10"/>
                <w:b w:val="1"/>
                <w:bCs w:val="1"/>
                <w:color w:val="auto"/>
              </w:rPr>
              <w:t>Trust</w:t>
            </w:r>
          </w:p>
        </w:tc>
        <w:tc>
          <w:tcPr>
            <w:tcW w:w="4160" w:type="dxa"/>
            <w:vAlign w:val="bottom"/>
          </w:tcPr>
          <w:p>
            <w:pPr>
              <w:ind w:left="40"/>
              <w:spacing w:after="0"/>
              <w:rPr>
                <w:sz w:val="20"/>
                <w:szCs w:val="20"/>
                <w:color w:val="auto"/>
              </w:rPr>
            </w:pPr>
            <w:r>
              <w:rPr>
                <w:rFonts w:ascii="Arial" w:cs="Arial" w:eastAsia="Arial" w:hAnsi="Arial"/>
                <w:sz w:val="10"/>
                <w:szCs w:val="10"/>
                <w:color w:val="auto"/>
              </w:rPr>
              <w:t>Credit Card Funding Trust</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RHV</w:t>
            </w:r>
          </w:p>
        </w:tc>
        <w:tc>
          <w:tcPr>
            <w:tcW w:w="42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Robinhood Ventures DE, LLC</w:t>
            </w:r>
          </w:p>
        </w:tc>
        <w:tc>
          <w:tcPr>
            <w:tcW w:w="14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U.K.</w:t>
            </w:r>
          </w:p>
        </w:tc>
        <w:tc>
          <w:tcPr>
            <w:tcW w:w="4160" w:type="dxa"/>
            <w:vAlign w:val="bottom"/>
            <w:shd w:val="clear" w:color="auto" w:fill="CCEEFF"/>
          </w:tcPr>
          <w:p>
            <w:pPr>
              <w:ind w:left="40"/>
              <w:spacing w:after="0"/>
              <w:rPr>
                <w:sz w:val="20"/>
                <w:szCs w:val="20"/>
                <w:color w:val="auto"/>
              </w:rPr>
            </w:pPr>
            <w:r>
              <w:rPr>
                <w:rFonts w:ascii="Arial" w:cs="Arial" w:eastAsia="Arial" w:hAnsi="Arial"/>
                <w:sz w:val="10"/>
                <w:szCs w:val="10"/>
                <w:color w:val="auto"/>
              </w:rPr>
              <w:t>United Kingdom</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RHY</w:t>
            </w:r>
          </w:p>
        </w:tc>
        <w:tc>
          <w:tcPr>
            <w:tcW w:w="4200" w:type="dxa"/>
            <w:vAlign w:val="bottom"/>
          </w:tcPr>
          <w:p>
            <w:pPr>
              <w:ind w:left="120"/>
              <w:spacing w:after="0"/>
              <w:rPr>
                <w:sz w:val="20"/>
                <w:szCs w:val="20"/>
                <w:color w:val="auto"/>
              </w:rPr>
            </w:pPr>
            <w:r>
              <w:rPr>
                <w:rFonts w:ascii="Arial" w:cs="Arial" w:eastAsia="Arial" w:hAnsi="Arial"/>
                <w:sz w:val="10"/>
                <w:szCs w:val="10"/>
                <w:color w:val="auto"/>
              </w:rPr>
              <w:t>Robinhood Money, LLC</w:t>
            </w:r>
          </w:p>
        </w:tc>
        <w:tc>
          <w:tcPr>
            <w:tcW w:w="1480" w:type="dxa"/>
            <w:vAlign w:val="bottom"/>
          </w:tcPr>
          <w:p>
            <w:pPr>
              <w:ind w:left="20"/>
              <w:spacing w:after="0"/>
              <w:rPr>
                <w:sz w:val="20"/>
                <w:szCs w:val="20"/>
                <w:color w:val="auto"/>
              </w:rPr>
            </w:pPr>
            <w:r>
              <w:rPr>
                <w:rFonts w:ascii="Arial" w:cs="Arial" w:eastAsia="Arial" w:hAnsi="Arial"/>
                <w:sz w:val="10"/>
                <w:szCs w:val="10"/>
                <w:b w:val="1"/>
                <w:bCs w:val="1"/>
                <w:color w:val="auto"/>
              </w:rPr>
              <w:t>USAO</w:t>
            </w:r>
          </w:p>
        </w:tc>
        <w:tc>
          <w:tcPr>
            <w:tcW w:w="4160" w:type="dxa"/>
            <w:vAlign w:val="bottom"/>
          </w:tcPr>
          <w:p>
            <w:pPr>
              <w:ind w:left="40"/>
              <w:spacing w:after="0"/>
              <w:rPr>
                <w:sz w:val="20"/>
                <w:szCs w:val="20"/>
                <w:color w:val="auto"/>
              </w:rPr>
            </w:pPr>
            <w:r>
              <w:rPr>
                <w:rFonts w:ascii="Arial" w:cs="Arial" w:eastAsia="Arial" w:hAnsi="Arial"/>
                <w:sz w:val="10"/>
                <w:szCs w:val="10"/>
                <w:color w:val="auto"/>
              </w:rPr>
              <w:t>The United States Attorney’s Office for the Northern District of California</w:t>
            </w:r>
          </w:p>
        </w:tc>
      </w:tr>
      <w:tr>
        <w:trPr>
          <w:trHeight w:val="12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RIAs</w:t>
            </w:r>
          </w:p>
        </w:tc>
        <w:tc>
          <w:tcPr>
            <w:tcW w:w="42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Registered Investment Advisors</w:t>
            </w:r>
          </w:p>
        </w:tc>
        <w:tc>
          <w:tcPr>
            <w:tcW w:w="14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USA Patriot Act</w:t>
            </w:r>
          </w:p>
        </w:tc>
        <w:tc>
          <w:tcPr>
            <w:tcW w:w="4160" w:type="dxa"/>
            <w:vAlign w:val="bottom"/>
            <w:shd w:val="clear" w:color="auto" w:fill="CCEEFF"/>
          </w:tcPr>
          <w:p>
            <w:pPr>
              <w:ind w:left="40"/>
              <w:spacing w:after="0"/>
              <w:rPr>
                <w:sz w:val="20"/>
                <w:szCs w:val="20"/>
                <w:color w:val="auto"/>
              </w:rPr>
            </w:pPr>
            <w:r>
              <w:rPr>
                <w:rFonts w:ascii="Arial" w:cs="Arial" w:eastAsia="Arial" w:hAnsi="Arial"/>
                <w:sz w:val="10"/>
                <w:szCs w:val="10"/>
                <w:color w:val="auto"/>
                <w:w w:val="99"/>
              </w:rPr>
              <w:t>Uniting and Strengthening America by Providing Appropriate Tools Required to Intercept and</w:t>
            </w:r>
          </w:p>
        </w:tc>
      </w:tr>
      <w:tr>
        <w:trPr>
          <w:trHeight w:val="138"/>
        </w:trPr>
        <w:tc>
          <w:tcPr>
            <w:tcW w:w="1400" w:type="dxa"/>
            <w:vAlign w:val="bottom"/>
            <w:shd w:val="clear" w:color="auto" w:fill="CCEEFF"/>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4160" w:type="dxa"/>
            <w:vAlign w:val="bottom"/>
            <w:shd w:val="clear" w:color="auto" w:fill="CCEEFF"/>
          </w:tcPr>
          <w:p>
            <w:pPr>
              <w:ind w:left="40"/>
              <w:spacing w:after="0"/>
              <w:rPr>
                <w:sz w:val="20"/>
                <w:szCs w:val="20"/>
                <w:color w:val="auto"/>
              </w:rPr>
            </w:pPr>
            <w:r>
              <w:rPr>
                <w:rFonts w:ascii="Arial" w:cs="Arial" w:eastAsia="Arial" w:hAnsi="Arial"/>
                <w:sz w:val="10"/>
                <w:szCs w:val="10"/>
                <w:color w:val="auto"/>
              </w:rPr>
              <w:t>Obstruct Terrorism Act of 2001</w:t>
            </w:r>
          </w:p>
        </w:tc>
      </w:tr>
      <w:tr>
        <w:trPr>
          <w:trHeight w:val="146"/>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RITA</w:t>
            </w:r>
          </w:p>
        </w:tc>
        <w:tc>
          <w:tcPr>
            <w:tcW w:w="4200" w:type="dxa"/>
            <w:vAlign w:val="bottom"/>
          </w:tcPr>
          <w:p>
            <w:pPr>
              <w:ind w:left="120"/>
              <w:spacing w:after="0"/>
              <w:rPr>
                <w:sz w:val="20"/>
                <w:szCs w:val="20"/>
                <w:color w:val="auto"/>
              </w:rPr>
            </w:pPr>
            <w:r>
              <w:rPr>
                <w:rFonts w:ascii="Arial" w:cs="Arial" w:eastAsia="Arial" w:hAnsi="Arial"/>
                <w:sz w:val="10"/>
                <w:szCs w:val="10"/>
                <w:color w:val="auto"/>
              </w:rPr>
              <w:t>Residual Interest Targeted Amount</w:t>
            </w:r>
          </w:p>
        </w:tc>
        <w:tc>
          <w:tcPr>
            <w:tcW w:w="1480" w:type="dxa"/>
            <w:vAlign w:val="bottom"/>
          </w:tcPr>
          <w:p>
            <w:pPr>
              <w:ind w:left="20"/>
              <w:spacing w:after="0"/>
              <w:rPr>
                <w:sz w:val="20"/>
                <w:szCs w:val="20"/>
                <w:color w:val="auto"/>
              </w:rPr>
            </w:pPr>
            <w:r>
              <w:rPr>
                <w:rFonts w:ascii="Arial" w:cs="Arial" w:eastAsia="Arial" w:hAnsi="Arial"/>
                <w:sz w:val="10"/>
                <w:szCs w:val="10"/>
                <w:b w:val="1"/>
                <w:bCs w:val="1"/>
                <w:color w:val="auto"/>
              </w:rPr>
              <w:t>USDC</w:t>
            </w:r>
          </w:p>
        </w:tc>
        <w:tc>
          <w:tcPr>
            <w:tcW w:w="4160" w:type="dxa"/>
            <w:vAlign w:val="bottom"/>
          </w:tcPr>
          <w:p>
            <w:pPr>
              <w:ind w:left="40"/>
              <w:spacing w:after="0"/>
              <w:rPr>
                <w:sz w:val="20"/>
                <w:szCs w:val="20"/>
                <w:color w:val="auto"/>
              </w:rPr>
            </w:pPr>
            <w:r>
              <w:rPr>
                <w:rFonts w:ascii="Arial" w:cs="Arial" w:eastAsia="Arial" w:hAnsi="Arial"/>
                <w:sz w:val="10"/>
                <w:szCs w:val="10"/>
                <w:color w:val="auto"/>
              </w:rPr>
              <w:t>US Dollar Coin, issued by Circle Internet Group, Inc</w:t>
            </w:r>
          </w:p>
        </w:tc>
      </w:tr>
      <w:tr>
        <w:trPr>
          <w:trHeight w:val="151"/>
        </w:trPr>
        <w:tc>
          <w:tcPr>
            <w:tcW w:w="14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Robinhood Credit</w:t>
            </w:r>
          </w:p>
        </w:tc>
        <w:tc>
          <w:tcPr>
            <w:tcW w:w="42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Robinhood Credit, Inc.</w:t>
            </w:r>
          </w:p>
        </w:tc>
        <w:tc>
          <w:tcPr>
            <w:tcW w:w="14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VIE</w:t>
            </w:r>
          </w:p>
        </w:tc>
        <w:tc>
          <w:tcPr>
            <w:tcW w:w="4160" w:type="dxa"/>
            <w:vAlign w:val="bottom"/>
            <w:shd w:val="clear" w:color="auto" w:fill="CCEEFF"/>
          </w:tcPr>
          <w:p>
            <w:pPr>
              <w:ind w:left="40"/>
              <w:spacing w:after="0"/>
              <w:rPr>
                <w:sz w:val="20"/>
                <w:szCs w:val="20"/>
                <w:color w:val="auto"/>
              </w:rPr>
            </w:pPr>
            <w:r>
              <w:rPr>
                <w:rFonts w:ascii="Arial" w:cs="Arial" w:eastAsia="Arial" w:hAnsi="Arial"/>
                <w:sz w:val="10"/>
                <w:szCs w:val="10"/>
                <w:color w:val="auto"/>
              </w:rPr>
              <w:t>Variable interest entity</w:t>
            </w:r>
          </w:p>
        </w:tc>
      </w:tr>
      <w:tr>
        <w:trPr>
          <w:trHeight w:val="144"/>
        </w:trPr>
        <w:tc>
          <w:tcPr>
            <w:tcW w:w="1400" w:type="dxa"/>
            <w:vAlign w:val="bottom"/>
          </w:tcPr>
          <w:p>
            <w:pPr>
              <w:ind w:left="20"/>
              <w:spacing w:after="0"/>
              <w:rPr>
                <w:sz w:val="20"/>
                <w:szCs w:val="20"/>
                <w:color w:val="auto"/>
              </w:rPr>
            </w:pPr>
            <w:r>
              <w:rPr>
                <w:rFonts w:ascii="Arial" w:cs="Arial" w:eastAsia="Arial" w:hAnsi="Arial"/>
                <w:sz w:val="10"/>
                <w:szCs w:val="10"/>
                <w:b w:val="1"/>
                <w:bCs w:val="1"/>
                <w:color w:val="auto"/>
              </w:rPr>
              <w:t>Rothera</w:t>
            </w:r>
          </w:p>
        </w:tc>
        <w:tc>
          <w:tcPr>
            <w:tcW w:w="4200" w:type="dxa"/>
            <w:vAlign w:val="bottom"/>
          </w:tcPr>
          <w:p>
            <w:pPr>
              <w:ind w:left="120"/>
              <w:spacing w:after="0"/>
              <w:rPr>
                <w:sz w:val="20"/>
                <w:szCs w:val="20"/>
                <w:color w:val="auto"/>
              </w:rPr>
            </w:pPr>
            <w:r>
              <w:rPr>
                <w:rFonts w:ascii="Arial" w:cs="Arial" w:eastAsia="Arial" w:hAnsi="Arial"/>
                <w:sz w:val="10"/>
                <w:szCs w:val="10"/>
                <w:color w:val="auto"/>
              </w:rPr>
              <w:t>Rothera LLC</w:t>
            </w:r>
          </w:p>
        </w:tc>
        <w:tc>
          <w:tcPr>
            <w:tcW w:w="1480" w:type="dxa"/>
            <w:vAlign w:val="bottom"/>
          </w:tcPr>
          <w:p>
            <w:pPr>
              <w:ind w:left="20"/>
              <w:spacing w:after="0"/>
              <w:rPr>
                <w:sz w:val="20"/>
                <w:szCs w:val="20"/>
                <w:color w:val="auto"/>
              </w:rPr>
            </w:pPr>
            <w:r>
              <w:rPr>
                <w:rFonts w:ascii="Arial" w:cs="Arial" w:eastAsia="Arial" w:hAnsi="Arial"/>
                <w:sz w:val="10"/>
                <w:szCs w:val="10"/>
                <w:b w:val="1"/>
                <w:bCs w:val="1"/>
                <w:color w:val="auto"/>
              </w:rPr>
              <w:t>WF</w:t>
            </w:r>
          </w:p>
        </w:tc>
        <w:tc>
          <w:tcPr>
            <w:tcW w:w="4160" w:type="dxa"/>
            <w:vAlign w:val="bottom"/>
          </w:tcPr>
          <w:p>
            <w:pPr>
              <w:ind w:left="40"/>
              <w:spacing w:after="0"/>
              <w:rPr>
                <w:sz w:val="20"/>
                <w:szCs w:val="20"/>
                <w:color w:val="auto"/>
              </w:rPr>
            </w:pPr>
            <w:r>
              <w:rPr>
                <w:rFonts w:ascii="Arial" w:cs="Arial" w:eastAsia="Arial" w:hAnsi="Arial"/>
                <w:sz w:val="10"/>
                <w:szCs w:val="10"/>
                <w:color w:val="auto"/>
              </w:rPr>
              <w:t>Wells Fargo Bank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831850</wp:posOffset>
            </wp:positionV>
            <wp:extent cx="7140575" cy="1988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Key Performance Metrics Terms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 use the following key performance metrics to help us evaluate our business, identify trends affecting our business, formulate business plans, and make strategic decisions.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20" w:type="dxa"/>
            <w:vAlign w:val="bottom"/>
            <w:tcBorders>
              <w:top w:val="single" w:sz="8" w:color="auto"/>
              <w:right w:val="single" w:sz="8" w:color="auto"/>
            </w:tcBorders>
            <w:shd w:val="clear" w:color="auto" w:fill="CCEEFF"/>
          </w:tcPr>
          <w:p>
            <w:pPr>
              <w:ind w:left="40"/>
              <w:spacing w:after="0" w:line="138" w:lineRule="exact"/>
              <w:rPr>
                <w:sz w:val="20"/>
                <w:szCs w:val="20"/>
                <w:color w:val="auto"/>
              </w:rPr>
            </w:pPr>
            <w:r>
              <w:rPr>
                <w:rFonts w:ascii="Arial" w:cs="Arial" w:eastAsia="Arial" w:hAnsi="Arial"/>
                <w:sz w:val="13"/>
                <w:szCs w:val="13"/>
                <w:b w:val="1"/>
                <w:bCs w:val="1"/>
                <w:color w:val="auto"/>
              </w:rPr>
              <w:t>ARPU</w:t>
            </w:r>
          </w:p>
        </w:tc>
        <w:tc>
          <w:tcPr>
            <w:tcW w:w="9620" w:type="dxa"/>
            <w:vAlign w:val="bottom"/>
            <w:tcBorders>
              <w:top w:val="single" w:sz="8" w:color="auto"/>
            </w:tcBorders>
            <w:shd w:val="clear" w:color="auto" w:fill="CCEEFF"/>
          </w:tcPr>
          <w:p>
            <w:pPr>
              <w:ind w:left="20"/>
              <w:spacing w:after="0" w:line="138" w:lineRule="exact"/>
              <w:rPr>
                <w:sz w:val="20"/>
                <w:szCs w:val="20"/>
                <w:color w:val="auto"/>
              </w:rPr>
            </w:pPr>
            <w:r>
              <w:rPr>
                <w:rFonts w:ascii="Arial" w:cs="Arial" w:eastAsia="Arial" w:hAnsi="Arial"/>
                <w:sz w:val="13"/>
                <w:szCs w:val="13"/>
                <w:color w:val="auto"/>
              </w:rPr>
              <w:t>Average Revenue Per User</w:t>
            </w:r>
          </w:p>
        </w:tc>
        <w:tc>
          <w:tcPr>
            <w:tcW w:w="20" w:type="dxa"/>
            <w:vAlign w:val="bottom"/>
            <w:tcBorders>
              <w:top w:val="single" w:sz="8" w:color="auto"/>
            </w:tcBorders>
          </w:tcPr>
          <w:p>
            <w:pPr>
              <w:spacing w:after="0"/>
              <w:rPr>
                <w:sz w:val="12"/>
                <w:szCs w:val="12"/>
                <w:color w:val="auto"/>
              </w:rPr>
            </w:pPr>
          </w:p>
        </w:tc>
      </w:tr>
      <w:tr>
        <w:trPr>
          <w:trHeight w:val="126"/>
        </w:trPr>
        <w:tc>
          <w:tcPr>
            <w:tcW w:w="1620" w:type="dxa"/>
            <w:vAlign w:val="bottom"/>
            <w:tcBorders>
              <w:right w:val="single" w:sz="8" w:color="auto"/>
            </w:tcBorders>
            <w:shd w:val="clear" w:color="auto" w:fill="CCEEFF"/>
          </w:tcPr>
          <w:p>
            <w:pPr>
              <w:spacing w:after="0"/>
              <w:rPr>
                <w:sz w:val="10"/>
                <w:szCs w:val="10"/>
                <w:color w:val="auto"/>
              </w:rPr>
            </w:pPr>
          </w:p>
        </w:tc>
        <w:tc>
          <w:tcPr>
            <w:tcW w:w="96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7"/>
              </w:rPr>
              <w:t>We define ARPU as total revenue for a given period divided by the average number of Funded Customers on the last day of that period and the last day of the immediately</w:t>
            </w:r>
          </w:p>
        </w:tc>
        <w:tc>
          <w:tcPr>
            <w:tcW w:w="20" w:type="dxa"/>
            <w:vAlign w:val="bottom"/>
          </w:tcPr>
          <w:p>
            <w:pPr>
              <w:spacing w:after="0"/>
              <w:rPr>
                <w:sz w:val="10"/>
                <w:szCs w:val="10"/>
                <w:color w:val="auto"/>
              </w:rPr>
            </w:pPr>
          </w:p>
        </w:tc>
      </w:tr>
      <w:tr>
        <w:trPr>
          <w:trHeight w:val="171"/>
        </w:trPr>
        <w:tc>
          <w:tcPr>
            <w:tcW w:w="1620" w:type="dxa"/>
            <w:vAlign w:val="bottom"/>
            <w:tcBorders>
              <w:bottom w:val="single" w:sz="8" w:color="auto"/>
              <w:right w:val="single" w:sz="8" w:color="auto"/>
            </w:tcBorders>
            <w:shd w:val="clear" w:color="auto" w:fill="CCEEFF"/>
          </w:tcPr>
          <w:p>
            <w:pPr>
              <w:spacing w:after="0"/>
              <w:rPr>
                <w:sz w:val="14"/>
                <w:szCs w:val="14"/>
                <w:color w:val="auto"/>
              </w:rPr>
            </w:pPr>
          </w:p>
        </w:tc>
        <w:tc>
          <w:tcPr>
            <w:tcW w:w="9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preceding period.</w:t>
            </w:r>
          </w:p>
        </w:tc>
        <w:tc>
          <w:tcPr>
            <w:tcW w:w="20" w:type="dxa"/>
            <w:vAlign w:val="bottom"/>
            <w:tcBorders>
              <w:bottom w:val="single" w:sz="8" w:color="auto"/>
            </w:tcBorders>
          </w:tcPr>
          <w:p>
            <w:pPr>
              <w:spacing w:after="0"/>
              <w:rPr>
                <w:sz w:val="14"/>
                <w:szCs w:val="14"/>
                <w:color w:val="auto"/>
              </w:rPr>
            </w:pPr>
          </w:p>
        </w:tc>
      </w:tr>
      <w:tr>
        <w:trPr>
          <w:trHeight w:val="129"/>
        </w:trPr>
        <w:tc>
          <w:tcPr>
            <w:tcW w:w="1620" w:type="dxa"/>
            <w:vAlign w:val="bottom"/>
            <w:tcBorders>
              <w:right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Funded Customers</w:t>
            </w:r>
          </w:p>
        </w:tc>
        <w:tc>
          <w:tcPr>
            <w:tcW w:w="9620" w:type="dxa"/>
            <w:vAlign w:val="bottom"/>
          </w:tcPr>
          <w:p>
            <w:pPr>
              <w:ind w:left="20"/>
              <w:spacing w:after="0" w:line="129" w:lineRule="exact"/>
              <w:rPr>
                <w:sz w:val="20"/>
                <w:szCs w:val="20"/>
                <w:color w:val="auto"/>
              </w:rPr>
            </w:pPr>
            <w:r>
              <w:rPr>
                <w:rFonts w:ascii="Arial" w:cs="Arial" w:eastAsia="Arial" w:hAnsi="Arial"/>
                <w:sz w:val="13"/>
                <w:szCs w:val="13"/>
                <w:color w:val="auto"/>
                <w:w w:val="97"/>
              </w:rPr>
              <w:t>We define a Funded Customer as a unique person who has at least one account with a Robinhood entity and, within the past 45 calendar days (a) had an account balance</w:t>
            </w:r>
          </w:p>
        </w:tc>
        <w:tc>
          <w:tcPr>
            <w:tcW w:w="20" w:type="dxa"/>
            <w:vAlign w:val="bottom"/>
          </w:tcPr>
          <w:p>
            <w:pPr>
              <w:spacing w:after="0"/>
              <w:rPr>
                <w:sz w:val="11"/>
                <w:szCs w:val="11"/>
                <w:color w:val="auto"/>
              </w:rPr>
            </w:pPr>
          </w:p>
        </w:tc>
      </w:tr>
      <w:tr>
        <w:trPr>
          <w:trHeight w:val="126"/>
        </w:trPr>
        <w:tc>
          <w:tcPr>
            <w:tcW w:w="1620" w:type="dxa"/>
            <w:vAlign w:val="bottom"/>
            <w:tcBorders>
              <w:right w:val="single" w:sz="8" w:color="auto"/>
            </w:tcBorders>
          </w:tcPr>
          <w:p>
            <w:pPr>
              <w:spacing w:after="0"/>
              <w:rPr>
                <w:sz w:val="10"/>
                <w:szCs w:val="10"/>
                <w:color w:val="auto"/>
              </w:rPr>
            </w:pPr>
          </w:p>
        </w:tc>
        <w:tc>
          <w:tcPr>
            <w:tcW w:w="9620" w:type="dxa"/>
            <w:vAlign w:val="bottom"/>
          </w:tcPr>
          <w:p>
            <w:pPr>
              <w:ind w:left="20"/>
              <w:spacing w:after="0" w:line="126" w:lineRule="exact"/>
              <w:rPr>
                <w:sz w:val="20"/>
                <w:szCs w:val="20"/>
                <w:color w:val="auto"/>
              </w:rPr>
            </w:pPr>
            <w:r>
              <w:rPr>
                <w:rFonts w:ascii="Arial" w:cs="Arial" w:eastAsia="Arial" w:hAnsi="Arial"/>
                <w:sz w:val="13"/>
                <w:szCs w:val="13"/>
                <w:color w:val="auto"/>
              </w:rPr>
              <w:t>that was greater than zero (excluding amounts that are deposited into a Funded Customer account by the Company with no action taken by the unique person) or (b)</w:t>
            </w:r>
          </w:p>
        </w:tc>
        <w:tc>
          <w:tcPr>
            <w:tcW w:w="20" w:type="dxa"/>
            <w:vAlign w:val="bottom"/>
          </w:tcPr>
          <w:p>
            <w:pPr>
              <w:spacing w:after="0"/>
              <w:rPr>
                <w:sz w:val="10"/>
                <w:szCs w:val="10"/>
                <w:color w:val="auto"/>
              </w:rPr>
            </w:pPr>
          </w:p>
        </w:tc>
      </w:tr>
      <w:tr>
        <w:trPr>
          <w:trHeight w:val="121"/>
        </w:trPr>
        <w:tc>
          <w:tcPr>
            <w:tcW w:w="1620" w:type="dxa"/>
            <w:vAlign w:val="bottom"/>
            <w:tcBorders>
              <w:right w:val="single" w:sz="8" w:color="auto"/>
            </w:tcBorders>
          </w:tcPr>
          <w:p>
            <w:pPr>
              <w:spacing w:after="0"/>
              <w:rPr>
                <w:sz w:val="10"/>
                <w:szCs w:val="10"/>
                <w:color w:val="auto"/>
              </w:rPr>
            </w:pPr>
          </w:p>
        </w:tc>
        <w:tc>
          <w:tcPr>
            <w:tcW w:w="9620" w:type="dxa"/>
            <w:vAlign w:val="bottom"/>
          </w:tcPr>
          <w:p>
            <w:pPr>
              <w:ind w:left="20"/>
              <w:spacing w:after="0" w:line="122" w:lineRule="exact"/>
              <w:rPr>
                <w:sz w:val="20"/>
                <w:szCs w:val="20"/>
                <w:color w:val="auto"/>
              </w:rPr>
            </w:pPr>
            <w:r>
              <w:rPr>
                <w:rFonts w:ascii="Arial" w:cs="Arial" w:eastAsia="Arial" w:hAnsi="Arial"/>
                <w:sz w:val="13"/>
                <w:szCs w:val="13"/>
                <w:color w:val="auto"/>
                <w:w w:val="97"/>
              </w:rPr>
              <w:t>completed a transaction using any such account. Individuals who share a funded joint investing account (which launched in July 2024) are each considered to be a Funded</w:t>
            </w:r>
          </w:p>
        </w:tc>
        <w:tc>
          <w:tcPr>
            <w:tcW w:w="20" w:type="dxa"/>
            <w:vAlign w:val="bottom"/>
          </w:tcPr>
          <w:p>
            <w:pPr>
              <w:spacing w:after="0"/>
              <w:rPr>
                <w:sz w:val="10"/>
                <w:szCs w:val="10"/>
                <w:color w:val="auto"/>
              </w:rPr>
            </w:pPr>
          </w:p>
        </w:tc>
      </w:tr>
      <w:tr>
        <w:trPr>
          <w:trHeight w:val="171"/>
        </w:trPr>
        <w:tc>
          <w:tcPr>
            <w:tcW w:w="1620" w:type="dxa"/>
            <w:vAlign w:val="bottom"/>
            <w:tcBorders>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Customer. Starting in June 2025, customers of Bitstamp are also considered Funded Customers.</w:t>
            </w:r>
          </w:p>
        </w:tc>
        <w:tc>
          <w:tcPr>
            <w:tcW w:w="20" w:type="dxa"/>
            <w:vAlign w:val="bottom"/>
            <w:tcBorders>
              <w:bottom w:val="single" w:sz="8" w:color="auto"/>
            </w:tcBorders>
          </w:tcPr>
          <w:p>
            <w:pPr>
              <w:spacing w:after="0"/>
              <w:rPr>
                <w:sz w:val="14"/>
                <w:szCs w:val="14"/>
                <w:color w:val="auto"/>
              </w:rPr>
            </w:pPr>
          </w:p>
        </w:tc>
      </w:tr>
      <w:tr>
        <w:trPr>
          <w:trHeight w:val="129"/>
        </w:trPr>
        <w:tc>
          <w:tcPr>
            <w:tcW w:w="1620" w:type="dxa"/>
            <w:vAlign w:val="bottom"/>
            <w:tcBorders>
              <w:right w:val="single" w:sz="8" w:color="auto"/>
            </w:tcBorders>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Net Deposits</w:t>
            </w:r>
          </w:p>
        </w:tc>
        <w:tc>
          <w:tcPr>
            <w:tcW w:w="96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8"/>
              </w:rPr>
              <w:t>We define Net Deposits as all cash deposits and asset transfers from customers, as well as dividends, interest, staking rewards, and cash or assets earned in connection</w:t>
            </w:r>
          </w:p>
        </w:tc>
        <w:tc>
          <w:tcPr>
            <w:tcW w:w="20" w:type="dxa"/>
            <w:vAlign w:val="bottom"/>
          </w:tcPr>
          <w:p>
            <w:pPr>
              <w:spacing w:after="0"/>
              <w:rPr>
                <w:sz w:val="11"/>
                <w:szCs w:val="11"/>
                <w:color w:val="auto"/>
              </w:rPr>
            </w:pPr>
          </w:p>
        </w:tc>
      </w:tr>
      <w:tr>
        <w:trPr>
          <w:trHeight w:val="126"/>
        </w:trPr>
        <w:tc>
          <w:tcPr>
            <w:tcW w:w="1620" w:type="dxa"/>
            <w:vAlign w:val="bottom"/>
            <w:tcBorders>
              <w:right w:val="single" w:sz="8" w:color="auto"/>
            </w:tcBorders>
            <w:shd w:val="clear" w:color="auto" w:fill="CCEEFF"/>
          </w:tcPr>
          <w:p>
            <w:pPr>
              <w:spacing w:after="0"/>
              <w:rPr>
                <w:sz w:val="10"/>
                <w:szCs w:val="10"/>
                <w:color w:val="auto"/>
              </w:rPr>
            </w:pPr>
          </w:p>
        </w:tc>
        <w:tc>
          <w:tcPr>
            <w:tcW w:w="96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with Company promotions (such as account transfer and retirement match incentives, free stock bonuses) received by customers, net of reversals, customer cash</w:t>
            </w:r>
          </w:p>
        </w:tc>
        <w:tc>
          <w:tcPr>
            <w:tcW w:w="20" w:type="dxa"/>
            <w:vAlign w:val="bottom"/>
          </w:tcPr>
          <w:p>
            <w:pPr>
              <w:spacing w:after="0"/>
              <w:rPr>
                <w:sz w:val="10"/>
                <w:szCs w:val="10"/>
                <w:color w:val="auto"/>
              </w:rPr>
            </w:pPr>
          </w:p>
        </w:tc>
      </w:tr>
      <w:tr>
        <w:trPr>
          <w:trHeight w:val="122"/>
        </w:trPr>
        <w:tc>
          <w:tcPr>
            <w:tcW w:w="1620" w:type="dxa"/>
            <w:vAlign w:val="bottom"/>
            <w:tcBorders>
              <w:right w:val="single" w:sz="8" w:color="auto"/>
            </w:tcBorders>
            <w:shd w:val="clear" w:color="auto" w:fill="CCEEFF"/>
          </w:tcPr>
          <w:p>
            <w:pPr>
              <w:spacing w:after="0"/>
              <w:rPr>
                <w:sz w:val="10"/>
                <w:szCs w:val="10"/>
                <w:color w:val="auto"/>
              </w:rPr>
            </w:pPr>
          </w:p>
        </w:tc>
        <w:tc>
          <w:tcPr>
            <w:tcW w:w="962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withdrawals, margin and lending interest, Robinhood Gold subscription fees, and assets transferred off of our platforms for a stated period. Starting in June 2025, Net</w:t>
            </w:r>
          </w:p>
        </w:tc>
        <w:tc>
          <w:tcPr>
            <w:tcW w:w="20" w:type="dxa"/>
            <w:vAlign w:val="bottom"/>
          </w:tcPr>
          <w:p>
            <w:pPr>
              <w:spacing w:after="0"/>
              <w:rPr>
                <w:sz w:val="10"/>
                <w:szCs w:val="10"/>
                <w:color w:val="auto"/>
              </w:rPr>
            </w:pPr>
          </w:p>
        </w:tc>
      </w:tr>
      <w:tr>
        <w:trPr>
          <w:trHeight w:val="131"/>
        </w:trPr>
        <w:tc>
          <w:tcPr>
            <w:tcW w:w="1620" w:type="dxa"/>
            <w:vAlign w:val="bottom"/>
            <w:tcBorders>
              <w:right w:val="single" w:sz="8" w:color="auto"/>
            </w:tcBorders>
            <w:shd w:val="clear" w:color="auto" w:fill="CCEEFF"/>
          </w:tcPr>
          <w:p>
            <w:pPr>
              <w:spacing w:after="0"/>
              <w:rPr>
                <w:sz w:val="11"/>
                <w:szCs w:val="11"/>
                <w:color w:val="auto"/>
              </w:rPr>
            </w:pPr>
          </w:p>
        </w:tc>
        <w:tc>
          <w:tcPr>
            <w:tcW w:w="96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w w:val="99"/>
              </w:rPr>
              <w:t>Deposits include results from Bitstamp. As previously disclosed, due to data limitations we did not include TradePMR client figures in our Net Deposits key performance</w:t>
            </w:r>
          </w:p>
        </w:tc>
        <w:tc>
          <w:tcPr>
            <w:tcW w:w="20" w:type="dxa"/>
            <w:vAlign w:val="bottom"/>
          </w:tcPr>
          <w:p>
            <w:pPr>
              <w:spacing w:after="0"/>
              <w:rPr>
                <w:sz w:val="11"/>
                <w:szCs w:val="11"/>
                <w:color w:val="auto"/>
              </w:rPr>
            </w:pPr>
          </w:p>
        </w:tc>
      </w:tr>
      <w:tr>
        <w:trPr>
          <w:trHeight w:val="173"/>
        </w:trPr>
        <w:tc>
          <w:tcPr>
            <w:tcW w:w="1620" w:type="dxa"/>
            <w:vAlign w:val="bottom"/>
            <w:tcBorders>
              <w:bottom w:val="single" w:sz="8" w:color="auto"/>
              <w:right w:val="single" w:sz="8" w:color="auto"/>
            </w:tcBorders>
            <w:shd w:val="clear" w:color="auto" w:fill="CCEEFF"/>
          </w:tcPr>
          <w:p>
            <w:pPr>
              <w:spacing w:after="0"/>
              <w:rPr>
                <w:sz w:val="15"/>
                <w:szCs w:val="15"/>
                <w:color w:val="auto"/>
              </w:rPr>
            </w:pPr>
          </w:p>
        </w:tc>
        <w:tc>
          <w:tcPr>
            <w:tcW w:w="9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metric prior to March 2026. Starting in March 2026, Net Deposits include results from TradePMR.</w:t>
            </w:r>
          </w:p>
        </w:tc>
        <w:tc>
          <w:tcPr>
            <w:tcW w:w="20" w:type="dxa"/>
            <w:vAlign w:val="bottom"/>
            <w:tcBorders>
              <w:bottom w:val="single" w:sz="8" w:color="auto"/>
            </w:tcBorders>
          </w:tcPr>
          <w:p>
            <w:pPr>
              <w:spacing w:after="0"/>
              <w:rPr>
                <w:sz w:val="15"/>
                <w:szCs w:val="15"/>
                <w:color w:val="auto"/>
              </w:rPr>
            </w:pPr>
          </w:p>
        </w:tc>
      </w:tr>
      <w:tr>
        <w:trPr>
          <w:trHeight w:val="131"/>
        </w:trPr>
        <w:tc>
          <w:tcPr>
            <w:tcW w:w="1620" w:type="dxa"/>
            <w:vAlign w:val="bottom"/>
            <w:tcBorders>
              <w:right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Total Platform Assets</w:t>
            </w:r>
          </w:p>
        </w:tc>
        <w:tc>
          <w:tcPr>
            <w:tcW w:w="9620" w:type="dxa"/>
            <w:vAlign w:val="bottom"/>
          </w:tcPr>
          <w:p>
            <w:pPr>
              <w:ind w:left="20"/>
              <w:spacing w:after="0" w:line="131" w:lineRule="exact"/>
              <w:rPr>
                <w:sz w:val="20"/>
                <w:szCs w:val="20"/>
                <w:color w:val="auto"/>
              </w:rPr>
            </w:pPr>
            <w:r>
              <w:rPr>
                <w:rFonts w:ascii="Arial" w:cs="Arial" w:eastAsia="Arial" w:hAnsi="Arial"/>
                <w:sz w:val="13"/>
                <w:szCs w:val="13"/>
                <w:color w:val="auto"/>
              </w:rPr>
              <w:t>We define Total Platform Assets as the sum of the fair value of all equities, options, cryptocurrency, futures (including options on futures and swaps, including event</w:t>
            </w:r>
          </w:p>
        </w:tc>
        <w:tc>
          <w:tcPr>
            <w:tcW w:w="20" w:type="dxa"/>
            <w:vAlign w:val="bottom"/>
          </w:tcPr>
          <w:p>
            <w:pPr>
              <w:spacing w:after="0"/>
              <w:rPr>
                <w:sz w:val="11"/>
                <w:szCs w:val="11"/>
                <w:color w:val="auto"/>
              </w:rPr>
            </w:pPr>
          </w:p>
        </w:tc>
      </w:tr>
      <w:tr>
        <w:trPr>
          <w:trHeight w:val="126"/>
        </w:trPr>
        <w:tc>
          <w:tcPr>
            <w:tcW w:w="1620" w:type="dxa"/>
            <w:vAlign w:val="bottom"/>
            <w:tcBorders>
              <w:right w:val="single" w:sz="8" w:color="auto"/>
            </w:tcBorders>
          </w:tcPr>
          <w:p>
            <w:pPr>
              <w:spacing w:after="0"/>
              <w:rPr>
                <w:sz w:val="10"/>
                <w:szCs w:val="10"/>
                <w:color w:val="auto"/>
              </w:rPr>
            </w:pPr>
          </w:p>
        </w:tc>
        <w:tc>
          <w:tcPr>
            <w:tcW w:w="9620" w:type="dxa"/>
            <w:vAlign w:val="bottom"/>
          </w:tcPr>
          <w:p>
            <w:pPr>
              <w:ind w:left="20"/>
              <w:spacing w:after="0" w:line="126" w:lineRule="exact"/>
              <w:rPr>
                <w:sz w:val="20"/>
                <w:szCs w:val="20"/>
                <w:color w:val="auto"/>
              </w:rPr>
            </w:pPr>
            <w:r>
              <w:rPr>
                <w:rFonts w:ascii="Arial" w:cs="Arial" w:eastAsia="Arial" w:hAnsi="Arial"/>
                <w:sz w:val="13"/>
                <w:szCs w:val="13"/>
                <w:color w:val="auto"/>
                <w:w w:val="97"/>
              </w:rPr>
              <w:t>contracts), cash held by users in their accounts, net of receivables from users (previously reported as Assets Under Custody), and any such assets managed by RIAs using</w:t>
            </w:r>
          </w:p>
        </w:tc>
        <w:tc>
          <w:tcPr>
            <w:tcW w:w="20" w:type="dxa"/>
            <w:vAlign w:val="bottom"/>
          </w:tcPr>
          <w:p>
            <w:pPr>
              <w:spacing w:after="0"/>
              <w:rPr>
                <w:sz w:val="10"/>
                <w:szCs w:val="10"/>
                <w:color w:val="auto"/>
              </w:rPr>
            </w:pPr>
          </w:p>
        </w:tc>
      </w:tr>
      <w:tr>
        <w:trPr>
          <w:trHeight w:val="122"/>
        </w:trPr>
        <w:tc>
          <w:tcPr>
            <w:tcW w:w="1620" w:type="dxa"/>
            <w:vAlign w:val="bottom"/>
            <w:tcBorders>
              <w:right w:val="single" w:sz="8" w:color="auto"/>
            </w:tcBorders>
          </w:tcPr>
          <w:p>
            <w:pPr>
              <w:spacing w:after="0"/>
              <w:rPr>
                <w:sz w:val="10"/>
                <w:szCs w:val="10"/>
                <w:color w:val="auto"/>
              </w:rPr>
            </w:pPr>
          </w:p>
        </w:tc>
        <w:tc>
          <w:tcPr>
            <w:tcW w:w="9620" w:type="dxa"/>
            <w:vAlign w:val="bottom"/>
          </w:tcPr>
          <w:p>
            <w:pPr>
              <w:ind w:left="20"/>
              <w:spacing w:after="0" w:line="122" w:lineRule="exact"/>
              <w:rPr>
                <w:sz w:val="20"/>
                <w:szCs w:val="20"/>
                <w:color w:val="auto"/>
              </w:rPr>
            </w:pPr>
            <w:r>
              <w:rPr>
                <w:rFonts w:ascii="Arial" w:cs="Arial" w:eastAsia="Arial" w:hAnsi="Arial"/>
                <w:sz w:val="13"/>
                <w:szCs w:val="13"/>
                <w:color w:val="auto"/>
                <w:w w:val="99"/>
              </w:rPr>
              <w:t>TradePMR’s platform that are not custodied by Robinhood, as of a stated date or period end on a trade date basis. Net Deposits and net market gains (losses) drive the</w:t>
            </w:r>
          </w:p>
        </w:tc>
        <w:tc>
          <w:tcPr>
            <w:tcW w:w="20" w:type="dxa"/>
            <w:vAlign w:val="bottom"/>
          </w:tcPr>
          <w:p>
            <w:pPr>
              <w:spacing w:after="0"/>
              <w:rPr>
                <w:sz w:val="10"/>
                <w:szCs w:val="10"/>
                <w:color w:val="auto"/>
              </w:rPr>
            </w:pPr>
          </w:p>
        </w:tc>
      </w:tr>
      <w:tr>
        <w:trPr>
          <w:trHeight w:val="131"/>
        </w:trPr>
        <w:tc>
          <w:tcPr>
            <w:tcW w:w="1620" w:type="dxa"/>
            <w:vAlign w:val="bottom"/>
            <w:tcBorders>
              <w:right w:val="single" w:sz="8" w:color="auto"/>
            </w:tcBorders>
          </w:tcPr>
          <w:p>
            <w:pPr>
              <w:spacing w:after="0"/>
              <w:rPr>
                <w:sz w:val="11"/>
                <w:szCs w:val="11"/>
                <w:color w:val="auto"/>
              </w:rPr>
            </w:pPr>
          </w:p>
        </w:tc>
        <w:tc>
          <w:tcPr>
            <w:tcW w:w="9620" w:type="dxa"/>
            <w:vAlign w:val="bottom"/>
          </w:tcPr>
          <w:p>
            <w:pPr>
              <w:ind w:left="20"/>
              <w:spacing w:after="0" w:line="131" w:lineRule="exact"/>
              <w:rPr>
                <w:sz w:val="20"/>
                <w:szCs w:val="20"/>
                <w:color w:val="auto"/>
              </w:rPr>
            </w:pPr>
            <w:r>
              <w:rPr>
                <w:rFonts w:ascii="Arial" w:cs="Arial" w:eastAsia="Arial" w:hAnsi="Arial"/>
                <w:sz w:val="13"/>
                <w:szCs w:val="13"/>
                <w:color w:val="auto"/>
                <w:w w:val="98"/>
              </w:rPr>
              <w:t>change in Total Platform Assets in any given period. Starting in June 2025, the fair value of all cryptocurrency includes cryptocurrency on Bitstamp. Total Platform Assets</w:t>
            </w:r>
          </w:p>
        </w:tc>
        <w:tc>
          <w:tcPr>
            <w:tcW w:w="20" w:type="dxa"/>
            <w:vAlign w:val="bottom"/>
          </w:tcPr>
          <w:p>
            <w:pPr>
              <w:spacing w:after="0"/>
              <w:rPr>
                <w:sz w:val="11"/>
                <w:szCs w:val="11"/>
                <w:color w:val="auto"/>
              </w:rPr>
            </w:pPr>
          </w:p>
        </w:tc>
      </w:tr>
      <w:tr>
        <w:trPr>
          <w:trHeight w:val="173"/>
        </w:trPr>
        <w:tc>
          <w:tcPr>
            <w:tcW w:w="1620" w:type="dxa"/>
            <w:vAlign w:val="bottom"/>
            <w:tcBorders>
              <w:bottom w:val="single" w:sz="8" w:color="auto"/>
              <w:right w:val="single" w:sz="8" w:color="auto"/>
            </w:tcBorders>
          </w:tcPr>
          <w:p>
            <w:pPr>
              <w:spacing w:after="0"/>
              <w:rPr>
                <w:sz w:val="15"/>
                <w:szCs w:val="15"/>
                <w:color w:val="auto"/>
              </w:rPr>
            </w:pPr>
          </w:p>
        </w:tc>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also include cryptocurrency lent through platform-enabled lending programs, where customers may recall such assets at any time through the platform.</w:t>
            </w:r>
          </w:p>
        </w:tc>
        <w:tc>
          <w:tcPr>
            <w:tcW w:w="20" w:type="dxa"/>
            <w:vAlign w:val="bottom"/>
            <w:tcBorders>
              <w:bottom w:val="single" w:sz="8" w:color="auto"/>
            </w:tcBorders>
          </w:tcPr>
          <w:p>
            <w:pPr>
              <w:spacing w:after="0"/>
              <w:rPr>
                <w:sz w:val="15"/>
                <w:szCs w:val="15"/>
                <w:color w:val="auto"/>
              </w:rPr>
            </w:pPr>
          </w:p>
        </w:tc>
      </w:tr>
      <w:tr>
        <w:trPr>
          <w:trHeight w:val="131"/>
        </w:trPr>
        <w:tc>
          <w:tcPr>
            <w:tcW w:w="1620" w:type="dxa"/>
            <w:vAlign w:val="bottom"/>
            <w:tcBorders>
              <w:right w:val="single" w:sz="8" w:color="auto"/>
            </w:tcBorders>
            <w:shd w:val="clear" w:color="auto" w:fill="CCEEFF"/>
          </w:tcPr>
          <w:p>
            <w:pPr>
              <w:ind w:left="40"/>
              <w:spacing w:after="0" w:line="131" w:lineRule="exact"/>
              <w:rPr>
                <w:sz w:val="20"/>
                <w:szCs w:val="20"/>
                <w:color w:val="auto"/>
              </w:rPr>
            </w:pPr>
            <w:r>
              <w:rPr>
                <w:rFonts w:ascii="Arial" w:cs="Arial" w:eastAsia="Arial" w:hAnsi="Arial"/>
                <w:sz w:val="13"/>
                <w:szCs w:val="13"/>
                <w:b w:val="1"/>
                <w:bCs w:val="1"/>
                <w:color w:val="auto"/>
              </w:rPr>
              <w:t>Robinhood Gold</w:t>
            </w:r>
          </w:p>
        </w:tc>
        <w:tc>
          <w:tcPr>
            <w:tcW w:w="96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We define a Robinhood Gold Subscriber as a unique person who has at least one account with a Robinhood entity and who, as of the end of the relevant period (a) is</w:t>
            </w:r>
          </w:p>
        </w:tc>
        <w:tc>
          <w:tcPr>
            <w:tcW w:w="20" w:type="dxa"/>
            <w:vAlign w:val="bottom"/>
          </w:tcPr>
          <w:p>
            <w:pPr>
              <w:spacing w:after="0"/>
              <w:rPr>
                <w:sz w:val="11"/>
                <w:szCs w:val="11"/>
                <w:color w:val="auto"/>
              </w:rPr>
            </w:pPr>
          </w:p>
        </w:tc>
      </w:tr>
      <w:tr>
        <w:trPr>
          <w:trHeight w:val="176"/>
        </w:trPr>
        <w:tc>
          <w:tcPr>
            <w:tcW w:w="162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Subscribers</w:t>
            </w:r>
          </w:p>
        </w:tc>
        <w:tc>
          <w:tcPr>
            <w:tcW w:w="9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subscribed to Robinhood Gold and (b) has made at least one Robinhood Gold subscription fee payment.</w:t>
            </w:r>
          </w:p>
        </w:tc>
        <w:tc>
          <w:tcPr>
            <w:tcW w:w="2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620" w:type="dxa"/>
            <w:vAlign w:val="bottom"/>
            <w:tcBorders>
              <w:top w:val="single" w:sz="8" w:color="auto"/>
              <w:left w:val="single" w:sz="8" w:color="auto"/>
              <w:bottom w:val="single" w:sz="8" w:color="auto"/>
              <w:right w:val="single" w:sz="8" w:color="CCEEFF"/>
            </w:tcBorders>
            <w:shd w:val="clear" w:color="auto" w:fill="CCEEFF"/>
          </w:tcPr>
          <w:p>
            <w:pPr>
              <w:spacing w:after="0"/>
              <w:rPr>
                <w:sz w:val="16"/>
                <w:szCs w:val="16"/>
                <w:color w:val="auto"/>
              </w:rPr>
            </w:pPr>
          </w:p>
        </w:tc>
        <w:tc>
          <w:tcPr>
            <w:tcW w:w="9640" w:type="dxa"/>
            <w:vAlign w:val="bottom"/>
            <w:tcBorders>
              <w:top w:val="single" w:sz="8" w:color="auto"/>
              <w:bottom w:val="single" w:sz="8" w:color="auto"/>
              <w:right w:val="single" w:sz="8" w:color="auto"/>
            </w:tcBorders>
            <w:shd w:val="clear" w:color="auto" w:fill="CCEEFF"/>
          </w:tcPr>
          <w:p>
            <w:pPr>
              <w:ind w:left="3360"/>
              <w:spacing w:after="0"/>
              <w:rPr>
                <w:sz w:val="20"/>
                <w:szCs w:val="20"/>
                <w:color w:val="auto"/>
              </w:rPr>
            </w:pPr>
            <w:r>
              <w:rPr>
                <w:rFonts w:ascii="Arial" w:cs="Arial" w:eastAsia="Arial" w:hAnsi="Arial"/>
                <w:sz w:val="13"/>
                <w:szCs w:val="13"/>
                <w:b w:val="1"/>
                <w:bCs w:val="1"/>
                <w:color w:val="auto"/>
              </w:rPr>
              <w:t>Other Glossary Terms</w:t>
            </w:r>
          </w:p>
        </w:tc>
      </w:tr>
      <w:tr>
        <w:trPr>
          <w:trHeight w:val="126"/>
        </w:trPr>
        <w:tc>
          <w:tcPr>
            <w:tcW w:w="1620" w:type="dxa"/>
            <w:vAlign w:val="bottom"/>
            <w:tcBorders>
              <w:left w:val="single" w:sz="8" w:color="auto"/>
              <w:right w:val="single" w:sz="8" w:color="auto"/>
            </w:tcBorders>
          </w:tcPr>
          <w:p>
            <w:pPr>
              <w:ind w:left="40"/>
              <w:spacing w:after="0" w:line="126" w:lineRule="exact"/>
              <w:rPr>
                <w:sz w:val="20"/>
                <w:szCs w:val="20"/>
                <w:color w:val="auto"/>
              </w:rPr>
            </w:pPr>
            <w:r>
              <w:rPr>
                <w:rFonts w:ascii="Arial" w:cs="Arial" w:eastAsia="Arial" w:hAnsi="Arial"/>
                <w:sz w:val="13"/>
                <w:szCs w:val="13"/>
                <w:b w:val="1"/>
                <w:bCs w:val="1"/>
                <w:color w:val="auto"/>
              </w:rPr>
              <w:t>ACATS</w:t>
            </w:r>
          </w:p>
        </w:tc>
        <w:tc>
          <w:tcPr>
            <w:tcW w:w="9640" w:type="dxa"/>
            <w:vAlign w:val="bottom"/>
            <w:tcBorders>
              <w:right w:val="single" w:sz="8" w:color="auto"/>
            </w:tcBorders>
          </w:tcPr>
          <w:p>
            <w:pPr>
              <w:ind w:left="20"/>
              <w:spacing w:after="0" w:line="126" w:lineRule="exact"/>
              <w:rPr>
                <w:sz w:val="20"/>
                <w:szCs w:val="20"/>
                <w:color w:val="auto"/>
              </w:rPr>
            </w:pPr>
            <w:r>
              <w:rPr>
                <w:rFonts w:ascii="Arial" w:cs="Arial" w:eastAsia="Arial" w:hAnsi="Arial"/>
                <w:sz w:val="13"/>
                <w:szCs w:val="13"/>
                <w:color w:val="auto"/>
              </w:rPr>
              <w:t>Automated Customer Account Transfer Service</w:t>
            </w:r>
          </w:p>
        </w:tc>
      </w:tr>
      <w:tr>
        <w:trPr>
          <w:trHeight w:val="173"/>
        </w:trPr>
        <w:tc>
          <w:tcPr>
            <w:tcW w:w="1620" w:type="dxa"/>
            <w:vAlign w:val="bottom"/>
            <w:tcBorders>
              <w:left w:val="single" w:sz="8" w:color="auto"/>
              <w:bottom w:val="single" w:sz="8" w:color="auto"/>
              <w:right w:val="single" w:sz="8" w:color="auto"/>
            </w:tcBorders>
          </w:tcPr>
          <w:p>
            <w:pPr>
              <w:spacing w:after="0"/>
              <w:rPr>
                <w:sz w:val="15"/>
                <w:szCs w:val="15"/>
                <w:color w:val="auto"/>
              </w:rPr>
            </w:pPr>
          </w:p>
        </w:tc>
        <w:tc>
          <w:tcPr>
            <w:tcW w:w="9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 system that automates and standardizes procedures for the transfer of assets in a customer account from one brokerage firm and/or bank to another.</w:t>
            </w:r>
          </w:p>
        </w:tc>
      </w:tr>
      <w:tr>
        <w:trPr>
          <w:trHeight w:val="131"/>
        </w:trPr>
        <w:tc>
          <w:tcPr>
            <w:tcW w:w="1620" w:type="dxa"/>
            <w:vAlign w:val="bottom"/>
            <w:tcBorders>
              <w:left w:val="single" w:sz="8" w:color="auto"/>
              <w:right w:val="single" w:sz="8" w:color="auto"/>
            </w:tcBorders>
            <w:shd w:val="clear" w:color="auto" w:fill="CCEEFF"/>
          </w:tcPr>
          <w:p>
            <w:pPr>
              <w:ind w:left="40"/>
              <w:spacing w:after="0" w:line="131" w:lineRule="exact"/>
              <w:rPr>
                <w:sz w:val="20"/>
                <w:szCs w:val="20"/>
                <w:color w:val="auto"/>
              </w:rPr>
            </w:pPr>
            <w:r>
              <w:rPr>
                <w:rFonts w:ascii="Arial" w:cs="Arial" w:eastAsia="Arial" w:hAnsi="Arial"/>
                <w:sz w:val="13"/>
                <w:szCs w:val="13"/>
                <w:b w:val="1"/>
                <w:bCs w:val="1"/>
                <w:color w:val="auto"/>
              </w:rPr>
              <w:t>Cash Sweep</w:t>
            </w:r>
          </w:p>
        </w:tc>
        <w:tc>
          <w:tcPr>
            <w:tcW w:w="9640" w:type="dxa"/>
            <w:vAlign w:val="bottom"/>
            <w:tcBorders>
              <w:right w:val="single" w:sz="8" w:color="auto"/>
            </w:tcBorders>
            <w:shd w:val="clear" w:color="auto" w:fill="CCEEFF"/>
          </w:tcPr>
          <w:p>
            <w:pPr>
              <w:ind w:left="20"/>
              <w:spacing w:after="0" w:line="131" w:lineRule="exact"/>
              <w:rPr>
                <w:sz w:val="20"/>
                <w:szCs w:val="20"/>
                <w:color w:val="auto"/>
              </w:rPr>
            </w:pPr>
            <w:r>
              <w:rPr>
                <w:rFonts w:ascii="Arial" w:cs="Arial" w:eastAsia="Arial" w:hAnsi="Arial"/>
                <w:sz w:val="13"/>
                <w:szCs w:val="13"/>
                <w:color w:val="auto"/>
                <w:w w:val="98"/>
              </w:rPr>
              <w:t>We define Cash Sweep as the period-end total amount of participating users’ uninvested brokerage and banking cash that has been automatically “swept” or moved from</w:t>
            </w:r>
          </w:p>
        </w:tc>
      </w:tr>
      <w:tr>
        <w:trPr>
          <w:trHeight w:val="126"/>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40" w:type="dxa"/>
            <w:vAlign w:val="bottom"/>
            <w:tcBorders>
              <w:right w:val="single" w:sz="8" w:color="auto"/>
            </w:tcBorders>
            <w:shd w:val="clear" w:color="auto" w:fill="CCEEFF"/>
          </w:tcPr>
          <w:p>
            <w:pPr>
              <w:ind w:left="20"/>
              <w:spacing w:after="0" w:line="126" w:lineRule="exact"/>
              <w:rPr>
                <w:sz w:val="20"/>
                <w:szCs w:val="20"/>
                <w:color w:val="auto"/>
              </w:rPr>
            </w:pPr>
            <w:r>
              <w:rPr>
                <w:rFonts w:ascii="Arial" w:cs="Arial" w:eastAsia="Arial" w:hAnsi="Arial"/>
                <w:sz w:val="13"/>
                <w:szCs w:val="13"/>
                <w:color w:val="auto"/>
                <w:w w:val="99"/>
              </w:rPr>
              <w:t>their accounts into deposits for their benefit at a network of program banks. This is an off-balance-sheet amount. Robinhood earns a net interest spread on Cash Sweep</w:t>
            </w:r>
          </w:p>
        </w:tc>
      </w:tr>
      <w:tr>
        <w:trPr>
          <w:trHeight w:val="122"/>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40" w:type="dxa"/>
            <w:vAlign w:val="bottom"/>
            <w:tcBorders>
              <w:right w:val="single" w:sz="8" w:color="auto"/>
            </w:tcBorders>
            <w:shd w:val="clear" w:color="auto" w:fill="CCEEFF"/>
          </w:tcPr>
          <w:p>
            <w:pPr>
              <w:ind w:left="20"/>
              <w:spacing w:after="0" w:line="122" w:lineRule="exact"/>
              <w:rPr>
                <w:sz w:val="20"/>
                <w:szCs w:val="20"/>
                <w:color w:val="auto"/>
              </w:rPr>
            </w:pPr>
            <w:r>
              <w:rPr>
                <w:rFonts w:ascii="Arial" w:cs="Arial" w:eastAsia="Arial" w:hAnsi="Arial"/>
                <w:sz w:val="13"/>
                <w:szCs w:val="13"/>
                <w:color w:val="auto"/>
                <w:w w:val="96"/>
              </w:rPr>
              <w:t>balances based on the interest rate offered by the banks less the interest rate given to users as stated in our program terms. This includes balances from customers of RIAs</w:t>
            </w:r>
          </w:p>
        </w:tc>
      </w:tr>
      <w:tr>
        <w:trPr>
          <w:trHeight w:val="131"/>
        </w:trPr>
        <w:tc>
          <w:tcPr>
            <w:tcW w:w="1620" w:type="dxa"/>
            <w:vAlign w:val="bottom"/>
            <w:tcBorders>
              <w:left w:val="single" w:sz="8" w:color="auto"/>
              <w:right w:val="single" w:sz="8" w:color="auto"/>
            </w:tcBorders>
            <w:shd w:val="clear" w:color="auto" w:fill="CCEEFF"/>
          </w:tcPr>
          <w:p>
            <w:pPr>
              <w:spacing w:after="0"/>
              <w:rPr>
                <w:sz w:val="11"/>
                <w:szCs w:val="11"/>
                <w:color w:val="auto"/>
              </w:rPr>
            </w:pPr>
          </w:p>
        </w:tc>
        <w:tc>
          <w:tcPr>
            <w:tcW w:w="9640" w:type="dxa"/>
            <w:vAlign w:val="bottom"/>
            <w:tcBorders>
              <w:right w:val="single" w:sz="8" w:color="auto"/>
            </w:tcBorders>
            <w:shd w:val="clear" w:color="auto" w:fill="CCEEFF"/>
          </w:tcPr>
          <w:p>
            <w:pPr>
              <w:ind w:left="20"/>
              <w:spacing w:after="0" w:line="131" w:lineRule="exact"/>
              <w:rPr>
                <w:sz w:val="20"/>
                <w:szCs w:val="20"/>
                <w:color w:val="auto"/>
              </w:rPr>
            </w:pPr>
            <w:r>
              <w:rPr>
                <w:rFonts w:ascii="Arial" w:cs="Arial" w:eastAsia="Arial" w:hAnsi="Arial"/>
                <w:sz w:val="13"/>
                <w:szCs w:val="13"/>
                <w:color w:val="auto"/>
                <w:w w:val="99"/>
              </w:rPr>
              <w:t>using TradePMR’s platform. In February 2026, we updated our brokerage High-Yield Cash program to fund growth in margin lending, resulting in over $6 billion of Cash</w:t>
            </w:r>
          </w:p>
        </w:tc>
      </w:tr>
      <w:tr>
        <w:trPr>
          <w:trHeight w:val="173"/>
        </w:trPr>
        <w:tc>
          <w:tcPr>
            <w:tcW w:w="162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9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Sweep balances moving to Cash and Deposits in the form of customer free credit balances.</w:t>
            </w:r>
          </w:p>
        </w:tc>
      </w:tr>
      <w:tr>
        <w:trPr>
          <w:trHeight w:val="131"/>
        </w:trPr>
        <w:tc>
          <w:tcPr>
            <w:tcW w:w="1620" w:type="dxa"/>
            <w:vAlign w:val="bottom"/>
            <w:tcBorders>
              <w:left w:val="single" w:sz="8" w:color="auto"/>
              <w:right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Churned Customers</w:t>
            </w:r>
          </w:p>
        </w:tc>
        <w:tc>
          <w:tcPr>
            <w:tcW w:w="9640" w:type="dxa"/>
            <w:vAlign w:val="bottom"/>
            <w:tcBorders>
              <w:right w:val="single" w:sz="8" w:color="auto"/>
            </w:tcBorders>
          </w:tcPr>
          <w:p>
            <w:pPr>
              <w:ind w:left="20"/>
              <w:spacing w:after="0" w:line="131" w:lineRule="exact"/>
              <w:rPr>
                <w:sz w:val="20"/>
                <w:szCs w:val="20"/>
                <w:color w:val="auto"/>
              </w:rPr>
            </w:pPr>
            <w:r>
              <w:rPr>
                <w:rFonts w:ascii="Arial" w:cs="Arial" w:eastAsia="Arial" w:hAnsi="Arial"/>
                <w:sz w:val="13"/>
                <w:szCs w:val="13"/>
                <w:color w:val="auto"/>
                <w:w w:val="98"/>
              </w:rPr>
              <w:t>A Funded Customer is considered “Churned” if it was ever a New Funded Customer whose account balance (measured as the fair value of assets in the account less any</w:t>
            </w:r>
          </w:p>
        </w:tc>
      </w:tr>
      <w:tr>
        <w:trPr>
          <w:trHeight w:val="126"/>
        </w:trPr>
        <w:tc>
          <w:tcPr>
            <w:tcW w:w="1620" w:type="dxa"/>
            <w:vAlign w:val="bottom"/>
            <w:tcBorders>
              <w:left w:val="single" w:sz="8" w:color="auto"/>
              <w:right w:val="single" w:sz="8" w:color="auto"/>
            </w:tcBorders>
          </w:tcPr>
          <w:p>
            <w:pPr>
              <w:spacing w:after="0"/>
              <w:rPr>
                <w:sz w:val="10"/>
                <w:szCs w:val="10"/>
                <w:color w:val="auto"/>
              </w:rPr>
            </w:pPr>
          </w:p>
        </w:tc>
        <w:tc>
          <w:tcPr>
            <w:tcW w:w="9640" w:type="dxa"/>
            <w:vAlign w:val="bottom"/>
            <w:tcBorders>
              <w:right w:val="single" w:sz="8" w:color="auto"/>
            </w:tcBorders>
          </w:tcPr>
          <w:p>
            <w:pPr>
              <w:ind w:left="20"/>
              <w:spacing w:after="0" w:line="126" w:lineRule="exact"/>
              <w:rPr>
                <w:sz w:val="20"/>
                <w:szCs w:val="20"/>
                <w:color w:val="auto"/>
              </w:rPr>
            </w:pPr>
            <w:r>
              <w:rPr>
                <w:rFonts w:ascii="Arial" w:cs="Arial" w:eastAsia="Arial" w:hAnsi="Arial"/>
                <w:sz w:val="13"/>
                <w:szCs w:val="13"/>
                <w:color w:val="auto"/>
                <w:w w:val="97"/>
              </w:rPr>
              <w:t>amount due from the user and excluding amounts that are deposited into a Funded Customer account by the Company with no action taken by the unique person) drops to</w:t>
            </w:r>
          </w:p>
        </w:tc>
      </w:tr>
      <w:tr>
        <w:trPr>
          <w:trHeight w:val="122"/>
        </w:trPr>
        <w:tc>
          <w:tcPr>
            <w:tcW w:w="1620" w:type="dxa"/>
            <w:vAlign w:val="bottom"/>
            <w:tcBorders>
              <w:left w:val="single" w:sz="8" w:color="auto"/>
              <w:right w:val="single" w:sz="8" w:color="auto"/>
            </w:tcBorders>
          </w:tcPr>
          <w:p>
            <w:pPr>
              <w:spacing w:after="0"/>
              <w:rPr>
                <w:sz w:val="10"/>
                <w:szCs w:val="10"/>
                <w:color w:val="auto"/>
              </w:rPr>
            </w:pPr>
          </w:p>
        </w:tc>
        <w:tc>
          <w:tcPr>
            <w:tcW w:w="96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3"/>
                <w:szCs w:val="13"/>
                <w:color w:val="auto"/>
                <w:w w:val="98"/>
              </w:rPr>
              <w:t>or below zero and has not completed a transaction using any account with a Robinhood entity for at least 45 consecutive calendar days. Negative balances typically result</w:t>
            </w:r>
          </w:p>
        </w:tc>
      </w:tr>
      <w:tr>
        <w:trPr>
          <w:trHeight w:val="131"/>
        </w:trPr>
        <w:tc>
          <w:tcPr>
            <w:tcW w:w="1620" w:type="dxa"/>
            <w:vAlign w:val="bottom"/>
            <w:tcBorders>
              <w:left w:val="single" w:sz="8" w:color="auto"/>
              <w:right w:val="single" w:sz="8" w:color="auto"/>
            </w:tcBorders>
          </w:tcPr>
          <w:p>
            <w:pPr>
              <w:spacing w:after="0"/>
              <w:rPr>
                <w:sz w:val="11"/>
                <w:szCs w:val="11"/>
                <w:color w:val="auto"/>
              </w:rPr>
            </w:pPr>
          </w:p>
        </w:tc>
        <w:tc>
          <w:tcPr>
            <w:tcW w:w="9640" w:type="dxa"/>
            <w:vAlign w:val="bottom"/>
            <w:tcBorders>
              <w:right w:val="single" w:sz="8" w:color="auto"/>
            </w:tcBorders>
          </w:tcPr>
          <w:p>
            <w:pPr>
              <w:ind w:left="20"/>
              <w:spacing w:after="0" w:line="131" w:lineRule="exact"/>
              <w:rPr>
                <w:sz w:val="20"/>
                <w:szCs w:val="20"/>
                <w:color w:val="auto"/>
              </w:rPr>
            </w:pPr>
            <w:r>
              <w:rPr>
                <w:rFonts w:ascii="Arial" w:cs="Arial" w:eastAsia="Arial" w:hAnsi="Arial"/>
                <w:sz w:val="13"/>
                <w:szCs w:val="13"/>
                <w:color w:val="auto"/>
                <w:w w:val="96"/>
              </w:rPr>
              <w:t>from Fraudulent Deposit Transactions (which occur when users initiate deposits into their accounts, make trades on our platforms using a short-term extension of credit from</w:t>
            </w:r>
          </w:p>
        </w:tc>
      </w:tr>
      <w:tr>
        <w:trPr>
          <w:trHeight w:val="173"/>
        </w:trPr>
        <w:tc>
          <w:tcPr>
            <w:tcW w:w="1620" w:type="dxa"/>
            <w:vAlign w:val="bottom"/>
            <w:tcBorders>
              <w:left w:val="single" w:sz="8" w:color="auto"/>
              <w:bottom w:val="single" w:sz="8" w:color="auto"/>
              <w:right w:val="single" w:sz="8" w:color="auto"/>
            </w:tcBorders>
          </w:tcPr>
          <w:p>
            <w:pPr>
              <w:spacing w:after="0"/>
              <w:rPr>
                <w:sz w:val="15"/>
                <w:szCs w:val="15"/>
                <w:color w:val="auto"/>
              </w:rPr>
            </w:pPr>
          </w:p>
        </w:tc>
        <w:tc>
          <w:tcPr>
            <w:tcW w:w="9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us, and then repatriate or reverse the deposits, resulting in a loss to us of the credited amount) and unauthorized debit card use, and less often, from margin loans.</w:t>
            </w:r>
          </w:p>
        </w:tc>
      </w:tr>
      <w:tr>
        <w:trPr>
          <w:trHeight w:val="131"/>
        </w:trPr>
        <w:tc>
          <w:tcPr>
            <w:tcW w:w="1620" w:type="dxa"/>
            <w:vAlign w:val="bottom"/>
            <w:tcBorders>
              <w:left w:val="single" w:sz="8" w:color="auto"/>
              <w:right w:val="single" w:sz="8" w:color="auto"/>
            </w:tcBorders>
            <w:shd w:val="clear" w:color="auto" w:fill="CCEEFF"/>
          </w:tcPr>
          <w:p>
            <w:pPr>
              <w:ind w:left="40"/>
              <w:spacing w:after="0" w:line="131" w:lineRule="exact"/>
              <w:rPr>
                <w:sz w:val="20"/>
                <w:szCs w:val="20"/>
                <w:color w:val="auto"/>
              </w:rPr>
            </w:pPr>
            <w:r>
              <w:rPr>
                <w:rFonts w:ascii="Arial" w:cs="Arial" w:eastAsia="Arial" w:hAnsi="Arial"/>
                <w:sz w:val="13"/>
                <w:szCs w:val="13"/>
                <w:b w:val="1"/>
                <w:bCs w:val="1"/>
                <w:color w:val="auto"/>
              </w:rPr>
              <w:t>Growth Rate and</w:t>
            </w:r>
          </w:p>
        </w:tc>
        <w:tc>
          <w:tcPr>
            <w:tcW w:w="9640" w:type="dxa"/>
            <w:vAlign w:val="bottom"/>
            <w:tcBorders>
              <w:right w:val="single" w:sz="8" w:color="auto"/>
            </w:tcBorders>
            <w:shd w:val="clear" w:color="auto" w:fill="CCEEFF"/>
          </w:tcPr>
          <w:p>
            <w:pPr>
              <w:ind w:left="20"/>
              <w:spacing w:after="0" w:line="131" w:lineRule="exact"/>
              <w:rPr>
                <w:sz w:val="20"/>
                <w:szCs w:val="20"/>
                <w:color w:val="auto"/>
              </w:rPr>
            </w:pPr>
            <w:r>
              <w:rPr>
                <w:rFonts w:ascii="Arial" w:cs="Arial" w:eastAsia="Arial" w:hAnsi="Arial"/>
                <w:sz w:val="13"/>
                <w:szCs w:val="13"/>
                <w:color w:val="auto"/>
                <w:w w:val="96"/>
              </w:rPr>
              <w:t>Growth rate is calculated as aggregate Net Deposits over a specified 12 month period, divided by Total Platform Assets for the fiscal quarter that immediately precedes such</w:t>
            </w:r>
          </w:p>
        </w:tc>
      </w:tr>
      <w:tr>
        <w:trPr>
          <w:trHeight w:val="126"/>
        </w:trPr>
        <w:tc>
          <w:tcPr>
            <w:tcW w:w="1620" w:type="dxa"/>
            <w:vAlign w:val="bottom"/>
            <w:tcBorders>
              <w:left w:val="single" w:sz="8" w:color="auto"/>
              <w:right w:val="single" w:sz="8" w:color="auto"/>
            </w:tcBorders>
            <w:shd w:val="clear" w:color="auto" w:fill="CCEEFF"/>
          </w:tcPr>
          <w:p>
            <w:pPr>
              <w:ind w:left="40"/>
              <w:spacing w:after="0" w:line="126" w:lineRule="exact"/>
              <w:rPr>
                <w:sz w:val="20"/>
                <w:szCs w:val="20"/>
                <w:color w:val="auto"/>
              </w:rPr>
            </w:pPr>
            <w:r>
              <w:rPr>
                <w:rFonts w:ascii="Arial" w:cs="Arial" w:eastAsia="Arial" w:hAnsi="Arial"/>
                <w:sz w:val="13"/>
                <w:szCs w:val="13"/>
                <w:b w:val="1"/>
                <w:bCs w:val="1"/>
                <w:color w:val="auto"/>
              </w:rPr>
              <w:t>Annualized Growth Rate</w:t>
            </w:r>
          </w:p>
        </w:tc>
        <w:tc>
          <w:tcPr>
            <w:tcW w:w="9640" w:type="dxa"/>
            <w:vAlign w:val="bottom"/>
            <w:tcBorders>
              <w:right w:val="single" w:sz="8" w:color="auto"/>
            </w:tcBorders>
            <w:shd w:val="clear" w:color="auto" w:fill="CCEEFF"/>
          </w:tcPr>
          <w:p>
            <w:pPr>
              <w:ind w:left="20"/>
              <w:spacing w:after="0" w:line="126" w:lineRule="exact"/>
              <w:rPr>
                <w:sz w:val="20"/>
                <w:szCs w:val="20"/>
                <w:color w:val="auto"/>
              </w:rPr>
            </w:pPr>
            <w:r>
              <w:rPr>
                <w:rFonts w:ascii="Arial" w:cs="Arial" w:eastAsia="Arial" w:hAnsi="Arial"/>
                <w:sz w:val="13"/>
                <w:szCs w:val="13"/>
                <w:color w:val="auto"/>
              </w:rPr>
              <w:t>12 month period. Annualized growth rate is calculated as Net Deposits for a specified quarter multiplied by 4 and divided by Total Platform Assets for the immediately</w:t>
            </w:r>
          </w:p>
        </w:tc>
      </w:tr>
      <w:tr>
        <w:trPr>
          <w:trHeight w:val="122"/>
        </w:trPr>
        <w:tc>
          <w:tcPr>
            <w:tcW w:w="1620" w:type="dxa"/>
            <w:vAlign w:val="bottom"/>
            <w:tcBorders>
              <w:left w:val="single" w:sz="8" w:color="auto"/>
              <w:right w:val="single" w:sz="8" w:color="auto"/>
            </w:tcBorders>
            <w:shd w:val="clear" w:color="auto" w:fill="CCEEFF"/>
          </w:tcPr>
          <w:p>
            <w:pPr>
              <w:ind w:left="40"/>
              <w:spacing w:after="0" w:line="122" w:lineRule="exact"/>
              <w:rPr>
                <w:sz w:val="20"/>
                <w:szCs w:val="20"/>
                <w:color w:val="auto"/>
              </w:rPr>
            </w:pPr>
            <w:r>
              <w:rPr>
                <w:rFonts w:ascii="Arial" w:cs="Arial" w:eastAsia="Arial" w:hAnsi="Arial"/>
                <w:sz w:val="13"/>
                <w:szCs w:val="13"/>
                <w:b w:val="1"/>
                <w:bCs w:val="1"/>
                <w:color w:val="auto"/>
              </w:rPr>
              <w:t>with respect to Net</w:t>
            </w:r>
          </w:p>
        </w:tc>
        <w:tc>
          <w:tcPr>
            <w:tcW w:w="9640" w:type="dxa"/>
            <w:vAlign w:val="bottom"/>
            <w:tcBorders>
              <w:right w:val="single" w:sz="8" w:color="auto"/>
            </w:tcBorders>
            <w:shd w:val="clear" w:color="auto" w:fill="CCEEFF"/>
          </w:tcPr>
          <w:p>
            <w:pPr>
              <w:ind w:left="20"/>
              <w:spacing w:after="0" w:line="122" w:lineRule="exact"/>
              <w:rPr>
                <w:sz w:val="20"/>
                <w:szCs w:val="20"/>
                <w:color w:val="auto"/>
              </w:rPr>
            </w:pPr>
            <w:r>
              <w:rPr>
                <w:rFonts w:ascii="Arial" w:cs="Arial" w:eastAsia="Arial" w:hAnsi="Arial"/>
                <w:sz w:val="13"/>
                <w:szCs w:val="13"/>
                <w:color w:val="auto"/>
              </w:rPr>
              <w:t>preceding quarter.</w:t>
            </w:r>
          </w:p>
        </w:tc>
      </w:tr>
      <w:tr>
        <w:trPr>
          <w:trHeight w:val="174"/>
        </w:trPr>
        <w:tc>
          <w:tcPr>
            <w:tcW w:w="16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Deposits</w:t>
            </w:r>
          </w:p>
        </w:tc>
        <w:tc>
          <w:tcPr>
            <w:tcW w:w="9640" w:type="dxa"/>
            <w:vAlign w:val="bottom"/>
            <w:tcBorders>
              <w:bottom w:val="single" w:sz="8" w:color="auto"/>
              <w:right w:val="single" w:sz="8" w:color="auto"/>
            </w:tcBorders>
            <w:shd w:val="clear" w:color="auto" w:fill="CCEEFF"/>
          </w:tcPr>
          <w:p>
            <w:pPr>
              <w:spacing w:after="0"/>
              <w:rPr>
                <w:sz w:val="15"/>
                <w:szCs w:val="15"/>
                <w:color w:val="auto"/>
              </w:rPr>
            </w:pPr>
          </w:p>
        </w:tc>
      </w:tr>
      <w:tr>
        <w:trPr>
          <w:trHeight w:val="126"/>
        </w:trPr>
        <w:tc>
          <w:tcPr>
            <w:tcW w:w="1620" w:type="dxa"/>
            <w:vAlign w:val="bottom"/>
            <w:tcBorders>
              <w:left w:val="single" w:sz="8" w:color="auto"/>
              <w:right w:val="single" w:sz="8" w:color="auto"/>
            </w:tcBorders>
          </w:tcPr>
          <w:p>
            <w:pPr>
              <w:ind w:left="40"/>
              <w:spacing w:after="0" w:line="126" w:lineRule="exact"/>
              <w:rPr>
                <w:sz w:val="20"/>
                <w:szCs w:val="20"/>
                <w:color w:val="auto"/>
              </w:rPr>
            </w:pPr>
            <w:r>
              <w:rPr>
                <w:rFonts w:ascii="Arial" w:cs="Arial" w:eastAsia="Arial" w:hAnsi="Arial"/>
                <w:sz w:val="13"/>
                <w:szCs w:val="13"/>
                <w:b w:val="1"/>
                <w:bCs w:val="1"/>
                <w:color w:val="auto"/>
              </w:rPr>
              <w:t>Investment Accounts</w:t>
            </w:r>
          </w:p>
        </w:tc>
        <w:tc>
          <w:tcPr>
            <w:tcW w:w="9640" w:type="dxa"/>
            <w:vAlign w:val="bottom"/>
            <w:tcBorders>
              <w:right w:val="single" w:sz="8" w:color="auto"/>
            </w:tcBorders>
          </w:tcPr>
          <w:p>
            <w:pPr>
              <w:ind w:left="20"/>
              <w:spacing w:after="0" w:line="126" w:lineRule="exact"/>
              <w:rPr>
                <w:sz w:val="20"/>
                <w:szCs w:val="20"/>
                <w:color w:val="auto"/>
              </w:rPr>
            </w:pPr>
            <w:r>
              <w:rPr>
                <w:rFonts w:ascii="Arial" w:cs="Arial" w:eastAsia="Arial" w:hAnsi="Arial"/>
                <w:sz w:val="13"/>
                <w:szCs w:val="13"/>
                <w:color w:val="auto"/>
                <w:w w:val="98"/>
              </w:rPr>
              <w:t>We define an Investment Account as a funded individual brokerage account, a funded joint investing account, a funded IRA, or an account with an RIA using TradePMR’s</w:t>
            </w:r>
          </w:p>
        </w:tc>
      </w:tr>
      <w:tr>
        <w:trPr>
          <w:trHeight w:val="126"/>
        </w:trPr>
        <w:tc>
          <w:tcPr>
            <w:tcW w:w="1620" w:type="dxa"/>
            <w:vAlign w:val="bottom"/>
            <w:tcBorders>
              <w:left w:val="single" w:sz="8" w:color="auto"/>
              <w:right w:val="single" w:sz="8" w:color="auto"/>
            </w:tcBorders>
          </w:tcPr>
          <w:p>
            <w:pPr>
              <w:spacing w:after="0"/>
              <w:rPr>
                <w:sz w:val="10"/>
                <w:szCs w:val="10"/>
                <w:color w:val="auto"/>
              </w:rPr>
            </w:pPr>
          </w:p>
        </w:tc>
        <w:tc>
          <w:tcPr>
            <w:tcW w:w="9640" w:type="dxa"/>
            <w:vAlign w:val="bottom"/>
            <w:tcBorders>
              <w:right w:val="single" w:sz="8" w:color="auto"/>
            </w:tcBorders>
          </w:tcPr>
          <w:p>
            <w:pPr>
              <w:ind w:left="20"/>
              <w:spacing w:after="0" w:line="126" w:lineRule="exact"/>
              <w:rPr>
                <w:sz w:val="20"/>
                <w:szCs w:val="20"/>
                <w:color w:val="auto"/>
              </w:rPr>
            </w:pPr>
            <w:r>
              <w:rPr>
                <w:rFonts w:ascii="Arial" w:cs="Arial" w:eastAsia="Arial" w:hAnsi="Arial"/>
                <w:sz w:val="13"/>
                <w:szCs w:val="13"/>
                <w:color w:val="auto"/>
                <w:w w:val="97"/>
              </w:rPr>
              <w:t>platform. Starting in September 2025, a Funded Customer can have multiple Investment Accounts - one or more individual brokerage accounts, a joint investing account, a</w:t>
            </w:r>
          </w:p>
        </w:tc>
      </w:tr>
      <w:tr>
        <w:trPr>
          <w:trHeight w:val="122"/>
        </w:trPr>
        <w:tc>
          <w:tcPr>
            <w:tcW w:w="1620" w:type="dxa"/>
            <w:vAlign w:val="bottom"/>
            <w:tcBorders>
              <w:left w:val="single" w:sz="8" w:color="auto"/>
              <w:right w:val="single" w:sz="8" w:color="auto"/>
            </w:tcBorders>
          </w:tcPr>
          <w:p>
            <w:pPr>
              <w:spacing w:after="0"/>
              <w:rPr>
                <w:sz w:val="10"/>
                <w:szCs w:val="10"/>
                <w:color w:val="auto"/>
              </w:rPr>
            </w:pPr>
          </w:p>
        </w:tc>
        <w:tc>
          <w:tcPr>
            <w:tcW w:w="96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3"/>
                <w:szCs w:val="13"/>
                <w:color w:val="auto"/>
                <w:w w:val="96"/>
              </w:rPr>
              <w:t>traditional IRA, a Roth IRA, and/or an RIA custody account using TradePMR’s platform. Investment Accounts do not include Bitstamp as such accounts are not brokerage or</w:t>
            </w:r>
          </w:p>
        </w:tc>
      </w:tr>
      <w:tr>
        <w:trPr>
          <w:trHeight w:val="171"/>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9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other Investment Accounts.</w:t>
            </w:r>
          </w:p>
        </w:tc>
      </w:tr>
      <w:tr>
        <w:trPr>
          <w:trHeight w:val="129"/>
        </w:trPr>
        <w:tc>
          <w:tcPr>
            <w:tcW w:w="1620" w:type="dxa"/>
            <w:vAlign w:val="bottom"/>
            <w:tcBorders>
              <w:left w:val="single" w:sz="8" w:color="auto"/>
              <w:right w:val="single" w:sz="8" w:color="auto"/>
            </w:tcBorders>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Margin Book</w:t>
            </w:r>
          </w:p>
        </w:tc>
        <w:tc>
          <w:tcPr>
            <w:tcW w:w="9640" w:type="dxa"/>
            <w:vAlign w:val="bottom"/>
            <w:tcBorders>
              <w:right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99"/>
              </w:rPr>
              <w:t>We define Margin Book as our period-end aggregate outstanding margin loan balances receivable (i.e., the period-end total amount we are owed by customers on loans</w:t>
            </w:r>
          </w:p>
        </w:tc>
      </w:tr>
      <w:tr>
        <w:trPr>
          <w:trHeight w:val="126"/>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40" w:type="dxa"/>
            <w:vAlign w:val="bottom"/>
            <w:tcBorders>
              <w:right w:val="single" w:sz="8" w:color="auto"/>
            </w:tcBorders>
            <w:shd w:val="clear" w:color="auto" w:fill="CCEEFF"/>
          </w:tcPr>
          <w:p>
            <w:pPr>
              <w:ind w:left="20"/>
              <w:spacing w:after="0" w:line="126" w:lineRule="exact"/>
              <w:rPr>
                <w:sz w:val="20"/>
                <w:szCs w:val="20"/>
                <w:color w:val="auto"/>
              </w:rPr>
            </w:pPr>
            <w:r>
              <w:rPr>
                <w:rFonts w:ascii="Arial" w:cs="Arial" w:eastAsia="Arial" w:hAnsi="Arial"/>
                <w:sz w:val="13"/>
                <w:szCs w:val="13"/>
                <w:color w:val="auto"/>
                <w:w w:val="98"/>
              </w:rPr>
              <w:t>made for the purchase of securities, supported by a pledge of assets in their margin-enabled brokerage accounts). This includes margin loan balances from customers of</w:t>
            </w:r>
          </w:p>
        </w:tc>
      </w:tr>
      <w:tr>
        <w:trPr>
          <w:trHeight w:val="171"/>
        </w:trPr>
        <w:tc>
          <w:tcPr>
            <w:tcW w:w="16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9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RIAs using TradePMR’s platform.</w:t>
            </w:r>
          </w:p>
        </w:tc>
      </w:tr>
      <w:tr>
        <w:trPr>
          <w:trHeight w:val="172"/>
        </w:trPr>
        <w:tc>
          <w:tcPr>
            <w:tcW w:w="1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New Funded Customers</w:t>
            </w:r>
          </w:p>
        </w:tc>
        <w:tc>
          <w:tcPr>
            <w:tcW w:w="9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We define a New Funded Customer as a unique person who became a Funded Customer for the first time during the relevant period.</w:t>
            </w:r>
          </w:p>
        </w:tc>
      </w:tr>
      <w:tr>
        <w:trPr>
          <w:trHeight w:val="126"/>
        </w:trPr>
        <w:tc>
          <w:tcPr>
            <w:tcW w:w="1620" w:type="dxa"/>
            <w:vAlign w:val="bottom"/>
            <w:tcBorders>
              <w:left w:val="single" w:sz="8" w:color="auto"/>
              <w:right w:val="single" w:sz="8" w:color="auto"/>
            </w:tcBorders>
            <w:shd w:val="clear" w:color="auto" w:fill="CCEEFF"/>
          </w:tcPr>
          <w:p>
            <w:pPr>
              <w:ind w:left="40"/>
              <w:spacing w:after="0" w:line="126" w:lineRule="exact"/>
              <w:rPr>
                <w:sz w:val="20"/>
                <w:szCs w:val="20"/>
                <w:color w:val="auto"/>
              </w:rPr>
            </w:pPr>
            <w:r>
              <w:rPr>
                <w:rFonts w:ascii="Arial" w:cs="Arial" w:eastAsia="Arial" w:hAnsi="Arial"/>
                <w:sz w:val="13"/>
                <w:szCs w:val="13"/>
                <w:b w:val="1"/>
                <w:bCs w:val="1"/>
                <w:color w:val="auto"/>
              </w:rPr>
              <w:t>Notional Trading Volume</w:t>
            </w:r>
          </w:p>
        </w:tc>
        <w:tc>
          <w:tcPr>
            <w:tcW w:w="9640" w:type="dxa"/>
            <w:vAlign w:val="bottom"/>
            <w:tcBorders>
              <w:right w:val="single" w:sz="8" w:color="auto"/>
            </w:tcBorders>
            <w:shd w:val="clear" w:color="auto" w:fill="CCEEFF"/>
          </w:tcPr>
          <w:p>
            <w:pPr>
              <w:ind w:left="20"/>
              <w:spacing w:after="0" w:line="126" w:lineRule="exact"/>
              <w:rPr>
                <w:sz w:val="20"/>
                <w:szCs w:val="20"/>
                <w:color w:val="auto"/>
              </w:rPr>
            </w:pPr>
            <w:r>
              <w:rPr>
                <w:rFonts w:ascii="Arial" w:cs="Arial" w:eastAsia="Arial" w:hAnsi="Arial"/>
                <w:sz w:val="13"/>
                <w:szCs w:val="13"/>
                <w:color w:val="auto"/>
                <w:w w:val="98"/>
              </w:rPr>
              <w:t>We define Notional Trading Volume, or Notional Volume, for any specified asset class as the aggregate dollar value (purchase price or sale price as applicable) of trades</w:t>
            </w:r>
          </w:p>
        </w:tc>
      </w:tr>
      <w:tr>
        <w:trPr>
          <w:trHeight w:val="126"/>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40" w:type="dxa"/>
            <w:vAlign w:val="bottom"/>
            <w:tcBorders>
              <w:right w:val="single" w:sz="8" w:color="auto"/>
            </w:tcBorders>
            <w:shd w:val="clear" w:color="auto" w:fill="CCEEFF"/>
          </w:tcPr>
          <w:p>
            <w:pPr>
              <w:ind w:left="20"/>
              <w:spacing w:after="0" w:line="126" w:lineRule="exact"/>
              <w:rPr>
                <w:sz w:val="20"/>
                <w:szCs w:val="20"/>
                <w:color w:val="auto"/>
              </w:rPr>
            </w:pPr>
            <w:r>
              <w:rPr>
                <w:rFonts w:ascii="Arial" w:cs="Arial" w:eastAsia="Arial" w:hAnsi="Arial"/>
                <w:sz w:val="13"/>
                <w:szCs w:val="13"/>
                <w:color w:val="auto"/>
                <w:w w:val="98"/>
              </w:rPr>
              <w:t>executed in that asset class on our platforms over a specified period of time. Crypto Notional Volume includes both Robinhood App Notional Volume and, starting in June</w:t>
            </w:r>
          </w:p>
        </w:tc>
      </w:tr>
      <w:tr>
        <w:trPr>
          <w:trHeight w:val="122"/>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40" w:type="dxa"/>
            <w:vAlign w:val="bottom"/>
            <w:tcBorders>
              <w:right w:val="single" w:sz="8" w:color="auto"/>
            </w:tcBorders>
            <w:shd w:val="clear" w:color="auto" w:fill="CCEEFF"/>
          </w:tcPr>
          <w:p>
            <w:pPr>
              <w:ind w:left="20"/>
              <w:spacing w:after="0" w:line="122" w:lineRule="exact"/>
              <w:rPr>
                <w:sz w:val="20"/>
                <w:szCs w:val="20"/>
                <w:color w:val="auto"/>
              </w:rPr>
            </w:pPr>
            <w:r>
              <w:rPr>
                <w:rFonts w:ascii="Arial" w:cs="Arial" w:eastAsia="Arial" w:hAnsi="Arial"/>
                <w:sz w:val="13"/>
                <w:szCs w:val="13"/>
                <w:color w:val="auto"/>
                <w:w w:val="97"/>
              </w:rPr>
              <w:t>2025, Bitstamp Notional Volume. Robinhood App Notional Volume represents the dollar value of executed crypto trades on the Robinhood platform over a specified period</w:t>
            </w:r>
          </w:p>
        </w:tc>
      </w:tr>
      <w:tr>
        <w:trPr>
          <w:trHeight w:val="131"/>
        </w:trPr>
        <w:tc>
          <w:tcPr>
            <w:tcW w:w="1620" w:type="dxa"/>
            <w:vAlign w:val="bottom"/>
            <w:tcBorders>
              <w:left w:val="single" w:sz="8" w:color="auto"/>
              <w:right w:val="single" w:sz="8" w:color="auto"/>
            </w:tcBorders>
            <w:shd w:val="clear" w:color="auto" w:fill="CCEEFF"/>
          </w:tcPr>
          <w:p>
            <w:pPr>
              <w:spacing w:after="0"/>
              <w:rPr>
                <w:sz w:val="11"/>
                <w:szCs w:val="11"/>
                <w:color w:val="auto"/>
              </w:rPr>
            </w:pPr>
          </w:p>
        </w:tc>
        <w:tc>
          <w:tcPr>
            <w:tcW w:w="9640" w:type="dxa"/>
            <w:vAlign w:val="bottom"/>
            <w:tcBorders>
              <w:right w:val="single" w:sz="8" w:color="auto"/>
            </w:tcBorders>
            <w:shd w:val="clear" w:color="auto" w:fill="CCEEFF"/>
          </w:tcPr>
          <w:p>
            <w:pPr>
              <w:ind w:left="20"/>
              <w:spacing w:after="0" w:line="131" w:lineRule="exact"/>
              <w:rPr>
                <w:sz w:val="20"/>
                <w:szCs w:val="20"/>
                <w:color w:val="auto"/>
              </w:rPr>
            </w:pPr>
            <w:r>
              <w:rPr>
                <w:rFonts w:ascii="Arial" w:cs="Arial" w:eastAsia="Arial" w:hAnsi="Arial"/>
                <w:sz w:val="13"/>
                <w:szCs w:val="13"/>
                <w:color w:val="auto"/>
                <w:w w:val="98"/>
              </w:rPr>
              <w:t>of time. Bitstamp Notional Volume represents the dollar value of executed crypto trades on the Bitstamp platform over a specified period of time. For example, each $1 of</w:t>
            </w:r>
          </w:p>
        </w:tc>
      </w:tr>
      <w:tr>
        <w:trPr>
          <w:trHeight w:val="173"/>
        </w:trPr>
        <w:tc>
          <w:tcPr>
            <w:tcW w:w="162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9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6"/>
              </w:rPr>
              <w:t>transaction value executed between a buyer and seller is counted as $1 of transaction value in the relevant period, rather than $2 if counted for each of the buyer and seller.</w:t>
            </w:r>
          </w:p>
        </w:tc>
      </w:tr>
      <w:tr>
        <w:trPr>
          <w:trHeight w:val="131"/>
        </w:trPr>
        <w:tc>
          <w:tcPr>
            <w:tcW w:w="1620" w:type="dxa"/>
            <w:vAlign w:val="bottom"/>
            <w:tcBorders>
              <w:left w:val="single" w:sz="8" w:color="auto"/>
              <w:right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Options Contracts</w:t>
            </w:r>
          </w:p>
        </w:tc>
        <w:tc>
          <w:tcPr>
            <w:tcW w:w="9640" w:type="dxa"/>
            <w:vAlign w:val="bottom"/>
            <w:tcBorders>
              <w:right w:val="single" w:sz="8" w:color="auto"/>
            </w:tcBorders>
          </w:tcPr>
          <w:p>
            <w:pPr>
              <w:ind w:left="20"/>
              <w:spacing w:after="0" w:line="131" w:lineRule="exact"/>
              <w:rPr>
                <w:sz w:val="20"/>
                <w:szCs w:val="20"/>
                <w:color w:val="auto"/>
              </w:rPr>
            </w:pPr>
            <w:r>
              <w:rPr>
                <w:rFonts w:ascii="Arial" w:cs="Arial" w:eastAsia="Arial" w:hAnsi="Arial"/>
                <w:sz w:val="13"/>
                <w:szCs w:val="13"/>
                <w:color w:val="auto"/>
                <w:w w:val="98"/>
              </w:rPr>
              <w:t>We define Options Contracts Traded as the total number of options contracts bought or sold over a specified period of time. Each contract generally entitles the holder to</w:t>
            </w:r>
          </w:p>
        </w:tc>
      </w:tr>
      <w:tr>
        <w:trPr>
          <w:trHeight w:val="176"/>
        </w:trPr>
        <w:tc>
          <w:tcPr>
            <w:tcW w:w="1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Traded</w:t>
            </w:r>
          </w:p>
        </w:tc>
        <w:tc>
          <w:tcPr>
            <w:tcW w:w="9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trade 100 shares of the underlying stock.</w:t>
            </w:r>
          </w:p>
        </w:tc>
      </w:tr>
      <w:tr>
        <w:trPr>
          <w:trHeight w:val="128"/>
        </w:trPr>
        <w:tc>
          <w:tcPr>
            <w:tcW w:w="1620" w:type="dxa"/>
            <w:vAlign w:val="bottom"/>
            <w:tcBorders>
              <w:left w:val="single" w:sz="8" w:color="auto"/>
              <w:right w:val="single" w:sz="8" w:color="auto"/>
            </w:tcBorders>
            <w:shd w:val="clear" w:color="auto" w:fill="CCEEFF"/>
          </w:tcPr>
          <w:p>
            <w:pPr>
              <w:ind w:left="40"/>
              <w:spacing w:after="0" w:line="128" w:lineRule="exact"/>
              <w:rPr>
                <w:sz w:val="20"/>
                <w:szCs w:val="20"/>
                <w:color w:val="auto"/>
              </w:rPr>
            </w:pPr>
            <w:r>
              <w:rPr>
                <w:rFonts w:ascii="Arial" w:cs="Arial" w:eastAsia="Arial" w:hAnsi="Arial"/>
                <w:sz w:val="13"/>
                <w:szCs w:val="13"/>
                <w:b w:val="1"/>
                <w:bCs w:val="1"/>
                <w:color w:val="auto"/>
              </w:rPr>
              <w:t>Resurrected Customers</w:t>
            </w:r>
          </w:p>
        </w:tc>
        <w:tc>
          <w:tcPr>
            <w:tcW w:w="9640" w:type="dxa"/>
            <w:vAlign w:val="bottom"/>
            <w:tcBorders>
              <w:right w:val="single" w:sz="8" w:color="auto"/>
            </w:tcBorders>
            <w:shd w:val="clear" w:color="auto" w:fill="CCEEFF"/>
          </w:tcPr>
          <w:p>
            <w:pPr>
              <w:ind w:left="20"/>
              <w:spacing w:after="0" w:line="128" w:lineRule="exact"/>
              <w:rPr>
                <w:sz w:val="20"/>
                <w:szCs w:val="20"/>
                <w:color w:val="auto"/>
              </w:rPr>
            </w:pPr>
            <w:r>
              <w:rPr>
                <w:rFonts w:ascii="Arial" w:cs="Arial" w:eastAsia="Arial" w:hAnsi="Arial"/>
                <w:sz w:val="13"/>
                <w:szCs w:val="13"/>
                <w:color w:val="auto"/>
              </w:rPr>
              <w:t>A Funded Customer is considered “Resurrected” in a stated period if it was a Churned Customer as of the end of the immediately preceding period and its balance</w:t>
            </w:r>
          </w:p>
        </w:tc>
      </w:tr>
      <w:tr>
        <w:trPr>
          <w:trHeight w:val="126"/>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40" w:type="dxa"/>
            <w:vAlign w:val="bottom"/>
            <w:tcBorders>
              <w:right w:val="single" w:sz="8" w:color="auto"/>
            </w:tcBorders>
            <w:shd w:val="clear" w:color="auto" w:fill="CCEEFF"/>
          </w:tcPr>
          <w:p>
            <w:pPr>
              <w:ind w:left="20"/>
              <w:spacing w:after="0" w:line="126" w:lineRule="exact"/>
              <w:rPr>
                <w:sz w:val="20"/>
                <w:szCs w:val="20"/>
                <w:color w:val="auto"/>
              </w:rPr>
            </w:pPr>
            <w:r>
              <w:rPr>
                <w:rFonts w:ascii="Arial" w:cs="Arial" w:eastAsia="Arial" w:hAnsi="Arial"/>
                <w:sz w:val="13"/>
                <w:szCs w:val="13"/>
                <w:color w:val="auto"/>
              </w:rPr>
              <w:t>(excluding amounts that are deposited into a Funded Customer account by the Company with no action taken by the unique person) rises above zero or it completes a</w:t>
            </w:r>
          </w:p>
        </w:tc>
      </w:tr>
      <w:tr>
        <w:trPr>
          <w:trHeight w:val="171"/>
        </w:trPr>
        <w:tc>
          <w:tcPr>
            <w:tcW w:w="16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9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transaction using its account.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Supported Cryptocurrencies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currently support trading in the following cryptocurrencies, where available</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1440" w:type="dxa"/>
            <w:vAlign w:val="bottom"/>
            <w:tcBorders>
              <w:top w:val="single" w:sz="8" w:color="auto"/>
              <w:left w:val="single" w:sz="8" w:color="auto"/>
              <w:right w:val="single" w:sz="8" w:color="auto"/>
            </w:tcBorders>
            <w:shd w:val="clear" w:color="auto" w:fill="CCEEFF"/>
          </w:tcPr>
          <w:p>
            <w:pPr>
              <w:ind w:left="40"/>
              <w:spacing w:after="0" w:line="175" w:lineRule="exact"/>
              <w:rPr>
                <w:sz w:val="20"/>
                <w:szCs w:val="20"/>
                <w:color w:val="auto"/>
              </w:rPr>
            </w:pPr>
            <w:r>
              <w:rPr>
                <w:rFonts w:ascii="Arial" w:cs="Arial" w:eastAsia="Arial" w:hAnsi="Arial"/>
                <w:sz w:val="16"/>
                <w:szCs w:val="16"/>
                <w:color w:val="auto"/>
              </w:rPr>
              <w:t>Aave (AAVE)</w:t>
            </w:r>
          </w:p>
        </w:tc>
        <w:tc>
          <w:tcPr>
            <w:tcW w:w="1400" w:type="dxa"/>
            <w:vAlign w:val="bottom"/>
            <w:tcBorders>
              <w:top w:val="single" w:sz="8" w:color="auto"/>
              <w:right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Aerodrome</w:t>
            </w:r>
          </w:p>
        </w:tc>
        <w:tc>
          <w:tcPr>
            <w:tcW w:w="1400" w:type="dxa"/>
            <w:vAlign w:val="bottom"/>
            <w:tcBorders>
              <w:top w:val="single" w:sz="8" w:color="auto"/>
              <w:right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Arbitrum (ARB)</w:t>
            </w:r>
          </w:p>
        </w:tc>
        <w:tc>
          <w:tcPr>
            <w:tcW w:w="1400" w:type="dxa"/>
            <w:vAlign w:val="bottom"/>
            <w:tcBorders>
              <w:top w:val="single" w:sz="8" w:color="auto"/>
              <w:right w:val="single" w:sz="8" w:color="auto"/>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Aster (ASTER)*</w:t>
            </w:r>
          </w:p>
        </w:tc>
        <w:tc>
          <w:tcPr>
            <w:tcW w:w="1400" w:type="dxa"/>
            <w:vAlign w:val="bottom"/>
            <w:tcBorders>
              <w:top w:val="single" w:sz="8" w:color="auto"/>
              <w:right w:val="single" w:sz="8" w:color="auto"/>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Avalanche (AVAX)</w:t>
            </w:r>
          </w:p>
        </w:tc>
        <w:tc>
          <w:tcPr>
            <w:tcW w:w="1420" w:type="dxa"/>
            <w:vAlign w:val="bottom"/>
            <w:tcBorders>
              <w:top w:val="single" w:sz="8" w:color="auto"/>
              <w:right w:val="single" w:sz="8" w:color="auto"/>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Avantis (AVNT)*</w:t>
            </w:r>
          </w:p>
        </w:tc>
        <w:tc>
          <w:tcPr>
            <w:tcW w:w="1400" w:type="dxa"/>
            <w:vAlign w:val="bottom"/>
            <w:tcBorders>
              <w:top w:val="single" w:sz="8" w:color="auto"/>
              <w:right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Bitcoin (BTC)</w:t>
            </w:r>
          </w:p>
        </w:tc>
        <w:tc>
          <w:tcPr>
            <w:tcW w:w="1400" w:type="dxa"/>
            <w:vAlign w:val="bottom"/>
            <w:tcBorders>
              <w:top w:val="single" w:sz="8" w:color="auto"/>
              <w:right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Bitcoin Cash</w:t>
            </w:r>
          </w:p>
        </w:tc>
      </w:tr>
      <w:tr>
        <w:trPr>
          <w:trHeight w:val="215"/>
        </w:trPr>
        <w:tc>
          <w:tcPr>
            <w:tcW w:w="14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Finance (AERO)</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(BCH)</w:t>
            </w:r>
          </w:p>
        </w:tc>
      </w:tr>
      <w:tr>
        <w:trPr>
          <w:trHeight w:val="156"/>
        </w:trPr>
        <w:tc>
          <w:tcPr>
            <w:tcW w:w="144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6"/>
                <w:szCs w:val="16"/>
                <w:color w:val="auto"/>
              </w:rPr>
              <w:t>BNB (BNB)*</w:t>
            </w:r>
          </w:p>
        </w:tc>
        <w:tc>
          <w:tcPr>
            <w:tcW w:w="140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rPr>
              <w:t>BONK (BONK)</w:t>
            </w:r>
          </w:p>
        </w:tc>
        <w:tc>
          <w:tcPr>
            <w:tcW w:w="140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rPr>
              <w:t>Canton Coin (CC)</w:t>
            </w:r>
          </w:p>
        </w:tc>
        <w:tc>
          <w:tcPr>
            <w:tcW w:w="140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6"/>
                <w:szCs w:val="16"/>
                <w:color w:val="auto"/>
              </w:rPr>
              <w:t>Cardano (ADA)</w:t>
            </w:r>
          </w:p>
        </w:tc>
        <w:tc>
          <w:tcPr>
            <w:tcW w:w="140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6"/>
                <w:szCs w:val="16"/>
                <w:color w:val="auto"/>
              </w:rPr>
              <w:t>cat in a dogs</w:t>
            </w:r>
          </w:p>
        </w:tc>
        <w:tc>
          <w:tcPr>
            <w:tcW w:w="142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6"/>
                <w:szCs w:val="16"/>
                <w:color w:val="auto"/>
              </w:rPr>
              <w:t>Chainlink (LINK)</w:t>
            </w:r>
          </w:p>
        </w:tc>
        <w:tc>
          <w:tcPr>
            <w:tcW w:w="140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rPr>
              <w:t>CHIP (CHIP)*</w:t>
            </w:r>
          </w:p>
        </w:tc>
        <w:tc>
          <w:tcPr>
            <w:tcW w:w="140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rPr>
              <w:t>Compound</w:t>
            </w:r>
          </w:p>
        </w:tc>
      </w:tr>
      <w:tr>
        <w:trPr>
          <w:trHeight w:val="215"/>
        </w:trPr>
        <w:tc>
          <w:tcPr>
            <w:tcW w:w="144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world (MEW)*</w:t>
            </w: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(COMP)</w:t>
            </w:r>
          </w:p>
        </w:tc>
      </w:tr>
      <w:tr>
        <w:trPr>
          <w:trHeight w:val="156"/>
        </w:trPr>
        <w:tc>
          <w:tcPr>
            <w:tcW w:w="144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6"/>
                <w:szCs w:val="16"/>
                <w:color w:val="auto"/>
              </w:rPr>
              <w:t>Curve DAO</w:t>
            </w:r>
          </w:p>
        </w:tc>
        <w:tc>
          <w:tcPr>
            <w:tcW w:w="1400" w:type="dxa"/>
            <w:vAlign w:val="bottom"/>
            <w:tcBorders>
              <w:right w:val="single" w:sz="8" w:color="auto"/>
            </w:tcBorders>
            <w:shd w:val="clear" w:color="auto" w:fill="CCEEFF"/>
          </w:tcPr>
          <w:p>
            <w:pPr>
              <w:spacing w:after="0" w:line="156" w:lineRule="exact"/>
              <w:rPr>
                <w:sz w:val="20"/>
                <w:szCs w:val="20"/>
                <w:color w:val="auto"/>
              </w:rPr>
            </w:pPr>
            <w:r>
              <w:rPr>
                <w:rFonts w:ascii="Arial" w:cs="Arial" w:eastAsia="Arial" w:hAnsi="Arial"/>
                <w:sz w:val="16"/>
                <w:szCs w:val="16"/>
                <w:color w:val="auto"/>
              </w:rPr>
              <w:t>Dogecoin (DOGE)</w:t>
            </w:r>
          </w:p>
        </w:tc>
        <w:tc>
          <w:tcPr>
            <w:tcW w:w="1400" w:type="dxa"/>
            <w:vAlign w:val="bottom"/>
            <w:tcBorders>
              <w:right w:val="single" w:sz="8" w:color="auto"/>
            </w:tcBorders>
            <w:shd w:val="clear" w:color="auto" w:fill="CCEEFF"/>
          </w:tcPr>
          <w:p>
            <w:pPr>
              <w:spacing w:after="0" w:line="156" w:lineRule="exact"/>
              <w:rPr>
                <w:sz w:val="20"/>
                <w:szCs w:val="20"/>
                <w:color w:val="auto"/>
              </w:rPr>
            </w:pPr>
            <w:r>
              <w:rPr>
                <w:rFonts w:ascii="Arial" w:cs="Arial" w:eastAsia="Arial" w:hAnsi="Arial"/>
                <w:sz w:val="16"/>
                <w:szCs w:val="16"/>
                <w:color w:val="auto"/>
              </w:rPr>
              <w:t>Dogwifhat (WIF)</w:t>
            </w:r>
          </w:p>
        </w:tc>
        <w:tc>
          <w:tcPr>
            <w:tcW w:w="1400" w:type="dxa"/>
            <w:vAlign w:val="bottom"/>
            <w:tcBorders>
              <w:right w:val="single" w:sz="8" w:color="auto"/>
            </w:tcBorders>
            <w:shd w:val="clear" w:color="auto" w:fill="CCEEFF"/>
          </w:tcPr>
          <w:p>
            <w:pPr>
              <w:ind w:left="20"/>
              <w:spacing w:after="0" w:line="156" w:lineRule="exact"/>
              <w:rPr>
                <w:sz w:val="20"/>
                <w:szCs w:val="20"/>
                <w:color w:val="auto"/>
              </w:rPr>
            </w:pPr>
            <w:r>
              <w:rPr>
                <w:rFonts w:ascii="Arial" w:cs="Arial" w:eastAsia="Arial" w:hAnsi="Arial"/>
                <w:sz w:val="16"/>
                <w:szCs w:val="16"/>
                <w:color w:val="auto"/>
              </w:rPr>
              <w:t>EigenCloud</w:t>
            </w:r>
          </w:p>
        </w:tc>
        <w:tc>
          <w:tcPr>
            <w:tcW w:w="1400" w:type="dxa"/>
            <w:vAlign w:val="bottom"/>
            <w:tcBorders>
              <w:right w:val="single" w:sz="8" w:color="auto"/>
            </w:tcBorders>
            <w:shd w:val="clear" w:color="auto" w:fill="CCEEFF"/>
          </w:tcPr>
          <w:p>
            <w:pPr>
              <w:ind w:left="20"/>
              <w:spacing w:after="0" w:line="156" w:lineRule="exact"/>
              <w:rPr>
                <w:sz w:val="20"/>
                <w:szCs w:val="20"/>
                <w:color w:val="auto"/>
              </w:rPr>
            </w:pPr>
            <w:r>
              <w:rPr>
                <w:rFonts w:ascii="Arial" w:cs="Arial" w:eastAsia="Arial" w:hAnsi="Arial"/>
                <w:sz w:val="16"/>
                <w:szCs w:val="16"/>
                <w:color w:val="auto"/>
              </w:rPr>
              <w:t>Ethena (ENA)</w:t>
            </w:r>
          </w:p>
        </w:tc>
        <w:tc>
          <w:tcPr>
            <w:tcW w:w="1420" w:type="dxa"/>
            <w:vAlign w:val="bottom"/>
            <w:tcBorders>
              <w:right w:val="single" w:sz="8" w:color="auto"/>
            </w:tcBorders>
            <w:shd w:val="clear" w:color="auto" w:fill="CCEEFF"/>
          </w:tcPr>
          <w:p>
            <w:pPr>
              <w:ind w:left="20"/>
              <w:spacing w:after="0" w:line="156" w:lineRule="exact"/>
              <w:rPr>
                <w:sz w:val="20"/>
                <w:szCs w:val="20"/>
                <w:color w:val="auto"/>
              </w:rPr>
            </w:pPr>
            <w:r>
              <w:rPr>
                <w:rFonts w:ascii="Arial" w:cs="Arial" w:eastAsia="Arial" w:hAnsi="Arial"/>
                <w:sz w:val="16"/>
                <w:szCs w:val="16"/>
                <w:color w:val="auto"/>
              </w:rPr>
              <w:t>Ethereum (ETH)</w:t>
            </w:r>
          </w:p>
        </w:tc>
        <w:tc>
          <w:tcPr>
            <w:tcW w:w="1400" w:type="dxa"/>
            <w:vAlign w:val="bottom"/>
            <w:tcBorders>
              <w:right w:val="single" w:sz="8" w:color="auto"/>
            </w:tcBorders>
            <w:shd w:val="clear" w:color="auto" w:fill="CCEEFF"/>
          </w:tcPr>
          <w:p>
            <w:pPr>
              <w:spacing w:after="0" w:line="156" w:lineRule="exact"/>
              <w:rPr>
                <w:sz w:val="20"/>
                <w:szCs w:val="20"/>
                <w:color w:val="auto"/>
              </w:rPr>
            </w:pPr>
            <w:r>
              <w:rPr>
                <w:rFonts w:ascii="Arial" w:cs="Arial" w:eastAsia="Arial" w:hAnsi="Arial"/>
                <w:sz w:val="16"/>
                <w:szCs w:val="16"/>
                <w:color w:val="auto"/>
              </w:rPr>
              <w:t>Ethereum Classic</w:t>
            </w:r>
          </w:p>
        </w:tc>
        <w:tc>
          <w:tcPr>
            <w:tcW w:w="1400" w:type="dxa"/>
            <w:vAlign w:val="bottom"/>
            <w:tcBorders>
              <w:right w:val="single" w:sz="8" w:color="auto"/>
            </w:tcBorders>
            <w:shd w:val="clear" w:color="auto" w:fill="CCEEFF"/>
          </w:tcPr>
          <w:p>
            <w:pPr>
              <w:spacing w:after="0" w:line="156" w:lineRule="exact"/>
              <w:rPr>
                <w:sz w:val="20"/>
                <w:szCs w:val="20"/>
                <w:color w:val="auto"/>
              </w:rPr>
            </w:pPr>
            <w:r>
              <w:rPr>
                <w:rFonts w:ascii="Arial" w:cs="Arial" w:eastAsia="Arial" w:hAnsi="Arial"/>
                <w:sz w:val="16"/>
                <w:szCs w:val="16"/>
                <w:color w:val="auto"/>
              </w:rPr>
              <w:t>Floki (FLOKI)*</w:t>
            </w:r>
          </w:p>
        </w:tc>
      </w:tr>
      <w:tr>
        <w:trPr>
          <w:trHeight w:val="215"/>
        </w:trPr>
        <w:tc>
          <w:tcPr>
            <w:tcW w:w="14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(CRV)</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(EIGEN)*</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(ETC)</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56"/>
        </w:trPr>
        <w:tc>
          <w:tcPr>
            <w:tcW w:w="144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6"/>
                <w:szCs w:val="16"/>
                <w:color w:val="auto"/>
              </w:rPr>
              <w:t>Global Dollar</w:t>
            </w:r>
          </w:p>
        </w:tc>
        <w:tc>
          <w:tcPr>
            <w:tcW w:w="140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rPr>
              <w:t>Hedera (HBAR)</w:t>
            </w:r>
          </w:p>
        </w:tc>
        <w:tc>
          <w:tcPr>
            <w:tcW w:w="140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rPr>
              <w:t>Hyperliquid</w:t>
            </w:r>
          </w:p>
        </w:tc>
        <w:tc>
          <w:tcPr>
            <w:tcW w:w="140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6"/>
                <w:szCs w:val="16"/>
                <w:color w:val="auto"/>
              </w:rPr>
              <w:t>Immutable (IMX)</w:t>
            </w:r>
          </w:p>
        </w:tc>
        <w:tc>
          <w:tcPr>
            <w:tcW w:w="140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6"/>
                <w:szCs w:val="16"/>
                <w:color w:val="auto"/>
              </w:rPr>
              <w:t>LayerZero (ZRO)*</w:t>
            </w:r>
          </w:p>
        </w:tc>
        <w:tc>
          <w:tcPr>
            <w:tcW w:w="142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6"/>
                <w:szCs w:val="16"/>
                <w:color w:val="auto"/>
              </w:rPr>
              <w:t>Lido DAO (LDO)</w:t>
            </w:r>
          </w:p>
        </w:tc>
        <w:tc>
          <w:tcPr>
            <w:tcW w:w="140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rPr>
              <w:t>Lighter (LIT)*</w:t>
            </w:r>
          </w:p>
        </w:tc>
        <w:tc>
          <w:tcPr>
            <w:tcW w:w="140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rPr>
              <w:t>Litecoin (LTC)</w:t>
            </w:r>
          </w:p>
        </w:tc>
      </w:tr>
      <w:tr>
        <w:trPr>
          <w:trHeight w:val="215"/>
        </w:trPr>
        <w:tc>
          <w:tcPr>
            <w:tcW w:w="1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(USDG)*</w:t>
            </w: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(HYPE)*</w:t>
            </w: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156"/>
        </w:trPr>
        <w:tc>
          <w:tcPr>
            <w:tcW w:w="144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6"/>
                <w:szCs w:val="16"/>
                <w:color w:val="auto"/>
              </w:rPr>
              <w:t>Mantle (MNT)</w:t>
            </w:r>
          </w:p>
        </w:tc>
        <w:tc>
          <w:tcPr>
            <w:tcW w:w="1400" w:type="dxa"/>
            <w:vAlign w:val="bottom"/>
            <w:tcBorders>
              <w:right w:val="single" w:sz="8" w:color="auto"/>
            </w:tcBorders>
            <w:shd w:val="clear" w:color="auto" w:fill="CCEEFF"/>
          </w:tcPr>
          <w:p>
            <w:pPr>
              <w:spacing w:after="0" w:line="156" w:lineRule="exact"/>
              <w:rPr>
                <w:sz w:val="20"/>
                <w:szCs w:val="20"/>
                <w:color w:val="auto"/>
              </w:rPr>
            </w:pPr>
            <w:r>
              <w:rPr>
                <w:rFonts w:ascii="Arial" w:cs="Arial" w:eastAsia="Arial" w:hAnsi="Arial"/>
                <w:sz w:val="16"/>
                <w:szCs w:val="16"/>
                <w:color w:val="auto"/>
              </w:rPr>
              <w:t>Maple Finance</w:t>
            </w:r>
          </w:p>
        </w:tc>
        <w:tc>
          <w:tcPr>
            <w:tcW w:w="1400" w:type="dxa"/>
            <w:vAlign w:val="bottom"/>
            <w:tcBorders>
              <w:right w:val="single" w:sz="8" w:color="auto"/>
            </w:tcBorders>
            <w:shd w:val="clear" w:color="auto" w:fill="CCEEFF"/>
          </w:tcPr>
          <w:p>
            <w:pPr>
              <w:spacing w:after="0" w:line="156" w:lineRule="exact"/>
              <w:rPr>
                <w:sz w:val="20"/>
                <w:szCs w:val="20"/>
                <w:color w:val="auto"/>
              </w:rPr>
            </w:pPr>
            <w:r>
              <w:rPr>
                <w:rFonts w:ascii="Arial" w:cs="Arial" w:eastAsia="Arial" w:hAnsi="Arial"/>
                <w:sz w:val="16"/>
                <w:szCs w:val="16"/>
                <w:color w:val="auto"/>
              </w:rPr>
              <w:t>Moo Deng</w:t>
            </w:r>
          </w:p>
        </w:tc>
        <w:tc>
          <w:tcPr>
            <w:tcW w:w="1400" w:type="dxa"/>
            <w:vAlign w:val="bottom"/>
            <w:tcBorders>
              <w:right w:val="single" w:sz="8" w:color="auto"/>
            </w:tcBorders>
            <w:shd w:val="clear" w:color="auto" w:fill="CCEEFF"/>
          </w:tcPr>
          <w:p>
            <w:pPr>
              <w:ind w:left="20"/>
              <w:spacing w:after="0" w:line="156" w:lineRule="exact"/>
              <w:rPr>
                <w:sz w:val="20"/>
                <w:szCs w:val="20"/>
                <w:color w:val="auto"/>
              </w:rPr>
            </w:pPr>
            <w:r>
              <w:rPr>
                <w:rFonts w:ascii="Arial" w:cs="Arial" w:eastAsia="Arial" w:hAnsi="Arial"/>
                <w:sz w:val="16"/>
                <w:szCs w:val="16"/>
                <w:color w:val="auto"/>
              </w:rPr>
              <w:t>NEAR Protocol</w:t>
            </w:r>
          </w:p>
        </w:tc>
        <w:tc>
          <w:tcPr>
            <w:tcW w:w="1400" w:type="dxa"/>
            <w:vAlign w:val="bottom"/>
            <w:tcBorders>
              <w:right w:val="single" w:sz="8" w:color="auto"/>
            </w:tcBorders>
            <w:shd w:val="clear" w:color="auto" w:fill="CCEEFF"/>
          </w:tcPr>
          <w:p>
            <w:pPr>
              <w:ind w:left="20"/>
              <w:spacing w:after="0" w:line="156" w:lineRule="exact"/>
              <w:rPr>
                <w:sz w:val="20"/>
                <w:szCs w:val="20"/>
                <w:color w:val="auto"/>
              </w:rPr>
            </w:pPr>
            <w:r>
              <w:rPr>
                <w:rFonts w:ascii="Arial" w:cs="Arial" w:eastAsia="Arial" w:hAnsi="Arial"/>
                <w:sz w:val="16"/>
                <w:szCs w:val="16"/>
                <w:color w:val="auto"/>
              </w:rPr>
              <w:t>OFFICIAL TRUMP</w:t>
            </w:r>
          </w:p>
        </w:tc>
        <w:tc>
          <w:tcPr>
            <w:tcW w:w="1420" w:type="dxa"/>
            <w:vAlign w:val="bottom"/>
            <w:tcBorders>
              <w:right w:val="single" w:sz="8" w:color="auto"/>
            </w:tcBorders>
            <w:shd w:val="clear" w:color="auto" w:fill="CCEEFF"/>
          </w:tcPr>
          <w:p>
            <w:pPr>
              <w:ind w:left="20"/>
              <w:spacing w:after="0" w:line="156" w:lineRule="exact"/>
              <w:rPr>
                <w:sz w:val="20"/>
                <w:szCs w:val="20"/>
                <w:color w:val="auto"/>
              </w:rPr>
            </w:pPr>
            <w:r>
              <w:rPr>
                <w:rFonts w:ascii="Arial" w:cs="Arial" w:eastAsia="Arial" w:hAnsi="Arial"/>
                <w:sz w:val="16"/>
                <w:szCs w:val="16"/>
                <w:color w:val="auto"/>
              </w:rPr>
              <w:t>Ondo (ONDO)*</w:t>
            </w:r>
          </w:p>
        </w:tc>
        <w:tc>
          <w:tcPr>
            <w:tcW w:w="1400" w:type="dxa"/>
            <w:vAlign w:val="bottom"/>
            <w:tcBorders>
              <w:right w:val="single" w:sz="8" w:color="auto"/>
            </w:tcBorders>
            <w:shd w:val="clear" w:color="auto" w:fill="CCEEFF"/>
          </w:tcPr>
          <w:p>
            <w:pPr>
              <w:spacing w:after="0" w:line="156" w:lineRule="exact"/>
              <w:rPr>
                <w:sz w:val="20"/>
                <w:szCs w:val="20"/>
                <w:color w:val="auto"/>
              </w:rPr>
            </w:pPr>
            <w:r>
              <w:rPr>
                <w:rFonts w:ascii="Arial" w:cs="Arial" w:eastAsia="Arial" w:hAnsi="Arial"/>
                <w:sz w:val="16"/>
                <w:szCs w:val="16"/>
                <w:color w:val="auto"/>
              </w:rPr>
              <w:t>Onyxcoin (XCN)</w:t>
            </w:r>
          </w:p>
        </w:tc>
        <w:tc>
          <w:tcPr>
            <w:tcW w:w="1400" w:type="dxa"/>
            <w:vAlign w:val="bottom"/>
            <w:tcBorders>
              <w:right w:val="single" w:sz="8" w:color="auto"/>
            </w:tcBorders>
            <w:shd w:val="clear" w:color="auto" w:fill="CCEEFF"/>
          </w:tcPr>
          <w:p>
            <w:pPr>
              <w:spacing w:after="0" w:line="156" w:lineRule="exact"/>
              <w:rPr>
                <w:sz w:val="20"/>
                <w:szCs w:val="20"/>
                <w:color w:val="auto"/>
              </w:rPr>
            </w:pPr>
            <w:r>
              <w:rPr>
                <w:rFonts w:ascii="Arial" w:cs="Arial" w:eastAsia="Arial" w:hAnsi="Arial"/>
                <w:sz w:val="16"/>
                <w:szCs w:val="16"/>
                <w:color w:val="auto"/>
              </w:rPr>
              <w:t>Optimism (OP)</w:t>
            </w:r>
          </w:p>
        </w:tc>
      </w:tr>
      <w:tr>
        <w:trPr>
          <w:trHeight w:val="215"/>
        </w:trPr>
        <w:tc>
          <w:tcPr>
            <w:tcW w:w="14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(SYRUP)</w:t>
            </w:r>
          </w:p>
        </w:tc>
        <w:tc>
          <w:tcPr>
            <w:tcW w:w="1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(MOODENG)*</w:t>
            </w:r>
          </w:p>
        </w:tc>
        <w:tc>
          <w:tcPr>
            <w:tcW w:w="14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(NEAR)</w:t>
            </w:r>
          </w:p>
        </w:tc>
        <w:tc>
          <w:tcPr>
            <w:tcW w:w="14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(TRUMP)*</w:t>
            </w: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56"/>
        </w:trPr>
        <w:tc>
          <w:tcPr>
            <w:tcW w:w="144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6"/>
                <w:szCs w:val="16"/>
                <w:color w:val="auto"/>
              </w:rPr>
              <w:t>Peanut the</w:t>
            </w:r>
          </w:p>
        </w:tc>
        <w:tc>
          <w:tcPr>
            <w:tcW w:w="140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rPr>
              <w:t>Pepecoin (PEPE)</w:t>
            </w:r>
          </w:p>
        </w:tc>
        <w:tc>
          <w:tcPr>
            <w:tcW w:w="140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rPr>
              <w:t>Plasma (XPL)*</w:t>
            </w:r>
          </w:p>
        </w:tc>
        <w:tc>
          <w:tcPr>
            <w:tcW w:w="140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6"/>
                <w:szCs w:val="16"/>
                <w:color w:val="auto"/>
              </w:rPr>
              <w:t>Polkadot (DOT)</w:t>
            </w:r>
          </w:p>
        </w:tc>
        <w:tc>
          <w:tcPr>
            <w:tcW w:w="140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6"/>
                <w:szCs w:val="16"/>
                <w:color w:val="auto"/>
              </w:rPr>
              <w:t>Popcat</w:t>
            </w:r>
          </w:p>
        </w:tc>
        <w:tc>
          <w:tcPr>
            <w:tcW w:w="142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6"/>
                <w:szCs w:val="16"/>
                <w:color w:val="auto"/>
              </w:rPr>
              <w:t>Pudgy Penguins</w:t>
            </w:r>
          </w:p>
        </w:tc>
        <w:tc>
          <w:tcPr>
            <w:tcW w:w="140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rPr>
              <w:t>Pyth Network</w:t>
            </w:r>
          </w:p>
        </w:tc>
        <w:tc>
          <w:tcPr>
            <w:tcW w:w="140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rPr>
              <w:t>Raydium (RAY)</w:t>
            </w:r>
          </w:p>
        </w:tc>
      </w:tr>
      <w:tr>
        <w:trPr>
          <w:trHeight w:val="215"/>
        </w:trPr>
        <w:tc>
          <w:tcPr>
            <w:tcW w:w="1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Squirrel (PNUT)*</w:t>
            </w: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(POPCAT)*</w:t>
            </w:r>
          </w:p>
        </w:tc>
        <w:tc>
          <w:tcPr>
            <w:tcW w:w="1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(PENGU)*</w:t>
            </w: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(PYTH)</w:t>
            </w:r>
          </w:p>
        </w:tc>
        <w:tc>
          <w:tcPr>
            <w:tcW w:w="1400" w:type="dxa"/>
            <w:vAlign w:val="bottom"/>
            <w:tcBorders>
              <w:bottom w:val="single" w:sz="8" w:color="auto"/>
              <w:right w:val="single" w:sz="8" w:color="auto"/>
            </w:tcBorders>
          </w:tcPr>
          <w:p>
            <w:pPr>
              <w:spacing w:after="0"/>
              <w:rPr>
                <w:sz w:val="18"/>
                <w:szCs w:val="18"/>
                <w:color w:val="auto"/>
              </w:rPr>
            </w:pPr>
          </w:p>
        </w:tc>
      </w:tr>
      <w:tr>
        <w:trPr>
          <w:trHeight w:val="156"/>
        </w:trPr>
        <w:tc>
          <w:tcPr>
            <w:tcW w:w="144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6"/>
                <w:szCs w:val="16"/>
                <w:color w:val="auto"/>
              </w:rPr>
              <w:t>Orca (ORCA)</w:t>
            </w:r>
          </w:p>
        </w:tc>
        <w:tc>
          <w:tcPr>
            <w:tcW w:w="1400" w:type="dxa"/>
            <w:vAlign w:val="bottom"/>
            <w:tcBorders>
              <w:right w:val="single" w:sz="8" w:color="auto"/>
            </w:tcBorders>
            <w:shd w:val="clear" w:color="auto" w:fill="CCEEFF"/>
          </w:tcPr>
          <w:p>
            <w:pPr>
              <w:spacing w:after="0" w:line="156" w:lineRule="exact"/>
              <w:rPr>
                <w:sz w:val="20"/>
                <w:szCs w:val="20"/>
                <w:color w:val="auto"/>
              </w:rPr>
            </w:pPr>
            <w:r>
              <w:rPr>
                <w:rFonts w:ascii="Arial" w:cs="Arial" w:eastAsia="Arial" w:hAnsi="Arial"/>
                <w:sz w:val="16"/>
                <w:szCs w:val="16"/>
                <w:color w:val="auto"/>
              </w:rPr>
              <w:t>Pax Gold (PAXG)*</w:t>
            </w:r>
          </w:p>
        </w:tc>
        <w:tc>
          <w:tcPr>
            <w:tcW w:w="1400" w:type="dxa"/>
            <w:vAlign w:val="bottom"/>
            <w:tcBorders>
              <w:right w:val="single" w:sz="8" w:color="auto"/>
            </w:tcBorders>
            <w:shd w:val="clear" w:color="auto" w:fill="CCEEFF"/>
          </w:tcPr>
          <w:p>
            <w:pPr>
              <w:spacing w:after="0" w:line="156" w:lineRule="exact"/>
              <w:rPr>
                <w:sz w:val="20"/>
                <w:szCs w:val="20"/>
                <w:color w:val="auto"/>
              </w:rPr>
            </w:pPr>
            <w:r>
              <w:rPr>
                <w:rFonts w:ascii="Arial" w:cs="Arial" w:eastAsia="Arial" w:hAnsi="Arial"/>
                <w:sz w:val="16"/>
                <w:szCs w:val="16"/>
                <w:color w:val="auto"/>
              </w:rPr>
              <w:t>Render</w:t>
            </w:r>
          </w:p>
        </w:tc>
        <w:tc>
          <w:tcPr>
            <w:tcW w:w="1400" w:type="dxa"/>
            <w:vAlign w:val="bottom"/>
            <w:tcBorders>
              <w:right w:val="single" w:sz="8" w:color="auto"/>
            </w:tcBorders>
            <w:shd w:val="clear" w:color="auto" w:fill="CCEEFF"/>
          </w:tcPr>
          <w:p>
            <w:pPr>
              <w:ind w:left="20"/>
              <w:spacing w:after="0" w:line="156" w:lineRule="exact"/>
              <w:rPr>
                <w:sz w:val="20"/>
                <w:szCs w:val="20"/>
                <w:color w:val="auto"/>
              </w:rPr>
            </w:pPr>
            <w:r>
              <w:rPr>
                <w:rFonts w:ascii="Arial" w:cs="Arial" w:eastAsia="Arial" w:hAnsi="Arial"/>
                <w:sz w:val="16"/>
                <w:szCs w:val="16"/>
                <w:color w:val="auto"/>
              </w:rPr>
              <w:t>Seeker (SKR)</w:t>
            </w:r>
          </w:p>
        </w:tc>
        <w:tc>
          <w:tcPr>
            <w:tcW w:w="1400" w:type="dxa"/>
            <w:vAlign w:val="bottom"/>
            <w:tcBorders>
              <w:right w:val="single" w:sz="8" w:color="auto"/>
            </w:tcBorders>
            <w:shd w:val="clear" w:color="auto" w:fill="CCEEFF"/>
          </w:tcPr>
          <w:p>
            <w:pPr>
              <w:ind w:left="20"/>
              <w:spacing w:after="0" w:line="156" w:lineRule="exact"/>
              <w:rPr>
                <w:sz w:val="20"/>
                <w:szCs w:val="20"/>
                <w:color w:val="auto"/>
              </w:rPr>
            </w:pPr>
            <w:r>
              <w:rPr>
                <w:rFonts w:ascii="Arial" w:cs="Arial" w:eastAsia="Arial" w:hAnsi="Arial"/>
                <w:sz w:val="16"/>
                <w:szCs w:val="16"/>
                <w:color w:val="auto"/>
              </w:rPr>
              <w:t>SEI (SEI)</w:t>
            </w:r>
          </w:p>
        </w:tc>
        <w:tc>
          <w:tcPr>
            <w:tcW w:w="1420" w:type="dxa"/>
            <w:vAlign w:val="bottom"/>
            <w:tcBorders>
              <w:right w:val="single" w:sz="8" w:color="auto"/>
            </w:tcBorders>
            <w:shd w:val="clear" w:color="auto" w:fill="CCEEFF"/>
          </w:tcPr>
          <w:p>
            <w:pPr>
              <w:ind w:left="20"/>
              <w:spacing w:after="0" w:line="156" w:lineRule="exact"/>
              <w:rPr>
                <w:sz w:val="20"/>
                <w:szCs w:val="20"/>
                <w:color w:val="auto"/>
              </w:rPr>
            </w:pPr>
            <w:r>
              <w:rPr>
                <w:rFonts w:ascii="Arial" w:cs="Arial" w:eastAsia="Arial" w:hAnsi="Arial"/>
                <w:sz w:val="16"/>
                <w:szCs w:val="16"/>
                <w:color w:val="auto"/>
              </w:rPr>
              <w:t>Quant (QNT)</w:t>
            </w:r>
          </w:p>
        </w:tc>
        <w:tc>
          <w:tcPr>
            <w:tcW w:w="1400" w:type="dxa"/>
            <w:vAlign w:val="bottom"/>
            <w:tcBorders>
              <w:right w:val="single" w:sz="8" w:color="auto"/>
            </w:tcBorders>
            <w:shd w:val="clear" w:color="auto" w:fill="CCEEFF"/>
          </w:tcPr>
          <w:p>
            <w:pPr>
              <w:spacing w:after="0" w:line="156" w:lineRule="exact"/>
              <w:rPr>
                <w:sz w:val="20"/>
                <w:szCs w:val="20"/>
                <w:color w:val="auto"/>
              </w:rPr>
            </w:pPr>
            <w:r>
              <w:rPr>
                <w:rFonts w:ascii="Arial" w:cs="Arial" w:eastAsia="Arial" w:hAnsi="Arial"/>
                <w:sz w:val="16"/>
                <w:szCs w:val="16"/>
                <w:color w:val="auto"/>
              </w:rPr>
              <w:t>Shiba Inu (SHIB)</w:t>
            </w:r>
          </w:p>
        </w:tc>
        <w:tc>
          <w:tcPr>
            <w:tcW w:w="1400" w:type="dxa"/>
            <w:vAlign w:val="bottom"/>
            <w:tcBorders>
              <w:right w:val="single" w:sz="8" w:color="auto"/>
            </w:tcBorders>
            <w:shd w:val="clear" w:color="auto" w:fill="CCEEFF"/>
          </w:tcPr>
          <w:p>
            <w:pPr>
              <w:spacing w:after="0" w:line="156" w:lineRule="exact"/>
              <w:rPr>
                <w:sz w:val="20"/>
                <w:szCs w:val="20"/>
                <w:color w:val="auto"/>
              </w:rPr>
            </w:pPr>
            <w:r>
              <w:rPr>
                <w:rFonts w:ascii="Arial" w:cs="Arial" w:eastAsia="Arial" w:hAnsi="Arial"/>
                <w:sz w:val="16"/>
                <w:szCs w:val="16"/>
                <w:color w:val="auto"/>
              </w:rPr>
              <w:t>Sky (SKY)*</w:t>
            </w:r>
          </w:p>
        </w:tc>
      </w:tr>
      <w:tr>
        <w:trPr>
          <w:trHeight w:val="215"/>
        </w:trPr>
        <w:tc>
          <w:tcPr>
            <w:tcW w:w="14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(RENDER)</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56"/>
        </w:trPr>
        <w:tc>
          <w:tcPr>
            <w:tcW w:w="144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6"/>
                <w:szCs w:val="16"/>
                <w:color w:val="auto"/>
              </w:rPr>
              <w:t>Solana (SOL)</w:t>
            </w:r>
          </w:p>
        </w:tc>
        <w:tc>
          <w:tcPr>
            <w:tcW w:w="140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rPr>
              <w:t>Stellar Lumens</w:t>
            </w:r>
          </w:p>
        </w:tc>
        <w:tc>
          <w:tcPr>
            <w:tcW w:w="140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rPr>
              <w:t>SUI (SUI)</w:t>
            </w:r>
          </w:p>
        </w:tc>
        <w:tc>
          <w:tcPr>
            <w:tcW w:w="140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6"/>
                <w:szCs w:val="16"/>
                <w:color w:val="auto"/>
              </w:rPr>
              <w:t>Synthetix (SNX)*</w:t>
            </w:r>
          </w:p>
        </w:tc>
        <w:tc>
          <w:tcPr>
            <w:tcW w:w="140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6"/>
                <w:szCs w:val="16"/>
                <w:color w:val="auto"/>
              </w:rPr>
              <w:t>Tezos (XTZ)</w:t>
            </w:r>
          </w:p>
        </w:tc>
        <w:tc>
          <w:tcPr>
            <w:tcW w:w="142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6"/>
                <w:szCs w:val="16"/>
                <w:color w:val="auto"/>
              </w:rPr>
              <w:t>The Graph (GRT)</w:t>
            </w:r>
          </w:p>
        </w:tc>
        <w:tc>
          <w:tcPr>
            <w:tcW w:w="140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rPr>
              <w:t>Toncoin (TON)*</w:t>
            </w:r>
          </w:p>
        </w:tc>
        <w:tc>
          <w:tcPr>
            <w:tcW w:w="140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rPr>
              <w:t>Uniswap (UNI)</w:t>
            </w:r>
          </w:p>
        </w:tc>
      </w:tr>
      <w:tr>
        <w:trPr>
          <w:trHeight w:val="215"/>
        </w:trPr>
        <w:tc>
          <w:tcPr>
            <w:tcW w:w="144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(XLM)</w:t>
            </w: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r>
      <w:tr>
        <w:trPr>
          <w:trHeight w:val="156"/>
        </w:trPr>
        <w:tc>
          <w:tcPr>
            <w:tcW w:w="144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6"/>
                <w:szCs w:val="16"/>
                <w:color w:val="auto"/>
              </w:rPr>
              <w:t>USD Stablecoin</w:t>
            </w:r>
          </w:p>
        </w:tc>
        <w:tc>
          <w:tcPr>
            <w:tcW w:w="1400" w:type="dxa"/>
            <w:vAlign w:val="bottom"/>
            <w:tcBorders>
              <w:right w:val="single" w:sz="8" w:color="auto"/>
            </w:tcBorders>
            <w:shd w:val="clear" w:color="auto" w:fill="CCEEFF"/>
          </w:tcPr>
          <w:p>
            <w:pPr>
              <w:spacing w:after="0" w:line="156" w:lineRule="exact"/>
              <w:rPr>
                <w:sz w:val="20"/>
                <w:szCs w:val="20"/>
                <w:color w:val="auto"/>
              </w:rPr>
            </w:pPr>
            <w:r>
              <w:rPr>
                <w:rFonts w:ascii="Arial" w:cs="Arial" w:eastAsia="Arial" w:hAnsi="Arial"/>
                <w:sz w:val="16"/>
                <w:szCs w:val="16"/>
                <w:color w:val="auto"/>
              </w:rPr>
              <w:t>Virtuals Protocol</w:t>
            </w:r>
          </w:p>
        </w:tc>
        <w:tc>
          <w:tcPr>
            <w:tcW w:w="1400" w:type="dxa"/>
            <w:vAlign w:val="bottom"/>
            <w:tcBorders>
              <w:right w:val="single" w:sz="8" w:color="auto"/>
            </w:tcBorders>
            <w:shd w:val="clear" w:color="auto" w:fill="CCEEFF"/>
          </w:tcPr>
          <w:p>
            <w:pPr>
              <w:spacing w:after="0" w:line="156" w:lineRule="exact"/>
              <w:rPr>
                <w:sz w:val="20"/>
                <w:szCs w:val="20"/>
                <w:color w:val="auto"/>
              </w:rPr>
            </w:pPr>
            <w:r>
              <w:rPr>
                <w:rFonts w:ascii="Arial" w:cs="Arial" w:eastAsia="Arial" w:hAnsi="Arial"/>
                <w:sz w:val="16"/>
                <w:szCs w:val="16"/>
                <w:color w:val="auto"/>
              </w:rPr>
              <w:t>World Liberty</w:t>
            </w:r>
          </w:p>
        </w:tc>
        <w:tc>
          <w:tcPr>
            <w:tcW w:w="1400" w:type="dxa"/>
            <w:vAlign w:val="bottom"/>
            <w:tcBorders>
              <w:right w:val="single" w:sz="8" w:color="auto"/>
            </w:tcBorders>
            <w:shd w:val="clear" w:color="auto" w:fill="CCEEFF"/>
          </w:tcPr>
          <w:p>
            <w:pPr>
              <w:ind w:left="20"/>
              <w:spacing w:after="0" w:line="156" w:lineRule="exact"/>
              <w:rPr>
                <w:sz w:val="20"/>
                <w:szCs w:val="20"/>
                <w:color w:val="auto"/>
              </w:rPr>
            </w:pPr>
            <w:r>
              <w:rPr>
                <w:rFonts w:ascii="Arial" w:cs="Arial" w:eastAsia="Arial" w:hAnsi="Arial"/>
                <w:sz w:val="16"/>
                <w:szCs w:val="16"/>
                <w:color w:val="auto"/>
              </w:rPr>
              <w:t>Wormhole (W)</w:t>
            </w:r>
          </w:p>
        </w:tc>
        <w:tc>
          <w:tcPr>
            <w:tcW w:w="1400" w:type="dxa"/>
            <w:vAlign w:val="bottom"/>
            <w:tcBorders>
              <w:right w:val="single" w:sz="8" w:color="auto"/>
            </w:tcBorders>
            <w:shd w:val="clear" w:color="auto" w:fill="CCEEFF"/>
          </w:tcPr>
          <w:p>
            <w:pPr>
              <w:ind w:left="20"/>
              <w:spacing w:after="0" w:line="156" w:lineRule="exact"/>
              <w:rPr>
                <w:sz w:val="20"/>
                <w:szCs w:val="20"/>
                <w:color w:val="auto"/>
              </w:rPr>
            </w:pPr>
            <w:r>
              <w:rPr>
                <w:rFonts w:ascii="Arial" w:cs="Arial" w:eastAsia="Arial" w:hAnsi="Arial"/>
                <w:sz w:val="16"/>
                <w:szCs w:val="16"/>
                <w:color w:val="auto"/>
              </w:rPr>
              <w:t>XRP (XRP)</w:t>
            </w:r>
          </w:p>
        </w:tc>
        <w:tc>
          <w:tcPr>
            <w:tcW w:w="1420" w:type="dxa"/>
            <w:vAlign w:val="bottom"/>
            <w:tcBorders>
              <w:right w:val="single" w:sz="8" w:color="auto"/>
            </w:tcBorders>
            <w:shd w:val="clear" w:color="auto" w:fill="CCEEFF"/>
          </w:tcPr>
          <w:p>
            <w:pPr>
              <w:ind w:left="20"/>
              <w:spacing w:after="0" w:line="156" w:lineRule="exact"/>
              <w:rPr>
                <w:sz w:val="20"/>
                <w:szCs w:val="20"/>
                <w:color w:val="auto"/>
              </w:rPr>
            </w:pPr>
            <w:r>
              <w:rPr>
                <w:rFonts w:ascii="Arial" w:cs="Arial" w:eastAsia="Arial" w:hAnsi="Arial"/>
                <w:sz w:val="16"/>
                <w:szCs w:val="16"/>
                <w:color w:val="auto"/>
              </w:rPr>
              <w:t>Zcash (ZEC)</w:t>
            </w:r>
          </w:p>
        </w:tc>
        <w:tc>
          <w:tcPr>
            <w:tcW w:w="1400" w:type="dxa"/>
            <w:vAlign w:val="bottom"/>
            <w:tcBorders>
              <w:right w:val="single" w:sz="8" w:color="auto"/>
            </w:tcBorders>
            <w:shd w:val="clear" w:color="auto" w:fill="CCEEFF"/>
          </w:tcPr>
          <w:p>
            <w:pPr>
              <w:spacing w:after="0" w:line="156" w:lineRule="exact"/>
              <w:rPr>
                <w:sz w:val="20"/>
                <w:szCs w:val="20"/>
                <w:color w:val="auto"/>
              </w:rPr>
            </w:pPr>
            <w:r>
              <w:rPr>
                <w:rFonts w:ascii="Arial" w:cs="Arial" w:eastAsia="Arial" w:hAnsi="Arial"/>
                <w:sz w:val="16"/>
                <w:szCs w:val="16"/>
                <w:color w:val="auto"/>
              </w:rPr>
              <w:t>Zora (ZORA)*</w:t>
            </w:r>
          </w:p>
        </w:tc>
        <w:tc>
          <w:tcPr>
            <w:tcW w:w="1400" w:type="dxa"/>
            <w:vAlign w:val="bottom"/>
            <w:tcBorders>
              <w:right w:val="single" w:sz="8" w:color="auto"/>
            </w:tcBorders>
            <w:shd w:val="clear" w:color="auto" w:fill="CCEEFF"/>
          </w:tcPr>
          <w:p>
            <w:pPr>
              <w:spacing w:after="0"/>
              <w:rPr>
                <w:sz w:val="13"/>
                <w:szCs w:val="13"/>
                <w:color w:val="auto"/>
              </w:rPr>
            </w:pPr>
          </w:p>
        </w:tc>
      </w:tr>
      <w:tr>
        <w:trPr>
          <w:trHeight w:val="215"/>
        </w:trPr>
        <w:tc>
          <w:tcPr>
            <w:tcW w:w="14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(USDC)**</w:t>
            </w:r>
          </w:p>
        </w:tc>
        <w:tc>
          <w:tcPr>
            <w:tcW w:w="1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(VIRTUAL)</w:t>
            </w:r>
          </w:p>
        </w:tc>
        <w:tc>
          <w:tcPr>
            <w:tcW w:w="1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Financial (WLFI)*</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r>
    </w:tbl>
    <w:p>
      <w:pPr>
        <w:spacing w:after="0" w:line="261" w:lineRule="exact"/>
        <w:rPr>
          <w:sz w:val="20"/>
          <w:szCs w:val="20"/>
          <w:color w:val="auto"/>
        </w:rPr>
      </w:pPr>
    </w:p>
    <w:p>
      <w:pPr>
        <w:ind w:right="380" w:firstLine="8"/>
        <w:spacing w:after="0" w:line="316" w:lineRule="auto"/>
        <w:tabs>
          <w:tab w:leader="none" w:pos="146"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Not all cryptocurrencies are available in every state. An asterisk indicates a cryptocurrency is not currently available for trading in New York; a double asterisk indicates a cryptocurrency is not currently available for trading in New York or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line="494" w:lineRule="exact"/>
        <w:rPr>
          <w:sz w:val="20"/>
          <w:szCs w:val="20"/>
          <w:color w:val="auto"/>
        </w:rPr>
      </w:pPr>
      <w:r>
        <w:rPr>
          <w:rFonts w:ascii="Arial" w:cs="Arial" w:eastAsia="Arial" w:hAnsi="Arial"/>
          <w:sz w:val="36"/>
          <w:szCs w:val="36"/>
          <w:color w:val="auto"/>
        </w:rPr>
        <w:t>CAUTIONARY NOTE REGARDING FORWARD</w:t>
      </w:r>
      <w:r>
        <w:rPr>
          <w:rFonts w:ascii="MS PGothic" w:cs="MS PGothic" w:eastAsia="MS PGothic" w:hAnsi="MS PGothic"/>
          <w:sz w:val="36"/>
          <w:szCs w:val="36"/>
          <w:color w:val="auto"/>
        </w:rPr>
        <w:t>‑</w:t>
      </w:r>
      <w:r>
        <w:rPr>
          <w:rFonts w:ascii="Arial" w:cs="Arial" w:eastAsia="Arial" w:hAnsi="Arial"/>
          <w:sz w:val="36"/>
          <w:szCs w:val="36"/>
          <w:color w:val="auto"/>
        </w:rPr>
        <w:t>LOOKING STATEMENTS</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This Quarterly Report on Form 10-Q (this “Quarterly Report”) of Robinhood Markets, Inc. (“RHM” and, together with its subsidiaries, “we,” “us,” “Robinhood,” or the “Company”) contains forward -looking statements (as such phrase is used in the federal securities laws), which involve substantial risks and uncertainties. Forward-looking statements generally relate to future events or our future financial or operating performance. In some cases, you can identify forward-looking statements because they contain words such as “believe,” “may,” “will,” “should,” “expect,” “plan,” “anticipate,” “could,” “intend,” “target,” “project,” “contemplate,” “estimate,” “predict,” “potential,” or “continue,” or the negative of these words or other similar terms or expressions that concern our expectations, strategy, plans or intentions. This Quarterly Report includes, among others, forward-looking statements regarding:</w:t>
      </w:r>
    </w:p>
    <w:p>
      <w:pPr>
        <w:spacing w:after="0" w:line="23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plans to accelerate delivery of futures and derivative product offerings, including prediction markets;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expectations regarding legal and regulatory proceedings and investigations;</w:t>
      </w:r>
    </w:p>
    <w:p>
      <w:pPr>
        <w:spacing w:after="0" w:line="8"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intent to continue expanding our operations outside of the United States;</w:t>
      </w:r>
    </w:p>
    <w:p>
      <w:pPr>
        <w:spacing w:after="0" w:line="23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that we are continuously introducing new products and diversifying our services that further expand access to the financial system;</w:t>
      </w:r>
    </w:p>
    <w:p>
      <w:pPr>
        <w:spacing w:after="0" w:line="247" w:lineRule="exact"/>
        <w:rPr>
          <w:rFonts w:ascii="Times New Roman" w:cs="Times New Roman" w:eastAsia="Times New Roman" w:hAnsi="Times New Roman"/>
          <w:sz w:val="22"/>
          <w:szCs w:val="22"/>
          <w:color w:val="auto"/>
        </w:rPr>
      </w:pPr>
    </w:p>
    <w:p>
      <w:pPr>
        <w:ind w:left="660" w:hanging="328"/>
        <w:spacing w:after="0" w:line="230"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expectations regarding legislative developments and their impact on us, including with respect to the CLARITY Act, and the Guiding and GENIUS Act;</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expectation that management will exclude Bitstamp from its assessment of internal control over financial reporting for 2025;</w:t>
      </w:r>
    </w:p>
    <w:p>
      <w:pPr>
        <w:spacing w:after="0" w:line="247" w:lineRule="exact"/>
        <w:rPr>
          <w:rFonts w:ascii="Times New Roman" w:cs="Times New Roman" w:eastAsia="Times New Roman" w:hAnsi="Times New Roman"/>
          <w:sz w:val="22"/>
          <w:szCs w:val="22"/>
          <w:color w:val="auto"/>
        </w:rPr>
      </w:pPr>
    </w:p>
    <w:p>
      <w:pPr>
        <w:ind w:left="660" w:right="20" w:hanging="328"/>
        <w:spacing w:after="0" w:line="230"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expectations about adapting our product and service offerings to reflect local regulatory requirements, customer preferences, and other location-specific factors when pursuing such expansion;</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Repurchase Program and our current expectations with respect to timing;</w:t>
      </w:r>
    </w:p>
    <w:p>
      <w:pPr>
        <w:spacing w:after="0" w:line="260"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belief that, based on our current level of operations, our primary sources of liquidity will be adequate to meet our current liquidity needs for the next 12 months; and</w:t>
      </w:r>
    </w:p>
    <w:p>
      <w:pPr>
        <w:spacing w:after="0" w:line="247" w:lineRule="exact"/>
        <w:rPr>
          <w:rFonts w:ascii="Times New Roman" w:cs="Times New Roman" w:eastAsia="Times New Roman" w:hAnsi="Times New Roman"/>
          <w:sz w:val="22"/>
          <w:szCs w:val="22"/>
          <w:color w:val="auto"/>
        </w:rPr>
      </w:pPr>
    </w:p>
    <w:p>
      <w:pPr>
        <w:jc w:val="both"/>
        <w:ind w:left="660" w:right="460" w:hanging="328"/>
        <w:spacing w:after="0" w:line="231"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expectations regarding RVI and the Funds (as defined below), including that RHV expects to serve as investment adviser to additional investment vehicles registered under the 1940 Act in the future and that we expect to continue making balance sheet investments to provide seed or other capital to certain Funds during their early fundraising stages;</w:t>
      </w:r>
    </w:p>
    <w:p>
      <w:pPr>
        <w:spacing w:after="0" w:line="262"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expectations regarding applying for a license under the DFAL in connection with our cryptocurrency trading operations in California.</w:t>
      </w:r>
    </w:p>
    <w:p>
      <w:pPr>
        <w:spacing w:after="0" w:line="22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forward-looking statements are subject to a number of known and unknown risks, uncertainties, assumptions, and other factors that may cause our actual future results, performance, or achievements to differ materially from any future results expressed or implied in this Quarterly Report. Reported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should not be considered an indication of future performance. Factors that contribute to the uncertain nature of our forward-looking statements include, among others:</w:t>
      </w:r>
    </w:p>
    <w:p>
      <w:pPr>
        <w:spacing w:after="0" w:line="220" w:lineRule="exact"/>
        <w:rPr>
          <w:sz w:val="20"/>
          <w:szCs w:val="20"/>
          <w:color w:val="auto"/>
        </w:rPr>
      </w:pPr>
    </w:p>
    <w:p>
      <w:pPr>
        <w:ind w:left="660" w:hanging="328"/>
        <w:spacing w:after="0" w:line="249"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our rapid and continuing expansion, including continuing to introduce new products and services on our platforms as well as geographic expansion;</w:t>
      </w:r>
    </w:p>
    <w:p>
      <w:pPr>
        <w:spacing w:after="0" w:line="23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difficulty of managing our business effectively, including the size of our workforce, and the risk of declining or negative growth;</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fluctuations in our financial results and key metrics from quarter to quarter;</w:t>
      </w:r>
    </w:p>
    <w:p>
      <w:pPr>
        <w:spacing w:after="0" w:line="260"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our reliance on transaction-based revenue, including PFOF, the risk of new regulation or bans on PFOF and similar practices, and the addition of our new fee-based model for cryptocurrency;</w:t>
      </w:r>
    </w:p>
    <w:p>
      <w:pPr>
        <w:spacing w:after="0" w:line="24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our exposure to fluctuations in interest rates and rapidly changing interest rate environments;</w:t>
      </w:r>
    </w:p>
    <w:p>
      <w:pPr>
        <w:spacing w:after="0" w:line="260"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difficulty of raising additional capital (to provide liquidity needs and support business growth and objectives) on reasonable terms, if at all;</w:t>
      </w:r>
    </w:p>
    <w:p>
      <w:pPr>
        <w:spacing w:after="0" w:line="24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need to maintain capital levels required by regulators and SROs;</w:t>
      </w:r>
    </w:p>
    <w:p>
      <w:pPr>
        <w:spacing w:after="0" w:line="274" w:lineRule="exact"/>
        <w:rPr>
          <w:rFonts w:ascii="Times New Roman" w:cs="Times New Roman" w:eastAsia="Times New Roman" w:hAnsi="Times New Roman"/>
          <w:sz w:val="22"/>
          <w:szCs w:val="22"/>
          <w:color w:val="auto"/>
        </w:rPr>
      </w:pPr>
    </w:p>
    <w:p>
      <w:pPr>
        <w:ind w:left="660" w:right="20" w:hanging="328"/>
        <w:spacing w:after="0" w:line="237"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risk that we might mishandle the cash, securities, and cryptocurrencies we hold on behalf of customers, and our exposure to liability for processing, operational, or technical errors in clearing functions;</w:t>
      </w:r>
    </w:p>
    <w:p>
      <w:pPr>
        <w:spacing w:after="0" w:line="24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impact of negative publicity on our brand and reputation;</w:t>
      </w:r>
    </w:p>
    <w:p>
      <w:pPr>
        <w:spacing w:after="0" w:line="260"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risk that changes in business, economic, or political conditions that impact the global financial markets, or a systemic market event, might harm our business;</w:t>
      </w:r>
    </w:p>
    <w:p>
      <w:pPr>
        <w:spacing w:after="0" w:line="24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our dependence on key employees and a skilled workforce;</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fact that we do not wholly own or operationally control Rothera, our joint venture with SIG, and its subsidiaries;</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operational and regulatory risks and expenditures prior to and following closing of our acquisitions and investments;</w:t>
      </w:r>
    </w:p>
    <w:p>
      <w:pPr>
        <w:spacing w:after="0" w:line="260" w:lineRule="exact"/>
        <w:rPr>
          <w:rFonts w:ascii="Times New Roman" w:cs="Times New Roman" w:eastAsia="Times New Roman" w:hAnsi="Times New Roman"/>
          <w:sz w:val="22"/>
          <w:szCs w:val="22"/>
          <w:color w:val="auto"/>
        </w:rPr>
      </w:pPr>
    </w:p>
    <w:p>
      <w:pPr>
        <w:ind w:left="660" w:right="20" w:hanging="328"/>
        <w:spacing w:after="0" w:line="237"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difficulty of complying with an extensive, complex, and changing regulatory environment, the risk of monetary and other penalties for noncompliance and the need to adjust our business model in response to new or modified laws and regulations;</w:t>
      </w:r>
    </w:p>
    <w:p>
      <w:pPr>
        <w:spacing w:after="0" w:line="24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possibility of adverse developments in pending litigation and regulatory investigations;</w:t>
      </w:r>
    </w:p>
    <w:p>
      <w:pPr>
        <w:spacing w:after="0" w:line="260"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risk that the outcome of currently ongoing and potential future regulatory enforcement actions and litigation, as well as potential changes in federal or state law, could immediately or subsequently prevent us from offering, or continuing to offer, event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the effects of competition;</w:t>
      </w:r>
    </w:p>
    <w:p>
      <w:pPr>
        <w:spacing w:after="0" w:line="274"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our need to innovate and acquire or invest in new products, services, technologies and geographies in order to attract and retain customers and deepen their engagement with us in order to maintain growth;</w:t>
      </w:r>
    </w:p>
    <w:p>
      <w:pPr>
        <w:spacing w:after="0" w:line="261"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our reliance on third parties to perform some key functions and the risk that processing, operational or technological failures could impair the availability or stability of our platforms;</w:t>
      </w:r>
    </w:p>
    <w:p>
      <w:pPr>
        <w:spacing w:after="0" w:line="24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the risk of cybersecurity incidents, theft, data breaches, and other online attacks;</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the difficulty of processing customer data in compliance with privacy laws;</w:t>
      </w:r>
    </w:p>
    <w:p>
      <w:pPr>
        <w:spacing w:after="0" w:line="260"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our need as a regulated financial services company to develop and maintain effective compliance and risk management infrastructures;</w:t>
      </w:r>
    </w:p>
    <w:p>
      <w:pPr>
        <w:spacing w:after="0" w:line="24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the risks associated with incorporating AI technologies into some of our products and processes;</w:t>
      </w:r>
    </w:p>
    <w:p>
      <w:pPr>
        <w:spacing w:after="0" w:line="274"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regulation, litigation, contractual, operational, and reputational risks associated with our introduction of products such as Robinhood Stock Tokens in the EEA and our staking services offered in the U.S.; and</w:t>
      </w:r>
    </w:p>
    <w:p>
      <w:pPr>
        <w:spacing w:after="0" w:line="261"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risk that substantial future sales of Class A common stock in the public market, or the perception that they may occur, could cause the price of our stock to fall.</w:t>
      </w:r>
    </w:p>
    <w:p>
      <w:pPr>
        <w:spacing w:after="0" w:line="2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is included in the section of this Quarterly Report titled “Risk Factors” and our other filings with the SEC, all of which are available on the SEC’s web site at www.sec.gov. Moreover, we operate in a very competitive and rapidly changing environment; new risks and uncertainties may emerge from time to time and it is not possible for us to predict all risks nor identify all uncertainties. The events and circumstances reflected in our forward-looking statements might not be achieved and actual results could differ materially from those projected in the forward-looking statements. Except as otherwise noted, all forward-looking statements are made as of the date we file this Quarterly Report, and are based on information and estimates available to us at this time. Although we believe that the expectations reflected in our forward-looking statements are reasonable, we cannot guarantee future results, performance, or achievements. Except as required by law, Robinhood assumes no obligation to update any of the statements in this Quarterly Report whether as a result of any new information, future events, changed circumstances, or otherwise. You should read this Quarterly Report with the understanding that our actual future results, performance, events, and circumstances might be materially different from what we expect.</w:t>
      </w:r>
    </w:p>
    <w:p>
      <w:pPr>
        <w:spacing w:after="0" w:line="2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use the “Overview” tab of our Investor Relations website (accessible at investors.robinhood.com/overview) and its Newsroom, (accessible at newsroom.aboutrobinhood.com), as means of disclosing information to the public in a broad, non-exclusionary manner for purposes of the SEC’s Regulation Fair Disclosure (Reg. FD). Investors should routinely monitor those web pages, in addition to our press releases, SEC filings, and public conference calls and webcasts, as information posted on them could be deemed to be material information. The contents of our websites are not intended to be incorporated by reference into this Quarterly Report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80" w:type="dxa"/>
        <w:tblCellMar>
          <w:top w:w="0" w:type="dxa"/>
          <w:left w:w="0" w:type="dxa"/>
          <w:bottom w:w="0" w:type="dxa"/>
          <w:right w:w="0" w:type="dxa"/>
        </w:tblCellMar>
      </w:tblPr>
      <w:tr>
        <w:trPr>
          <w:trHeight w:val="196"/>
        </w:trPr>
        <w:tc>
          <w:tcPr>
            <w:tcW w:w="8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7"/>
                <w:szCs w:val="17"/>
                <w:color w:val="auto"/>
              </w:rPr>
            </w:pPr>
          </w:p>
        </w:tc>
        <w:tc>
          <w:tcPr>
            <w:tcW w:w="1140" w:type="dxa"/>
            <w:vAlign w:val="bottom"/>
          </w:tcPr>
          <w:p>
            <w:pPr>
              <w:jc w:val="right"/>
              <w:ind w:right="26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39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share and per share data)</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0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5,012</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Cash, cash equivalents, and securities segregated under federal and other regulations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10,874</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Receivables from brokers, dealers, and clearing organizations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Receivables from users, net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17,994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18,115</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Securities borrowed</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3,355</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Deposits with clearing organizations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User-held fractional shares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Deferred customer match incentives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57"/>
        </w:trPr>
        <w:tc>
          <w:tcPr>
            <w:tcW w:w="806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Other current assets, including current prepaid expenses of $127 as of December 31, 2025 and $182 as of March 31,</w:t>
            </w:r>
          </w:p>
        </w:tc>
        <w:tc>
          <w:tcPr>
            <w:tcW w:w="1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185"/>
        </w:trPr>
        <w:tc>
          <w:tcPr>
            <w:tcW w:w="8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2026</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36,305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43,413</w:t>
            </w:r>
          </w:p>
        </w:tc>
        <w:tc>
          <w:tcPr>
            <w:tcW w:w="0" w:type="dxa"/>
            <w:vAlign w:val="bottom"/>
          </w:tcPr>
          <w:p>
            <w:pPr>
              <w:spacing w:after="0"/>
              <w:rPr>
                <w:sz w:val="1"/>
                <w:szCs w:val="1"/>
                <w:color w:val="auto"/>
              </w:rPr>
            </w:pPr>
          </w:p>
        </w:tc>
      </w:tr>
      <w:tr>
        <w:trPr>
          <w:trHeight w:val="200"/>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Property, software, and equipment, net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Intangible assets, net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Non-current deferred customer match incentives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assets, including non-current prepaid expenses of $11 as of December 31, 2025 and March 31, 2026</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200"/>
        </w:trPr>
        <w:tc>
          <w:tcPr>
            <w:tcW w:w="8060" w:type="dxa"/>
            <w:vAlign w:val="bottom"/>
          </w:tcPr>
          <w:p>
            <w:pPr>
              <w:ind w:left="66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38,137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45,474</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0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Payables to users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11,986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16,780</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Securities loaned</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13,387</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Fractional shares repurchase obligation</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3,782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3,819</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r>
        <w:trPr>
          <w:trHeight w:val="192"/>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28,771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35,554</w:t>
            </w:r>
          </w:p>
        </w:tc>
        <w:tc>
          <w:tcPr>
            <w:tcW w:w="0" w:type="dxa"/>
            <w:vAlign w:val="bottom"/>
          </w:tcPr>
          <w:p>
            <w:pPr>
              <w:spacing w:after="0"/>
              <w:rPr>
                <w:sz w:val="1"/>
                <w:szCs w:val="1"/>
                <w:color w:val="auto"/>
              </w:rPr>
            </w:pPr>
          </w:p>
        </w:tc>
      </w:tr>
      <w:tr>
        <w:trPr>
          <w:trHeight w:val="200"/>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non-current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92"/>
        </w:trPr>
        <w:tc>
          <w:tcPr>
            <w:tcW w:w="806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28,986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35,786</w:t>
            </w:r>
          </w:p>
        </w:tc>
        <w:tc>
          <w:tcPr>
            <w:tcW w:w="0" w:type="dxa"/>
            <w:vAlign w:val="bottom"/>
          </w:tcPr>
          <w:p>
            <w:pPr>
              <w:spacing w:after="0"/>
              <w:rPr>
                <w:sz w:val="1"/>
                <w:szCs w:val="1"/>
                <w:color w:val="auto"/>
              </w:rPr>
            </w:pPr>
          </w:p>
        </w:tc>
      </w:tr>
      <w:tr>
        <w:trPr>
          <w:trHeight w:val="187"/>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14)</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06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060" w:type="dxa"/>
            <w:vAlign w:val="bottom"/>
            <w:shd w:val="clear" w:color="auto" w:fill="CCEEFF"/>
          </w:tcPr>
          <w:p>
            <w:pPr>
              <w:ind w:left="300"/>
              <w:spacing w:after="0" w:line="157" w:lineRule="exact"/>
              <w:rPr>
                <w:sz w:val="20"/>
                <w:szCs w:val="20"/>
                <w:color w:val="auto"/>
              </w:rPr>
            </w:pPr>
            <w:r>
              <w:rPr>
                <w:rFonts w:ascii="Arial" w:cs="Arial" w:eastAsia="Arial" w:hAnsi="Arial"/>
                <w:sz w:val="14"/>
                <w:szCs w:val="14"/>
                <w:color w:val="auto"/>
              </w:rPr>
              <w:t>Preferred stock, $0.0001 par value. 210,000,000 shares authorized, no shares issued and outstanding as of December</w:t>
            </w:r>
          </w:p>
        </w:tc>
        <w:tc>
          <w:tcPr>
            <w:tcW w:w="1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31, 2025 and March 31, 2026.</w:t>
            </w:r>
          </w:p>
        </w:tc>
        <w:tc>
          <w:tcPr>
            <w:tcW w:w="16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60" w:type="dxa"/>
            <w:vAlign w:val="bottom"/>
          </w:tcPr>
          <w:p>
            <w:pPr>
              <w:ind w:left="300"/>
              <w:spacing w:after="0" w:line="153" w:lineRule="exact"/>
              <w:rPr>
                <w:sz w:val="20"/>
                <w:szCs w:val="20"/>
                <w:color w:val="auto"/>
              </w:rPr>
            </w:pPr>
            <w:r>
              <w:rPr>
                <w:rFonts w:ascii="Arial" w:cs="Arial" w:eastAsia="Arial" w:hAnsi="Arial"/>
                <w:sz w:val="14"/>
                <w:szCs w:val="14"/>
                <w:color w:val="auto"/>
              </w:rPr>
              <w:t>Class A common stock, $0.0001 par value. 21,000,000,000 shares authorized, 790,331,696 shares issued and</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460"/>
              <w:spacing w:after="0" w:line="149" w:lineRule="exact"/>
              <w:rPr>
                <w:sz w:val="20"/>
                <w:szCs w:val="20"/>
                <w:color w:val="auto"/>
              </w:rPr>
            </w:pPr>
            <w:r>
              <w:rPr>
                <w:rFonts w:ascii="Arial" w:cs="Arial" w:eastAsia="Arial" w:hAnsi="Arial"/>
                <w:sz w:val="14"/>
                <w:szCs w:val="14"/>
                <w:color w:val="auto"/>
              </w:rPr>
              <w:t>outstanding as of December 31, 2025; 21,000,000,000 shares authorized, 791,097,939 shares issued and</w:t>
            </w:r>
          </w:p>
        </w:tc>
        <w:tc>
          <w:tcPr>
            <w:tcW w:w="1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060" w:type="dxa"/>
            <w:vAlign w:val="bottom"/>
          </w:tcPr>
          <w:p>
            <w:pPr>
              <w:ind w:left="460"/>
              <w:spacing w:after="0"/>
              <w:rPr>
                <w:sz w:val="20"/>
                <w:szCs w:val="20"/>
                <w:color w:val="auto"/>
              </w:rPr>
            </w:pPr>
            <w:r>
              <w:rPr>
                <w:rFonts w:ascii="Arial" w:cs="Arial" w:eastAsia="Arial" w:hAnsi="Arial"/>
                <w:sz w:val="14"/>
                <w:szCs w:val="14"/>
                <w:color w:val="auto"/>
              </w:rPr>
              <w:t>outstanding as of March 31, 2026.</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60" w:type="dxa"/>
            <w:vAlign w:val="bottom"/>
            <w:shd w:val="clear" w:color="auto" w:fill="CCEEFF"/>
          </w:tcPr>
          <w:p>
            <w:pPr>
              <w:ind w:left="300"/>
              <w:spacing w:after="0" w:line="153" w:lineRule="exact"/>
              <w:rPr>
                <w:sz w:val="20"/>
                <w:szCs w:val="20"/>
                <w:color w:val="auto"/>
              </w:rPr>
            </w:pPr>
            <w:r>
              <w:rPr>
                <w:rFonts w:ascii="Arial" w:cs="Arial" w:eastAsia="Arial" w:hAnsi="Arial"/>
                <w:sz w:val="14"/>
                <w:szCs w:val="14"/>
                <w:color w:val="auto"/>
              </w:rPr>
              <w:t>Class B common stock, $0.0001 par value. 700,000,000 shares authorized, 110,996,736 shares issued and outstanding</w:t>
            </w: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as of December 31, 2025; 700,000,000 shares authorized, 110,120,620 shares issued and outstanding as of March</w:t>
            </w:r>
          </w:p>
        </w:tc>
        <w:tc>
          <w:tcPr>
            <w:tcW w:w="16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31, 2026.</w:t>
            </w:r>
          </w:p>
        </w:tc>
        <w:tc>
          <w:tcPr>
            <w:tcW w:w="16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60" w:type="dxa"/>
            <w:vAlign w:val="bottom"/>
          </w:tcPr>
          <w:p>
            <w:pPr>
              <w:ind w:left="300"/>
              <w:spacing w:after="0" w:line="153" w:lineRule="exact"/>
              <w:rPr>
                <w:sz w:val="20"/>
                <w:szCs w:val="20"/>
                <w:color w:val="auto"/>
              </w:rPr>
            </w:pPr>
            <w:r>
              <w:rPr>
                <w:rFonts w:ascii="Arial" w:cs="Arial" w:eastAsia="Arial" w:hAnsi="Arial"/>
                <w:sz w:val="14"/>
                <w:szCs w:val="14"/>
                <w:color w:val="auto"/>
              </w:rPr>
              <w:t>Class C common stock, $0.0001 par value. 7,000,000,000 shares authorized, no shares issued and outstanding as of</w:t>
            </w:r>
          </w:p>
        </w:tc>
        <w:tc>
          <w:tcPr>
            <w:tcW w:w="16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060" w:type="dxa"/>
            <w:vAlign w:val="bottom"/>
          </w:tcPr>
          <w:p>
            <w:pPr>
              <w:ind w:left="460"/>
              <w:spacing w:after="0"/>
              <w:rPr>
                <w:sz w:val="20"/>
                <w:szCs w:val="20"/>
                <w:color w:val="auto"/>
              </w:rPr>
            </w:pPr>
            <w:r>
              <w:rPr>
                <w:rFonts w:ascii="Arial" w:cs="Arial" w:eastAsia="Arial" w:hAnsi="Arial"/>
                <w:sz w:val="14"/>
                <w:szCs w:val="14"/>
                <w:color w:val="auto"/>
              </w:rPr>
              <w:t>December 31, 2025 and March 31, 2026.</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11,119</w:t>
            </w:r>
          </w:p>
        </w:tc>
        <w:tc>
          <w:tcPr>
            <w:tcW w:w="0" w:type="dxa"/>
            <w:vAlign w:val="bottom"/>
          </w:tcPr>
          <w:p>
            <w:pPr>
              <w:spacing w:after="0"/>
              <w:rPr>
                <w:sz w:val="1"/>
                <w:szCs w:val="1"/>
                <w:color w:val="auto"/>
              </w:rPr>
            </w:pPr>
          </w:p>
        </w:tc>
      </w:tr>
      <w:tr>
        <w:trPr>
          <w:trHeight w:val="199"/>
        </w:trPr>
        <w:tc>
          <w:tcPr>
            <w:tcW w:w="8060" w:type="dxa"/>
            <w:vAlign w:val="bottom"/>
          </w:tcPr>
          <w:p>
            <w:pPr>
              <w:ind w:left="240"/>
              <w:spacing w:after="0"/>
              <w:rPr>
                <w:sz w:val="20"/>
                <w:szCs w:val="20"/>
                <w:color w:val="auto"/>
              </w:rPr>
            </w:pPr>
            <w:r>
              <w:rPr>
                <w:rFonts w:ascii="Arial" w:cs="Arial" w:eastAsia="Arial" w:hAnsi="Arial"/>
                <w:sz w:val="14"/>
                <w:szCs w:val="14"/>
                <w:color w:val="auto"/>
              </w:rPr>
              <w:t>Accumulated other comprehensive income</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6"/>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w:t>
            </w:r>
          </w:p>
        </w:tc>
        <w:tc>
          <w:tcPr>
            <w:tcW w:w="0" w:type="dxa"/>
            <w:vAlign w:val="bottom"/>
          </w:tcPr>
          <w:p>
            <w:pPr>
              <w:spacing w:after="0"/>
              <w:rPr>
                <w:sz w:val="1"/>
                <w:szCs w:val="1"/>
                <w:color w:val="auto"/>
              </w:rPr>
            </w:pPr>
          </w:p>
        </w:tc>
      </w:tr>
      <w:tr>
        <w:trPr>
          <w:trHeight w:val="199"/>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Non-controlling interests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9,688</w:t>
            </w:r>
          </w:p>
        </w:tc>
        <w:tc>
          <w:tcPr>
            <w:tcW w:w="0" w:type="dxa"/>
            <w:vAlign w:val="bottom"/>
          </w:tcPr>
          <w:p>
            <w:pPr>
              <w:spacing w:after="0"/>
              <w:rPr>
                <w:sz w:val="1"/>
                <w:szCs w:val="1"/>
                <w:color w:val="auto"/>
              </w:rPr>
            </w:pPr>
          </w:p>
        </w:tc>
      </w:tr>
      <w:tr>
        <w:trPr>
          <w:trHeight w:val="200"/>
        </w:trPr>
        <w:tc>
          <w:tcPr>
            <w:tcW w:w="8060" w:type="dxa"/>
            <w:vAlign w:val="bottom"/>
          </w:tcPr>
          <w:p>
            <w:pPr>
              <w:ind w:left="66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38,137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45,474</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8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share and per share data)</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11"/>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40"/>
              <w:spacing w:after="0"/>
              <w:rPr>
                <w:sz w:val="20"/>
                <w:szCs w:val="20"/>
                <w:color w:val="auto"/>
              </w:rPr>
            </w:pPr>
            <w:r>
              <w:rPr>
                <w:rFonts w:ascii="Arial" w:cs="Arial" w:eastAsia="Arial" w:hAnsi="Arial"/>
                <w:sz w:val="18"/>
                <w:szCs w:val="18"/>
                <w:color w:val="auto"/>
              </w:rPr>
              <w:t>Transaction-based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interest revenues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revenues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net revenues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36"/>
        </w:trPr>
        <w:tc>
          <w:tcPr>
            <w:tcW w:w="8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822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credit losses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822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8220" w:type="dxa"/>
            <w:vAlign w:val="bottom"/>
          </w:tcPr>
          <w:p>
            <w:pPr>
              <w:ind w:left="240"/>
              <w:spacing w:after="0"/>
              <w:rPr>
                <w:sz w:val="20"/>
                <w:szCs w:val="20"/>
                <w:color w:val="auto"/>
              </w:rPr>
            </w:pPr>
            <w:r>
              <w:rPr>
                <w:rFonts w:ascii="Arial" w:cs="Arial" w:eastAsia="Arial" w:hAnsi="Arial"/>
                <w:sz w:val="18"/>
                <w:szCs w:val="18"/>
                <w:color w:val="auto"/>
              </w:rPr>
              <w:t>Less: Net income (loss) attributable to non-controlling interests</w:t>
            </w:r>
          </w:p>
        </w:tc>
        <w:tc>
          <w:tcPr>
            <w:tcW w:w="2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Robinhood</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Net income attributable to Robinhood common stockholders: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20" w:type="dxa"/>
            <w:vAlign w:val="bottom"/>
          </w:tcPr>
          <w:p>
            <w:pPr>
              <w:ind w:left="24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336</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share attributable to Robinhood common stockholders: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line="170" w:lineRule="exact"/>
              <w:rPr>
                <w:sz w:val="20"/>
                <w:szCs w:val="20"/>
                <w:color w:val="auto"/>
              </w:rPr>
            </w:pPr>
            <w:r>
              <w:rPr>
                <w:rFonts w:ascii="Arial" w:cs="Arial" w:eastAsia="Arial" w:hAnsi="Arial"/>
                <w:sz w:val="18"/>
                <w:szCs w:val="18"/>
                <w:color w:val="auto"/>
              </w:rPr>
              <w:t>Weighted-average shares used to compute net income per share attributable to Robinhood common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2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8220" w:type="dxa"/>
            <w:vAlign w:val="bottom"/>
          </w:tcPr>
          <w:p>
            <w:pPr>
              <w:ind w:left="260"/>
              <w:spacing w:after="0"/>
              <w:rPr>
                <w:sz w:val="20"/>
                <w:szCs w:val="20"/>
                <w:color w:val="auto"/>
              </w:rPr>
            </w:pPr>
            <w:r>
              <w:rPr>
                <w:rFonts w:ascii="Arial" w:cs="Arial" w:eastAsia="Arial" w:hAnsi="Arial"/>
                <w:sz w:val="18"/>
                <w:szCs w:val="18"/>
                <w:color w:val="auto"/>
              </w:rPr>
              <w:t>stockholders: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884,577,603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899,154,939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tcPr>
          <w:p>
            <w:pPr>
              <w:ind w:left="24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909,241,619</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915,038,823</w:t>
            </w:r>
          </w:p>
        </w:tc>
        <w:tc>
          <w:tcPr>
            <w:tcW w:w="0" w:type="dxa"/>
            <w:vAlign w:val="bottom"/>
          </w:tcPr>
          <w:p>
            <w:pPr>
              <w:spacing w:after="0"/>
              <w:rPr>
                <w:sz w:val="1"/>
                <w:szCs w:val="1"/>
                <w:color w:val="auto"/>
              </w:rPr>
            </w:pPr>
          </w:p>
        </w:tc>
      </w:tr>
      <w:tr>
        <w:trPr>
          <w:trHeight w:val="21"/>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83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24"/>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Total other comprehensive income (loss), net of tax</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gridSpan w:val="2"/>
            <w:vMerge w:val="restart"/>
          </w:tcPr>
          <w:p>
            <w:pPr>
              <w:ind w:left="240"/>
              <w:spacing w:after="0"/>
              <w:rPr>
                <w:sz w:val="20"/>
                <w:szCs w:val="20"/>
                <w:color w:val="auto"/>
              </w:rPr>
            </w:pPr>
            <w:r>
              <w:rPr>
                <w:rFonts w:ascii="Arial" w:cs="Arial" w:eastAsia="Arial" w:hAnsi="Arial"/>
                <w:sz w:val="18"/>
                <w:szCs w:val="18"/>
                <w:color w:val="auto"/>
              </w:rPr>
              <w:t>Less: Total comprehensive income (loss) attributable to non-controlling interests</w:t>
            </w: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00" w:type="dxa"/>
            <w:vAlign w:val="bottom"/>
            <w:tcBorders>
              <w:top w:val="single" w:sz="8" w:color="CCEEFF"/>
              <w:bottom w:val="single" w:sz="8" w:color="CCEEFF"/>
            </w:tcBorders>
            <w:gridSpan w:val="2"/>
            <w:vMerge w:val="continue"/>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comprehensive income attributable to Robinhood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0" w:type="dxa"/>
            <w:vAlign w:val="bottom"/>
            <w:gridSpan w:val="4"/>
          </w:tcPr>
          <w:p>
            <w:pPr>
              <w:jc w:val="right"/>
              <w:ind w:right="777"/>
              <w:spacing w:after="0"/>
              <w:rPr>
                <w:sz w:val="20"/>
                <w:szCs w:val="20"/>
                <w:color w:val="auto"/>
              </w:rPr>
            </w:pPr>
            <w:r>
              <w:rPr>
                <w:rFonts w:ascii="Arial" w:cs="Arial" w:eastAsia="Arial" w:hAnsi="Arial"/>
                <w:sz w:val="13"/>
                <w:szCs w:val="13"/>
                <w:b w:val="1"/>
                <w:bCs w:val="1"/>
                <w:color w:val="auto"/>
              </w:rPr>
              <w:t>Three Months Ended</w:t>
            </w:r>
          </w:p>
        </w:tc>
      </w:tr>
      <w:tr>
        <w:trPr>
          <w:trHeight w:val="173"/>
        </w:trPr>
        <w:tc>
          <w:tcPr>
            <w:tcW w:w="8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b w:val="1"/>
                <w:bCs w:val="1"/>
                <w:color w:val="auto"/>
              </w:rPr>
              <w:t>March 31,</w:t>
            </w:r>
          </w:p>
        </w:tc>
        <w:tc>
          <w:tcPr>
            <w:tcW w:w="1000" w:type="dxa"/>
            <w:vAlign w:val="bottom"/>
            <w:tcBorders>
              <w:bottom w:val="single" w:sz="8" w:color="auto"/>
            </w:tcBorders>
          </w:tcPr>
          <w:p>
            <w:pPr>
              <w:spacing w:after="0"/>
              <w:rPr>
                <w:sz w:val="15"/>
                <w:szCs w:val="15"/>
                <w:color w:val="auto"/>
              </w:rPr>
            </w:pPr>
          </w:p>
        </w:tc>
      </w:tr>
      <w:tr>
        <w:trPr>
          <w:trHeight w:val="174"/>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2026</w:t>
            </w:r>
          </w:p>
        </w:tc>
      </w:tr>
      <w:tr>
        <w:trPr>
          <w:trHeight w:val="157"/>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71"/>
        </w:trPr>
        <w:tc>
          <w:tcPr>
            <w:tcW w:w="83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336</w:t>
            </w:r>
          </w:p>
        </w:tc>
        <w:tc>
          <w:tcPr>
            <w:tcW w:w="80" w:type="dxa"/>
            <w:vAlign w:val="bottom"/>
          </w:tcPr>
          <w:p>
            <w:pPr>
              <w:spacing w:after="0"/>
              <w:rPr>
                <w:sz w:val="14"/>
                <w:szCs w:val="14"/>
                <w:color w:val="auto"/>
              </w:rPr>
            </w:pP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346</w:t>
            </w: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(used in) operating activities: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Depreciation and amortization</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Provision for credit losses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Deferred income taxes</w:t>
            </w:r>
          </w:p>
        </w:tc>
        <w:tc>
          <w:tcPr>
            <w:tcW w:w="3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Share-based compensation</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Other</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operating assets and liabilities: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Securities segregated under federal and other regulations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397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(3,953)</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Receivables from brokers, dealers, and clearing organizations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Receivables from users, net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(911)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Securities borrowed</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Deposits with clearing organizations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(152)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Current and non-current prepaid expenses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Current and non-current deferred customer match incentives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(116)</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current and non-current assets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Accounts payable and accrued expenses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Payables to users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4,793</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Securities loaned</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1,635</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1,761</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current and non-current liabilities</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r>
      <w:tr>
        <w:trPr>
          <w:trHeight w:val="164"/>
        </w:trPr>
        <w:tc>
          <w:tcPr>
            <w:tcW w:w="832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Net cash provided by operating activities</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642</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2,038</w:t>
            </w:r>
          </w:p>
        </w:tc>
      </w:tr>
      <w:tr>
        <w:trPr>
          <w:trHeight w:val="16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Purchases of property, software, and equipment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Capitalization of internally developed software</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Consideration transferred for business acquisitions and asset acquisitions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(175)</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cash equivalents, and segregated cash acquired in business acquisitions and asset acquisitions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Purchases of non-marketable securities</w:t>
            </w:r>
          </w:p>
        </w:tc>
        <w:tc>
          <w:tcPr>
            <w:tcW w:w="3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(92)</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maturities of held-to-maturity investments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Purchases of credit card receivables by Credit Card Funding Trust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(549)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(2,520)</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Collections of purchased credit card receivables</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2,399</w:t>
            </w:r>
          </w:p>
        </w:tc>
      </w:tr>
      <w:tr>
        <w:trPr>
          <w:trHeight w:val="164"/>
        </w:trPr>
        <w:tc>
          <w:tcPr>
            <w:tcW w:w="832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Net cash provided by (used in) investing activities</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w:t>
            </w:r>
          </w:p>
        </w:tc>
      </w:tr>
      <w:tr>
        <w:trPr>
          <w:trHeight w:val="16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Proceeds from exercise of stock options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issuance of RVI common stock in connection with initial public offering, net of offering costs</w:t>
            </w:r>
          </w:p>
        </w:tc>
        <w:tc>
          <w:tcPr>
            <w:tcW w:w="3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Taxes paid related to net share settlement of equity awards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Repurchase of Class A common stock</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Borrowings by the Credit Card Funding Trust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117</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Change in principal collected from customers due to Coastal Bank</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Repayments on borrowings by the Credit Card Funding Trust</w:t>
            </w:r>
          </w:p>
        </w:tc>
        <w:tc>
          <w:tcPr>
            <w:tcW w:w="3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Payments of debt issuance costs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71"/>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Contributions from noncontrolling interests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w:t>
            </w:r>
          </w:p>
        </w:tc>
      </w:tr>
      <w:tr>
        <w:trPr>
          <w:trHeight w:val="174"/>
        </w:trPr>
        <w:tc>
          <w:tcPr>
            <w:tcW w:w="83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Net cash provided by (used in) financing activities</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w:t>
            </w:r>
          </w:p>
        </w:tc>
      </w:tr>
      <w:tr>
        <w:trPr>
          <w:trHeight w:val="164"/>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Effect of foreign exchange rate changes on cash and cash equivalents</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r>
      <w:tr>
        <w:trPr>
          <w:trHeight w:val="174"/>
        </w:trPr>
        <w:tc>
          <w:tcPr>
            <w:tcW w:w="83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Net increase in cash, cash equivalents, segregated cash, and restricted cash</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1,928</w:t>
            </w:r>
          </w:p>
        </w:tc>
      </w:tr>
      <w:tr>
        <w:trPr>
          <w:trHeight w:val="171"/>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segregated cash, and restricted cash, beginning of the period</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8,695</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9,893</w:t>
            </w:r>
          </w:p>
        </w:tc>
      </w:tr>
      <w:tr>
        <w:trPr>
          <w:trHeight w:val="19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segregated cash, and restricted cash, end of the period</w:t>
            </w: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8,930</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11,821</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Reconciliation of cash, cash equivalents, segregated cash and restricted cash, end of the period:</w:t>
            </w: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Cash and cash equivalents, end of the period</w:t>
            </w:r>
          </w:p>
        </w:tc>
        <w:tc>
          <w:tcPr>
            <w:tcW w:w="560" w:type="dxa"/>
            <w:vAlign w:val="bottom"/>
          </w:tcPr>
          <w:p>
            <w:pPr>
              <w:jc w:val="right"/>
              <w:ind w:right="4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4,416</w:t>
            </w:r>
          </w:p>
        </w:tc>
        <w:tc>
          <w:tcPr>
            <w:tcW w:w="80" w:type="dxa"/>
            <w:vAlign w:val="bottom"/>
          </w:tcPr>
          <w:p>
            <w:pPr>
              <w:spacing w:after="0"/>
              <w:rPr>
                <w:sz w:val="14"/>
                <w:szCs w:val="14"/>
                <w:color w:val="auto"/>
              </w:rPr>
            </w:pPr>
          </w:p>
        </w:tc>
        <w:tc>
          <w:tcPr>
            <w:tcW w:w="5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5,012</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Segregated cash and cash equivalents, end of the period</w:t>
            </w: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6,721</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Restricted cash in other current assets, end of the period</w:t>
            </w:r>
          </w:p>
        </w:tc>
        <w:tc>
          <w:tcPr>
            <w:tcW w:w="5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54</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176"/>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Restricted cash in other non-current assets, end of the period</w:t>
            </w:r>
          </w:p>
        </w:tc>
        <w:tc>
          <w:tcPr>
            <w:tcW w:w="5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74"/>
        </w:trPr>
        <w:tc>
          <w:tcPr>
            <w:tcW w:w="8320" w:type="dxa"/>
            <w:vAlign w:val="bottom"/>
          </w:tcPr>
          <w:p>
            <w:pPr>
              <w:ind w:left="460"/>
              <w:spacing w:after="0"/>
              <w:rPr>
                <w:sz w:val="20"/>
                <w:szCs w:val="20"/>
                <w:color w:val="auto"/>
              </w:rPr>
            </w:pPr>
            <w:r>
              <w:rPr>
                <w:rFonts w:ascii="Arial" w:cs="Arial" w:eastAsia="Arial" w:hAnsi="Arial"/>
                <w:sz w:val="13"/>
                <w:szCs w:val="13"/>
                <w:color w:val="auto"/>
              </w:rPr>
              <w:t>Cash, cash equivalents, segregated cash and restricted cash, end of the period</w:t>
            </w:r>
          </w:p>
        </w:tc>
        <w:tc>
          <w:tcPr>
            <w:tcW w:w="56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8,930</w:t>
            </w:r>
          </w:p>
        </w:tc>
        <w:tc>
          <w:tcPr>
            <w:tcW w:w="80" w:type="dxa"/>
            <w:vAlign w:val="bottom"/>
          </w:tcPr>
          <w:p>
            <w:pPr>
              <w:spacing w:after="0"/>
              <w:rPr>
                <w:sz w:val="15"/>
                <w:szCs w:val="15"/>
                <w:color w:val="auto"/>
              </w:rPr>
            </w:pPr>
          </w:p>
        </w:tc>
        <w:tc>
          <w:tcPr>
            <w:tcW w:w="5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11,821</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43"/>
        </w:trPr>
        <w:tc>
          <w:tcPr>
            <w:tcW w:w="832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Supplemental disclosures:</w:t>
            </w: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Cash paid for interest</w:t>
            </w:r>
          </w:p>
        </w:tc>
        <w:tc>
          <w:tcPr>
            <w:tcW w:w="560" w:type="dxa"/>
            <w:vAlign w:val="bottom"/>
          </w:tcPr>
          <w:p>
            <w:pPr>
              <w:jc w:val="right"/>
              <w:ind w:right="4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5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paid for income taxes, net of refund received</w:t>
            </w:r>
          </w:p>
        </w:tc>
        <w:tc>
          <w:tcPr>
            <w:tcW w:w="56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r>
    </w:tbl>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3"/>
                <w:szCs w:val="13"/>
                <w:color w:val="auto"/>
              </w:rPr>
            </w:pPr>
          </w:p>
        </w:tc>
        <w:tc>
          <w:tcPr>
            <w:tcW w:w="9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7"/>
              </w:rPr>
              <w:t>Accumulated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center"/>
              <w:ind w:right="109"/>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ind w:left="220"/>
              <w:spacing w:after="0" w:line="167" w:lineRule="exact"/>
              <w:rPr>
                <w:sz w:val="20"/>
                <w:szCs w:val="20"/>
                <w:color w:val="auto"/>
              </w:rPr>
            </w:pPr>
            <w:r>
              <w:rPr>
                <w:rFonts w:ascii="Arial" w:cs="Arial" w:eastAsia="Arial" w:hAnsi="Arial"/>
                <w:sz w:val="13"/>
                <w:szCs w:val="13"/>
                <w:b w:val="1"/>
                <w:bCs w:val="1"/>
                <w:color w:val="auto"/>
              </w:rPr>
              <w:t xml:space="preserve">Common stock </w:t>
            </w:r>
            <w:r>
              <w:rPr>
                <w:rFonts w:ascii="Arial" w:cs="Arial" w:eastAsia="Arial" w:hAnsi="Arial"/>
                <w:sz w:val="16"/>
                <w:szCs w:val="16"/>
                <w:b w:val="1"/>
                <w:bCs w:val="1"/>
                <w:color w:val="auto"/>
                <w:vertAlign w:val="superscript"/>
              </w:rPr>
              <w:t>(1)</w:t>
            </w:r>
          </w:p>
        </w:tc>
        <w:tc>
          <w:tcPr>
            <w:tcW w:w="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8"/>
              </w:rPr>
              <w:t>other</w:t>
            </w:r>
          </w:p>
        </w:tc>
        <w:tc>
          <w:tcPr>
            <w:tcW w:w="6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tcPr>
          <w:p>
            <w:pPr>
              <w:ind w:left="40"/>
              <w:spacing w:after="0" w:line="54" w:lineRule="exact"/>
              <w:rPr>
                <w:sz w:val="20"/>
                <w:szCs w:val="20"/>
                <w:color w:val="auto"/>
              </w:rPr>
            </w:pPr>
            <w:r>
              <w:rPr>
                <w:rFonts w:ascii="Arial" w:cs="Arial" w:eastAsia="Arial" w:hAnsi="Arial"/>
                <w:sz w:val="6"/>
                <w:szCs w:val="6"/>
                <w:b w:val="1"/>
                <w:bCs w:val="1"/>
                <w:color w:val="auto"/>
              </w:rPr>
              <w:t>paid-in</w:t>
            </w:r>
          </w:p>
        </w:tc>
        <w:tc>
          <w:tcPr>
            <w:tcW w:w="1040" w:type="dxa"/>
            <w:vAlign w:val="bottom"/>
            <w:gridSpan w:val="6"/>
          </w:tcPr>
          <w:p>
            <w:pPr>
              <w:jc w:val="center"/>
              <w:ind w:right="80"/>
              <w:spacing w:after="0" w:line="54" w:lineRule="exact"/>
              <w:rPr>
                <w:sz w:val="20"/>
                <w:szCs w:val="20"/>
                <w:color w:val="auto"/>
              </w:rPr>
            </w:pPr>
            <w:r>
              <w:rPr>
                <w:rFonts w:ascii="Arial" w:cs="Arial" w:eastAsia="Arial" w:hAnsi="Arial"/>
                <w:sz w:val="6"/>
                <w:szCs w:val="6"/>
                <w:b w:val="1"/>
                <w:bCs w:val="1"/>
                <w:color w:val="auto"/>
              </w:rPr>
              <w:t>comprehensive</w:t>
            </w:r>
          </w:p>
        </w:tc>
        <w:tc>
          <w:tcPr>
            <w:tcW w:w="6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900" w:type="dxa"/>
            <w:vAlign w:val="bottom"/>
            <w:gridSpan w:val="2"/>
          </w:tcPr>
          <w:p>
            <w:pPr>
              <w:jc w:val="center"/>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1"/>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 except for number of shares)</w:t>
            </w:r>
          </w:p>
        </w:tc>
        <w:tc>
          <w:tcPr>
            <w:tcW w:w="8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5"/>
              </w:rPr>
              <w:t>income (loss)</w:t>
            </w:r>
          </w:p>
        </w:tc>
        <w:tc>
          <w:tcPr>
            <w:tcW w:w="80" w:type="dxa"/>
            <w:vAlign w:val="bottom"/>
            <w:tcBorders>
              <w:bottom w:val="single" w:sz="8" w:color="CCEEFF"/>
            </w:tcBorders>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99"/>
              </w:rPr>
              <w:t>equity</w:t>
            </w: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2024</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884,492,983</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65"/>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12,008</w:t>
            </w: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7,972</w:t>
            </w: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336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in connection with stock option exercises</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1,703,994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3"/>
        </w:trPr>
        <w:tc>
          <w:tcPr>
            <w:tcW w:w="5380" w:type="dxa"/>
            <w:vAlign w:val="bottom"/>
            <w:gridSpan w:val="3"/>
          </w:tcPr>
          <w:p>
            <w:pPr>
              <w:ind w:left="20"/>
              <w:spacing w:after="0" w:line="153" w:lineRule="exact"/>
              <w:rPr>
                <w:sz w:val="20"/>
                <w:szCs w:val="20"/>
                <w:color w:val="auto"/>
              </w:rPr>
            </w:pPr>
            <w:r>
              <w:rPr>
                <w:rFonts w:ascii="Arial" w:cs="Arial" w:eastAsia="Arial" w:hAnsi="Arial"/>
                <w:sz w:val="14"/>
                <w:szCs w:val="14"/>
                <w:color w:val="auto"/>
              </w:rPr>
              <w:t>Issuance of common stock in connection with warrants exercises, net of 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417,253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vMerge w:val="restart"/>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480" w:type="dxa"/>
            <w:vAlign w:val="bottom"/>
          </w:tcPr>
          <w:p>
            <w:pPr>
              <w:ind w:left="180"/>
              <w:spacing w:after="0"/>
              <w:rPr>
                <w:sz w:val="20"/>
                <w:szCs w:val="20"/>
                <w:color w:val="auto"/>
              </w:rPr>
            </w:pPr>
            <w:r>
              <w:rPr>
                <w:rFonts w:ascii="Arial" w:cs="Arial" w:eastAsia="Arial" w:hAnsi="Arial"/>
                <w:sz w:val="14"/>
                <w:szCs w:val="14"/>
                <w:color w:val="auto"/>
              </w:rPr>
              <w:t>withheld</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in connection with business combination</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2,049,711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5380" w:type="dxa"/>
            <w:vAlign w:val="bottom"/>
            <w:gridSpan w:val="3"/>
          </w:tcPr>
          <w:p>
            <w:pPr>
              <w:ind w:left="20"/>
              <w:spacing w:after="0" w:line="153" w:lineRule="exact"/>
              <w:rPr>
                <w:sz w:val="20"/>
                <w:szCs w:val="20"/>
                <w:color w:val="auto"/>
              </w:rPr>
            </w:pPr>
            <w:r>
              <w:rPr>
                <w:rFonts w:ascii="Arial" w:cs="Arial" w:eastAsia="Arial" w:hAnsi="Arial"/>
                <w:sz w:val="14"/>
                <w:szCs w:val="14"/>
                <w:color w:val="auto"/>
              </w:rPr>
              <w:t>Issuance of common stock upon settlement of restricted stock units, net of shares</w:t>
            </w:r>
          </w:p>
        </w:tc>
        <w:tc>
          <w:tcPr>
            <w:tcW w:w="880" w:type="dxa"/>
            <w:vAlign w:val="bottom"/>
            <w:gridSpan w:val="3"/>
            <w:vMerge w:val="restart"/>
          </w:tcPr>
          <w:p>
            <w:pPr>
              <w:jc w:val="right"/>
              <w:spacing w:after="0"/>
              <w:rPr>
                <w:sz w:val="20"/>
                <w:szCs w:val="20"/>
                <w:color w:val="auto"/>
              </w:rPr>
            </w:pPr>
            <w:r>
              <w:rPr>
                <w:rFonts w:ascii="Arial" w:cs="Arial" w:eastAsia="Arial" w:hAnsi="Arial"/>
                <w:sz w:val="14"/>
                <w:szCs w:val="14"/>
                <w:color w:val="auto"/>
              </w:rPr>
              <w:t>3,079,213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vMerge w:val="restart"/>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85"/>
        </w:trPr>
        <w:tc>
          <w:tcPr>
            <w:tcW w:w="4480" w:type="dxa"/>
            <w:vAlign w:val="bottom"/>
          </w:tcPr>
          <w:p>
            <w:pPr>
              <w:ind w:left="180"/>
              <w:spacing w:after="0"/>
              <w:rPr>
                <w:sz w:val="20"/>
                <w:szCs w:val="20"/>
                <w:color w:val="auto"/>
              </w:rPr>
            </w:pPr>
            <w:r>
              <w:rPr>
                <w:rFonts w:ascii="Arial" w:cs="Arial" w:eastAsia="Arial" w:hAnsi="Arial"/>
                <w:sz w:val="14"/>
                <w:szCs w:val="14"/>
                <w:color w:val="auto"/>
              </w:rPr>
              <w:t>withheld</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and retirement of Class A common stock</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(7,168,369)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color w:val="auto"/>
              </w:rPr>
              <w:t>Change in other comprehensive income</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0"/>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2025</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884,574,785</w:t>
            </w:r>
          </w:p>
        </w:tc>
        <w:tc>
          <w:tcPr>
            <w:tcW w:w="8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3"/>
          </w:tcPr>
          <w:p>
            <w:pPr>
              <w:ind w:left="48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65"/>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11,652</w:t>
            </w: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(3,699)</w:t>
            </w:r>
          </w:p>
        </w:tc>
        <w:tc>
          <w:tcPr>
            <w:tcW w:w="8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7,953</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1"/>
        </w:trPr>
        <w:tc>
          <w:tcPr>
            <w:tcW w:w="4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94"/>
              </w:rPr>
              <w:t>Additional</w:t>
            </w:r>
          </w:p>
        </w:tc>
        <w:tc>
          <w:tcPr>
            <w:tcW w:w="60" w:type="dxa"/>
            <w:vAlign w:val="bottom"/>
          </w:tcPr>
          <w:p>
            <w:pPr>
              <w:spacing w:after="0"/>
              <w:rPr>
                <w:sz w:val="24"/>
                <w:szCs w:val="24"/>
                <w:color w:val="auto"/>
              </w:rPr>
            </w:pPr>
          </w:p>
        </w:tc>
        <w:tc>
          <w:tcPr>
            <w:tcW w:w="920" w:type="dxa"/>
            <w:vAlign w:val="bottom"/>
            <w:gridSpan w:val="3"/>
          </w:tcPr>
          <w:p>
            <w:pPr>
              <w:ind w:left="80"/>
              <w:spacing w:after="0"/>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Non-</w:t>
            </w:r>
          </w:p>
        </w:tc>
        <w:tc>
          <w:tcPr>
            <w:tcW w:w="180" w:type="dxa"/>
            <w:vAlign w:val="bottom"/>
          </w:tcPr>
          <w:p>
            <w:pPr>
              <w:spacing w:after="0"/>
              <w:rPr>
                <w:sz w:val="24"/>
                <w:szCs w:val="24"/>
                <w:color w:val="auto"/>
              </w:rPr>
            </w:pPr>
          </w:p>
        </w:tc>
        <w:tc>
          <w:tcPr>
            <w:tcW w:w="720" w:type="dxa"/>
            <w:vAlign w:val="bottom"/>
            <w:vMerge w:val="restart"/>
          </w:tcPr>
          <w:p>
            <w:pPr>
              <w:jc w:val="center"/>
              <w:ind w:right="109"/>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14"/>
                <w:szCs w:val="14"/>
                <w:color w:val="auto"/>
              </w:rPr>
            </w:pPr>
          </w:p>
        </w:tc>
        <w:tc>
          <w:tcPr>
            <w:tcW w:w="1860" w:type="dxa"/>
            <w:vAlign w:val="bottom"/>
            <w:gridSpan w:val="6"/>
          </w:tcPr>
          <w:p>
            <w:pPr>
              <w:ind w:left="420"/>
              <w:spacing w:after="0" w:line="167" w:lineRule="exact"/>
              <w:rPr>
                <w:sz w:val="20"/>
                <w:szCs w:val="20"/>
                <w:color w:val="auto"/>
              </w:rPr>
            </w:pPr>
            <w:r>
              <w:rPr>
                <w:rFonts w:ascii="Arial" w:cs="Arial" w:eastAsia="Arial" w:hAnsi="Arial"/>
                <w:sz w:val="13"/>
                <w:szCs w:val="13"/>
                <w:b w:val="1"/>
                <w:bCs w:val="1"/>
                <w:color w:val="auto"/>
              </w:rPr>
              <w:t xml:space="preserve">Common stock </w:t>
            </w:r>
            <w:r>
              <w:rPr>
                <w:rFonts w:ascii="Arial" w:cs="Arial" w:eastAsia="Arial" w:hAnsi="Arial"/>
                <w:sz w:val="16"/>
                <w:szCs w:val="16"/>
                <w:b w:val="1"/>
                <w:bCs w:val="1"/>
                <w:color w:val="auto"/>
                <w:vertAlign w:val="superscript"/>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other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4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3"/>
          </w:tcPr>
          <w:p>
            <w:pPr>
              <w:jc w:val="center"/>
              <w:ind w:right="140"/>
              <w:spacing w:after="0" w:line="54" w:lineRule="exact"/>
              <w:rPr>
                <w:sz w:val="20"/>
                <w:szCs w:val="20"/>
                <w:color w:val="auto"/>
              </w:rPr>
            </w:pPr>
            <w:r>
              <w:rPr>
                <w:rFonts w:ascii="Arial" w:cs="Arial" w:eastAsia="Arial" w:hAnsi="Arial"/>
                <w:sz w:val="6"/>
                <w:szCs w:val="6"/>
                <w:b w:val="1"/>
                <w:bCs w:val="1"/>
                <w:color w:val="auto"/>
              </w:rPr>
              <w:t>paid-in</w:t>
            </w:r>
          </w:p>
        </w:tc>
        <w:tc>
          <w:tcPr>
            <w:tcW w:w="60" w:type="dxa"/>
            <w:vAlign w:val="bottom"/>
          </w:tcPr>
          <w:p>
            <w:pPr>
              <w:spacing w:after="0"/>
              <w:rPr>
                <w:sz w:val="4"/>
                <w:szCs w:val="4"/>
                <w:color w:val="auto"/>
              </w:rPr>
            </w:pPr>
          </w:p>
        </w:tc>
        <w:tc>
          <w:tcPr>
            <w:tcW w:w="1960" w:type="dxa"/>
            <w:vAlign w:val="bottom"/>
            <w:gridSpan w:val="9"/>
          </w:tcPr>
          <w:p>
            <w:pPr>
              <w:ind w:left="20"/>
              <w:spacing w:after="0" w:line="54" w:lineRule="exact"/>
              <w:rPr>
                <w:sz w:val="20"/>
                <w:szCs w:val="20"/>
                <w:color w:val="auto"/>
              </w:rPr>
            </w:pPr>
            <w:r>
              <w:rPr>
                <w:rFonts w:ascii="Arial" w:cs="Arial" w:eastAsia="Arial" w:hAnsi="Arial"/>
                <w:sz w:val="6"/>
                <w:szCs w:val="6"/>
                <w:b w:val="1"/>
                <w:bCs w:val="1"/>
                <w:color w:val="auto"/>
              </w:rPr>
              <w:t>comprehensive  Accumulated</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tcPr>
          <w:p>
            <w:pPr>
              <w:jc w:val="center"/>
              <w:ind w:right="180"/>
              <w:spacing w:after="0" w:line="54" w:lineRule="exact"/>
              <w:rPr>
                <w:sz w:val="20"/>
                <w:szCs w:val="20"/>
                <w:color w:val="auto"/>
              </w:rPr>
            </w:pPr>
            <w:r>
              <w:rPr>
                <w:rFonts w:ascii="Arial" w:cs="Arial" w:eastAsia="Arial" w:hAnsi="Arial"/>
                <w:sz w:val="6"/>
                <w:szCs w:val="6"/>
                <w:b w:val="1"/>
                <w:bCs w:val="1"/>
                <w:color w:val="auto"/>
              </w:rPr>
              <w:t>controlling</w:t>
            </w:r>
          </w:p>
        </w:tc>
        <w:tc>
          <w:tcPr>
            <w:tcW w:w="900" w:type="dxa"/>
            <w:vAlign w:val="bottom"/>
            <w:gridSpan w:val="2"/>
          </w:tcPr>
          <w:p>
            <w:pPr>
              <w:jc w:val="center"/>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1"/>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 except for number of shares)</w:t>
            </w:r>
          </w:p>
        </w:tc>
        <w:tc>
          <w:tcPr>
            <w:tcW w:w="9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7"/>
              </w:rPr>
              <w:t>capital</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97"/>
              </w:rPr>
              <w:t>income (loss)</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deficit</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9"/>
              </w:rPr>
              <w:t>Interests</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99"/>
              </w:rPr>
              <w:t>equity</w:t>
            </w: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2025</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901,328,432</w:t>
            </w:r>
          </w:p>
        </w:tc>
        <w:tc>
          <w:tcPr>
            <w:tcW w:w="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11,284</w:t>
            </w:r>
          </w:p>
        </w:tc>
        <w:tc>
          <w:tcPr>
            <w:tcW w:w="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(2,152)</w:t>
            </w: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9,151</w:t>
            </w: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in connection with stock option exercises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487,318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3"/>
        </w:trPr>
        <w:tc>
          <w:tcPr>
            <w:tcW w:w="448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 stock upon settlement of restricted stock units,</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2,490,347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ind w:left="480"/>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5"/>
        </w:trPr>
        <w:tc>
          <w:tcPr>
            <w:tcW w:w="4480" w:type="dxa"/>
            <w:vAlign w:val="bottom"/>
          </w:tcPr>
          <w:p>
            <w:pPr>
              <w:ind w:left="180"/>
              <w:spacing w:after="0"/>
              <w:rPr>
                <w:sz w:val="20"/>
                <w:szCs w:val="20"/>
                <w:color w:val="auto"/>
              </w:rPr>
            </w:pPr>
            <w:r>
              <w:rPr>
                <w:rFonts w:ascii="Arial" w:cs="Arial" w:eastAsia="Arial" w:hAnsi="Arial"/>
                <w:sz w:val="14"/>
                <w:szCs w:val="14"/>
                <w:color w:val="auto"/>
              </w:rPr>
              <w:t>net of shares withheld</w:t>
            </w:r>
          </w:p>
        </w:tc>
        <w:tc>
          <w:tcPr>
            <w:tcW w:w="8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and retirement of Class A common stock</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(3,087,538)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(250)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99"/>
        </w:trPr>
        <w:tc>
          <w:tcPr>
            <w:tcW w:w="4480" w:type="dxa"/>
            <w:vAlign w:val="bottom"/>
          </w:tcPr>
          <w:p>
            <w:pPr>
              <w:ind w:left="20"/>
              <w:spacing w:after="0"/>
              <w:rPr>
                <w:sz w:val="20"/>
                <w:szCs w:val="20"/>
                <w:color w:val="auto"/>
              </w:rPr>
            </w:pPr>
            <w:r>
              <w:rPr>
                <w:rFonts w:ascii="Arial" w:cs="Arial" w:eastAsia="Arial" w:hAnsi="Arial"/>
                <w:sz w:val="14"/>
                <w:szCs w:val="14"/>
                <w:color w:val="auto"/>
              </w:rPr>
              <w:t>Change in other comprehensive loss</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53"/>
        </w:trPr>
        <w:tc>
          <w:tcPr>
            <w:tcW w:w="4480" w:type="dxa"/>
            <w:vAlign w:val="bottom"/>
          </w:tcPr>
          <w:p>
            <w:pPr>
              <w:ind w:left="20"/>
              <w:spacing w:after="0" w:line="153" w:lineRule="exact"/>
              <w:rPr>
                <w:sz w:val="20"/>
                <w:szCs w:val="20"/>
                <w:color w:val="auto"/>
              </w:rPr>
            </w:pPr>
            <w:r>
              <w:rPr>
                <w:rFonts w:ascii="Arial" w:cs="Arial" w:eastAsia="Arial" w:hAnsi="Arial"/>
                <w:sz w:val="14"/>
                <w:szCs w:val="14"/>
                <w:color w:val="auto"/>
              </w:rPr>
              <w:t>Issuance of RVI common stock in connection with initial public</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312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85"/>
        </w:trPr>
        <w:tc>
          <w:tcPr>
            <w:tcW w:w="4480" w:type="dxa"/>
            <w:vAlign w:val="bottom"/>
          </w:tcPr>
          <w:p>
            <w:pPr>
              <w:ind w:left="180"/>
              <w:spacing w:after="0"/>
              <w:rPr>
                <w:sz w:val="20"/>
                <w:szCs w:val="20"/>
                <w:color w:val="auto"/>
              </w:rPr>
            </w:pPr>
            <w:r>
              <w:rPr>
                <w:rFonts w:ascii="Arial" w:cs="Arial" w:eastAsia="Arial" w:hAnsi="Arial"/>
                <w:sz w:val="14"/>
                <w:szCs w:val="14"/>
                <w:color w:val="auto"/>
              </w:rPr>
              <w:t>offering, net of offering costs</w:t>
            </w: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4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Noncontrolling interests recognized in connection with business</w:t>
            </w: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5"/>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combination</w:t>
            </w: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Capital contributions from a partner</w:t>
            </w: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2026</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901,218,559</w:t>
            </w: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11,119</w:t>
            </w: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(1,802)</w:t>
            </w: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9,688</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160" w:hanging="152"/>
        <w:spacing w:after="0" w:line="237"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share amounts listed above combine Class A common stock and Class B common stock.</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900"/>
        <w:spacing w:after="0" w:line="285" w:lineRule="auto"/>
        <w:rPr>
          <w:sz w:val="20"/>
          <w:szCs w:val="20"/>
          <w:color w:val="auto"/>
        </w:rPr>
      </w:pPr>
      <w:r>
        <w:rPr>
          <w:rFonts w:ascii="Arial" w:cs="Arial" w:eastAsia="Arial" w:hAnsi="Arial"/>
          <w:sz w:val="25"/>
          <w:szCs w:val="25"/>
          <w:color w:val="auto"/>
        </w:rPr>
        <w:t>NOTE 1: DESCRIPTION OF BUSINESS AND SUMMARY OF SIGNIFICANT ACCOUNTING POLICIES</w:t>
      </w:r>
    </w:p>
    <w:p>
      <w:pPr>
        <w:spacing w:after="0" w:line="1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Robinhood was founded in 2013 and our mission is to democratize finance for all. Our platforms enable customers to buy, sell, and trade equities, options, event contracts, and futures, as well as buy, sell, and transfer cryptocurrencies. We are also responsible for the custody of user-held cryptocurrencies. In addition, we offer credit cards with certain rewards offerings, as well as a cash card and spending account that help our customers in investing, saving, and earning rewards.</w:t>
      </w:r>
    </w:p>
    <w:p>
      <w:pPr>
        <w:spacing w:after="0" w:line="197"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We are continuously introducing new products and diversifying our services that further expand access to the financial system. In February 2025, we acquired TradePMR, a custodial and portfolio management platform for RIAs. In March 2025, we launched Robinhood Strategies, a digital investment advisory service that offers tailored, expert-managed, and goal-based portfolios directly within our mobile platform, featuring low and capped fees. In June 2025, we acquired Bitstamp, a globally-scaled cryptocurrency exchange with institutional and retail customers. In September 2025, we launched RVI a closed-end fund that aims to offer retail investors exposure to private companies at the frontiers of their respective industries. On March 6, 2026, RVI launched its IPO and commenced trading on the NYSE. Following the IPO, we continue to consolidate RVI and hold approximately 52% of RVI as of March 31, 2026, with the remaining interest held by public shareholders and presented as noncontrolling interests.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Basis of Presentation</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GAAP and pursuant to the rules and regulations of the SEC for interim financial reporting. The condensed consolidated financial statements are unaudited, and in management’s opinion, include all adjustments, including normal recurring adjustments and accruals necessary for a fair presentation of the results for the interim periods presented. Operating results for the periods presented are not necessarily indicative of the results that may be expected for the full fiscal year ending December 31, 2026 or any future period. These unaudited condensed consolidated financial statements should be read in conjunction with the audited annual consolidated financial statements and notes included in our Annual Report on Form 10-K for the year ended December 31, 2025, as amended (“2025 Form 10-K”).</w:t>
      </w:r>
    </w:p>
    <w:p>
      <w:pPr>
        <w:spacing w:after="0" w:line="15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have been no material changes in our significant accounting policies as described in our audited consolidated financial statements included in our 2025 Form 10-K, other than as disclosed below. The unaudited condensed consolidated financial statements include the accounts of RHM and its wholly-owned direct and indirect subsidiaries. All intercompany balances and transactions have been eliminated.</w:t>
      </w:r>
    </w:p>
    <w:p>
      <w:pPr>
        <w:spacing w:after="0" w:line="130"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Certain reclassifications have been made to prior period amounts to conform to the current period’s presentation. The impact of these reclassifications is immaterial to the presentation of the unaudited condensed consolidated financial statements taken as a whole and had no impact on previously reported total assets, total liabilities and net income.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Principles of Consolidation</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consolidate entities in which we have a controlling financial interest. We first evaluate whether the entity is a voting interest entity or a VIE. We evaluate our ownership, contractual and other interests in entities to determine if we have a variable interest in an entity. These evaluations are complex, involve judgment, and the use of estimates and assumptions based on available historical and prospective information, among other factors. If we determine that an entity for which we hold a contractual or ownership interest in is a VIE and that we are the primary beneficiary, we consolidate such entity in the consolidated financial statements. The primary beneficiary of a VIE is the party that meets both of the following criteria: (1) has the power to make decisions that most significantly affect the economic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performance of the VIE; and (2) has the obligation to absorb losses or the right to receive benefits that in either case could potentially be significant to the VIE. We continuously monitor if any changes in the interest or relationship with the entity may impact the determination of whether we are still the primary beneficiary and require us to revise our previous conclusion. We consolidate a voting interest entity if we can exert control over the financial and operating policies of an investee. Other parties’ equity investments are reported as non-controlling interests. In November 2025, we established a joint venture, Rothera, in partnership with SIG, that acquired 90% of the issued and outstanding equity of MIAXdx on January 20, 2026. We consolidate the financial results into our consolidated financial statements due to our ability to exert control over the financial and operating policies of the joint venture.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Use of Estimates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preparation of unaudited condensed consolidated financial statements in accordance with GAAP requires management to make estimates and assumptions that affect the reported amounts in the unaudited condensed consolidated financial statements and accompanying notes. We base our estimates on historical experience, and other assumptions we believe to be reasonable under the circumstances. Assumptions and estimates used in preparing our unaudited condensed consolidated financial statements include, but are not limited to, those related to revenue recognition, SBC, the determination of allowances for credit losses, investment valuation, capitalization of internally developed software, useful lives of property, software, and equipment, valuation and useful lives of intangible assets, valuation of reporting units in assessing goodwill for impairment, incremental borrowing rate used to calculate operating lease right-of-use assets and related liabilities, impairment of long-lived assets, uncertain tax positions, realizability of deferred tax assets, accrued and contingent liabilities. Actual results could differ from these estimates and could have a material adverse effect on our operating results.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Concentrations of Revenue and Credit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Revenue</w:t>
      </w:r>
    </w:p>
    <w:p>
      <w:pPr>
        <w:spacing w:after="0" w:line="1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derived transaction-based revenues from individual market makers and exchanges in excess of 10% of total net revenues, as follows:</w:t>
      </w:r>
    </w:p>
    <w:p>
      <w:pPr>
        <w:spacing w:after="0" w:line="164"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jc w:val="center"/>
        <w:ind w:left="816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2026</w:t>
            </w:r>
          </w:p>
        </w:tc>
      </w:tr>
      <w:tr>
        <w:trPr>
          <w:trHeight w:val="21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makers and exchanges: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9160" w:type="dxa"/>
            <w:vAlign w:val="bottom"/>
            <w:gridSpan w:val="2"/>
          </w:tcPr>
          <w:p>
            <w:pPr>
              <w:ind w:left="260"/>
              <w:spacing w:after="0"/>
              <w:rPr>
                <w:sz w:val="20"/>
                <w:szCs w:val="20"/>
                <w:color w:val="auto"/>
              </w:rPr>
            </w:pPr>
            <w:r>
              <w:rPr>
                <w:rFonts w:ascii="Arial" w:cs="Arial" w:eastAsia="Arial" w:hAnsi="Arial"/>
                <w:sz w:val="18"/>
                <w:szCs w:val="18"/>
                <w:color w:val="auto"/>
              </w:rPr>
              <w:t>Citadel Securities, LLC</w:t>
            </w:r>
          </w:p>
        </w:tc>
        <w:tc>
          <w:tcPr>
            <w:tcW w:w="520" w:type="dxa"/>
            <w:vAlign w:val="bottom"/>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9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B2C2 USA Inc.</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9160" w:type="dxa"/>
            <w:vAlign w:val="bottom"/>
            <w:gridSpan w:val="2"/>
          </w:tcPr>
          <w:p>
            <w:pPr>
              <w:ind w:left="260"/>
              <w:spacing w:after="0"/>
              <w:rPr>
                <w:sz w:val="20"/>
                <w:szCs w:val="20"/>
                <w:color w:val="auto"/>
              </w:rPr>
            </w:pPr>
            <w:r>
              <w:rPr>
                <w:rFonts w:ascii="Arial" w:cs="Arial" w:eastAsia="Arial" w:hAnsi="Arial"/>
                <w:sz w:val="18"/>
                <w:szCs w:val="18"/>
                <w:color w:val="auto"/>
              </w:rPr>
              <w:t>Wintermute Trading Ltd</w:t>
            </w:r>
          </w:p>
        </w:tc>
        <w:tc>
          <w:tcPr>
            <w:tcW w:w="52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All others individually less than 10%</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23"/>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Total as percentage of total net revenues</w:t>
            </w:r>
          </w:p>
        </w:tc>
        <w:tc>
          <w:tcPr>
            <w:tcW w:w="520" w:type="dxa"/>
            <w:vAlign w:val="bottom"/>
          </w:tcPr>
          <w:p>
            <w:pPr>
              <w:jc w:val="right"/>
              <w:spacing w:after="0"/>
              <w:rPr>
                <w:sz w:val="20"/>
                <w:szCs w:val="20"/>
                <w:color w:val="auto"/>
              </w:rPr>
            </w:pPr>
            <w:r>
              <w:rPr>
                <w:rFonts w:ascii="Arial" w:cs="Arial" w:eastAsia="Arial" w:hAnsi="Arial"/>
                <w:sz w:val="18"/>
                <w:szCs w:val="18"/>
                <w:color w:val="auto"/>
              </w:rPr>
              <w:t>63 %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0"/>
        </w:trPr>
        <w:tc>
          <w:tcPr>
            <w:tcW w:w="8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1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engaged in various trading and brokerage activities in which the counterparties primarily include broker-dealers, banks, cryptocurrency market makers, and other financial institutions. In the event our counterparties do not fulfill their obligations, we may be exposed to risk. The risk of default depends on the creditworthiness of the counterparty. Default of a counterparty in equities and options trades, which are facilitated through clearinghouses, would generally be spread among the clearinghouse’s members rather than falling entirely on us. It is our policy to review, as necessary, the credit standing of each counterparty.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NOTE 2: RECENT ACCOUNTING PRONOUNCEMENTS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Recently Adopted Accounting Pronouncements</w:t>
      </w:r>
    </w:p>
    <w:p>
      <w:pPr>
        <w:spacing w:after="0" w:line="18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There were no new accounting pronouncements adopted during the three months ended March 31, 2026 that materially impacted our unaudited condensed consolidated financial statements and related disclosures.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Recently Issued Accounting Pronouncements Not Yet Adopted</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October 2023, the FASB issued Accounting Standards Update 2023-06, “Disclosure Improvements: Codification Amendments in Response to the SEC’s Disclosure Update and Simplification Initiative.” The amendments will impact various disclosure areas, including the statement of cash flows, accounting changes and error corrections, earnings per share, debt, equity, derivatives, and transfers of financial assets. The amendments in this guidance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impacts of the amendments on our consolidated financial statements.</w:t>
      </w:r>
    </w:p>
    <w:p>
      <w:pPr>
        <w:spacing w:after="0" w:line="15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2024, the SEC adopted final rules under SEC Release No. 34-99678 and No. 33-11275, “The Enhancement and Standardization of Climate-Related Disclosures for Investors” (the “Final Rules”), which requires registrants to provide certain climate-related information in their registration statements and annual reports. The Final Rules require, among other things, disclosure in the notes to the audited financial statements of the effects of severe weather events and other natural conditions, subject to certain thresholds, as well as amounts related to carbon offsets and renewable energy credits or certificates in certain circumstances. We continue to monitor the status of the Final Rules and evaluate the potential impact of the Final Rules.</w:t>
      </w:r>
    </w:p>
    <w:p>
      <w:pPr>
        <w:spacing w:after="0" w:line="1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November 2024, the FASB issued Accounting Standards Update 2024-03, “Income Statement-Reporting Comprehensive Income-Expense Disaggregation Disclosures (Subtopic 220-40).” This guidance requires additional disclosures about certain amounts included in the expense captions presented on the statement of operations as well as disclosures about selling expenses. The guidance is effective for annual reporting periods beginning after December 15, 2026, and interim reporting periods beginning after December 15, 2027. Early adoption is permitted. The guidance can either be applied prospectively or retrospectively. We do not expect the adoption of this guidance to have a material impact on our consolidated financial statements and related disclosures.</w:t>
      </w:r>
    </w:p>
    <w:p>
      <w:pPr>
        <w:spacing w:after="0" w:line="1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2025, the FASB issued Accounting Standards Update 2025-06, “Intangibles - Goodwill and Other - Internal-Use Software (Subtopic 350-40): Targeted Improvements to the Accounting for Internal-Use Software.” This guidance simplifies the capitalization guidance for internal-use software costs by removing all references to prescriptive and sequential software development stages under Subtopic 350-</w:t>
      </w:r>
    </w:p>
    <w:p>
      <w:pPr>
        <w:spacing w:after="0" w:line="1" w:lineRule="exact"/>
        <w:rPr>
          <w:sz w:val="20"/>
          <w:szCs w:val="20"/>
          <w:color w:val="auto"/>
        </w:rPr>
      </w:pPr>
    </w:p>
    <w:p>
      <w:pPr>
        <w:jc w:val="both"/>
        <w:ind w:firstLine="8"/>
        <w:spacing w:after="0" w:line="258"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guidance is effective for annual reporting periods beginning after December 15, 2027 and interim reporting periods within those annual reporting periods. Early adoption is permitted. The guidance can be applied prospectively, retrospectively or under a modified transition approach. We are currently evaluating the impacts of the amendments on our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color w:val="auto"/>
        </w:rPr>
        <w:t>NOTE 3: BUSINESS COMBINATIONS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Acquisition of TradePMR</w:t>
      </w:r>
    </w:p>
    <w:p>
      <w:pPr>
        <w:spacing w:after="0" w:line="187"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On February 26, 2025, we acquired all of the outstanding equity of TradePMR, a custodial and portfolio management platform for RIAs. The acquisition of TradePMR allows us to deliver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advisory capabilities to customers by bringing in a scaled RIA custodial and portfolio management platform that connects financial advisors to a new generation of investors.</w:t>
      </w:r>
    </w:p>
    <w:p>
      <w:pPr>
        <w:spacing w:after="0" w:line="12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acquisition date fair value of the consideration transferred for TradePMR was approximately $169 million following customary purchase price adjustments and was entirely paid in cash. The post-close compensation consisted of 2,049,711 unvested shares of the Company’s Class A common stock, valued at approximately $100 million as of the closing date of the acquisition, which will vest over a four-year period post-acquisition, subject to the terms of a vesting agreement. Shares of unvested restricted stock have the same voting rights as all other Class A common stock and are considered to be issued and outstanding. These shares are not part of the equity incentive plans described in Note 11 - Common Stock and Stockholders’ Equity.</w:t>
      </w:r>
    </w:p>
    <w:p>
      <w:pPr>
        <w:spacing w:after="0" w:line="14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following table summarizes the final purchase price allocation of assets acquired and liabilities assumed based on their respective estimated fair values as of the date of acquisition. During the first quarter of 2026, we finalized the purchase price allocation based on changes in management’s estimates and assumptions which did not have a significant impact on the initial purchase price allocation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Receivables from users, net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9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attributed to the assembled workforce of TradePMR and anticipated operational synergies. The fair values assigned to tangible and identifiable intangible assets acquired and liabilities assumed are based on management’s estimates and assumptions at the time of acquisition. Tangible net assets were valued at their respective carrying amounts as of the acquisition date, as these amounts approximated fair value.</w:t>
      </w:r>
    </w:p>
    <w:p>
      <w:pPr>
        <w:spacing w:after="0" w:line="13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Pro forma results of operations for TradePMR have not been presented as the effect of this acquisition was not material to our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Acquisition of Bitstamp</w:t>
      </w:r>
    </w:p>
    <w:p>
      <w:pPr>
        <w:spacing w:after="0" w:line="17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June 2, 2025, we acquired all outstanding equity of Bitstamp, a globally-scaled cryptocurrency exchange with retail and institutional customers. This acquisition of Bitstamp accelerates our expansion worldwide, including across the EU, the U.K., and Asia. The acquisition date fair value of the consideration transferred for Bitstamp was approximately $224 million following customary purchase price adjustments and was entirely paid in cash.</w:t>
      </w:r>
    </w:p>
    <w:p>
      <w:pPr>
        <w:spacing w:after="0" w:line="13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purchase price allocation is based on a preliminary valuation and subject to revision as more detailed analyses are completed and additional information about the fair value of assets acquired and liabilities assumed becomes available, including certain tax matters, during the measurement period (up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to one year from the acquisition date). The following table summarizes the preliminary fair value of assets acquired and liabilities assumed as of the date of acquisition: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1,103</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from users, net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Payable to users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(1,115)</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9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attributed to the assembled workforce of Bitstamp and anticipated operational synergies. The fair values assigned to tangible and identifiable intangible assets acquired and liabilities assumed are based on management’s estimates and assumptions at the time of acquisition. Tangible net assets were valued at their respective carrying amounts as of the acquisition date, as these amounts approximated fair value.</w:t>
      </w:r>
    </w:p>
    <w:p>
      <w:pPr>
        <w:spacing w:after="0" w:line="1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Pro forma results of operations for Bitstamp have not been presented as the effect of this acquisition was not material to our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Acquisition of MIAXdx</w:t>
      </w:r>
    </w:p>
    <w:p>
      <w:pPr>
        <w:spacing w:after="0" w:line="173"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November 2025, we established a joint venture, Rothera, in partnership with SIG, that acquired 90% of the issued and outstanding equity of MIAXdx on January 20, 2026. Following closing, Rothera renamed MIAXdx to Rothera E&amp;C.</w:t>
      </w:r>
    </w:p>
    <w:p>
      <w:pPr>
        <w:spacing w:after="0" w:line="20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total consideration paid for the acquisition was approximately $79 million in cash. As MIAXdx was acquired through our joint venture, Rothera, SIG contributed $41 million toward the purchase price and related expenses.</w:t>
      </w:r>
    </w:p>
    <w:p>
      <w:pPr>
        <w:spacing w:after="0" w:line="11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purchase price allocation is based on a preliminary valuation and subject to revision as more detailed analyses are completed and additional information about the fair value of assets acquired and liabilities assumed becomes available, during the measurement period (up to one year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acquisition date). The following table summarizes the preliminary fair value of assets acquired and liabilities assumed as of the date of acquisition: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7"/>
                <w:szCs w:val="17"/>
                <w:color w:val="auto"/>
              </w:rPr>
            </w:pPr>
          </w:p>
        </w:tc>
        <w:tc>
          <w:tcPr>
            <w:tcW w:w="1300" w:type="dxa"/>
            <w:vAlign w:val="bottom"/>
          </w:tcPr>
          <w:p>
            <w:pPr>
              <w:jc w:val="right"/>
              <w:ind w:right="352"/>
              <w:spacing w:after="0"/>
              <w:rPr>
                <w:sz w:val="20"/>
                <w:szCs w:val="20"/>
                <w:color w:val="auto"/>
              </w:rPr>
            </w:pPr>
            <w:r>
              <w:rPr>
                <w:rFonts w:ascii="Arial" w:cs="Arial" w:eastAsia="Arial" w:hAnsi="Arial"/>
                <w:sz w:val="14"/>
                <w:szCs w:val="14"/>
                <w:b w:val="1"/>
                <w:bCs w:val="1"/>
                <w:color w:val="auto"/>
              </w:rPr>
              <w:t>Fair Value</w:t>
            </w:r>
          </w:p>
        </w:tc>
      </w:tr>
      <w:tr>
        <w:trPr>
          <w:trHeight w:val="231"/>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Payable to users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9660" w:type="dxa"/>
            <w:vAlign w:val="bottom"/>
          </w:tcPr>
          <w:p>
            <w:pPr>
              <w:ind w:left="260"/>
              <w:spacing w:after="0"/>
              <w:rPr>
                <w:sz w:val="20"/>
                <w:szCs w:val="20"/>
                <w:color w:val="auto"/>
              </w:rPr>
            </w:pPr>
            <w:r>
              <w:rPr>
                <w:rFonts w:ascii="Arial" w:cs="Arial" w:eastAsia="Arial" w:hAnsi="Arial"/>
                <w:sz w:val="18"/>
                <w:szCs w:val="18"/>
                <w:b w:val="1"/>
                <w:bCs w:val="1"/>
                <w:color w:val="auto"/>
              </w:rPr>
              <w:t>Total purchase price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1"/>
        </w:trPr>
        <w:tc>
          <w:tcPr>
            <w:tcW w:w="9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attributed to anticipated operational synergies. The fair values assigned to tangible and identifiable intangible assets acquired and liabilities assumed are based on management’s estimates and assumptions at the time of acquisition. Tangible net assets were valued at their respective carrying amounts as of the acquisition date, as these amounts approximated fair value.</w:t>
      </w:r>
    </w:p>
    <w:p>
      <w:pPr>
        <w:spacing w:after="0" w:line="13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0" w:type="dxa"/>
            <w:vAlign w:val="bottom"/>
          </w:tcPr>
          <w:p>
            <w:pPr>
              <w:ind w:left="20"/>
              <w:spacing w:after="0"/>
              <w:rPr>
                <w:sz w:val="20"/>
                <w:szCs w:val="20"/>
                <w:color w:val="auto"/>
              </w:rPr>
            </w:pPr>
            <w:r>
              <w:rPr>
                <w:rFonts w:ascii="Arial" w:cs="Arial" w:eastAsia="Arial" w:hAnsi="Arial"/>
                <w:sz w:val="14"/>
                <w:szCs w:val="14"/>
                <w:i w:val="1"/>
                <w:iCs w:val="1"/>
                <w:color w:val="auto"/>
              </w:rPr>
              <w:t>(in millions, except years)</w:t>
            </w:r>
          </w:p>
        </w:tc>
        <w:tc>
          <w:tcPr>
            <w:tcW w:w="28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c>
          <w:tcPr>
            <w:tcW w:w="1560" w:type="dxa"/>
            <w:vAlign w:val="bottom"/>
          </w:tcPr>
          <w:p>
            <w:pPr>
              <w:ind w:left="400"/>
              <w:spacing w:after="0"/>
              <w:rPr>
                <w:sz w:val="20"/>
                <w:szCs w:val="20"/>
                <w:color w:val="auto"/>
              </w:rPr>
            </w:pPr>
            <w:r>
              <w:rPr>
                <w:rFonts w:ascii="Arial" w:cs="Arial" w:eastAsia="Arial" w:hAnsi="Arial"/>
                <w:sz w:val="14"/>
                <w:szCs w:val="14"/>
                <w:b w:val="1"/>
                <w:bCs w:val="1"/>
                <w:color w:val="auto"/>
              </w:rPr>
              <w:t>Useful Life</w:t>
            </w:r>
          </w:p>
        </w:tc>
      </w:tr>
      <w:tr>
        <w:trPr>
          <w:trHeight w:val="224"/>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w w:val="99"/>
              </w:rPr>
              <w:t>N/A</w:t>
            </w:r>
          </w:p>
        </w:tc>
      </w:tr>
    </w:tbl>
    <w:p>
      <w:pPr>
        <w:spacing w:after="0" w:line="25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fair value of the licenses acquired was estimated using the replacement cost method of the cost approach. This method reflects the cost a market participant would incur to re-create the licenses as of the acquisition date.</w:t>
      </w:r>
    </w:p>
    <w:p>
      <w:pPr>
        <w:spacing w:after="0" w:line="126"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Pro forma results of operations for MIAXdx have not been presented as the effect of this acquisition was not material to our consolidated financial statements.</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Pending Acquisitions</w:t>
      </w:r>
    </w:p>
    <w:p>
      <w:pPr>
        <w:spacing w:after="0" w:line="17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On May 12, 2025, we entered into an agreement to acquire all outstanding equity of WonderFi, a Canadian leader in digital asset products and services, for C$0.36 per share, representing a total equity value of approximately $180 million. The pending acquisition is subject to customary closing conditions, including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NOTE 4: GOODWILL AND INTANGIBLE ASSETS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Goodwill</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 of goodwill for the period indicated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2025</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period adjustment</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6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March 31, 2026</w:t>
            </w: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7"/>
            <w:vMerge w:val="restart"/>
          </w:tcPr>
          <w:p>
            <w:pPr>
              <w:ind w:left="340"/>
              <w:spacing w:after="0"/>
              <w:rPr>
                <w:sz w:val="20"/>
                <w:szCs w:val="20"/>
                <w:color w:val="auto"/>
              </w:rPr>
            </w:pPr>
            <w:r>
              <w:rPr>
                <w:rFonts w:ascii="Arial" w:cs="Arial" w:eastAsia="Arial" w:hAnsi="Arial"/>
                <w:sz w:val="18"/>
                <w:szCs w:val="18"/>
                <w:color w:val="auto"/>
              </w:rPr>
              <w:t>There was no impairment of goodwill during the three months ended March 31, 2026.</w:t>
            </w: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7780" w:type="dxa"/>
            <w:vAlign w:val="bottom"/>
            <w:gridSpan w:val="7"/>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4440" w:type="dxa"/>
            <w:vAlign w:val="bottom"/>
          </w:tcPr>
          <w:p>
            <w:pPr>
              <w:spacing w:after="0"/>
              <w:rPr>
                <w:sz w:val="20"/>
                <w:szCs w:val="20"/>
                <w:color w:val="auto"/>
              </w:rPr>
            </w:pPr>
            <w:r>
              <w:rPr>
                <w:rFonts w:ascii="Arial" w:cs="Arial" w:eastAsia="Arial" w:hAnsi="Arial"/>
                <w:sz w:val="22"/>
                <w:szCs w:val="22"/>
                <w:b w:val="1"/>
                <w:bCs w:val="1"/>
                <w:i w:val="1"/>
                <w:iCs w:val="1"/>
                <w:color w:val="auto"/>
              </w:rPr>
              <w:t>Intangible Assets</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7780" w:type="dxa"/>
            <w:vAlign w:val="bottom"/>
            <w:gridSpan w:val="7"/>
          </w:tcPr>
          <w:p>
            <w:pPr>
              <w:ind w:left="340"/>
              <w:spacing w:after="0"/>
              <w:rPr>
                <w:sz w:val="20"/>
                <w:szCs w:val="20"/>
                <w:color w:val="auto"/>
              </w:rPr>
            </w:pPr>
            <w:r>
              <w:rPr>
                <w:rFonts w:ascii="Arial" w:cs="Arial" w:eastAsia="Arial" w:hAnsi="Arial"/>
                <w:sz w:val="18"/>
                <w:szCs w:val="18"/>
                <w:color w:val="auto"/>
              </w:rPr>
              <w:t>The components of intangible assets, net as of March 31, 2026 were as follows: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jc w:val="center"/>
              <w:ind w:right="1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44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years)</w:t>
            </w: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Value</w:t>
            </w: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Net Carrying Value</w:t>
            </w:r>
          </w:p>
        </w:tc>
        <w:tc>
          <w:tcPr>
            <w:tcW w:w="1700" w:type="dxa"/>
            <w:vAlign w:val="bottom"/>
          </w:tcPr>
          <w:p>
            <w:pPr>
              <w:jc w:val="center"/>
              <w:ind w:right="16"/>
              <w:spacing w:after="0" w:line="145" w:lineRule="exact"/>
              <w:rPr>
                <w:sz w:val="20"/>
                <w:szCs w:val="20"/>
                <w:color w:val="auto"/>
              </w:rPr>
            </w:pPr>
            <w:r>
              <w:rPr>
                <w:rFonts w:ascii="Arial" w:cs="Arial" w:eastAsia="Arial" w:hAnsi="Arial"/>
                <w:sz w:val="14"/>
                <w:szCs w:val="14"/>
                <w:b w:val="1"/>
                <w:bCs w:val="1"/>
                <w:color w:val="auto"/>
              </w:rPr>
              <w:t>Remaining Useful Life -</w:t>
            </w:r>
          </w:p>
        </w:tc>
        <w:tc>
          <w:tcPr>
            <w:tcW w:w="0" w:type="dxa"/>
            <w:vAlign w:val="bottom"/>
          </w:tcPr>
          <w:p>
            <w:pPr>
              <w:spacing w:after="0"/>
              <w:rPr>
                <w:sz w:val="1"/>
                <w:szCs w:val="1"/>
                <w:color w:val="auto"/>
              </w:rPr>
            </w:pPr>
          </w:p>
        </w:tc>
      </w:tr>
      <w:tr>
        <w:trPr>
          <w:trHeight w:val="189"/>
        </w:trPr>
        <w:tc>
          <w:tcPr>
            <w:tcW w:w="4440" w:type="dxa"/>
            <w:vAlign w:val="bottom"/>
            <w:vMerge w:val="continue"/>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620" w:type="dxa"/>
            <w:vAlign w:val="bottom"/>
            <w:gridSpan w:val="4"/>
            <w:vMerge w:val="continue"/>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6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Developed technology</w:t>
            </w:r>
          </w:p>
        </w:tc>
        <w:tc>
          <w:tcPr>
            <w:tcW w:w="660" w:type="dxa"/>
            <w:vAlign w:val="bottom"/>
          </w:tcPr>
          <w:p>
            <w:pPr>
              <w:jc w:val="right"/>
              <w:ind w:right="45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Customer relationships</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Trade names</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40" w:type="dxa"/>
            <w:vAlign w:val="bottom"/>
          </w:tcPr>
          <w:p>
            <w:pPr>
              <w:ind w:left="52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Amortization expense of intangible assets was $7 million for the three months ended March 31, 2026. There was an immaterial impairment of intangible assets during the three months ended March 31, 2026.</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2026, the estimated future amortization expense of finite-lived intangible assets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4"/>
                <w:szCs w:val="14"/>
                <w:color w:val="auto"/>
              </w:rPr>
            </w:pPr>
          </w:p>
        </w:tc>
        <w:tc>
          <w:tcPr>
            <w:tcW w:w="1680" w:type="dxa"/>
            <w:vAlign w:val="bottom"/>
          </w:tcPr>
          <w:p>
            <w:pPr>
              <w:jc w:val="right"/>
              <w:ind w:right="94"/>
              <w:spacing w:after="0"/>
              <w:rPr>
                <w:sz w:val="20"/>
                <w:szCs w:val="20"/>
                <w:color w:val="auto"/>
              </w:rPr>
            </w:pPr>
            <w:r>
              <w:rPr>
                <w:rFonts w:ascii="Arial" w:cs="Arial" w:eastAsia="Arial" w:hAnsi="Arial"/>
                <w:sz w:val="14"/>
                <w:szCs w:val="14"/>
                <w:b w:val="1"/>
                <w:bCs w:val="1"/>
                <w:color w:val="auto"/>
              </w:rPr>
              <w:t>Finite-lived Intangible</w:t>
            </w:r>
          </w:p>
        </w:tc>
        <w:tc>
          <w:tcPr>
            <w:tcW w:w="0" w:type="dxa"/>
            <w:vAlign w:val="bottom"/>
          </w:tcPr>
          <w:p>
            <w:pPr>
              <w:spacing w:after="0"/>
              <w:rPr>
                <w:sz w:val="1"/>
                <w:szCs w:val="1"/>
                <w:color w:val="auto"/>
              </w:rPr>
            </w:pPr>
          </w:p>
        </w:tc>
      </w:tr>
      <w:tr>
        <w:trPr>
          <w:trHeight w:val="189"/>
        </w:trPr>
        <w:tc>
          <w:tcPr>
            <w:tcW w:w="94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23"/>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9420" w:type="dxa"/>
            <w:vAlign w:val="bottom"/>
          </w:tcPr>
          <w:p>
            <w:pPr>
              <w:ind w:left="20"/>
              <w:spacing w:after="0"/>
              <w:rPr>
                <w:sz w:val="20"/>
                <w:szCs w:val="20"/>
                <w:color w:val="auto"/>
              </w:rPr>
            </w:pPr>
            <w:r>
              <w:rPr>
                <w:rFonts w:ascii="Arial" w:cs="Arial" w:eastAsia="Arial" w:hAnsi="Arial"/>
                <w:sz w:val="18"/>
                <w:szCs w:val="18"/>
                <w:color w:val="auto"/>
              </w:rPr>
              <w:t>2027</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9420" w:type="dxa"/>
            <w:vAlign w:val="bottom"/>
          </w:tcPr>
          <w:p>
            <w:pPr>
              <w:ind w:left="20"/>
              <w:spacing w:after="0"/>
              <w:rPr>
                <w:sz w:val="20"/>
                <w:szCs w:val="20"/>
                <w:color w:val="auto"/>
              </w:rPr>
            </w:pPr>
            <w:r>
              <w:rPr>
                <w:rFonts w:ascii="Arial" w:cs="Arial" w:eastAsia="Arial" w:hAnsi="Arial"/>
                <w:sz w:val="18"/>
                <w:szCs w:val="18"/>
                <w:color w:val="auto"/>
              </w:rPr>
              <w:t>2029</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8"/>
        </w:trPr>
        <w:tc>
          <w:tcPr>
            <w:tcW w:w="9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NOTE 5: REVENUES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Disaggregation of Revenues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revenues disaggregated by revenue source: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20" w:type="dxa"/>
            <w:vAlign w:val="bottom"/>
            <w:gridSpan w:val="4"/>
          </w:tcPr>
          <w:p>
            <w:pPr>
              <w:jc w:val="right"/>
              <w:ind w:right="851"/>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7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6"/>
                <w:szCs w:val="16"/>
                <w:color w:val="auto"/>
              </w:rPr>
            </w:pPr>
          </w:p>
        </w:tc>
      </w:tr>
      <w:tr>
        <w:trPr>
          <w:trHeight w:val="195"/>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2026</w:t>
            </w:r>
          </w:p>
        </w:tc>
      </w:tr>
      <w:tr>
        <w:trPr>
          <w:trHeight w:val="211"/>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Transaction-based revenues: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7940" w:type="dxa"/>
            <w:vAlign w:val="bottom"/>
          </w:tcPr>
          <w:p>
            <w:pPr>
              <w:ind w:left="260"/>
              <w:spacing w:after="0"/>
              <w:rPr>
                <w:sz w:val="20"/>
                <w:szCs w:val="20"/>
                <w:color w:val="auto"/>
              </w:rPr>
            </w:pPr>
            <w:r>
              <w:rPr>
                <w:rFonts w:ascii="Arial" w:cs="Arial" w:eastAsia="Arial" w:hAnsi="Arial"/>
                <w:sz w:val="18"/>
                <w:szCs w:val="18"/>
                <w:color w:val="auto"/>
              </w:rPr>
              <w:t>Options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260</w:t>
            </w:r>
          </w:p>
        </w:tc>
      </w:tr>
      <w:tr>
        <w:trPr>
          <w:trHeight w:val="230"/>
        </w:trPr>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Cryptocurrencies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r>
      <w:tr>
        <w:trPr>
          <w:trHeight w:val="229"/>
        </w:trPr>
        <w:tc>
          <w:tcPr>
            <w:tcW w:w="7940" w:type="dxa"/>
            <w:vAlign w:val="bottom"/>
          </w:tcPr>
          <w:p>
            <w:pPr>
              <w:ind w:left="260"/>
              <w:spacing w:after="0"/>
              <w:rPr>
                <w:sz w:val="20"/>
                <w:szCs w:val="20"/>
                <w:color w:val="auto"/>
              </w:rPr>
            </w:pPr>
            <w:r>
              <w:rPr>
                <w:rFonts w:ascii="Arial" w:cs="Arial" w:eastAsia="Arial" w:hAnsi="Arial"/>
                <w:sz w:val="18"/>
                <w:szCs w:val="18"/>
                <w:color w:val="auto"/>
              </w:rPr>
              <w:t>Event contracts</w:t>
            </w:r>
          </w:p>
        </w:tc>
        <w:tc>
          <w:tcPr>
            <w:tcW w:w="3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104</w:t>
            </w:r>
          </w:p>
        </w:tc>
      </w:tr>
      <w:tr>
        <w:trPr>
          <w:trHeight w:val="229"/>
        </w:trPr>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r>
      <w:tr>
        <w:trPr>
          <w:trHeight w:val="230"/>
        </w:trPr>
        <w:tc>
          <w:tcPr>
            <w:tcW w:w="79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w:t>
            </w:r>
          </w:p>
        </w:tc>
      </w:tr>
      <w:tr>
        <w:trPr>
          <w:trHeight w:val="223"/>
        </w:trPr>
        <w:tc>
          <w:tcPr>
            <w:tcW w:w="7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transaction-based revenues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623</w:t>
            </w:r>
          </w:p>
        </w:tc>
      </w:tr>
      <w:tr>
        <w:trPr>
          <w:trHeight w:val="250"/>
        </w:trPr>
        <w:tc>
          <w:tcPr>
            <w:tcW w:w="7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revenues: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940" w:type="dxa"/>
            <w:vAlign w:val="bottom"/>
          </w:tcPr>
          <w:p>
            <w:pPr>
              <w:ind w:left="260"/>
              <w:spacing w:after="0"/>
              <w:rPr>
                <w:sz w:val="20"/>
                <w:szCs w:val="20"/>
                <w:color w:val="auto"/>
              </w:rPr>
            </w:pPr>
            <w:r>
              <w:rPr>
                <w:rFonts w:ascii="Arial" w:cs="Arial" w:eastAsia="Arial" w:hAnsi="Arial"/>
                <w:sz w:val="18"/>
                <w:szCs w:val="18"/>
                <w:color w:val="auto"/>
              </w:rPr>
              <w:t>Margin interest</w:t>
            </w:r>
          </w:p>
        </w:tc>
        <w:tc>
          <w:tcPr>
            <w:tcW w:w="3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193</w:t>
            </w:r>
          </w:p>
        </w:tc>
      </w:tr>
      <w:tr>
        <w:trPr>
          <w:trHeight w:val="229"/>
        </w:trPr>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on segregated cash, cash equivalents, securities, and deposits,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r>
      <w:tr>
        <w:trPr>
          <w:trHeight w:val="230"/>
        </w:trPr>
        <w:tc>
          <w:tcPr>
            <w:tcW w:w="7940" w:type="dxa"/>
            <w:vAlign w:val="bottom"/>
          </w:tcPr>
          <w:p>
            <w:pPr>
              <w:ind w:left="260"/>
              <w:spacing w:after="0"/>
              <w:rPr>
                <w:sz w:val="20"/>
                <w:szCs w:val="20"/>
                <w:color w:val="auto"/>
              </w:rPr>
            </w:pPr>
            <w:r>
              <w:rPr>
                <w:rFonts w:ascii="Arial" w:cs="Arial" w:eastAsia="Arial" w:hAnsi="Arial"/>
                <w:sz w:val="18"/>
                <w:szCs w:val="18"/>
                <w:color w:val="auto"/>
              </w:rPr>
              <w:t>Cash Sweep</w:t>
            </w:r>
          </w:p>
        </w:tc>
        <w:tc>
          <w:tcPr>
            <w:tcW w:w="3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w:t>
            </w:r>
          </w:p>
        </w:tc>
      </w:tr>
      <w:tr>
        <w:trPr>
          <w:trHeight w:val="229"/>
        </w:trPr>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on corporate cash and investments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r>
      <w:tr>
        <w:trPr>
          <w:trHeight w:val="230"/>
        </w:trPr>
        <w:tc>
          <w:tcPr>
            <w:tcW w:w="7940" w:type="dxa"/>
            <w:vAlign w:val="bottom"/>
          </w:tcPr>
          <w:p>
            <w:pPr>
              <w:ind w:left="260"/>
              <w:spacing w:after="0"/>
              <w:rPr>
                <w:sz w:val="20"/>
                <w:szCs w:val="20"/>
                <w:color w:val="auto"/>
              </w:rPr>
            </w:pPr>
            <w:r>
              <w:rPr>
                <w:rFonts w:ascii="Arial" w:cs="Arial" w:eastAsia="Arial" w:hAnsi="Arial"/>
                <w:sz w:val="18"/>
                <w:szCs w:val="18"/>
                <w:color w:val="auto"/>
              </w:rPr>
              <w:t>Credit card, net</w:t>
            </w:r>
          </w:p>
        </w:tc>
        <w:tc>
          <w:tcPr>
            <w:tcW w:w="3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32</w:t>
            </w:r>
          </w:p>
        </w:tc>
      </w:tr>
      <w:tr>
        <w:trPr>
          <w:trHeight w:val="230"/>
        </w:trPr>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Securities lending,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r>
      <w:tr>
        <w:trPr>
          <w:trHeight w:val="230"/>
        </w:trPr>
        <w:tc>
          <w:tcPr>
            <w:tcW w:w="7940" w:type="dxa"/>
            <w:vAlign w:val="bottom"/>
          </w:tcPr>
          <w:p>
            <w:pPr>
              <w:ind w:left="260"/>
              <w:spacing w:after="0"/>
              <w:rPr>
                <w:sz w:val="20"/>
                <w:szCs w:val="20"/>
                <w:color w:val="auto"/>
              </w:rPr>
            </w:pPr>
            <w:r>
              <w:rPr>
                <w:rFonts w:ascii="Arial" w:cs="Arial" w:eastAsia="Arial" w:hAnsi="Arial"/>
                <w:sz w:val="18"/>
                <w:szCs w:val="18"/>
                <w:color w:val="auto"/>
              </w:rPr>
              <w:t>Interest expenses related to credit facilities</w:t>
            </w:r>
          </w:p>
        </w:tc>
        <w:tc>
          <w:tcPr>
            <w:tcW w:w="3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w:t>
            </w:r>
          </w:p>
        </w:tc>
      </w:tr>
      <w:tr>
        <w:trPr>
          <w:trHeight w:val="229"/>
        </w:trPr>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23"/>
        </w:trPr>
        <w:tc>
          <w:tcPr>
            <w:tcW w:w="79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net interest revenues</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290</w:t>
            </w:r>
          </w:p>
        </w:tc>
        <w:tc>
          <w:tcPr>
            <w:tcW w:w="14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359</w:t>
            </w:r>
          </w:p>
        </w:tc>
      </w:tr>
      <w:tr>
        <w:trPr>
          <w:trHeight w:val="250"/>
        </w:trPr>
        <w:tc>
          <w:tcPr>
            <w:tcW w:w="79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Gold subscription revenues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940" w:type="dxa"/>
            <w:vAlign w:val="bottom"/>
          </w:tcPr>
          <w:p>
            <w:pPr>
              <w:ind w:left="240"/>
              <w:spacing w:after="0"/>
              <w:rPr>
                <w:sz w:val="20"/>
                <w:szCs w:val="20"/>
                <w:color w:val="auto"/>
              </w:rPr>
            </w:pPr>
            <w:r>
              <w:rPr>
                <w:rFonts w:ascii="Arial" w:cs="Arial" w:eastAsia="Arial" w:hAnsi="Arial"/>
                <w:sz w:val="18"/>
                <w:szCs w:val="18"/>
                <w:color w:val="auto"/>
              </w:rPr>
              <w:t>Proxy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79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other revenues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50"/>
        </w:trPr>
        <w:tc>
          <w:tcPr>
            <w:tcW w:w="79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r>
      <w:tr>
        <w:trPr>
          <w:trHeight w:val="223"/>
        </w:trPr>
        <w:tc>
          <w:tcPr>
            <w:tcW w:w="7940" w:type="dxa"/>
            <w:vAlign w:val="bottom"/>
          </w:tcPr>
          <w:p>
            <w:pPr>
              <w:ind w:left="520"/>
              <w:spacing w:after="0"/>
              <w:rPr>
                <w:sz w:val="20"/>
                <w:szCs w:val="20"/>
                <w:color w:val="auto"/>
              </w:rPr>
            </w:pPr>
            <w:r>
              <w:rPr>
                <w:rFonts w:ascii="Arial" w:cs="Arial" w:eastAsia="Arial" w:hAnsi="Arial"/>
                <w:sz w:val="18"/>
                <w:szCs w:val="18"/>
                <w:color w:val="auto"/>
              </w:rPr>
              <w:t>Total net revenues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927</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1,067</w:t>
            </w: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interest revenue earned and interest expense paid from securities lending: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gridSpan w:val="4"/>
          </w:tcPr>
          <w:p>
            <w:pPr>
              <w:jc w:val="right"/>
              <w:ind w:right="815"/>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r>
      <w:tr>
        <w:trPr>
          <w:trHeight w:val="19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2026</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48"/>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Securities lending,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interest revenue earned from segregated cash, cash equivalents, securities, and deposits, and interest expense paid to users on uninvested cash and option deposits:</w:t>
      </w:r>
    </w:p>
    <w:tbl>
      <w:tblPr>
        <w:tblLayout w:type="fixed"/>
        <w:tblInd w:w="0" w:type="dxa"/>
        <w:tblCellMar>
          <w:top w:w="0" w:type="dxa"/>
          <w:left w:w="0" w:type="dxa"/>
          <w:bottom w:w="0" w:type="dxa"/>
          <w:right w:w="0" w:type="dxa"/>
        </w:tblCellMar>
      </w:tblPr>
      <w:tr>
        <w:trPr>
          <w:trHeight w:val="150"/>
        </w:trPr>
        <w:tc>
          <w:tcPr>
            <w:tcW w:w="8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60" w:type="dxa"/>
            <w:vAlign w:val="bottom"/>
            <w:gridSpan w:val="4"/>
          </w:tcPr>
          <w:p>
            <w:pPr>
              <w:jc w:val="right"/>
              <w:ind w:right="815"/>
              <w:spacing w:after="0" w:line="150" w:lineRule="exact"/>
              <w:rPr>
                <w:sz w:val="20"/>
                <w:szCs w:val="20"/>
                <w:color w:val="auto"/>
              </w:rPr>
            </w:pPr>
            <w:r>
              <w:rPr>
                <w:rFonts w:ascii="Arial" w:cs="Arial" w:eastAsia="Arial" w:hAnsi="Arial"/>
                <w:sz w:val="14"/>
                <w:szCs w:val="14"/>
                <w:b w:val="1"/>
                <w:bCs w:val="1"/>
                <w:color w:val="auto"/>
              </w:rPr>
              <w:t>Three Months Ended</w:t>
            </w:r>
          </w:p>
        </w:tc>
      </w:tr>
      <w:tr>
        <w:trPr>
          <w:trHeight w:val="185"/>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r>
      <w:tr>
        <w:trPr>
          <w:trHeight w:val="19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2026</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655"/>
              <w:spacing w:after="0"/>
              <w:rPr>
                <w:sz w:val="20"/>
                <w:szCs w:val="20"/>
                <w:color w:val="auto"/>
              </w:rPr>
            </w:pPr>
            <w:r>
              <w:rPr>
                <w:rFonts w:ascii="Arial" w:cs="Arial" w:eastAsia="Arial" w:hAnsi="Arial"/>
                <w:sz w:val="18"/>
                <w:szCs w:val="18"/>
                <w:color w:val="auto"/>
                <w:w w:val="99"/>
              </w:rPr>
              <w:t>82</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00" w:type="dxa"/>
            <w:vAlign w:val="bottom"/>
          </w:tcPr>
          <w:p>
            <w:pPr>
              <w:jc w:val="center"/>
              <w:ind w:left="655"/>
              <w:spacing w:after="0"/>
              <w:rPr>
                <w:sz w:val="20"/>
                <w:szCs w:val="20"/>
                <w:color w:val="auto"/>
              </w:rPr>
            </w:pPr>
            <w:r>
              <w:rPr>
                <w:rFonts w:ascii="Arial" w:cs="Arial" w:eastAsia="Arial" w:hAnsi="Arial"/>
                <w:sz w:val="18"/>
                <w:szCs w:val="18"/>
                <w:color w:val="auto"/>
                <w:w w:val="99"/>
              </w:rPr>
              <w:t>(24)</w:t>
            </w:r>
          </w:p>
        </w:tc>
      </w:tr>
      <w:tr>
        <w:trPr>
          <w:trHeight w:val="248"/>
        </w:trPr>
        <w:tc>
          <w:tcPr>
            <w:tcW w:w="802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Interest on segregated cash, cash equivalents, securities, and deposits, net</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center"/>
              <w:ind w:left="655"/>
              <w:spacing w:after="0"/>
              <w:rPr>
                <w:sz w:val="20"/>
                <w:szCs w:val="20"/>
                <w:color w:val="auto"/>
              </w:rPr>
            </w:pPr>
            <w:r>
              <w:rPr>
                <w:rFonts w:ascii="Arial" w:cs="Arial" w:eastAsia="Arial" w:hAnsi="Arial"/>
                <w:sz w:val="18"/>
                <w:szCs w:val="18"/>
                <w:color w:val="auto"/>
                <w:w w:val="99"/>
              </w:rPr>
              <w:t>58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8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Contract receivables are recognized when we have an unconditional right to invoice and receive payment under a contract and are derecognized when cash is received. Transaction-based revenue receivables due from market makers are reported in receivables from brokers, dealers, and clearing organizations while other revenue receivables related to proxy revenues due from issuers are reported in other current assets on the unaudited condensed consolidated balance sheets.</w:t>
      </w:r>
    </w:p>
    <w:p>
      <w:pPr>
        <w:spacing w:after="0" w:line="13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As of March 31, 2026, contract liabilities include $47 million of unearned Robinhood Gold subscription revenue, recognized when users remit cash payments in advance of the time we satisfy our performance obligations. The unearned subscription revenue was recorded as other current liabilities on the unaudited condensed consolidated balance sheets. Contract liabilities also include $15 million of TradePMR performance obligations acquired as part of the TradePMR acquisition, with $8 million recorded in other current liabilities and $7 million in</w:t>
      </w:r>
    </w:p>
    <w:p>
      <w:pPr>
        <w:jc w:val="both"/>
        <w:spacing w:after="0" w:line="226" w:lineRule="auto"/>
        <w:rPr>
          <w:sz w:val="20"/>
          <w:szCs w:val="20"/>
          <w:color w:val="auto"/>
        </w:rPr>
      </w:pPr>
      <w:r>
        <w:rPr>
          <w:rFonts w:ascii="Arial" w:cs="Arial" w:eastAsia="Arial" w:hAnsi="Arial"/>
          <w:sz w:val="18"/>
          <w:szCs w:val="18"/>
          <w:color w:val="auto"/>
        </w:rPr>
        <w:t>other non-current liabilities which was recorded on the unaudited condensed consolidated balance sheets. This liability represents consideration received in advance of satisfying the related performance obligations and is subject to repayment if certain contractual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conditions are not met.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contract receivables and liabilities balances for the period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Contract Receivables</w:t>
            </w:r>
          </w:p>
        </w:tc>
        <w:tc>
          <w:tcPr>
            <w:tcW w:w="140" w:type="dxa"/>
            <w:vAlign w:val="bottom"/>
          </w:tcPr>
          <w:p>
            <w:pPr>
              <w:spacing w:after="0"/>
              <w:rPr>
                <w:sz w:val="17"/>
                <w:szCs w:val="17"/>
                <w:color w:val="auto"/>
              </w:rPr>
            </w:pPr>
          </w:p>
        </w:tc>
        <w:tc>
          <w:tcPr>
            <w:tcW w:w="1440" w:type="dxa"/>
            <w:vAlign w:val="bottom"/>
          </w:tcPr>
          <w:p>
            <w:pPr>
              <w:jc w:val="right"/>
              <w:ind w:right="55"/>
              <w:spacing w:after="0"/>
              <w:rPr>
                <w:sz w:val="20"/>
                <w:szCs w:val="20"/>
                <w:color w:val="auto"/>
              </w:rPr>
            </w:pPr>
            <w:r>
              <w:rPr>
                <w:rFonts w:ascii="Arial" w:cs="Arial" w:eastAsia="Arial" w:hAnsi="Arial"/>
                <w:sz w:val="14"/>
                <w:szCs w:val="14"/>
                <w:b w:val="1"/>
                <w:bCs w:val="1"/>
                <w:color w:val="auto"/>
              </w:rPr>
              <w:t>Contract Liabilities</w:t>
            </w:r>
          </w:p>
        </w:tc>
      </w:tr>
      <w:tr>
        <w:trPr>
          <w:trHeight w:val="224"/>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the period, January 1, 2026</w:t>
            </w:r>
          </w:p>
        </w:tc>
        <w:tc>
          <w:tcPr>
            <w:tcW w:w="660" w:type="dxa"/>
            <w:vAlign w:val="bottom"/>
            <w:tcBorders>
              <w:top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the period, March 31, 2026</w:t>
            </w: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during the period</w:t>
            </w: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difference between the opening and ending balances of our contract receivables was primarily driven by lower cryptocurrency transaction-based revenues due to decreased trading volumes and timing differences between our performance and counterparty payments, partially offset by an increase in unbilled receivables.</w:t>
      </w:r>
    </w:p>
    <w:p>
      <w:pPr>
        <w:spacing w:after="0" w:line="130"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The difference between the opening and ending balances of our contract liabilities was primarily driven by an increase in Robinhood Gold Card users, and Robinhood Gold Subscribers, partially offset by the recognition of a portion of TradePMR’s performance obligation, as well as timing differences between our performance and customer billing.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NOTE 6: ALLOWANCE FOR CREDIT LOSSES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Allowance for Credit Losses - Brokerage Related</w:t>
      </w:r>
    </w:p>
    <w:p>
      <w:pPr>
        <w:spacing w:after="0" w:line="18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summarizes the brokerage related allowance for credit losses, which is primarily related to fraudulent activities, included in receivables from users, net on the unaudited condensed consolidated balance sheet: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6"/>
                <w:szCs w:val="16"/>
                <w:color w:val="auto"/>
              </w:rPr>
            </w:pPr>
          </w:p>
        </w:tc>
      </w:tr>
      <w:tr>
        <w:trPr>
          <w:trHeight w:val="19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2026</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Recoveries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Allowance for Credit Losses - Credit Card Related</w:t>
      </w:r>
    </w:p>
    <w:p>
      <w:pPr>
        <w:spacing w:after="0" w:line="160"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We have two types of allowance for credit losses related to credit cards: i) an allowance related to off-balance sheet credit card receivables, shown as part of accounts payable and accrued expenses on the unaudited condensed consolidated balance sheet, and ii) an allowance related to purchased credit card receivables and interest receivable from customers, included in receivables from users, net on the unaudited condensed consolidated balance sheet.</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allowance related to off-balance sheet credit card receivables: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r>
      <w:tr>
        <w:trPr>
          <w:trHeight w:val="189"/>
        </w:trPr>
        <w:tc>
          <w:tcPr>
            <w:tcW w:w="7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9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2026</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to Coastal Bank</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4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allowance related to purchased credit card receivables and interest receivables from customers: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r>
      <w:tr>
        <w:trPr>
          <w:trHeight w:val="185"/>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195"/>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w w:val="96"/>
              </w:rPr>
              <w:t>2026</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following tables present the aging analysis of our credit card receivables for the periods presented and the delinquency aging includes all past due principal on loans. Accrued interest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of $9 million and $10 million as of December 31, 2025, and as of March 31, 2026, were not included in the tables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i w:val="1"/>
                <w:iCs w:val="1"/>
                <w:color w:val="auto"/>
              </w:rPr>
              <w:t>(in millions, except for percentages)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December 31, 2025</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80" w:type="dxa"/>
            <w:vAlign w:val="bottom"/>
            <w:gridSpan w:val="4"/>
            <w:shd w:val="clear" w:color="auto" w:fill="CCEEFF"/>
          </w:tcPr>
          <w:p>
            <w:pPr>
              <w:jc w:val="center"/>
              <w:ind w:right="40"/>
              <w:spacing w:after="0"/>
              <w:rPr>
                <w:sz w:val="20"/>
                <w:szCs w:val="20"/>
                <w:color w:val="auto"/>
              </w:rPr>
            </w:pPr>
            <w:r>
              <w:rPr>
                <w:rFonts w:ascii="Arial" w:cs="Arial" w:eastAsia="Arial" w:hAnsi="Arial"/>
                <w:sz w:val="14"/>
                <w:szCs w:val="14"/>
                <w:b w:val="1"/>
                <w:bCs w:val="1"/>
                <w:color w:val="auto"/>
              </w:rPr>
              <w:t>Aging of receivables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Current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&lt;90 Days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 90 days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Total past due</w:t>
            </w:r>
          </w:p>
        </w:tc>
        <w:tc>
          <w:tcPr>
            <w:tcW w:w="180" w:type="dxa"/>
            <w:vAlign w:val="bottom"/>
          </w:tcPr>
          <w:p>
            <w:pPr>
              <w:spacing w:after="0"/>
              <w:rPr>
                <w:sz w:val="12"/>
                <w:szCs w:val="12"/>
                <w:color w:val="auto"/>
              </w:rPr>
            </w:pPr>
          </w:p>
        </w:tc>
        <w:tc>
          <w:tcPr>
            <w:tcW w:w="14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 Receivables</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receivables</w:t>
            </w: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On-balance sheet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814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18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Off-balance sheet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177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8"/>
        </w:trPr>
        <w:tc>
          <w:tcPr>
            <w:tcW w:w="28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credit card loans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991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 of Total loans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960"/>
              <w:spacing w:after="0"/>
              <w:rPr>
                <w:sz w:val="20"/>
                <w:szCs w:val="20"/>
                <w:color w:val="auto"/>
              </w:rPr>
            </w:pPr>
            <w:r>
              <w:rPr>
                <w:rFonts w:ascii="Arial" w:cs="Arial" w:eastAsia="Arial" w:hAnsi="Arial"/>
                <w:sz w:val="18"/>
                <w:szCs w:val="18"/>
                <w:color w:val="auto"/>
                <w:w w:val="96"/>
              </w:rPr>
              <w:t>3 %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ind w:left="1080"/>
              <w:spacing w:after="0"/>
              <w:rPr>
                <w:sz w:val="20"/>
                <w:szCs w:val="20"/>
                <w:color w:val="auto"/>
              </w:rPr>
            </w:pPr>
            <w:r>
              <w:rPr>
                <w:rFonts w:ascii="Arial" w:cs="Arial" w:eastAsia="Arial" w:hAnsi="Arial"/>
                <w:sz w:val="18"/>
                <w:szCs w:val="18"/>
                <w:color w:val="auto"/>
              </w:rPr>
              <w:t>5 %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489"/>
        </w:trPr>
        <w:tc>
          <w:tcPr>
            <w:tcW w:w="28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millions, except for percentages)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March 31, 2026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7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gridSpan w:val="3"/>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rPr>
              <w:t>Aging of receivables</w:t>
            </w: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Current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&lt;90 Days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 90 days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Total past due</w:t>
            </w:r>
          </w:p>
        </w:tc>
        <w:tc>
          <w:tcPr>
            <w:tcW w:w="180" w:type="dxa"/>
            <w:vAlign w:val="bottom"/>
          </w:tcPr>
          <w:p>
            <w:pPr>
              <w:spacing w:after="0"/>
              <w:rPr>
                <w:sz w:val="12"/>
                <w:szCs w:val="12"/>
                <w:color w:val="auto"/>
              </w:rPr>
            </w:pPr>
          </w:p>
        </w:tc>
        <w:tc>
          <w:tcPr>
            <w:tcW w:w="14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 Receivables</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receivables</w:t>
            </w: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On-balance sheet</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877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27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39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Off-balance sheet</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2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credit card loans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1,070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 of Total loans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ind w:left="840"/>
              <w:spacing w:after="0"/>
              <w:rPr>
                <w:sz w:val="20"/>
                <w:szCs w:val="20"/>
                <w:color w:val="auto"/>
              </w:rPr>
            </w:pPr>
            <w:r>
              <w:rPr>
                <w:rFonts w:ascii="Arial" w:cs="Arial" w:eastAsia="Arial" w:hAnsi="Arial"/>
                <w:sz w:val="18"/>
                <w:szCs w:val="18"/>
                <w:color w:val="auto"/>
                <w:w w:val="97"/>
              </w:rPr>
              <w:t>95 %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960"/>
              <w:spacing w:after="0"/>
              <w:rPr>
                <w:sz w:val="20"/>
                <w:szCs w:val="20"/>
                <w:color w:val="auto"/>
              </w:rPr>
            </w:pPr>
            <w:r>
              <w:rPr>
                <w:rFonts w:ascii="Arial" w:cs="Arial" w:eastAsia="Arial" w:hAnsi="Arial"/>
                <w:sz w:val="18"/>
                <w:szCs w:val="18"/>
                <w:color w:val="auto"/>
                <w:w w:val="96"/>
              </w:rPr>
              <w:t>3 %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ind w:left="1080"/>
              <w:spacing w:after="0"/>
              <w:rPr>
                <w:sz w:val="20"/>
                <w:szCs w:val="20"/>
                <w:color w:val="auto"/>
              </w:rPr>
            </w:pPr>
            <w:r>
              <w:rPr>
                <w:rFonts w:ascii="Arial" w:cs="Arial" w:eastAsia="Arial" w:hAnsi="Arial"/>
                <w:sz w:val="18"/>
                <w:szCs w:val="18"/>
                <w:color w:val="auto"/>
              </w:rPr>
              <w:t>5 %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risk in our credit card receivables portfolio correlates to broad economic trends as well as customers’ financial condition. The key indicator we monitor when assessing the credit quality and risk is customers’ credit scores as they measure the creditworthiness of</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customers. We use a national third-party provider to update FICO credit scores on a monthly basis. The updated scores are incorporated into a series of credit management reports, which are utilized to monitor risk. The table below presents our credit card receivables by our credit quality indicator, FICO score, including both on-balance sheet and off-balance sheet amounts, as of December 31, 2025 and March 31, 2026. Our receivables by FICO scores: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millions, except FICO scores)</w:t>
            </w:r>
          </w:p>
        </w:tc>
        <w:tc>
          <w:tcPr>
            <w:tcW w:w="200" w:type="dxa"/>
            <w:vAlign w:val="bottom"/>
          </w:tcPr>
          <w:p>
            <w:pPr>
              <w:spacing w:after="0"/>
              <w:rPr>
                <w:sz w:val="17"/>
                <w:szCs w:val="17"/>
                <w:color w:val="auto"/>
              </w:rPr>
            </w:pPr>
          </w:p>
        </w:tc>
        <w:tc>
          <w:tcPr>
            <w:tcW w:w="13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780" w:type="dxa"/>
            <w:vAlign w:val="bottom"/>
            <w:gridSpan w:val="2"/>
          </w:tcPr>
          <w:p>
            <w:pPr>
              <w:ind w:left="300"/>
              <w:spacing w:after="0"/>
              <w:rPr>
                <w:sz w:val="20"/>
                <w:szCs w:val="20"/>
                <w:color w:val="auto"/>
              </w:rPr>
            </w:pPr>
            <w:r>
              <w:rPr>
                <w:rFonts w:ascii="Arial" w:cs="Arial" w:eastAsia="Arial" w:hAnsi="Arial"/>
                <w:sz w:val="14"/>
                <w:szCs w:val="14"/>
                <w:b w:val="1"/>
                <w:bCs w:val="1"/>
                <w:color w:val="auto"/>
              </w:rPr>
              <w:t>% of Total loans</w:t>
            </w:r>
          </w:p>
        </w:tc>
        <w:tc>
          <w:tcPr>
            <w:tcW w:w="280" w:type="dxa"/>
            <w:vAlign w:val="bottom"/>
          </w:tcPr>
          <w:p>
            <w:pPr>
              <w:spacing w:after="0"/>
              <w:rPr>
                <w:sz w:val="17"/>
                <w:szCs w:val="17"/>
                <w:color w:val="auto"/>
              </w:rPr>
            </w:pPr>
          </w:p>
        </w:tc>
        <w:tc>
          <w:tcPr>
            <w:tcW w:w="1260" w:type="dxa"/>
            <w:vAlign w:val="bottom"/>
          </w:tcPr>
          <w:p>
            <w:pPr>
              <w:jc w:val="right"/>
              <w:ind w:right="536"/>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1680" w:type="dxa"/>
            <w:vAlign w:val="bottom"/>
          </w:tcPr>
          <w:p>
            <w:pPr>
              <w:jc w:val="right"/>
              <w:ind w:right="219"/>
              <w:spacing w:after="0"/>
              <w:rPr>
                <w:sz w:val="20"/>
                <w:szCs w:val="20"/>
                <w:color w:val="auto"/>
              </w:rPr>
            </w:pPr>
            <w:r>
              <w:rPr>
                <w:rFonts w:ascii="Arial" w:cs="Arial" w:eastAsia="Arial" w:hAnsi="Arial"/>
                <w:sz w:val="14"/>
                <w:szCs w:val="14"/>
                <w:b w:val="1"/>
                <w:bCs w:val="1"/>
                <w:color w:val="auto"/>
              </w:rPr>
              <w:t>% of Total loans</w:t>
            </w:r>
          </w:p>
        </w:tc>
      </w:tr>
      <w:tr>
        <w:trPr>
          <w:trHeight w:val="224"/>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Below 640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640-690</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than 690</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23"/>
        </w:trPr>
        <w:tc>
          <w:tcPr>
            <w:tcW w:w="4540" w:type="dxa"/>
            <w:vAlign w:val="bottom"/>
          </w:tcPr>
          <w:p>
            <w:pPr>
              <w:ind w:left="260"/>
              <w:spacing w:after="0"/>
              <w:rPr>
                <w:sz w:val="20"/>
                <w:szCs w:val="20"/>
                <w:color w:val="auto"/>
              </w:rPr>
            </w:pPr>
            <w:r>
              <w:rPr>
                <w:rFonts w:ascii="Arial" w:cs="Arial" w:eastAsia="Arial" w:hAnsi="Arial"/>
                <w:sz w:val="18"/>
                <w:szCs w:val="18"/>
                <w:color w:val="auto"/>
              </w:rPr>
              <w:t>Total credit card loans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NOTE 7: INVESTMENTS AND FAIR VALUE MEASUREMENT</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Fair Value of Financial Instruments</w:t>
      </w:r>
    </w:p>
    <w:p>
      <w:pPr>
        <w:spacing w:after="0" w:line="18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Financial assets and liabilities measured at fair value on a recurring basis were presented on our unaudited condensed consolidated balance sheets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December 31, 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7"/>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31"/>
              <w:spacing w:after="0"/>
              <w:rPr>
                <w:sz w:val="20"/>
                <w:szCs w:val="20"/>
                <w:color w:val="auto"/>
              </w:rPr>
            </w:pPr>
            <w:r>
              <w:rPr>
                <w:rFonts w:ascii="Arial" w:cs="Arial" w:eastAsia="Arial" w:hAnsi="Arial"/>
                <w:sz w:val="14"/>
                <w:szCs w:val="14"/>
                <w:b w:val="1"/>
                <w:bCs w:val="1"/>
                <w:color w:val="auto"/>
              </w:rPr>
              <w:t>Total</w:t>
            </w:r>
          </w:p>
        </w:tc>
      </w:tr>
      <w:tr>
        <w:trPr>
          <w:trHeight w:val="21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176"/>
        </w:trPr>
        <w:tc>
          <w:tcPr>
            <w:tcW w:w="4700" w:type="dxa"/>
            <w:vAlign w:val="bottom"/>
          </w:tcPr>
          <w:p>
            <w:pPr>
              <w:ind w:left="20"/>
              <w:spacing w:after="0" w:line="176" w:lineRule="exact"/>
              <w:rPr>
                <w:sz w:val="20"/>
                <w:szCs w:val="20"/>
                <w:color w:val="auto"/>
              </w:rPr>
            </w:pPr>
            <w:r>
              <w:rPr>
                <w:rFonts w:ascii="Arial" w:cs="Arial" w:eastAsia="Arial" w:hAnsi="Arial"/>
                <w:sz w:val="18"/>
                <w:szCs w:val="18"/>
                <w:color w:val="auto"/>
              </w:rPr>
              <w:t>Cash, cash equivalents, and securities segregated under</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1"/>
        </w:trPr>
        <w:tc>
          <w:tcPr>
            <w:tcW w:w="4700" w:type="dxa"/>
            <w:vAlign w:val="bottom"/>
          </w:tcPr>
          <w:p>
            <w:pPr>
              <w:ind w:left="260"/>
              <w:spacing w:after="0"/>
              <w:rPr>
                <w:sz w:val="20"/>
                <w:szCs w:val="20"/>
                <w:color w:val="auto"/>
              </w:rPr>
            </w:pPr>
            <w:r>
              <w:rPr>
                <w:rFonts w:ascii="Arial" w:cs="Arial" w:eastAsia="Arial" w:hAnsi="Arial"/>
                <w:sz w:val="18"/>
                <w:szCs w:val="18"/>
                <w:color w:val="auto"/>
              </w:rPr>
              <w:t>federal and other regulations: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2"/>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Foreign Treasury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 with clearing organizations: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700" w:type="dxa"/>
            <w:vAlign w:val="bottom"/>
          </w:tcPr>
          <w:p>
            <w:pPr>
              <w:ind w:left="240"/>
              <w:spacing w:after="0" w:line="23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70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U.S. Treasury securities </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Stablecoin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Equity securities - securities owned</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70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Non-marketable securities </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 - escrow account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User-held fractional shares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3,782</w:t>
            </w:r>
          </w:p>
        </w:tc>
      </w:tr>
      <w:tr>
        <w:trPr>
          <w:trHeight w:val="248"/>
        </w:trPr>
        <w:tc>
          <w:tcPr>
            <w:tcW w:w="4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Fractional shares repurchase obligations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3,782</w:t>
            </w:r>
          </w:p>
        </w:tc>
      </w:tr>
      <w:tr>
        <w:trPr>
          <w:trHeight w:val="248"/>
        </w:trPr>
        <w:tc>
          <w:tcPr>
            <w:tcW w:w="4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2026</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7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184"/>
        </w:trPr>
        <w:tc>
          <w:tcPr>
            <w:tcW w:w="4700" w:type="dxa"/>
            <w:vAlign w:val="bottom"/>
          </w:tcPr>
          <w:p>
            <w:pPr>
              <w:ind w:left="20"/>
              <w:spacing w:after="0" w:line="183" w:lineRule="exact"/>
              <w:rPr>
                <w:sz w:val="20"/>
                <w:szCs w:val="20"/>
                <w:color w:val="auto"/>
              </w:rPr>
            </w:pPr>
            <w:r>
              <w:rPr>
                <w:rFonts w:ascii="Arial" w:cs="Arial" w:eastAsia="Arial" w:hAnsi="Arial"/>
                <w:sz w:val="18"/>
                <w:szCs w:val="18"/>
                <w:color w:val="auto"/>
              </w:rPr>
              <w:t>Cash, cash equivalents, and securities segregated under</w:t>
            </w: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700" w:type="dxa"/>
            <w:vAlign w:val="bottom"/>
          </w:tcPr>
          <w:p>
            <w:pPr>
              <w:ind w:left="20"/>
              <w:spacing w:after="0"/>
              <w:rPr>
                <w:sz w:val="20"/>
                <w:szCs w:val="20"/>
                <w:color w:val="auto"/>
              </w:rPr>
            </w:pPr>
            <w:r>
              <w:rPr>
                <w:rFonts w:ascii="Arial" w:cs="Arial" w:eastAsia="Arial" w:hAnsi="Arial"/>
                <w:sz w:val="18"/>
                <w:szCs w:val="18"/>
                <w:color w:val="auto"/>
              </w:rPr>
              <w:t>federal and other regulations:</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4,414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Foreign Treasury securities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 with clearing organizations: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line="23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(1)</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Stablecoin</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securities owned</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Non-marketable securities </w:t>
            </w:r>
            <w:r>
              <w:rPr>
                <w:rFonts w:ascii="Arial" w:cs="Arial" w:eastAsia="Arial" w:hAnsi="Arial"/>
                <w:sz w:val="23"/>
                <w:szCs w:val="23"/>
                <w:color w:val="auto"/>
                <w:vertAlign w:val="superscript"/>
              </w:rPr>
              <w:t>(3)</w:t>
            </w: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Money market funds - escrow account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User-held fractional shares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3,819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23"/>
        </w:trPr>
        <w:tc>
          <w:tcPr>
            <w:tcW w:w="4700" w:type="dxa"/>
            <w:vAlign w:val="bottom"/>
          </w:tcPr>
          <w:p>
            <w:pPr>
              <w:ind w:left="460"/>
              <w:spacing w:after="0"/>
              <w:rPr>
                <w:sz w:val="20"/>
                <w:szCs w:val="20"/>
                <w:color w:val="auto"/>
              </w:rPr>
            </w:pPr>
            <w:r>
              <w:rPr>
                <w:rFonts w:ascii="Arial" w:cs="Arial" w:eastAsia="Arial" w:hAnsi="Arial"/>
                <w:sz w:val="18"/>
                <w:szCs w:val="18"/>
                <w:color w:val="auto"/>
              </w:rPr>
              <w:t>Total financial assets</w:t>
            </w:r>
          </w:p>
        </w:tc>
        <w:tc>
          <w:tcPr>
            <w:tcW w:w="1020" w:type="dxa"/>
            <w:vAlign w:val="bottom"/>
            <w:tcBorders>
              <w:top w:val="single" w:sz="8" w:color="auto"/>
              <w:bottom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8,841</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Fractional shares repurchase obligations</w:t>
            </w: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3,819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23"/>
        </w:trPr>
        <w:tc>
          <w:tcPr>
            <w:tcW w:w="4700" w:type="dxa"/>
            <w:vAlign w:val="bottom"/>
          </w:tcPr>
          <w:p>
            <w:pPr>
              <w:ind w:left="460"/>
              <w:spacing w:after="0"/>
              <w:rPr>
                <w:sz w:val="20"/>
                <w:szCs w:val="20"/>
                <w:color w:val="auto"/>
              </w:rPr>
            </w:pPr>
            <w:r>
              <w:rPr>
                <w:rFonts w:ascii="Arial" w:cs="Arial" w:eastAsia="Arial" w:hAnsi="Arial"/>
                <w:sz w:val="18"/>
                <w:szCs w:val="18"/>
                <w:color w:val="auto"/>
              </w:rPr>
              <w:t>Total financial liabilities</w:t>
            </w:r>
          </w:p>
        </w:tc>
        <w:tc>
          <w:tcPr>
            <w:tcW w:w="1020" w:type="dxa"/>
            <w:vAlign w:val="bottom"/>
            <w:tcBorders>
              <w:top w:val="single" w:sz="8" w:color="auto"/>
              <w:bottom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3,819</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32" w:lineRule="exact"/>
        <w:rPr>
          <w:sz w:val="20"/>
          <w:szCs w:val="20"/>
          <w:color w:val="auto"/>
        </w:rPr>
      </w:pPr>
    </w:p>
    <w:p>
      <w:pPr>
        <w:ind w:firstLine="8"/>
        <w:spacing w:after="0"/>
        <w:tabs>
          <w:tab w:leader="none" w:pos="175" w:val="left"/>
        </w:tabs>
        <w:numPr>
          <w:ilvl w:val="0"/>
          <w:numId w:val="9"/>
        </w:numPr>
        <w:rPr>
          <w:rFonts w:ascii="Arial" w:cs="Arial" w:eastAsia="Arial" w:hAnsi="Arial"/>
          <w:sz w:val="20"/>
          <w:szCs w:val="20"/>
          <w:color w:val="auto"/>
          <w:vertAlign w:val="superscript"/>
        </w:rPr>
      </w:pPr>
      <w:r>
        <w:rPr>
          <w:rFonts w:ascii="Arial" w:cs="Arial" w:eastAsia="Arial" w:hAnsi="Arial"/>
          <w:sz w:val="13"/>
          <w:szCs w:val="13"/>
          <w:color w:val="auto"/>
        </w:rPr>
        <w:t>As of December 31, 2025 and March 31, 2026, $1 million of our U.S. Treasury securities are deposited with an exchange to enable the execution, clearing, and settlement of event contracts.</w:t>
      </w:r>
    </w:p>
    <w:p>
      <w:pPr>
        <w:spacing w:after="0" w:line="135" w:lineRule="exact"/>
        <w:rPr>
          <w:rFonts w:ascii="Arial" w:cs="Arial" w:eastAsia="Arial" w:hAnsi="Arial"/>
          <w:sz w:val="20"/>
          <w:szCs w:val="20"/>
          <w:color w:val="auto"/>
          <w:vertAlign w:val="superscript"/>
        </w:rPr>
      </w:pPr>
    </w:p>
    <w:p>
      <w:pPr>
        <w:ind w:left="180" w:hanging="172"/>
        <w:spacing w:after="0" w:line="183" w:lineRule="auto"/>
        <w:tabs>
          <w:tab w:leader="none" w:pos="180" w:val="left"/>
        </w:tabs>
        <w:numPr>
          <w:ilvl w:val="0"/>
          <w:numId w:val="9"/>
        </w:numPr>
        <w:rPr>
          <w:rFonts w:ascii="Arial" w:cs="Arial" w:eastAsia="Arial" w:hAnsi="Arial"/>
          <w:sz w:val="20"/>
          <w:szCs w:val="20"/>
          <w:color w:val="auto"/>
          <w:vertAlign w:val="superscript"/>
        </w:rPr>
      </w:pPr>
      <w:r>
        <w:rPr>
          <w:rFonts w:ascii="Arial" w:cs="Arial" w:eastAsia="Arial" w:hAnsi="Arial"/>
          <w:sz w:val="13"/>
          <w:szCs w:val="13"/>
          <w:color w:val="auto"/>
        </w:rPr>
        <w:t>Classified as trading securities in which the amortized cost approximates fair value as of December 31, 2025.</w:t>
      </w:r>
    </w:p>
    <w:p>
      <w:pPr>
        <w:spacing w:after="0" w:line="13" w:lineRule="exact"/>
        <w:rPr>
          <w:rFonts w:ascii="Arial" w:cs="Arial" w:eastAsia="Arial" w:hAnsi="Arial"/>
          <w:sz w:val="20"/>
          <w:szCs w:val="20"/>
          <w:color w:val="auto"/>
          <w:vertAlign w:val="superscript"/>
        </w:rPr>
      </w:pPr>
    </w:p>
    <w:p>
      <w:pPr>
        <w:ind w:left="180" w:hanging="172"/>
        <w:spacing w:after="0" w:line="183" w:lineRule="auto"/>
        <w:tabs>
          <w:tab w:leader="none" w:pos="180" w:val="left"/>
        </w:tabs>
        <w:numPr>
          <w:ilvl w:val="0"/>
          <w:numId w:val="9"/>
        </w:numPr>
        <w:rPr>
          <w:rFonts w:ascii="Arial" w:cs="Arial" w:eastAsia="Arial" w:hAnsi="Arial"/>
          <w:sz w:val="20"/>
          <w:szCs w:val="20"/>
          <w:color w:val="auto"/>
          <w:vertAlign w:val="superscript"/>
        </w:rPr>
      </w:pPr>
      <w:r>
        <w:rPr>
          <w:rFonts w:ascii="Arial" w:cs="Arial" w:eastAsia="Arial" w:hAnsi="Arial"/>
          <w:sz w:val="13"/>
          <w:szCs w:val="13"/>
          <w:color w:val="auto"/>
        </w:rPr>
        <w:t>Represents non-marketable equity securities for which RHV is the advisor.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non-marketable equity securities</w:t>
      </w:r>
    </w:p>
    <w:p>
      <w:pPr>
        <w:spacing w:after="0" w:line="183"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sets forth a summary of the changes in the estimated fair value of investments in non-marketable equity securities classified as a Level 3 in the fair value hierarchy for which RHV is the advisor: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376"/>
              <w:spacing w:after="0"/>
              <w:rPr>
                <w:sz w:val="20"/>
                <w:szCs w:val="20"/>
                <w:color w:val="auto"/>
              </w:rPr>
            </w:pPr>
            <w:r>
              <w:rPr>
                <w:rFonts w:ascii="Arial" w:cs="Arial" w:eastAsia="Arial" w:hAnsi="Arial"/>
                <w:sz w:val="14"/>
                <w:szCs w:val="14"/>
                <w:b w:val="1"/>
                <w:bCs w:val="1"/>
                <w:color w:val="auto"/>
              </w:rPr>
              <w:t>March 31,</w:t>
            </w:r>
          </w:p>
        </w:tc>
      </w:tr>
      <w:tr>
        <w:trPr>
          <w:trHeight w:val="203"/>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2026</w:t>
            </w:r>
          </w:p>
        </w:tc>
      </w:tr>
      <w:tr>
        <w:trPr>
          <w:trHeight w:val="224"/>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 January 1, 2026</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Purchases during the period</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gains (losses)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End of period, March 31, 2026</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r>
      <w:tr>
        <w:trPr>
          <w:trHeight w:val="20"/>
        </w:trPr>
        <w:tc>
          <w:tcPr>
            <w:tcW w:w="9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2026, we did not have any transfers in or out of Level 3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Investments for which RHV is the advisor measured using Level 3 inputs primarily consist of investments in privately-held investments. Recent financing transactions in the investee are generally considered the best indication of the enterprise value and therefore used as a basis to estimate fair value. When a recent financing transaction occurs and represents fair value, the Company also uses the calibration process, as appropriate, when estimating fair value on subsequent measurement dates. Calibration is the process of using observed transactions in the investee company’s own instruments to ensure that the valuation techniques that will be employed to value the investee company investment on subsequent measurement dates begin with assumptions that are consistent with the original observed transaction and any more recent observed transactions in the instruments issued by the investee company as well as any updates regarding the investee company’s performance. As of March 31, 2026, the Company determined the fair value of investments for which RHV is the advisor based on recent financing transactions of each of the investees.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5"/>
          <w:szCs w:val="25"/>
          <w:color w:val="auto"/>
        </w:rPr>
        <w:t>NOTE 8: 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gridSpan w:val="3"/>
          </w:tcPr>
          <w:p>
            <w:pPr>
              <w:jc w:val="center"/>
              <w:ind w:left="539"/>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r>
      <w:tr>
        <w:trPr>
          <w:trHeight w:val="189"/>
        </w:trPr>
        <w:tc>
          <w:tcPr>
            <w:tcW w:w="7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95"/>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w w:val="96"/>
              </w:rPr>
              <w:t>2026</w:t>
            </w: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411</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19"/>
                <w:szCs w:val="19"/>
                <w:color w:val="auto"/>
              </w:rPr>
            </w:pPr>
          </w:p>
        </w:tc>
        <w:tc>
          <w:tcPr>
            <w:tcW w:w="1300" w:type="dxa"/>
            <w:vAlign w:val="bottom"/>
          </w:tcPr>
          <w:p>
            <w:pPr>
              <w:jc w:val="right"/>
              <w:ind w:right="159"/>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65</w:t>
            </w:r>
          </w:p>
        </w:tc>
      </w:tr>
      <w:tr>
        <w:trPr>
          <w:trHeight w:val="229"/>
        </w:trPr>
        <w:tc>
          <w:tcPr>
            <w:tcW w:w="7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Effective tax rate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15.8 %</w:t>
            </w:r>
          </w:p>
        </w:tc>
      </w:tr>
    </w:tbl>
    <w:p>
      <w:pPr>
        <w:spacing w:after="0" w:line="25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tax provision for interim periods is determined using an estimated annual ETR, adjusted for discrete items arising in the period. In each quarter, we update our estimated annual ETR and make a year-to-date calculation of the provision.</w:t>
      </w:r>
    </w:p>
    <w:p>
      <w:pPr>
        <w:spacing w:after="0" w:line="11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For the three months ended March 31, 2025 and March 31, 2026, the ETR was lower than the U.S. federal statutory rate primarily due to excess tax benefits from SBC.</w:t>
      </w:r>
    </w:p>
    <w:p>
      <w:pPr>
        <w:spacing w:after="0" w:line="11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realization of tax benefits of net deferred assets is dependent upon future levels of taxable income, of an appropriate character, in the periods the items are expected to be deductible or taxable. Based on the available objective evidence for the three months ended March 31, 2026, we believe it is more likely than not that the tax benefits of our California, certain other U.S. states and certain foreign net deferred tax assets may not be realized until sufficient positive evidence exists to support reversal of the valuation allowance.</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color w:val="auto"/>
        </w:rPr>
        <w:t>NOTE 9: SECURITIES BORROWING AND LENDING</w:t>
      </w:r>
    </w:p>
    <w:p>
      <w:pPr>
        <w:spacing w:after="0" w:line="18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securities lending transactions are subject to enforceable master netting arrangements with other broker-dealers; however, we do not net securities borrowing and lending transactions. Therefore, activity related to securities borrowing and lending activities is presented gross on our unaudited condensed consolidated balance sheets.</w:t>
      </w:r>
    </w:p>
    <w:p>
      <w:pPr>
        <w:spacing w:after="0" w:line="144"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When we borrow securities from users participating in the Fully-Paid Securities Lending program or from third parties, we provide cash collateral to our users or third parties, which is recorded on our consolidated balance sheets as “securities borrowed”, an asset, representing our rights to the return of that collateral. When we lend securities to third parties and users, we receive cash as collateral, which is recorded on our consolidated balance sheets as “securities loaned”, a liability, representing our obligation to return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certain balances related to our securities borrowing and lending activities as of December 31, 2025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right="680"/>
        <w:spacing w:after="0" w:line="273" w:lineRule="auto"/>
        <w:rPr>
          <w:sz w:val="20"/>
          <w:szCs w:val="20"/>
          <w:color w:val="auto"/>
        </w:rPr>
      </w:pPr>
      <w:r>
        <w:rPr>
          <w:rFonts w:ascii="Arial" w:cs="Arial" w:eastAsia="Arial" w:hAnsi="Arial"/>
          <w:sz w:val="18"/>
          <w:szCs w:val="18"/>
          <w:color w:val="auto"/>
        </w:rPr>
        <w:t>Gross amount of cash collateral provided to users for securities borrowing transactions Gross amount offset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Amounts of assets presented on the consolidated balance sheets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Gross amount not offset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60" w:right="440"/>
        <w:spacing w:after="0" w:line="284" w:lineRule="auto"/>
        <w:rPr>
          <w:sz w:val="20"/>
          <w:szCs w:val="20"/>
          <w:color w:val="auto"/>
        </w:rPr>
      </w:pPr>
      <w:r>
        <w:rPr>
          <w:rFonts w:ascii="Arial" w:cs="Arial" w:eastAsia="Arial" w:hAnsi="Arial"/>
          <w:sz w:val="18"/>
          <w:szCs w:val="18"/>
          <w:color w:val="auto"/>
        </w:rPr>
        <w:t>Cash collateral provided to users and third parties for securities borrowing transactions Fair value of securities borrowed from users and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Net amount</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spacing w:after="0" w:line="273" w:lineRule="auto"/>
        <w:rPr>
          <w:sz w:val="20"/>
          <w:szCs w:val="20"/>
          <w:color w:val="auto"/>
        </w:rPr>
      </w:pPr>
      <w:r>
        <w:rPr>
          <w:rFonts w:ascii="Arial" w:cs="Arial" w:eastAsia="Arial" w:hAnsi="Arial"/>
          <w:sz w:val="18"/>
          <w:szCs w:val="18"/>
          <w:color w:val="auto"/>
        </w:rPr>
        <w:t>Gross amount of cash collateral received from counterparties for securities lending transactions Gross amount offset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Amounts of liabilities presented on the consolidated balance sheets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Gross amount not offset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60" w:right="1100"/>
        <w:spacing w:after="0" w:line="284" w:lineRule="auto"/>
        <w:rPr>
          <w:sz w:val="20"/>
          <w:szCs w:val="20"/>
          <w:color w:val="auto"/>
        </w:rPr>
      </w:pPr>
      <w:r>
        <w:rPr>
          <w:rFonts w:ascii="Arial" w:cs="Arial" w:eastAsia="Arial" w:hAnsi="Arial"/>
          <w:sz w:val="18"/>
          <w:szCs w:val="18"/>
          <w:color w:val="auto"/>
        </w:rPr>
        <w:t>Cash collateral received from counterparties for securities lending transactions Fair value of securities pledged to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Net amount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2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Arial" w:cs="Arial" w:eastAsia="Arial" w:hAnsi="Arial"/>
                <w:sz w:val="14"/>
                <w:szCs w:val="14"/>
                <w:b w:val="1"/>
                <w:bCs w:val="1"/>
                <w:color w:val="auto"/>
              </w:rPr>
              <w:t>March 31,</w:t>
            </w:r>
          </w:p>
        </w:tc>
      </w:tr>
      <w:tr>
        <w:trPr>
          <w:trHeight w:val="204"/>
        </w:trPr>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2026</w:t>
            </w:r>
          </w:p>
        </w:tc>
      </w:tr>
      <w:tr>
        <w:trPr>
          <w:trHeight w:val="196"/>
        </w:trPr>
        <w:tc>
          <w:tcPr>
            <w:tcW w:w="2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Securities borrowed</w:t>
            </w:r>
          </w:p>
        </w:tc>
      </w:tr>
      <w:tr>
        <w:trPr>
          <w:trHeight w:val="219"/>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3,355</w:t>
            </w:r>
          </w:p>
        </w:tc>
      </w:tr>
      <w:tr>
        <w:trPr>
          <w:trHeight w:val="235"/>
        </w:trPr>
        <w:tc>
          <w:tcPr>
            <w:tcW w:w="22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3,355</w:t>
            </w:r>
          </w:p>
        </w:tc>
      </w:tr>
      <w:tr>
        <w:trPr>
          <w:trHeight w:val="444"/>
        </w:trPr>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3,355</w:t>
            </w:r>
          </w:p>
        </w:tc>
      </w:tr>
      <w:tr>
        <w:trPr>
          <w:trHeight w:val="235"/>
        </w:trPr>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r>
      <w:tr>
        <w:trPr>
          <w:trHeight w:val="438"/>
        </w:trPr>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Securities loaned</w:t>
            </w:r>
          </w:p>
        </w:tc>
      </w:tr>
      <w:tr>
        <w:trPr>
          <w:trHeight w:val="219"/>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11,626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13,387</w:t>
            </w:r>
          </w:p>
        </w:tc>
      </w:tr>
      <w:tr>
        <w:trPr>
          <w:trHeight w:val="235"/>
        </w:trPr>
        <w:tc>
          <w:tcPr>
            <w:tcW w:w="22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13,387</w:t>
            </w:r>
          </w:p>
        </w:tc>
      </w:tr>
      <w:tr>
        <w:trPr>
          <w:trHeight w:val="444"/>
        </w:trPr>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13,387</w:t>
            </w:r>
          </w:p>
        </w:tc>
      </w:tr>
      <w:tr>
        <w:trPr>
          <w:trHeight w:val="235"/>
        </w:trPr>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(13,342)</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00" w:space="380"/>
            <w:col w:w="3260"/>
          </w:cols>
          <w:pgMar w:left="320" w:top="121" w:right="339" w:bottom="1440" w:gutter="0" w:footer="0" w:header="0"/>
          <w:type w:val="continuous"/>
        </w:sectPr>
      </w:pPr>
    </w:p>
    <w:p>
      <w:pPr>
        <w:spacing w:after="0" w:line="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obtain securities on terms that permit us to pledge and/or transfer securities to others. As of December 31, 2025 and March 31, 2026, we were permitted to re-pledge securities with a fair value of $23.62 billion and $23.75 billion under margin account agreements with users, and securities with insignificant fair value that we borrowed under MSLAs with third parties. Under the Fully-Paid Securities Lending program, as of December 31, 2025 and March 31, 2026, we were permitted to borrow securities with a fair value of $75.88 billion and $73.59 billion including securities with a fair value of $2.35 billion and $3.52 billion that we had borrowed from users.</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December 31, 2025 and March 31, 2026, we had re-pledged securities with a fair value of $10.90 billion and $ 13.34 billion, in each case under MSLAs and Fixed-Term Securities Lending Agreements with third parties. In addition, as of December 31, 2025 and March 31, 2026, we had re-pledged $2.83 billion and $2.75 billion of the permitted amounts under the margin account agreements with clearing organizations to meet deposit requirements.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color w:val="auto"/>
        </w:rPr>
        <w:t>NOTE 10: FINANCING ACTIVITIES AND OFF-BALANCE SHEET RISK</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Revolving Credit Facilities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RHM March 2026 Credit Agreement</w:t>
      </w:r>
    </w:p>
    <w:p>
      <w:pPr>
        <w:spacing w:after="0" w:line="1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On March 9, 2026, RHM entered into the RHM March 2026 Credit Agreement, amending and restating the unsecured revolving line of credit entered into in March 2024 and first amended in March 2025 (refer to Note 11 - Financing Activities and Off-Balance Sheet Risk, of the 2025 Form 10-K for more information). The RHM March 2026 Credit Agreement has an initial commitment of $1.0 billion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maturity date of March 21, 2028. Under circumstances described in the RHM March 2026 Credit Agreement, the aggregate commitments may be increased from time to time by up to $500 million in the aggregate (the “Accordion”), for a total commitment of up to $ 1.50 billion. Borrowings under the RHM March 2026 Credit Agreement will bear interest at a rate per annum equal to the Alternate Base Rate or Adjusted Term SOFR plus an applicable margin rate of 1.50%. For purposes of the RHM March 2026 Credit Agreement, the Alternate Base Rate is the greatest of (i) the prime rate then in effect, (ii) the Federal Reserve Bank of New York rate then in effect plus 0.5% and (iii) the Adjusted Term SOFR for a one month interest period plus 1.0%. The Adjusted Term SOFR Rate is equal to the Term SOFR, published by the Term SOFR Administrator, plus the Term SOFR Adjustment. The Term SOFR Adjustment is 0.10%. If the Adjusted Term SOFR Rate is less than the floor of 0%, such rate shall be deemed to be equal to the floor. RHM is obligated to pay a commitment fee calculated at a per annum rate equal to 0.25% on any unused amount.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RHS March 2026 Credit Agreement</w:t>
      </w:r>
    </w:p>
    <w:p>
      <w:pPr>
        <w:spacing w:after="0" w:line="18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March 20, 2026, RHS, our wholly-owned subsidiary, entered into the RHS March 2026 Credit Agreement among RHS, as borrower, the lenders party thereto, and JPMorgan Chase Bank, N.A., as administrative agent, amending and restating the $2.65 billion 364-day senior secured revolving credit facility entered into in March 2025 (refer to Note 11 - Financing Activities and Off-Balance Sheet Risk, of the 2025 Form 10-K for more information).</w:t>
      </w:r>
    </w:p>
    <w:p>
      <w:pPr>
        <w:spacing w:after="0" w:line="13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RHS March 2026 Credit Agreement provides for a 364-day senior secured revolving credit facility with a total commitment of $3.25 billion. Under circumstances described in the RHS March 2026 Credit Agreement, the aggregate commitments may be increased by up to $1.625 billion via an accordion feature, for a total commitment of $4.875 billion. Borrowings under the credit facility must be specified to be Tranche A, Tranche B, Tranche C or a combination thereof, with each tranche being secured by different assets of RHS as set forth in the RHS March 2026 Credit Agreement. Borrowings under the RHS March 2026 Credit Agreement will bear interest at a rate per annum equal to the greatest of (i) Daily Simple SOFR (as defined in the RHS March 2026 Credit Agreement), (ii) the Federal Funds Effective Rate (as defined in the RHS March 2026 Credit Agreement) and (iii) the Overnight Bank Funding Rate (as defined in the RHS March 2026 Credit Agreement), in each case, as of the day the loan is initiated, plus an applicable margin rate. The applicable margin rate is 1.25% for Tranche A loans and 2.50% for Tranche B and Tranche C loans. Undrawn commitments will accrue commitment fees at a rate per annum equal to 0.45%.</w:t>
      </w:r>
    </w:p>
    <w:p>
      <w:pPr>
        <w:spacing w:after="0" w:line="1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RHS March 2026 Credit Agreement requires RHS to maintain a minimum consolidated tangible net worth and a minimum excess net capital, and subjects RHS to a specified limit on minimum net capital to aggregate debit items. In addition, the RHS March 2026 Credit Agreement contains certain customary affirmative and negative covenants, including limitations with respect to debt, liens, fundamental changes, asset sales, restricted payments, investments and transactions with affiliates, subject to certain exceptions. Amounts due under the RHS March 2026 Credit Agreement may be accelerated upon an “event of default,” as defined in the RHS March 2026 Credit Agreement, such as failure to pay amounts owed thereunder when due, breach of a covenant, material inaccuracy of a representation, or occurrence of bankruptcy or insolvency, subject in some cases to cure periods.</w:t>
      </w:r>
    </w:p>
    <w:p>
      <w:pPr>
        <w:spacing w:after="0" w:line="14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As of December 31, 2025 and March 31, 2026, there were no borrowings outstanding and we were in compliance with all covenants, as applicable, under our revolving credit facilities.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Credit Card Funding Trust</w:t>
      </w:r>
    </w:p>
    <w:p>
      <w:pPr>
        <w:spacing w:after="0" w:line="18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Under terms of the Coastal Bank Program Agreement (discussed below), Robinhood Credit. has the ability to purchase credit card receivables originated and held for a period of time by Coastal Bank. Robinhood Credit continues to earn interest from customers and uses these purchased credit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receivables as collateral under a trust structure to access debt financing in the ordinary course of business. To help facilitate these transactions, we created a VIE known as the Trust.</w:t>
      </w:r>
    </w:p>
    <w:p>
      <w:pPr>
        <w:spacing w:after="0" w:line="12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the primary beneficiary of the Trust as, through our role as the servicer and administrator, we have the power to direct the activities that most significantly affect the Trust’s economic performance and, due to owning all the equity interest in the Trust, have the right to receive benefits or the obligation to absorb losses. As such, we consolidate the Trust in the unaudited condensed consolidated financial statements. Substantially all of the Trust’s assets and liabilities are the purchased credit card receivables, included in receivables from users, net, and the outstanding borrowing, included in other current liabilities, on the unaudited condensed consolidated balance sheets.</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exposure to losses in the Trust is limited to the carrying value of net assets held by the Trust, including expected credit losses related to the purchased credit card receivables (Refer to Note 6 - Allowance for Credit Losses). For the Trust, the creditors have no recourse to our general credit and the liabilities of the Trust can only be settled by the Trust’s assets. Additionally, the assets of the Trust can only be used to settle obligations of the Trust.</w:t>
      </w:r>
    </w:p>
    <w:p>
      <w:pPr>
        <w:spacing w:after="0" w:line="13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of March 31, 2026, the Trust had five arrangements in place: (1) to borrow up to $200 million from Barclays, (2) to borrow up to $150 million from SVB, (3) to borrow up to $300 million from WF, (4) to borrow up to $300 million from Truist Bank, and (5) to borrow up to $300 million from Goldman Sachs, which was a new borrowing agreement entered into on February 27, 2026.</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Barclays arrangement, the Trust may borrow, repay, and re-borrow up to a committed amount of $ 200 million during the revolving period, which ends in November 2026. During this period, borrowings bear interest at Barclays’ commercial paper rate plus 1.75% and undrawn amounts accrue an undrawn fee at rates between 0.25% and 0.35%, depending on utilization. After the revolving period ends, the facility enters an amortization period during which no new borrowings are permitted, and the Trust repays the outstanding balance. The interest margin increases during this amortization phase. In November 2025, the interest rate was renegotiated to Barclays’ commercial paper rate plus 1.30%, and undrawn amounts accrue an undrawn fee at rates between 0.275% and 0.325%,</w:t>
      </w:r>
    </w:p>
    <w:p>
      <w:pPr>
        <w:spacing w:after="0" w:line="14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Under the SVB arrangement, the Trust may borrow, repay, and re-borrow up to a committed amount of $150 million during the revolving period, which ends in April 2027. During this period, borrowings bear interest at a rate equal to the one-month Term SOFR plus 1.50%, and undrawn amounts accrue at a rate of 0.25%.</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WF arrangement, the Trust may borrow, repay and re-borrow up to a committed amount of $300 million during the revolving period, which ends in August 2028. During this period, borrowings bear interest at a rate equal to the Daily Simple SOFR (as defined in the WF arrangement) plus 1.40%. After the revolving period ends, the facility enters a controlled amortization period where interest increases to a rate equal to the Daily Simple SOFR plus 2.0%, and undrawn amounts accrue an undrawn fee at rates between 0.275% and 0.325%, depending on utilization.</w:t>
      </w:r>
    </w:p>
    <w:p>
      <w:pPr>
        <w:spacing w:after="0" w:line="1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Truist Bank arrangement, the Trust may borrow, repay and re-borrow up to a committed amount of $300 million during the revolving period, which ends in November 2028. During this period, borrowings bear interest at a rate equal to the Daily Simple SOFR (as defined in the Truist Bank arrangement) plus 1.40%. After the revolving period ends, the facility enters a controlled amortization period where interest increases to a rate equal to the Daily Simple SOFR plus 2.0%. Undrawn amounts accrue an undrawn fee at rates between 0.275% and 0.325%, depending on utilization.</w:t>
      </w:r>
    </w:p>
    <w:p>
      <w:pPr>
        <w:spacing w:after="0" w:line="1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Under the Goldman Sachs arrangement, the Trust may borrow, repay and re-borrow up to a committed amount of $300 million during the revolving period, which ends in February 2029. During this period, borrowings bear interest at a rate equal to the Term SOFR (as defined in the Goldman Sachs arrangement) plus 1.40%. After the revolving period ends, the facility enters a controlled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period where interest increases to a rate equal to the Term SOFR plus 1.9%. Undrawn amounts accrue an undrawn fee at rates between 0.275% and 0.325%, depending on utilization.</w:t>
      </w:r>
    </w:p>
    <w:p>
      <w:pPr>
        <w:spacing w:after="0" w:line="12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2025, the weighted average interest rate of the SVB, Barclays, WF, and Truist Bank arrangements was 6.16%. As of March 31, 2026, the weighted average interest rate of the SVB, Barclays, WF, Truist Bank, and Goldman Sachs arrangements was 5.13%. As of December 31, 2025 and during the three months ended March 31, 2026, the Trust purchased $5.2 billion and $2.5 billion of credit card receivables. As of December 31, 2025 and March 31, 2026, the carrying value of purchased credit card receivables that had not been collected, net of provision for credit losses, was $786 million and $845 million, and the outstanding balance of borrowing principal and interest was $ 602 million and $703 million. For the three months ended March 31, 2025 and 2026, the net interest revenue of the Trust was $4 million and $27 million.</w:t>
      </w:r>
    </w:p>
    <w:p>
      <w:pPr>
        <w:spacing w:after="0" w:line="14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On April 7, 2026, the Trust entered into additional arrangement with Mizuho. Under this arrangement, the Trust can borrow up to $300 million during the revolving period, which ends in April 2029. During this period, borrowings bear interest at a rate equal to the one-month Term SOFR plus 1.40%. Undrawn amounts accrue an undrawn fee at rates between 0.20% and 0.325%, depending on utilization.</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Off-Balance Sheet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Coastal Bank Program Agreement</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Under a program agreement between us and Coastal Bank (the “Program Agreement”) most recently amended in March 2026, Coastal Bank may fund up to $500 million of credit card receivables. Robinhood Credit pays Coastal Bank interest based on the average balance of advances during the month at the federal funds rate plus a margin of 2.65% on the first $300 million and 1.15% on such amounts in excess of $300 million.</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credit card receivables and the funding from Coastal Bank are off-balance sheet, considering Coastal Bank is the legal lender and originator, the party to which the customer has a creditor-borrower relationship, and the legal owner of the receivables. As of March 31, 2026, the off-balance sheet credit card receivables funded under the Program Agreement was $216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Settlement</w:t>
      </w:r>
    </w:p>
    <w:p>
      <w:pPr>
        <w:spacing w:after="0" w:line="23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Our users have ownership of the securities they transact on our platforms, including those that collateralize margin loans, and, as a result, such securities are not presented on our unaudited condensed consolidated balance sheets. In the normal course of business, we engage in activities involving settlement and financing of securities transactions. User securities transactions are recorded on a settlement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date basis. The settlement date for equities and options is one business day after the trade date. These activities may expose us to off-balance sheet risk in the event that the other party to the transaction is unable to fulfill its contractual obligations. In such events, we may be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required to purchase financial instruments at prevailing market prices in order to fulfill our obligations.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Held in Custody on Behalf of Users</w:t>
      </w:r>
    </w:p>
    <w:p>
      <w:pPr>
        <w:spacing w:after="0" w:line="2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hold cryptocurrencies in custody on behalf of our users which includes staked assets on our platform, totaling $38.2 billion and $30.5 billion at fair value at December 31, 2025 and March 31, 2026, and these assets were not recorded on our unaudited condensed consolidated balance sheets. The fair value was determined based on observed market pricing representing the last price executed for trades of each cryptocurrency at period ends. We also considered whether a liability representing anticipated losses from crypto assets that we hold in custody on behalf of users should be recognized and determined the likelihood of such losses was remote. As such, we did not record a liability at December 31, 2025 and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NOTE 11: COMMON STOCK AND STOCKHOLDERS’ EQUITY</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Preferred Stock</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2026, no terms of the preferred stock were designated and no shares of preferred stock were outstanding.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three authorized classes of common stock: Class A, Class B, and Class C. Holders of our Class A common stock are entitled to one vote per share on all matters to be voted upon by our stockholders, holders of our Class B common stock are entitled to 10 votes per share on all matters to be voted upon by our stockholders and, except as otherwise required by applicable law, holders of our Class C common stock are not entitled to vote on any matter to be voted upon by our stockholders. The holders of our Class A common stock and Class B common stock vote together as a single class, unless otherwise required by our Charter or applicable law.</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Warrants</w:t>
      </w:r>
    </w:p>
    <w:p>
      <w:pPr>
        <w:spacing w:after="0" w:line="17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March 31, 2026, we had outstanding warrants with a strike price of $ 26.60 that can be exercised to purchase 8.74 million shares of Class A common stock. The warrants expire on February 12, 2031 and can be exercised with cash or net shares settled at the holder’s option. For the three months ended March 31, 2026, no warrants were exercised via net settlement, resulting in no shares of Class A common stock issued, and the maximum purchase amount of all remaining outstanding warrants was $232 million.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 Repurchase Program</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24, 2026, the Company announced that its board of directors approved the Repurchase Program authorizing the Company to repurchase up to $1.5 billion of its outstanding Class A common stock. The Repurchase Program replaced the Prior Repurchase Program and is inclusive of amounts that remained available for repurchase under the Prior Repurchase Program which were rolled over into the Repurchase Program, and represents more than $1.1 billion of incremental capacity. While the Repurchase Program does not have an expiration date, management currently expects to conduct the Repurchase Program over a period of approximately three years, beginning in the first quarter of 2026.</w:t>
      </w:r>
    </w:p>
    <w:p>
      <w:pPr>
        <w:spacing w:after="0" w:line="1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timing and amount of repurchase transactions will be determined by us from time to time at our discretion based on our evaluation of market conditions, share price, and other factors, and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the Company to acquire any particular amount of Class A common stock, and the Repurchase Program may be suspended or discontinued at any time at our discretion. For the three months ended March 31, 2026, we repurchased approximately 3 million shares of our Class A common stock for $250 million.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Equity Incentive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Omnibus Incentive Plan</w:t>
      </w:r>
    </w:p>
    <w:p>
      <w:pPr>
        <w:spacing w:after="0" w:line="196"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Our 2021 Plan became effective on July 27, 2021, and provides for the grant of share-based awards (such as options, including ISOs, NSOs, SARs, RSAs, RSUs, performance units, and other equity-based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awards) and cash-based awards.</w:t>
      </w:r>
    </w:p>
    <w:p>
      <w:pPr>
        <w:spacing w:after="0" w:line="19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of March 31, 2026, an aggregate of 537 million shares had been authorized for issuance under the 2013 Plan, 2020 Plan, and 2021 Plan, of which 177 million shares had been issued under the plans, 13 million shares were reserved for issuance upon the exercise or settlement of outstanding equity awards under the plans, and 347 million shares remained available for new grants under the 2021 Plan.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Time-Based RSUs</w:t>
      </w:r>
    </w:p>
    <w:p>
      <w:pPr>
        <w:spacing w:after="0" w:line="1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grant RSUs that vest upon the satisfaction of a time -based service condition. The following table summarizes the activity related to our Time-Based RSUs for the three months ended March 31, 2026, which is the period we grant our company-wide annual refresh grants: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6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 RSUs</w:t>
            </w:r>
          </w:p>
        </w:tc>
        <w:tc>
          <w:tcPr>
            <w:tcW w:w="140" w:type="dxa"/>
            <w:vAlign w:val="bottom"/>
          </w:tcPr>
          <w:p>
            <w:pPr>
              <w:spacing w:after="0"/>
              <w:rPr>
                <w:sz w:val="14"/>
                <w:szCs w:val="14"/>
                <w:color w:val="auto"/>
              </w:rPr>
            </w:pPr>
          </w:p>
        </w:tc>
        <w:tc>
          <w:tcPr>
            <w:tcW w:w="1440" w:type="dxa"/>
            <w:vAlign w:val="bottom"/>
          </w:tcPr>
          <w:p>
            <w:pPr>
              <w:jc w:val="right"/>
              <w:ind w:right="73"/>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9"/>
        </w:trPr>
        <w:tc>
          <w:tcPr>
            <w:tcW w:w="79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5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7,646,387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6,084,377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75.81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(2,651,734)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(478,091)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March 31,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10,600,939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Acquisition of TradePMR</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acquisition of TradePMR, we issued 2,049,711 unvested shares of Class A common stock, valued at approximately $100 million as of the closing date of the acquisition, that will vest over a four-year period post-acquisition, subject to the terms of a vesting agreement. These shares are not part of the equity incentive plans described above. Shares of unvested restricted stock have the same voting rights as all other Class A common stock and are considered to be issued and outstanding. The following table summarizes the activity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6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 RSUs</w:t>
            </w:r>
          </w:p>
        </w:tc>
        <w:tc>
          <w:tcPr>
            <w:tcW w:w="140" w:type="dxa"/>
            <w:vAlign w:val="bottom"/>
          </w:tcPr>
          <w:p>
            <w:pPr>
              <w:spacing w:after="0"/>
              <w:rPr>
                <w:sz w:val="14"/>
                <w:szCs w:val="14"/>
                <w:color w:val="auto"/>
              </w:rPr>
            </w:pPr>
          </w:p>
        </w:tc>
        <w:tc>
          <w:tcPr>
            <w:tcW w:w="1440" w:type="dxa"/>
            <w:vAlign w:val="bottom"/>
          </w:tcPr>
          <w:p>
            <w:pPr>
              <w:jc w:val="right"/>
              <w:ind w:right="73"/>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5"/>
        </w:trPr>
        <w:tc>
          <w:tcPr>
            <w:tcW w:w="79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5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2,049,711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Issued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March 31, 2026</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1,434,800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Share-Based Compensation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SBC on our unaudited condensed consolidated statements of operations for the periods indicated: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0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7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6"/>
                <w:szCs w:val="16"/>
                <w:color w:val="auto"/>
              </w:rPr>
            </w:pPr>
          </w:p>
        </w:tc>
      </w:tr>
      <w:tr>
        <w:trPr>
          <w:trHeight w:val="195"/>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2026</w:t>
            </w:r>
          </w:p>
        </w:tc>
      </w:tr>
      <w:tr>
        <w:trPr>
          <w:trHeight w:val="224"/>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Brokerage and transaction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Marketing</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7960" w:type="dxa"/>
            <w:vAlign w:val="bottom"/>
          </w:tcPr>
          <w:p>
            <w:pPr>
              <w:ind w:left="240"/>
              <w:spacing w:after="0" w:line="223"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(1)</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________________</w:t>
      </w:r>
    </w:p>
    <w:p>
      <w:pPr>
        <w:spacing w:after="0" w:line="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For the three months ended March 31, 2025 and 2026, SBC expense primarily consisted of $70 million and $74 million related to Time-Based RSUs.</w:t>
      </w:r>
    </w:p>
    <w:p>
      <w:pPr>
        <w:spacing w:after="0" w:line="16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have capitalized SBC expense related to internally developed software of $6 million and $4 million during the three months ended March 31, 2025 and 2026.</w:t>
      </w:r>
    </w:p>
    <w:p>
      <w:pPr>
        <w:spacing w:after="0" w:line="11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As of March 31, 2026, there was $627 million of unrecognized SBC expense that is expected to be recognized over a weighted-average period of 1.18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Arial" w:cs="Arial" w:eastAsia="Arial" w:hAnsi="Arial"/>
          <w:sz w:val="25"/>
          <w:szCs w:val="25"/>
          <w:color w:val="auto"/>
        </w:rPr>
        <w:t>NOTE 12: NET INCOME (LOSS) PER SHARE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calculation of basic and diluted earnings per share (“EPS”):</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198"/>
        </w:trPr>
        <w:tc>
          <w:tcPr>
            <w:tcW w:w="5220" w:type="dxa"/>
            <w:vAlign w:val="bottom"/>
          </w:tcPr>
          <w:p>
            <w:pPr>
              <w:ind w:left="20"/>
              <w:spacing w:after="0"/>
              <w:rPr>
                <w:sz w:val="20"/>
                <w:szCs w:val="20"/>
                <w:color w:val="auto"/>
              </w:rPr>
            </w:pPr>
            <w:r>
              <w:rPr>
                <w:rFonts w:ascii="Arial" w:cs="Arial" w:eastAsia="Arial" w:hAnsi="Arial"/>
                <w:sz w:val="14"/>
                <w:szCs w:val="14"/>
                <w:i w:val="1"/>
                <w:iCs w:val="1"/>
                <w:color w:val="auto"/>
              </w:rPr>
              <w:t>(in millions, except share and per share data)</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2026</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Class A</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Class B</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Class A</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198"/>
        </w:trPr>
        <w:tc>
          <w:tcPr>
            <w:tcW w:w="5220" w:type="dxa"/>
            <w:vAlign w:val="bottom"/>
          </w:tcPr>
          <w:p>
            <w:pPr>
              <w:ind w:left="20"/>
              <w:spacing w:after="0"/>
              <w:rPr>
                <w:sz w:val="20"/>
                <w:szCs w:val="20"/>
                <w:color w:val="auto"/>
              </w:rPr>
            </w:pPr>
            <w:r>
              <w:rPr>
                <w:rFonts w:ascii="Arial" w:cs="Arial" w:eastAsia="Arial" w:hAnsi="Arial"/>
                <w:sz w:val="14"/>
                <w:szCs w:val="14"/>
                <w:color w:val="auto"/>
              </w:rPr>
              <w:t>Basic EPS: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2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291</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304</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Net income (loss) attributable to non-controlling interests</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5220" w:type="dxa"/>
            <w:vAlign w:val="bottom"/>
          </w:tcPr>
          <w:p>
            <w:pPr>
              <w:ind w:left="20"/>
              <w:spacing w:after="0"/>
              <w:rPr>
                <w:sz w:val="20"/>
                <w:szCs w:val="20"/>
                <w:color w:val="auto"/>
              </w:rPr>
            </w:pPr>
            <w:r>
              <w:rPr>
                <w:rFonts w:ascii="Arial" w:cs="Arial" w:eastAsia="Arial" w:hAnsi="Arial"/>
                <w:sz w:val="14"/>
                <w:szCs w:val="14"/>
                <w:color w:val="auto"/>
              </w:rPr>
              <w:t>Net income attributable to Robinhood common stockholders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2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Weighted-average common shares outstanding - basic</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767,148,225</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117,429,378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788,863,289</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110,291,650</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EPS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EPS:</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20" w:type="dxa"/>
            <w:vAlign w:val="bottom"/>
          </w:tcPr>
          <w:p>
            <w:pPr>
              <w:ind w:left="20"/>
              <w:spacing w:after="0"/>
              <w:rPr>
                <w:sz w:val="20"/>
                <w:szCs w:val="20"/>
                <w:color w:val="auto"/>
              </w:rPr>
            </w:pPr>
            <w:r>
              <w:rPr>
                <w:rFonts w:ascii="Arial" w:cs="Arial" w:eastAsia="Arial" w:hAnsi="Arial"/>
                <w:sz w:val="14"/>
                <w:szCs w:val="14"/>
                <w:color w:val="auto"/>
              </w:rPr>
              <w:t>Numerator</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8"/>
        </w:trPr>
        <w:tc>
          <w:tcPr>
            <w:tcW w:w="5220" w:type="dxa"/>
            <w:vAlign w:val="bottom"/>
          </w:tcPr>
          <w:p>
            <w:pPr>
              <w:ind w:left="180"/>
              <w:spacing w:after="0"/>
              <w:rPr>
                <w:sz w:val="20"/>
                <w:szCs w:val="20"/>
                <w:color w:val="auto"/>
              </w:rPr>
            </w:pPr>
            <w:r>
              <w:rPr>
                <w:rFonts w:ascii="Arial" w:cs="Arial" w:eastAsia="Arial" w:hAnsi="Arial"/>
                <w:sz w:val="14"/>
                <w:szCs w:val="14"/>
                <w:color w:val="auto"/>
              </w:rPr>
              <w:t>Less: Net income (loss) attributable to non-controlling interests</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Robinhood common stockholders</w:t>
            </w: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53"/>
        </w:trPr>
        <w:tc>
          <w:tcPr>
            <w:tcW w:w="5220" w:type="dxa"/>
            <w:vAlign w:val="bottom"/>
          </w:tcPr>
          <w:p>
            <w:pPr>
              <w:ind w:left="180"/>
              <w:spacing w:after="0" w:line="153" w:lineRule="exact"/>
              <w:rPr>
                <w:sz w:val="20"/>
                <w:szCs w:val="20"/>
                <w:color w:val="auto"/>
              </w:rPr>
            </w:pPr>
            <w:r>
              <w:rPr>
                <w:rFonts w:ascii="Arial" w:cs="Arial" w:eastAsia="Arial" w:hAnsi="Arial"/>
                <w:sz w:val="14"/>
                <w:szCs w:val="14"/>
                <w:color w:val="auto"/>
              </w:rPr>
              <w:t>Reallocation of net income (loss) as a result of conversion of Class B to Class</w:t>
            </w:r>
          </w:p>
        </w:tc>
        <w:tc>
          <w:tcPr>
            <w:tcW w:w="2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220" w:type="dxa"/>
            <w:vAlign w:val="bottom"/>
          </w:tcPr>
          <w:p>
            <w:pPr>
              <w:spacing w:after="0"/>
              <w:rPr>
                <w:sz w:val="13"/>
                <w:szCs w:val="13"/>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300" w:type="dxa"/>
            <w:vAlign w:val="bottom"/>
          </w:tcPr>
          <w:p>
            <w:pPr>
              <w:spacing w:after="0"/>
              <w:rPr>
                <w:sz w:val="13"/>
                <w:szCs w:val="13"/>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220" w:type="dxa"/>
            <w:vAlign w:val="bottom"/>
          </w:tcPr>
          <w:p>
            <w:pPr>
              <w:ind w:left="420"/>
              <w:spacing w:after="0"/>
              <w:rPr>
                <w:sz w:val="20"/>
                <w:szCs w:val="20"/>
                <w:color w:val="auto"/>
              </w:rPr>
            </w:pPr>
            <w:r>
              <w:rPr>
                <w:rFonts w:ascii="Arial" w:cs="Arial" w:eastAsia="Arial" w:hAnsi="Arial"/>
                <w:sz w:val="14"/>
                <w:szCs w:val="14"/>
                <w:color w:val="auto"/>
              </w:rPr>
              <w:t>A common stock</w:t>
            </w: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Reallocation of net income (loss) to Class B common stock</w:t>
            </w: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attributable to Robinhood common stockholders for diluted EPS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7"/>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220" w:type="dxa"/>
            <w:vAlign w:val="bottom"/>
          </w:tcPr>
          <w:p>
            <w:pPr>
              <w:ind w:left="180"/>
              <w:spacing w:after="0"/>
              <w:rPr>
                <w:sz w:val="20"/>
                <w:szCs w:val="20"/>
                <w:color w:val="auto"/>
              </w:rPr>
            </w:pPr>
            <w:r>
              <w:rPr>
                <w:rFonts w:ascii="Arial" w:cs="Arial" w:eastAsia="Arial" w:hAnsi="Arial"/>
                <w:sz w:val="14"/>
                <w:szCs w:val="14"/>
                <w:color w:val="auto"/>
              </w:rPr>
              <w:t>Weighted-average common shares outstanding - basic</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767,148,225</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117,429,378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788,863,289</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110,291,650</w:t>
            </w:r>
          </w:p>
        </w:tc>
        <w:tc>
          <w:tcPr>
            <w:tcW w:w="0" w:type="dxa"/>
            <w:vAlign w:val="bottom"/>
          </w:tcPr>
          <w:p>
            <w:pPr>
              <w:spacing w:after="0"/>
              <w:rPr>
                <w:sz w:val="1"/>
                <w:szCs w:val="1"/>
                <w:color w:val="auto"/>
              </w:rPr>
            </w:pPr>
          </w:p>
        </w:tc>
      </w:tr>
      <w:tr>
        <w:trPr>
          <w:trHeight w:val="207"/>
        </w:trPr>
        <w:tc>
          <w:tcPr>
            <w:tcW w:w="5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Dilutive effect of stock options and unvested shares</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24,664,016</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15,883,884</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20" w:type="dxa"/>
            <w:vAlign w:val="bottom"/>
          </w:tcPr>
          <w:p>
            <w:pPr>
              <w:ind w:left="180"/>
              <w:spacing w:after="0"/>
              <w:rPr>
                <w:sz w:val="20"/>
                <w:szCs w:val="20"/>
                <w:color w:val="auto"/>
              </w:rPr>
            </w:pPr>
            <w:r>
              <w:rPr>
                <w:rFonts w:ascii="Arial" w:cs="Arial" w:eastAsia="Arial" w:hAnsi="Arial"/>
                <w:sz w:val="14"/>
                <w:szCs w:val="14"/>
                <w:color w:val="auto"/>
              </w:rPr>
              <w:t>Conversion of Class B to Class A common stock</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117,429,378</w:t>
            </w:r>
          </w:p>
        </w:tc>
        <w:tc>
          <w:tcPr>
            <w:tcW w:w="2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110,291,650</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Weighted-average common shares outstanding - diluted</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909,241,619</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117,429,378</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915,038,823</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110,291,650</w:t>
            </w:r>
          </w:p>
        </w:tc>
        <w:tc>
          <w:tcPr>
            <w:tcW w:w="0" w:type="dxa"/>
            <w:vAlign w:val="bottom"/>
          </w:tcPr>
          <w:p>
            <w:pPr>
              <w:spacing w:after="0"/>
              <w:rPr>
                <w:sz w:val="1"/>
                <w:szCs w:val="1"/>
                <w:color w:val="auto"/>
              </w:rPr>
            </w:pPr>
          </w:p>
        </w:tc>
      </w:tr>
      <w:tr>
        <w:trPr>
          <w:trHeight w:val="200"/>
        </w:trPr>
        <w:tc>
          <w:tcPr>
            <w:tcW w:w="522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0.37</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0.37</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0.38</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left="340" w:firstLine="324"/>
        <w:spacing w:after="0" w:line="268" w:lineRule="auto"/>
        <w:rPr>
          <w:sz w:val="20"/>
          <w:szCs w:val="20"/>
          <w:color w:val="auto"/>
        </w:rPr>
      </w:pPr>
      <w:r>
        <w:rPr>
          <w:rFonts w:ascii="Arial" w:cs="Arial" w:eastAsia="Arial" w:hAnsi="Arial"/>
          <w:sz w:val="18"/>
          <w:szCs w:val="18"/>
          <w:color w:val="auto"/>
        </w:rPr>
        <w:t>The following potential common shares were excluded from the calculation of diluted EPS because their effect would have been anti-dilutive or issuance of such shares is contingent upon the satisfaction of certain conditions that were not satisfied by the end of the period:</w:t>
      </w:r>
    </w:p>
    <w:p>
      <w:pPr>
        <w:spacing w:after="0" w:line="182"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Three Months Ended</w:t>
      </w:r>
    </w:p>
    <w:p>
      <w:pPr>
        <w:jc w:val="center"/>
        <w:ind w:left="842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8140" w:type="dxa"/>
            <w:vAlign w:val="bottom"/>
            <w:tcBorders>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2026</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Market-Based RSUs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11,065,463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Time-Based RSUs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30,542</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117,099</w:t>
            </w:r>
          </w:p>
        </w:tc>
      </w:tr>
      <w:tr>
        <w:trPr>
          <w:trHeight w:val="248"/>
        </w:trPr>
        <w:tc>
          <w:tcPr>
            <w:tcW w:w="8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anti-dilutive securities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11,096,005</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117,099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NOTE 13: LEASES</w:t>
      </w:r>
    </w:p>
    <w:p>
      <w:pPr>
        <w:spacing w:after="0" w:line="20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operating leases are substantially comprised of office facilities, and we do not have any finance leases. Lease assets and liabilities recognized on our unaudited condensed consolidated balance sheets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7"/>
                <w:szCs w:val="17"/>
                <w:color w:val="auto"/>
              </w:rPr>
            </w:pPr>
          </w:p>
        </w:tc>
        <w:tc>
          <w:tcPr>
            <w:tcW w:w="1200" w:type="dxa"/>
            <w:vAlign w:val="bottom"/>
          </w:tcPr>
          <w:p>
            <w:pPr>
              <w:jc w:val="right"/>
              <w:ind w:right="376"/>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220" w:type="dxa"/>
            <w:vAlign w:val="bottom"/>
          </w:tcPr>
          <w:p>
            <w:pPr>
              <w:spacing w:after="0"/>
              <w:rPr>
                <w:sz w:val="17"/>
                <w:szCs w:val="17"/>
                <w:color w:val="auto"/>
              </w:rPr>
            </w:pPr>
          </w:p>
        </w:tc>
        <w:tc>
          <w:tcPr>
            <w:tcW w:w="1360" w:type="dxa"/>
            <w:vAlign w:val="bottom"/>
          </w:tcPr>
          <w:p>
            <w:pPr>
              <w:jc w:val="right"/>
              <w:ind w:right="53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36"/>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11"/>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right-of-use assets:</w:t>
            </w:r>
          </w:p>
        </w:tc>
        <w:tc>
          <w:tcPr>
            <w:tcW w:w="3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Operating lease assets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0"/>
        </w:trPr>
        <w:tc>
          <w:tcPr>
            <w:tcW w:w="476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3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 operating lease liabilities</w:t>
            </w: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Non-current operating lease liabilities</w:t>
            </w:r>
          </w:p>
        </w:tc>
        <w:tc>
          <w:tcPr>
            <w:tcW w:w="3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lease liabilities</w:t>
            </w:r>
          </w:p>
        </w:tc>
        <w:tc>
          <w:tcPr>
            <w:tcW w:w="3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Cash flows related to leases were as follows:</w:t>
            </w:r>
          </w:p>
        </w:tc>
        <w:tc>
          <w:tcPr>
            <w:tcW w:w="3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760" w:type="dxa"/>
            <w:vAlign w:val="bottom"/>
            <w:vMerge w:val="continue"/>
          </w:tcPr>
          <w:p>
            <w:pPr>
              <w:spacing w:after="0"/>
              <w:rPr>
                <w:sz w:val="24"/>
                <w:szCs w:val="24"/>
                <w:color w:val="auto"/>
              </w:rPr>
            </w:pPr>
          </w:p>
        </w:tc>
        <w:tc>
          <w:tcPr>
            <w:tcW w:w="3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40" w:type="dxa"/>
            <w:vAlign w:val="bottom"/>
            <w:gridSpan w:val="4"/>
          </w:tcPr>
          <w:p>
            <w:pPr>
              <w:jc w:val="right"/>
              <w:ind w:right="83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11"/>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Payments for operating lease liabilities</w:t>
            </w:r>
          </w:p>
        </w:tc>
        <w:tc>
          <w:tcPr>
            <w:tcW w:w="3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data:</w:t>
            </w:r>
          </w:p>
        </w:tc>
        <w:tc>
          <w:tcPr>
            <w:tcW w:w="3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980" w:type="dxa"/>
            <w:vAlign w:val="bottom"/>
            <w:gridSpan w:val="3"/>
          </w:tcPr>
          <w:p>
            <w:pPr>
              <w:ind w:left="260"/>
              <w:spacing w:after="0"/>
              <w:rPr>
                <w:sz w:val="20"/>
                <w:szCs w:val="20"/>
                <w:color w:val="auto"/>
              </w:rPr>
            </w:pPr>
            <w:r>
              <w:rPr>
                <w:rFonts w:ascii="Arial" w:cs="Arial" w:eastAsia="Arial" w:hAnsi="Arial"/>
                <w:sz w:val="18"/>
                <w:szCs w:val="18"/>
                <w:color w:val="auto"/>
              </w:rPr>
              <w:t>Lease liabilities arising from obtaining right-of-use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5"/>
          <w:szCs w:val="25"/>
          <w:color w:val="auto"/>
        </w:rPr>
        <w:t>NOTE 14: COMMITMENTS &amp; CONTINGENCIES</w:t>
      </w:r>
    </w:p>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subject to contingencies arising in the ordinary course of our business, including contingencies related to legal, regulatory, non-income tax and other matters. We record an accrual for loss contingencies at management’s best estimate when we determine that it is probable that a loss has been incurred and the amount of the loss can be reasonably estimated. If the reasonable estimate is a range and no amount within that range is considered a better estimate than any other amount, an accrual is recorded based on the bottom amount of the range. If a loss is not probable, or a probable loss cannot be reasonably estimated, no accrual is recorded. Amounts accrued for contingencies in the aggregate were $71 million as of December 31, 2025 and $79 million as of March 31, 2026. In our opinion, an adequate accrual had been made as of each such date to provide for the probable losses of which we are aware and for which we can reasonably estimate an amount.</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Legal and Regulatory Matters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securities industry, and many other industries in which we operate, are highly regulated and many aspects of our business involve substantial risk of liability. In past years, there has been an increase in litigation and regulatory investigations involving the brokerage, cryptocurrency, derivatives, advisory and credit card industries. Litigation has included and may in the future include class action suits that generally seek substantial and, in some cases, punitive damages. Federal and state regulators, exchanges, other SROs, or international regulators investigate issues related to regulatory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that may result in enforcement action. We are also subject to periodic regulatory audits and inspections that have in the past and could in the future lead to enforcement investigations or actions.</w:t>
      </w:r>
    </w:p>
    <w:p>
      <w:pPr>
        <w:spacing w:after="0" w:line="12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have been named as a defendant in lawsuits and from time to time we have been threatened with, or named as a defendant in arbitrations and administrative proceedings. The outcomes of these matters are inherently uncertain and some may result in adverse judgments or awards, including penalties, injunctions, or other relief, and we may also determine to settle a matter because of the uncertainty and risks of litigation.</w:t>
      </w:r>
    </w:p>
    <w:p>
      <w:pPr>
        <w:spacing w:after="0" w:line="13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With respect to matters discussed below, we believe, based on current knowledge, that any losses (in excess of amounts accrued, if applicable) as of March 31, 2026 that are reasonably possible and can be reasonably estimated will not, in the aggregate, have a material adverse effect on our business, financial position, operating results, or cash flows. However, for many of the matters disclosed below, particularly those in early stages, we cannot reasonably estimate the reasonably possible loss (or range of loss), if any. In addition, the ultimate outcome of legal proceedings involves judgments and inherent uncertainties and cannot be predicted with certainty. Any judgment entered against us, or any adverse settlement, could materially and adversely impact our business, financial condition, operating results, and cash flows. We might also incur substantial legal fees, which are expensed as incurred, in defending against legal and regulatory claims.</w:t>
      </w:r>
    </w:p>
    <w:p>
      <w:pPr>
        <w:spacing w:after="0" w:line="14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Described below are certain pending matters in which there is at least a reasonable possibility that a material loss could be incurred. We intend to continue to defend these matters vigorously.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Best Execution, Payment for Order Flow, and Sources of Revenue Civil Litigation</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Beginning in December 2020, multiple putative securities fraud class action lawsuits were filed against RHM, RHF, and RHS. Five cases were consolidated in the U.S. District Court for the Northern District of California. An amended consolidated complaint was filed in May 2021, alleging violations of Section 10(b) of the Exchange Act and various state law causes of action based on claims that we violated the duty of best execution and misled putative class members by publishing misleading statements and omissions in customer communications relating to the execution of trades and revenue sources (including PFOF). Plaintiffs seek unspecified monetary damages, restitution, disgorgement, and other relief. In February 2022, the court granted Robinhood’s motion to dismiss the amended consolidated complaint without prejudice. In March 2022, plaintiffs filed a second consolidated amended complaint, alleging only violations of Section 10(b) of the Exchange Act, which Robinhood moved to dismiss. In October 2022, the court granted Robinhood’s motion in part and denied it in part. In November 2022, Robinhood filed a motion for judgment on the pleadings, which the court denied in January 2023. In March 2024, Plaintiffs filed a motion for class certification, which Robinhood opposed. In October 2024, the court denied class certification without prejudice. Plaintiffs filed a renewed motion for class certification in January 2025, which Robinhood is opposing. In June 2025, Robinhood agreed to a settlement in principle with plaintiffs, which has been preliminarily approved by the court.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Regulatory Matters</w:t>
      </w:r>
    </w:p>
    <w:p>
      <w:pPr>
        <w:spacing w:after="0" w:line="25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New York Attorney General is conducting an investigation into brokerage execution quality and collaring the prices of certain trade orders. The MSD is examining, among other things, RHF’s customer complaint supervision, the disruptions experienced by BOATS during the Robinhood 24 Hour Market overnight trading session on August 4-5, 2024, and the offerings of presidential election and sports event contracts. We are cooperating with these investigations.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Enforcement Matters</w:t>
      </w:r>
    </w:p>
    <w:p>
      <w:pPr>
        <w:spacing w:after="0" w:line="183" w:lineRule="exact"/>
        <w:rPr>
          <w:sz w:val="20"/>
          <w:szCs w:val="20"/>
          <w:color w:val="auto"/>
        </w:rPr>
      </w:pPr>
    </w:p>
    <w:p>
      <w:pPr>
        <w:ind w:right="40" w:firstLine="324"/>
        <w:spacing w:after="0" w:line="271" w:lineRule="auto"/>
        <w:rPr>
          <w:sz w:val="20"/>
          <w:szCs w:val="20"/>
          <w:color w:val="auto"/>
        </w:rPr>
      </w:pPr>
      <w:r>
        <w:rPr>
          <w:rFonts w:ascii="Arial" w:cs="Arial" w:eastAsia="Arial" w:hAnsi="Arial"/>
          <w:sz w:val="18"/>
          <w:szCs w:val="18"/>
          <w:color w:val="auto"/>
        </w:rPr>
        <w:t>The FINRA Enforcement and Examination staff are conducting investigations related to, among other things, the disruptions experienced by BOATS during the Robinhood 24 Hour Market overnight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session on August 4-5, 2024. The FDIC is investigating issues related to compliance with the EFTA. We are cooperating with these investigations.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2021 Trading Restrictions Matters</w:t>
      </w:r>
    </w:p>
    <w:p>
      <w:pPr>
        <w:spacing w:after="0" w:line="29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Beginning on January 28, 2021, due to increased deposit requirements imposed on RHS by the NSCC in response to unprecedented market volatility, particularly in certain securities, RHS temporarily restricted or limited its customers’ purchase of certain securities, including GameStop Corp. and AMC Entertainment Holdings, Inc., on our U.S. trading platform (the “Early 2021 Trading Restrictions”).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number of individual and putative class actions related to the Early 2021 Trading Restrictions were filed against RHM, RHF, and RHS, among others, in various federal and state courts and in arbitrations. In April 2021, the Judicial Panel on Multidistrict Litigation entered an order centralizing the federal cases identified in a motion to transfer and coordinate or consolidate the actions filed in connection with the Early 2021 Trading Restrictions in the U.S. District Court for the Southern District of Florida. The court subsequently divided plaintiffs’ claims against Robinhood into three tranches: federal antitrust claims, federal securities law claims, and state law claims. In July 2021, plaintiffs filed consolidated complaints seeking unspecified monetary damages in connection with the federal antitrust and state law tranches. The federal antitrust complaint asserted one violation of Section 1 of the Sherman Act; the state law complaint asserted negligence and breach of fiduciary duty claims. In August 2021, we moved to dismiss both of these complaints.</w:t>
      </w:r>
    </w:p>
    <w:p>
      <w:pPr>
        <w:spacing w:after="0" w:line="144"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In January 2022, the court dismissed the state law claims with prejudice. In August 2023, the United States Court of Appeals for the Eleventh Circuit affirmed the district court’s order.</w:t>
      </w:r>
    </w:p>
    <w:p>
      <w:pPr>
        <w:spacing w:after="0" w:line="18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May 2022, the court dismissed the federal antitrust claims with prejudice. In June 2024, the United States Court of Appeals for the Eleventh Circuit affirmed the district court’s order.</w:t>
      </w:r>
    </w:p>
    <w:p>
      <w:pPr>
        <w:spacing w:after="0" w:line="16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November 2021, plaintiffs for the federal securities tranche filed a complaint alleging violations of Sections 9(a) and 10(b) of the Exchange Act. The complaint seeks unspecified monetary damages, costs and expenses, and other relief. In January 2022, we moved to dismiss the federal securities law complaint. In August 2022, the court granted in part and denied in part Robinhood’s motion to dismiss. In November 2023, the court denied Plaintiffs’ motion for class certification without prejudice. In April 2024, the court denied Plaintiffs’ motion for leave to file a renewed motion for class certification. On May 28, 2024, Robinhood notified the court that it had reached a settlement in principle with the Plaintiffs in their individual capacities. Robinhood subsequently notified the court that one of these Plaintiffs was unwilling to sign the settlement agreement and requested additional time to negotiate with that individual. On August 14, 2024, the court dismissed the lead and named Plaintiffs’ claims. Robinhood has reached settlements with a number of remaining individual plaintiffs. Robinhood’s motion to compel arbitration for the remaining Robinhood customer plaintiffs has been granted.</w:t>
      </w:r>
    </w:p>
    <w:p>
      <w:pPr>
        <w:spacing w:after="0" w:line="2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RHM, RHF, RHS, and our CEO, Vladimir Tenev, among others, have received requests for information, and in some cases, subpoenas and requests for testimony, related to investigations and examinations of the Early 2021 Trading Restrictions from the USAO, the DOJ, Antitrust Division, the New York Attorney General’s Office, other state attorneys general offices, and a number of state securities regulators. Also, a related search warrant was executed by the USAO to obtain Mr. Tenev’s cell phone. There have been several inquiries based on specific customer complaints. As previously disclosed, on March 6, 2025, we resolved FINRA’s investigation into these matters as part of the March 2025 FINRA Settlement (as defined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IPO Litigation</w:t>
      </w:r>
    </w:p>
    <w:p>
      <w:pPr>
        <w:spacing w:after="0" w:line="1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December 2021, Philip Golubowski filed a putative class action in the U.S. District Court for the Northern District of California against RHM, the officers and directors who signed Robinhood’s IPO offering documents, and Robinhood’s IPO underwriters. Plaintiff’s claims are based on alleged false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misleading statements in Robinhood’s IPO offering documents allegedly in violation of Sections 11 and 12(a) of the Securities Act. Plaintiff seeks unspecified compensatory damages, rescission of shareholders’ share purchases, and an award for attorneys’ fees and costs. In February 2022, certain alleged Robinhood stockholders submitted applications seeking appointment by the court to be the lead plaintiff to represent the putative class in this matter, and in March 2022, the court appointed lead plaintiffs. In June 2022, plaintiffs filed an amended complaint. In August 2022, Robinhood filed a motion to dismiss the complaint. In February 2023, the court granted Robinhood’s motion without prejudice. In March 2023, plaintiffs filed a second amended complaint. In January 2024, the court granted Robinhood’s motion to dismiss the second amended complaint without leave to amend. In February 2024, plaintiffs filed a notice of appeal to the Ninth Circuit. On August 29, 2025, the Ninth Circuit issued its opinion affirming in part and reversing in part the district court. Robinhood’s petition for rehearing en banc was denied. In February 2026, Robinhood filed for a writ of certiorari in the United States Supreme Court.</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2022, Robert Zito filed a complaint derivatively on behalf of Robinhood against Robinhood’s directors at the time of its IPO in the U.S. District Court for the District of Delaware. Plaintiff alleges breach of fiduciary duties, waste of corporate assets, unjust enrichment, and violations of Section 10(b) of the Exchange Act. Plaintiff’s claims are based on allegations of false or misleading statements in Robinhood’s IPO offering documents, and plaintiff seeks an award of unspecified damages and restitution to the Company, injunctive relief, and an award for attorney’s fees and costs. In March 2022, the district court entered a stay of this litigation pending resolution of Robinhood’s motion to dismiss in the Golubowski securities action discussed above.</w:t>
      </w:r>
    </w:p>
    <w:p>
      <w:pPr>
        <w:spacing w:after="0" w:line="1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2022, a shareholder sent a letter to the RHM board of directors demanding, among other things, that the board of directors pursue causes of action on behalf of the Company related to allegations of misconduct in connection with the Early 2021 Trading Restrictions, Robinhood’s IPO offering documents, and the November 2021 Data Security Incident. The board of directors has formed a Demand Review Committee. The board of directors has rejected the demand in part and the Demand Review Committee continues to review the remaining part.</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 Transparency Litigation</w:t>
      </w:r>
    </w:p>
    <w:p>
      <w:pPr>
        <w:spacing w:after="0" w:line="1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July 2024, RHM, RHY, and RHC were sued in a putative class action captioned </w:t>
      </w:r>
      <w:r>
        <w:rPr>
          <w:rFonts w:ascii="Arial" w:cs="Arial" w:eastAsia="Arial" w:hAnsi="Arial"/>
          <w:sz w:val="18"/>
          <w:szCs w:val="18"/>
          <w:i w:val="1"/>
          <w:iCs w:val="1"/>
          <w:color w:val="auto"/>
        </w:rPr>
        <w:t>John Milito v. Robinhood Markets, Inc. et. al.</w:t>
      </w:r>
      <w:r>
        <w:rPr>
          <w:rFonts w:ascii="Arial" w:cs="Arial" w:eastAsia="Arial" w:hAnsi="Arial"/>
          <w:sz w:val="18"/>
          <w:szCs w:val="18"/>
          <w:color w:val="auto"/>
        </w:rPr>
        <w:t>, alleging that Robinhood violated Washington’s Equal Pay and Opportunity Act, because some of the Company’s job postings allegedly failed to include a wage scale or salary range. The complaint seeks unspecified total statutory damages, attorneys’ fees and costs, injunctive relief, and declaratory relief. The case was stayed in the Superior Court in King County in Washington pending a certified question to the Washington Supreme Court. In September 2025, the Washington Supreme Court issued an opinion addressing the certified question and held that a job applicant for a job posting that failed to include a wage scale or salary range does not need to prove they are a “bona fide” or “good faith” applicant to obtain remedies under the applicable statute. The stay has been lifted and the case is proceeding in discovery.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Sweep Litigation</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October 2024, RHM, RHF, and RHS were sued in a putative class action captioned </w:t>
      </w:r>
      <w:r>
        <w:rPr>
          <w:rFonts w:ascii="Arial" w:cs="Arial" w:eastAsia="Arial" w:hAnsi="Arial"/>
          <w:sz w:val="18"/>
          <w:szCs w:val="18"/>
          <w:i w:val="1"/>
          <w:iCs w:val="1"/>
          <w:color w:val="auto"/>
        </w:rPr>
        <w:t>Dey v. Robinhood Markets, Inc. et. al.,</w:t>
      </w:r>
      <w:r>
        <w:rPr>
          <w:rFonts w:ascii="Arial" w:cs="Arial" w:eastAsia="Arial" w:hAnsi="Arial"/>
          <w:sz w:val="18"/>
          <w:szCs w:val="18"/>
          <w:color w:val="auto"/>
        </w:rPr>
        <w:t xml:space="preserve"> in the U.S. District Court for the Northern District of California. Plaintiff asserts breach of fiduciary duty, gross negligence, negligent misrepresentation and omissions, breach of implied covenant of good faith and dealing, and violation of California’s unfair competition law based on allegations that defendants failed to pay a reasonable rate of interest to non-Robinhood Gold brokerage account holders on cash balances swept to program bank deposit programs. The complaint seeks, among other things, certification of the class, unspecified monetary, punitive, treble, and statutory damages, restitution, disgorgement, attorneys’ fees and costs, injunctive relief, and declaratory relief. In January 2025, Robinhood filed a motion to dismiss. On April 28, 2025, the court granted in part and denied in part Robinhood’s motion to dismiss. In May 2025, RHM, RHF, and RHS were sued in a putative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class action captioned </w:t>
      </w:r>
      <w:r>
        <w:rPr>
          <w:rFonts w:ascii="Arial" w:cs="Arial" w:eastAsia="Arial" w:hAnsi="Arial"/>
          <w:sz w:val="18"/>
          <w:szCs w:val="18"/>
          <w:i w:val="1"/>
          <w:iCs w:val="1"/>
          <w:color w:val="auto"/>
        </w:rPr>
        <w:t>Deeney v. Robinhood Markets, Inc. et al.,</w:t>
      </w:r>
      <w:r>
        <w:rPr>
          <w:rFonts w:ascii="Arial" w:cs="Arial" w:eastAsia="Arial" w:hAnsi="Arial"/>
          <w:sz w:val="18"/>
          <w:szCs w:val="18"/>
          <w:color w:val="auto"/>
        </w:rPr>
        <w:t xml:space="preserve"> in the U.S. District Court for the Northern District of California, which also made allegations related to Robinhood’s cash sweep program. The complaint sought, among other things, certification of the class, unspecified monetary damages, attorneys’ fees and costs, and restitution. The parties in </w:t>
      </w:r>
      <w:r>
        <w:rPr>
          <w:rFonts w:ascii="Arial" w:cs="Arial" w:eastAsia="Arial" w:hAnsi="Arial"/>
          <w:sz w:val="18"/>
          <w:szCs w:val="18"/>
          <w:i w:val="1"/>
          <w:iCs w:val="1"/>
          <w:color w:val="auto"/>
        </w:rPr>
        <w:t>Dey</w:t>
      </w:r>
      <w:r>
        <w:rPr>
          <w:rFonts w:ascii="Arial" w:cs="Arial" w:eastAsia="Arial" w:hAnsi="Arial"/>
          <w:sz w:val="18"/>
          <w:szCs w:val="18"/>
          <w:color w:val="auto"/>
        </w:rPr>
        <w:t xml:space="preserve"> and </w:t>
      </w:r>
      <w:r>
        <w:rPr>
          <w:rFonts w:ascii="Arial" w:cs="Arial" w:eastAsia="Arial" w:hAnsi="Arial"/>
          <w:sz w:val="18"/>
          <w:szCs w:val="18"/>
          <w:i w:val="1"/>
          <w:iCs w:val="1"/>
          <w:color w:val="auto"/>
        </w:rPr>
        <w:t>Deeney</w:t>
      </w:r>
      <w:r>
        <w:rPr>
          <w:rFonts w:ascii="Arial" w:cs="Arial" w:eastAsia="Arial" w:hAnsi="Arial"/>
          <w:sz w:val="18"/>
          <w:szCs w:val="18"/>
          <w:color w:val="auto"/>
        </w:rPr>
        <w:t xml:space="preserve"> have agreed to consolidate the matters and Plaintiffs have filed an amended consolidated complaint. The complaint seeks, among other things, certification of the class, unspecified monetary, punitive, treble, and statutory damages, restitution, disgorgement, attorneys’ fees and costs, injunctive relief, and declaratory relief. Robinhood moved to dismiss the complaint, which was granted in part and denied in part. The case is proceeding in discovery.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 Contracts Litigation</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2025, RHM and RHD were sued along with several co-defendants, in state court in six states (Georgia, Illinois, Kentucky, Massachusetts, Ohio and South Carolina) by Georgia Gambling Recovery LLC, Illinois Gambling Recovery LLC, Kentucky Gambling Recovery LLC, Massachusetts Gambling Recovery LLC, Ohio Gambling Recovery LLC, and South Carolina Gambling Recovery LLC respectively. Each plaintiff asserts a claim under the respective state’s Statute of Anne, which are statutes that permit recovery of gambling losses under certain conditions, which vary by state. Each plaintiff seeks damages for losses allegedly sustained in trading certain event contracts, including damage multipliers in certain states, attorney’s fees and costs, and declaratory relief. Robinhood has removed all six cases to federal court. Each plaintiff is seeking to remand the matters. The court in Georgia denied plaintiff’s motion to remand and RHD has moved to dismiss the action. The courts in Kentucky and Ohio granted plaintiff’s motion to remand and RHD is moving or intends to move to dismiss the actions.</w:t>
      </w:r>
    </w:p>
    <w:p>
      <w:pPr>
        <w:spacing w:after="0" w:line="14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July 2025, RHM and RHD, among others, were sued by the Blue Lake Rancheria, Chicken Ranch Rancheria of Me-Wuk Indians, and Picayune Rancheria of the Chukchansi Indians (the “Blue Lake plaintiffs”) in the U.S. District Court for the Northern District of California. The complaint alleges that certain event contracts offered by RHD are unlawful sports gambling activity. The Blue Lake plaintiffs allege several causes of action including violation of the Indian Gaming Regulatory Act, violation of tribal gaming Ordinances, civil violation of the Racketeer Influenced and Corrupt Organizations Act (RICO), infringement of tribal sovereignty, and false advertising under the Lanham Act. The Blue Lake plaintiffs have asserted only the RICO cause of action against RHM and RHD. The complaint seeks injunctive relief, declaratory relief, damages, treble damages, costs, and attorney’s fees. In September 2025, the Blue Lake plaintiffs moved for a preliminary injunction. The court denied the motion and plaintiffs have appealed the denial to the U.S. Court of Appeals for the Ninth Circuit. In the district court, Robinhood has moved to dismiss the action.</w:t>
      </w:r>
    </w:p>
    <w:p>
      <w:pPr>
        <w:spacing w:after="0" w:line="15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August 2025, a similar suit was filed against RHM and RHD, among others, by the Ho-Chunk Nation in the U.S. District Court for the Western District of Wisconsin alleging substantially the same facts and causes of action and seeking substantially the same relief. The Ho-Chunk Nation is only asserting a claim for a civil violation of RICO against RHM and RHD. In December 2025, the plaintiff moved for a preliminary injunction, which Robinhood has opposed. Robinhood has also moved to dismiss the action.</w:t>
      </w:r>
    </w:p>
    <w:p>
      <w:pPr>
        <w:spacing w:after="0" w:line="13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August 2025, RHD filed suits in the U.S. District Court for the District of Nevada and U.S. District Court for the District of New Jersey seeking injunctive relief from enforcement of Nevada and New Jersey state gaming laws respectively. In September 2025, RHD filed suit in the U.S. District Court for the District of Massachusetts seeking similar injunctive relief from enforcement of Massachusetts state gaming laws.</w:t>
      </w:r>
    </w:p>
    <w:p>
      <w:pPr>
        <w:spacing w:after="0" w:line="13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New Jersey agreed to a preliminary injunction pending the outcome of its appeal in the Third Circuit of the grant of a preliminary injunction in a similar case brought by KalshiEx LLC. In April 2026, the Third Circuit ruled in favor of KalshiEx LLC. The parties are to submit a joint letter regarding the impact of the opinion on the preliminary injunction.</w:t>
      </w:r>
    </w:p>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Nevada, the court denied RHD’s motion for a preliminary injunction. Robinhood has agreed to cease offering new sports-related event contracts in Nevada as of December 1, 2025, and to take action to explore unwinding longer-duration open sports-related event contracts in Nevada, in exchange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State’s agreement to refrain from enforcing its state gaming laws during the pendency of RHD’s appeal. RHD has appealed the decision to the U.S. Court of Appeals for the Ninth Circuit and moved for an injunction pending appeal, both of which remain pending. Oral argument on appeal was heard on April 16, 2026.</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Massachusetts, the court initially dismissed RHD’s suit as unripe. RHD’s motion for reconsideration was granted. RHD filed an amended complaint and renewed its motion for a preliminary injunction. Massachusetts agreed to refrain from enforcing its state gaming laws pending: (1) a decision on RHD’s then-pending preliminary injunction motion; (2) a final decision on the injunction from a Massachusetts appellate court in KalshiEx’s state court enforcement litigation; and (3) any stay (if ordered) is lifted in KalshiEx’s state court enforcement litigation. The district court dismissed RHD’s amended complaint as unripe. RHD has appealed to the U.S. Court of Appeals for the First Circuit.</w:t>
      </w:r>
    </w:p>
    <w:p>
      <w:pPr>
        <w:spacing w:after="0" w:line="14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March 2026, RHD filed suit in Michigan seeking injunctive relief from enforcement of Michigan’s state gaming laws. The motion for preliminary injunction is being briefed.</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March 2026, RHD filed suit in Washington seeking injunctive relief from enforcement of Washington’s state gaming laws.</w:t>
      </w:r>
    </w:p>
    <w:p>
      <w:pPr>
        <w:spacing w:after="0" w:line="19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April 22, 2026, RHD and several co-defendants were sued in a putative class action in state court in Massachusetts by a purported Robinhood customer seeking to recover losses incurred as a result of sports-related event contract trading under Massachusetts’s Statute of Anne and a theory of unjust enrichment. Plaintiff seeks declaratory relief, injunctive relief, unspecified damages, interest,and attorney’s fees and costs.</w:t>
      </w:r>
    </w:p>
    <w:p>
      <w:pPr>
        <w:spacing w:after="0" w:line="1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22, 2026, RHM and RHD were sued in a putative class action in U.S District Court for the Northern District of California. The plaintiffs, purported Robinhood customers, alleged that Robinhood’s sports-related event contracts violate California’s Unfair Competition Law, California’s Consumer Legal Remedies Act, New Jersey’s Statute of Anne, New Jersey’s Consumer Fraud Act, New York’s deceptive business practices and false advertising laws, New York’s Statute of Anne, and Michigan’s gambling loss recovery act, Michigan’s Consumer Protection Act, and further sought to recover damages under a theory of unjust enrichment. Plaintiffs seek declaratory relief, injunctive relief, unspecified damages including treble or punitive damages, restitution, disgorgement, attorney’s fees, interest and costs. .</w:t>
      </w:r>
    </w:p>
    <w:p>
      <w:pPr>
        <w:spacing w:after="0" w:line="14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April 23, 2026, the State of Wisconsin filed a lawsuit against RHD, RHM, RHS, Kalshi, Inc., KalshiEx, LLC, Kalshi Klear,LLC, Kalshi Trading, LLC, Coinbase Global, Inc., and Coinbase Financial Markets,Inc., alleging that sports-related event contracts constitute illegal sports betting and are a public nuisance. Wisconsin seeks a declaratory judgment and a preliminary and permanent injunction preventing the defendants from offering sports-related event contracts in Wisconsin. The State of Wisconsin moved for a temporary injunction to enjoin Robinhood and its co-defendants from offering sports-related event contracts in Wisconsin. On April 24, 2026, the Kalshi defendants removed the case to the U.S. District Court for the Western District of Wisconsin with the consent of the Robinhood and Coinbase defendants.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20" w:right="680" w:hanging="132"/>
        <w:spacing w:after="0" w:line="302" w:lineRule="auto"/>
        <w:rPr>
          <w:sz w:val="20"/>
          <w:szCs w:val="20"/>
          <w:color w:val="auto"/>
        </w:rPr>
      </w:pPr>
      <w:r>
        <w:rPr>
          <w:rFonts w:ascii="Arial" w:cs="Arial" w:eastAsia="Arial" w:hAnsi="Arial"/>
          <w:sz w:val="35"/>
          <w:szCs w:val="35"/>
          <w:color w:val="auto"/>
        </w:rPr>
        <w:t>ITEM 2. MANAGEMENT’S DISCUSSION AND ANALYSIS OF FINANCIAL CONDITION AND RESULTS OF OPERATIONS</w:t>
      </w:r>
    </w:p>
    <w:p>
      <w:pPr>
        <w:spacing w:after="0" w:line="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section presents management’s perspective on our financial condition and results of operations, including performance metrics that management uses to assess company performance. The following discussion and analysis is intended to highlight and supplement data and information presented elsewhere in this Quarterly Report, and should be read in conjunction with our interim unaudited condensed consolidated financial statements and notes elsewhere in this Quarterly Report and our audited consolidated financial statements and the related notes and the discussion under the heading “Management’s Discussion and Analysis of Financial Condition and Results of Operations” included in our 2025 Form 10-K.</w:t>
      </w:r>
    </w:p>
    <w:p>
      <w:pPr>
        <w:spacing w:after="0" w:line="1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It is also intended to provide you with information that will assist you in understanding our consolidated financial statements, the changes in key items in those consolidated financial statements from year to year, and the primary factors that accounted for those changes. To the extent that this discussion describes prior performance, the descriptions relate only to the periods listed, which might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“Risk Factors.”</w:t>
      </w:r>
    </w:p>
    <w:p>
      <w:pPr>
        <w:spacing w:after="0" w:line="15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Data as of and for the three months ended March 31, 2025 and 2026 has been derived from our unaudited condensed consolidated financial statements appearing at the beginning of this Quarterly Report. Results for any interim period should not be construed as an inference of what our results would be for any full fiscal year or future period.</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refer to our “users” and our “customers” interchangeably throughout this Quarterly Report to refer to individuals who hold accounts on our platforms.</w:t>
      </w:r>
    </w:p>
    <w:p>
      <w:pPr>
        <w:spacing w:after="0" w:line="109" w:lineRule="exact"/>
        <w:rPr>
          <w:sz w:val="20"/>
          <w:szCs w:val="20"/>
          <w:color w:val="auto"/>
        </w:rPr>
      </w:pPr>
    </w:p>
    <w:p>
      <w:pPr>
        <w:spacing w:after="0"/>
        <w:rPr>
          <w:sz w:val="20"/>
          <w:szCs w:val="20"/>
          <w:color w:val="auto"/>
        </w:rPr>
      </w:pPr>
      <w:r>
        <w:rPr>
          <w:rFonts w:ascii="Arial" w:cs="Arial" w:eastAsia="Arial" w:hAnsi="Arial"/>
          <w:sz w:val="25"/>
          <w:szCs w:val="25"/>
          <w:color w:val="auto"/>
        </w:rPr>
        <w:t>Overview</w:t>
      </w:r>
    </w:p>
    <w:p>
      <w:pPr>
        <w:spacing w:after="0" w:line="20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Robinhood was founded on the belief that everyone should be welcome to participate in our financial system. We are creating modern financial services platforms for everyone, regardless of their wealth, income, or background.</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mission is to democratize finance for all. We use technology to provide access to the financial system in a way that is simple and convenient for our customers. We believe investing should be familiar and welcoming, with a simple design and an intuitive interface, so that customers are empowered to achieve their goals. We started with a revolutionary, bold brand and design in the Robinhood app which makes investing approachable for millions. Over the last decade, we have disrupted and changed the industry, becoming the first U.S. retail broker to offer commission-free stock trading with no account minimums, which was subsequently adopted by the rest of the industry. In recent years, we have continued to build relationships with our customers by introducing new products and diversifying our services that further expand access to the financial system, including focusing on products and tools for more seasoned investors. Through these efforts, we believe we have made investing culturally relevant and understandable, and that our platforms are enabling our customers to become long-term investors and take greater control of their finances.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Results and Performance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respect to the three months ended March 31, 2026, as compared to the three months ended March 31, 2025:</w:t>
      </w:r>
    </w:p>
    <w:p>
      <w:pPr>
        <w:spacing w:after="0" w:line="185"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total net revenues increased 15% to $1,067 million compared to $927 million;</w:t>
      </w:r>
    </w:p>
    <w:p>
      <w:pPr>
        <w:spacing w:after="0" w:line="198" w:lineRule="exact"/>
        <w:rPr>
          <w:rFonts w:ascii="Arial" w:cs="Arial" w:eastAsia="Arial" w:hAnsi="Arial"/>
          <w:sz w:val="18"/>
          <w:szCs w:val="18"/>
          <w:b w:val="1"/>
          <w:bCs w:val="1"/>
          <w:i w:val="1"/>
          <w:iCs w:val="1"/>
          <w:color w:val="auto"/>
        </w:rPr>
      </w:pPr>
    </w:p>
    <w:p>
      <w:pPr>
        <w:ind w:left="620" w:hanging="288"/>
        <w:spacing w:after="0"/>
        <w:tabs>
          <w:tab w:leader="none" w:pos="6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net income attributable to Robinhood increased 4% to $350 million, compared to $336 million;</w:t>
      </w:r>
    </w:p>
    <w:p>
      <w:pPr>
        <w:spacing w:after="0" w:line="184" w:lineRule="exact"/>
        <w:rPr>
          <w:rFonts w:ascii="Arial" w:cs="Arial" w:eastAsia="Arial" w:hAnsi="Arial"/>
          <w:sz w:val="18"/>
          <w:szCs w:val="18"/>
          <w:b w:val="1"/>
          <w:bCs w:val="1"/>
          <w:i w:val="1"/>
          <w:iCs w:val="1"/>
          <w:color w:val="auto"/>
        </w:rPr>
      </w:pPr>
    </w:p>
    <w:p>
      <w:pPr>
        <w:ind w:left="620" w:hanging="288"/>
        <w:spacing w:after="0"/>
        <w:tabs>
          <w:tab w:leader="none" w:pos="6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diluted EPS increased 3% to $0.38, compared to $0.37;</w:t>
      </w:r>
    </w:p>
    <w:p>
      <w:pPr>
        <w:spacing w:after="0" w:line="184"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operating expenses increased 18% to $656 million compared to $557 million;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(non-GAAP) increased 14% to $534 million compared to $470 million;</w:t>
      </w:r>
    </w:p>
    <w:p>
      <w:pPr>
        <w:spacing w:after="0" w:line="1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Funded Customers increased by 1.7 million, or 6%, to 27.4 million compared to 25.8 million, and Investment Accounts increased by 2.1 million, or 8%, to 29.1 million compared to 27.0 million;</w:t>
      </w:r>
    </w:p>
    <w:p>
      <w:pPr>
        <w:spacing w:after="0" w:line="11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Platform Assets increased 39% to $307.3 billion compared to $220.6 billion, driven by continued Net Deposits, higher equity valuations, and acquired assets;</w:t>
      </w:r>
    </w:p>
    <w:p>
      <w:pPr>
        <w:spacing w:after="0" w:line="11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Deposits were $17.7 billion, which translates to an annualized growth rate of 22% relative to Total Platform Assets at the end of the fourth quarter of 2025, compared to $18.0 billion, which translates to an annualized growth rate of 37% relative to Total Platform Assets at the end of the fourth quarter of 2024. Over the past twelve months, Net Deposits were $67.8 billion, a growth rate of 31% relative to Total Platform Assets at the end of the first quarter of 2025;</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ARPU increased 8% to $157 compared to $145;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Robinhood Gold Subscribers increased 36% to 4.34 million compared to 3.19 million.</w:t>
      </w:r>
    </w:p>
    <w:p>
      <w:pPr>
        <w:spacing w:after="0" w:line="18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Adjusted EBITDA is a non-GAAP financial measure. For more information about Adjusted EBITDA, including the definition and limitations of such measure, and a reconciliation of net income to Adjusted EBITDA, please see “—Non-GAAP Financial Measures” below.</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 Developments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2026, we announced that Robinhood will serve as broker and sole initial trustee for the Trump Accounts on behalf of the U.S. Department of the Treasury. Robinhood will work with BNY, which has been selected by the U.S. Department of the Treasury as financial agent for Trump Accounts, to develop and operate the infrastructure required for Trump Accounts. This will include providing the necessary technology, building an intuitive front-end experience, creating educational resources, and managing customer support for Trump Accounts. These accounts will leverage Robinhood’s technology and infrastructure to power a standalone web and app experience designed uniquely for this initiative.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Key Performance Metrics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performance metrics for the relevant periods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00" w:type="dxa"/>
            <w:vAlign w:val="bottom"/>
            <w:gridSpan w:val="11"/>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5"/>
          </w:tcPr>
          <w:p>
            <w:pPr>
              <w:jc w:val="right"/>
              <w:ind w:right="159"/>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 w:type="dxa"/>
            <w:vAlign w:val="bottom"/>
            <w:tcBorders>
              <w:bottom w:val="single" w:sz="8" w:color="CCEEFF"/>
            </w:tcBorders>
          </w:tcPr>
          <w:p>
            <w:pPr>
              <w:spacing w:after="0"/>
              <w:rPr>
                <w:sz w:val="16"/>
                <w:szCs w:val="16"/>
                <w:color w:val="auto"/>
              </w:rPr>
            </w:pPr>
          </w:p>
        </w:tc>
        <w:tc>
          <w:tcPr>
            <w:tcW w:w="59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628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Funded Customers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i w:val="1"/>
                <w:iCs w:val="1"/>
                <w:color w:val="auto"/>
              </w:rPr>
              <w:t>(in millions)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Total Platform Assets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t>
            </w:r>
            <w:r>
              <w:rPr>
                <w:rFonts w:ascii="Arial" w:cs="Arial" w:eastAsia="Arial" w:hAnsi="Arial"/>
                <w:sz w:val="18"/>
                <w:szCs w:val="18"/>
                <w:i w:val="1"/>
                <w:iCs w:val="1"/>
                <w:color w:val="auto"/>
              </w:rPr>
              <w:t>(in billions)</w:t>
            </w:r>
          </w:p>
        </w:tc>
        <w:tc>
          <w:tcPr>
            <w:tcW w:w="860" w:type="dxa"/>
            <w:vAlign w:val="bottom"/>
            <w:gridSpan w:val="3"/>
          </w:tcPr>
          <w:p>
            <w:pPr>
              <w:jc w:val="right"/>
              <w:ind w:right="368"/>
              <w:spacing w:after="0"/>
              <w:rPr>
                <w:sz w:val="20"/>
                <w:szCs w:val="20"/>
                <w:color w:val="auto"/>
              </w:rPr>
            </w:pPr>
            <w:r>
              <w:rPr>
                <w:rFonts w:ascii="Arial" w:cs="Arial" w:eastAsia="Arial" w:hAnsi="Arial"/>
                <w:sz w:val="18"/>
                <w:szCs w:val="18"/>
                <w:color w:val="auto"/>
              </w:rPr>
              <w:t>$</w:t>
            </w:r>
          </w:p>
        </w:tc>
        <w:tc>
          <w:tcPr>
            <w:tcW w:w="880" w:type="dxa"/>
            <w:vAlign w:val="bottom"/>
            <w:gridSpan w:val="5"/>
          </w:tcPr>
          <w:p>
            <w:pPr>
              <w:jc w:val="right"/>
              <w:ind w:right="140"/>
              <w:spacing w:after="0"/>
              <w:rPr>
                <w:sz w:val="20"/>
                <w:szCs w:val="20"/>
                <w:color w:val="auto"/>
              </w:rPr>
            </w:pPr>
            <w:r>
              <w:rPr>
                <w:rFonts w:ascii="Arial" w:cs="Arial" w:eastAsia="Arial" w:hAnsi="Arial"/>
                <w:sz w:val="18"/>
                <w:szCs w:val="18"/>
                <w:color w:val="auto"/>
              </w:rPr>
              <w:t>220.6</w:t>
            </w:r>
          </w:p>
        </w:tc>
        <w:tc>
          <w:tcPr>
            <w:tcW w:w="80" w:type="dxa"/>
            <w:vAlign w:val="bottom"/>
          </w:tcPr>
          <w:p>
            <w:pPr>
              <w:spacing w:after="0"/>
              <w:rPr>
                <w:sz w:val="19"/>
                <w:szCs w:val="19"/>
                <w:color w:val="auto"/>
              </w:rPr>
            </w:pPr>
          </w:p>
        </w:tc>
        <w:tc>
          <w:tcPr>
            <w:tcW w:w="540" w:type="dxa"/>
            <w:vAlign w:val="bottom"/>
          </w:tcPr>
          <w:p>
            <w:pPr>
              <w:jc w:val="right"/>
              <w:ind w:right="339"/>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48"/>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Net Deposits </w:t>
            </w:r>
            <w:r>
              <w:rPr>
                <w:rFonts w:ascii="Arial" w:cs="Arial" w:eastAsia="Arial" w:hAnsi="Arial"/>
                <w:sz w:val="18"/>
                <w:szCs w:val="18"/>
                <w:i w:val="1"/>
                <w:iCs w:val="1"/>
                <w:color w:val="auto"/>
              </w:rPr>
              <w:t>(in billions)</w:t>
            </w:r>
          </w:p>
        </w:tc>
        <w:tc>
          <w:tcPr>
            <w:tcW w:w="86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8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Annualized Growth Rate with respect to Net Deposits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gridSpan w:val="5"/>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gridSpan w:val="3"/>
          </w:tcPr>
          <w:p>
            <w:pPr>
              <w:jc w:val="right"/>
              <w:ind w:right="48"/>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ARPU </w:t>
            </w:r>
            <w:r>
              <w:rPr>
                <w:rFonts w:ascii="Arial" w:cs="Arial" w:eastAsia="Arial" w:hAnsi="Arial"/>
                <w:sz w:val="18"/>
                <w:szCs w:val="18"/>
                <w:i w:val="1"/>
                <w:iCs w:val="1"/>
                <w:color w:val="auto"/>
              </w:rPr>
              <w:t>(in dollars)</w:t>
            </w:r>
          </w:p>
        </w:tc>
        <w:tc>
          <w:tcPr>
            <w:tcW w:w="86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8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9"/>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 xml:space="preserve">Robinhood Gold Subscribers </w:t>
            </w:r>
            <w:r>
              <w:rPr>
                <w:rFonts w:ascii="Arial" w:cs="Arial" w:eastAsia="Arial" w:hAnsi="Arial"/>
                <w:sz w:val="18"/>
                <w:szCs w:val="18"/>
                <w:i w:val="1"/>
                <w:iCs w:val="1"/>
                <w:color w:val="auto"/>
              </w:rPr>
              <w:t>(in millions)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gridSpan w:val="5"/>
          </w:tcPr>
          <w:p>
            <w:pPr>
              <w:jc w:val="right"/>
              <w:ind w:right="140"/>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gridSpan w:val="3"/>
          </w:tcPr>
          <w:p>
            <w:pPr>
              <w:jc w:val="right"/>
              <w:ind w:right="48"/>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427"/>
        </w:trPr>
        <w:tc>
          <w:tcPr>
            <w:tcW w:w="6280" w:type="dxa"/>
            <w:vAlign w:val="bottom"/>
            <w:gridSpan w:val="2"/>
          </w:tcPr>
          <w:p>
            <w:pPr>
              <w:spacing w:after="0"/>
              <w:rPr>
                <w:sz w:val="20"/>
                <w:szCs w:val="20"/>
                <w:color w:val="auto"/>
              </w:rPr>
            </w:pPr>
            <w:r>
              <w:rPr>
                <w:rFonts w:ascii="Arial" w:cs="Arial" w:eastAsia="Arial" w:hAnsi="Arial"/>
                <w:sz w:val="14"/>
                <w:szCs w:val="14"/>
                <w:color w:val="auto"/>
              </w:rPr>
              <w:t>________________</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280" w:type="dxa"/>
            <w:vAlign w:val="bottom"/>
            <w:gridSpan w:val="2"/>
          </w:tcPr>
          <w:p>
            <w:pPr>
              <w:spacing w:after="0"/>
              <w:rPr>
                <w:sz w:val="20"/>
                <w:szCs w:val="20"/>
                <w:color w:val="auto"/>
              </w:rPr>
            </w:pPr>
            <w:r>
              <w:rPr>
                <w:rFonts w:ascii="Arial" w:cs="Arial" w:eastAsia="Arial" w:hAnsi="Arial"/>
                <w:sz w:val="14"/>
                <w:szCs w:val="14"/>
                <w:color w:val="auto"/>
              </w:rPr>
              <w:t>(1)  The following table describes the annual changes within Funded Customers:</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8"/>
          </w:tcPr>
          <w:p>
            <w:pPr>
              <w:jc w:val="center"/>
              <w:ind w:left="20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6"/>
          </w:tcPr>
          <w:p>
            <w:pPr>
              <w:jc w:val="center"/>
              <w:ind w:left="173"/>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59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40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4"/>
          </w:tcPr>
          <w:p>
            <w:pPr>
              <w:jc w:val="right"/>
              <w:ind w:right="93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Funded Customers</w:t>
            </w: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New Funded Customers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Resurrected Customers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Acquired customers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NM</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Churned Customers</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Ending Funded Customers</w:t>
            </w: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4"/>
                <w:szCs w:val="14"/>
                <w:color w:val="auto"/>
              </w:rPr>
              <w:t>(2)  The following table sets out the components of Total Platform Assets by type of asset:</w:t>
            </w: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5"/>
        </w:trPr>
        <w:tc>
          <w:tcPr>
            <w:tcW w:w="62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8"/>
          </w:tcPr>
          <w:p>
            <w:pPr>
              <w:jc w:val="center"/>
              <w:ind w:left="16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6"/>
          </w:tcPr>
          <w:p>
            <w:pPr>
              <w:jc w:val="center"/>
              <w:ind w:left="133"/>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5940" w:type="dxa"/>
            <w:vAlign w:val="bottom"/>
          </w:tcPr>
          <w:p>
            <w:pPr>
              <w:ind w:left="20"/>
              <w:spacing w:after="0"/>
              <w:rPr>
                <w:sz w:val="20"/>
                <w:szCs w:val="20"/>
                <w:color w:val="auto"/>
              </w:rPr>
            </w:pPr>
            <w:r>
              <w:rPr>
                <w:rFonts w:ascii="Arial" w:cs="Arial" w:eastAsia="Arial" w:hAnsi="Arial"/>
                <w:sz w:val="14"/>
                <w:szCs w:val="14"/>
                <w:i w:val="1"/>
                <w:iCs w:val="1"/>
                <w:color w:val="auto"/>
              </w:rPr>
              <w:t>(in billions)</w:t>
            </w: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4"/>
          </w:tcPr>
          <w:p>
            <w:pPr>
              <w:jc w:val="right"/>
              <w:ind w:right="93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125.5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207.5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Cryptocurrencies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and futures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RIA assets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NM</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held by Customers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Receivables from Customers (primarily margin balances)</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92 %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Platform Assets</w:t>
            </w: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307.3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The following table describes the changes within Total Platform Assets: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4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8"/>
          </w:tcPr>
          <w:p>
            <w:pPr>
              <w:jc w:val="center"/>
              <w:ind w:left="16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6"/>
          </w:tcPr>
          <w:p>
            <w:pPr>
              <w:jc w:val="center"/>
              <w:ind w:left="133"/>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5940" w:type="dxa"/>
            <w:vAlign w:val="bottom"/>
          </w:tcPr>
          <w:p>
            <w:pPr>
              <w:ind w:left="20"/>
              <w:spacing w:after="0"/>
              <w:rPr>
                <w:sz w:val="20"/>
                <w:szCs w:val="20"/>
                <w:color w:val="auto"/>
              </w:rPr>
            </w:pPr>
            <w:r>
              <w:rPr>
                <w:rFonts w:ascii="Arial" w:cs="Arial" w:eastAsia="Arial" w:hAnsi="Arial"/>
                <w:sz w:val="14"/>
                <w:szCs w:val="14"/>
                <w:i w:val="1"/>
                <w:iCs w:val="1"/>
                <w:color w:val="auto"/>
              </w:rPr>
              <w:t>(in billions)</w:t>
            </w: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4"/>
          </w:tcPr>
          <w:p>
            <w:pPr>
              <w:jc w:val="right"/>
              <w:ind w:right="93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Total Platform Assets</w:t>
            </w:r>
          </w:p>
        </w:tc>
        <w:tc>
          <w:tcPr>
            <w:tcW w:w="3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192.9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322.1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Acquired assets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NM</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Deposits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market losses</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Total Platform Assets</w:t>
            </w: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307.3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2" w:right="57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Non-GAAP Financial Measures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Adjusted EBITDA</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collect and analyze operating and financial data to evaluate the health of our business, allocate our resources and assess our performance. In addition to total net revenues, net income, and other results under GAAP, we utilize non-GAAP calculations of Adjusted EBITDA. Adjusted EBITDA is defined as net income attributable to Robinhood, excluding (i) net income (loss) attributable to non-controlling interests, (ii) interest expenses related to credit facilities, (iii) provision for (benefit from) income taxes, (iv) depreciation and amortization, (v) SBC, (vi) significant legal and tax settlements and reserves, and (vii) other significant gains, losses, and expenses (such as impairments, restructuring charges, and business acquisition- or disposition-related expenses) that we believe are not indicative of our ongoing results. This non-GAAP financial information is presented for supplemental informational purposes only, should not be considered in isolation or as a substitute for, or superior to, financial information presented in accordance with GAAP, and may be different from similarly titled non-GAAP measures used by other companies.</w:t>
      </w:r>
    </w:p>
    <w:p>
      <w:pPr>
        <w:spacing w:after="0" w:line="2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and timing of these items are unpredictable, are not driven by core results of operations, and render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Adjusted EBITDA is a key measurement used by our management internally to make operating decisions, including those related to operating expenses, evaluate performance, and perform strategic planning and annual budgeting.</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Adjusted EBITDA to the most directly comparable GAAP measure, net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4"/>
                <w:szCs w:val="14"/>
                <w:color w:val="auto"/>
              </w:rPr>
            </w:pPr>
          </w:p>
        </w:tc>
      </w:tr>
      <w:tr>
        <w:trPr>
          <w:trHeight w:val="185"/>
        </w:trPr>
        <w:tc>
          <w:tcPr>
            <w:tcW w:w="64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4"/>
                <w:szCs w:val="14"/>
                <w:b w:val="1"/>
                <w:bCs w:val="1"/>
                <w:color w:val="auto"/>
              </w:rPr>
              <w:t>March 31,</w:t>
            </w:r>
          </w:p>
        </w:tc>
        <w:tc>
          <w:tcPr>
            <w:tcW w:w="1480" w:type="dxa"/>
            <w:vAlign w:val="bottom"/>
            <w:tcBorders>
              <w:bottom w:val="single" w:sz="8" w:color="auto"/>
            </w:tcBorders>
          </w:tcPr>
          <w:p>
            <w:pPr>
              <w:spacing w:after="0"/>
              <w:rPr>
                <w:sz w:val="16"/>
                <w:szCs w:val="16"/>
                <w:color w:val="auto"/>
              </w:rPr>
            </w:pPr>
          </w:p>
        </w:tc>
      </w:tr>
      <w:tr>
        <w:trPr>
          <w:trHeight w:val="195"/>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5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895"/>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912"/>
              <w:spacing w:after="0"/>
              <w:rPr>
                <w:sz w:val="20"/>
                <w:szCs w:val="20"/>
                <w:color w:val="auto"/>
              </w:rPr>
            </w:pPr>
            <w:r>
              <w:rPr>
                <w:rFonts w:ascii="Arial" w:cs="Arial" w:eastAsia="Arial" w:hAnsi="Arial"/>
                <w:sz w:val="14"/>
                <w:szCs w:val="14"/>
                <w:b w:val="1"/>
                <w:bCs w:val="1"/>
                <w:color w:val="auto"/>
              </w:rPr>
              <w:t>2026</w:t>
            </w:r>
          </w:p>
        </w:tc>
      </w:tr>
      <w:tr>
        <w:trPr>
          <w:trHeight w:val="224"/>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Robinhood</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Net income (loss) attributable to non-controlling interests</w:t>
            </w:r>
          </w:p>
        </w:tc>
        <w:tc>
          <w:tcPr>
            <w:tcW w:w="560" w:type="dxa"/>
            <w:vAlign w:val="bottom"/>
          </w:tcPr>
          <w:p>
            <w:pPr>
              <w:spacing w:after="0"/>
              <w:rPr>
                <w:sz w:val="19"/>
                <w:szCs w:val="19"/>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6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Add:</w:t>
            </w:r>
          </w:p>
        </w:tc>
        <w:tc>
          <w:tcPr>
            <w:tcW w:w="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expenses related to credit facilities</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5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6480" w:type="dxa"/>
            <w:vAlign w:val="bottom"/>
          </w:tcPr>
          <w:p>
            <w:pPr>
              <w:ind w:left="180"/>
              <w:spacing w:after="0"/>
              <w:rPr>
                <w:sz w:val="20"/>
                <w:szCs w:val="20"/>
                <w:color w:val="auto"/>
              </w:rPr>
            </w:pPr>
            <w:r>
              <w:rPr>
                <w:rFonts w:ascii="Arial" w:cs="Arial" w:eastAsia="Arial" w:hAnsi="Arial"/>
                <w:sz w:val="18"/>
                <w:szCs w:val="18"/>
                <w:color w:val="auto"/>
              </w:rPr>
              <w:t>EBITDA (non-GAAP)</w:t>
            </w:r>
          </w:p>
        </w:tc>
        <w:tc>
          <w:tcPr>
            <w:tcW w:w="5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SBC</w:t>
            </w:r>
          </w:p>
        </w:tc>
        <w:tc>
          <w:tcPr>
            <w:tcW w:w="5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(non-GAAP)</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Results of Operations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unaudited condensed consolidated statements of operations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80" w:type="dxa"/>
            <w:vAlign w:val="bottom"/>
            <w:gridSpan w:val="7"/>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20" w:type="dxa"/>
            <w:vAlign w:val="bottom"/>
            <w:gridSpan w:val="2"/>
          </w:tcPr>
          <w:p>
            <w:pPr>
              <w:ind w:left="240"/>
              <w:spacing w:after="0"/>
              <w:rPr>
                <w:sz w:val="20"/>
                <w:szCs w:val="20"/>
                <w:color w:val="auto"/>
              </w:rPr>
            </w:pPr>
            <w:r>
              <w:rPr>
                <w:rFonts w:ascii="Arial" w:cs="Arial" w:eastAsia="Arial" w:hAnsi="Arial"/>
                <w:sz w:val="18"/>
                <w:szCs w:val="18"/>
                <w:color w:val="auto"/>
              </w:rPr>
              <w:t>Transaction-based revenues</w:t>
            </w:r>
          </w:p>
        </w:tc>
        <w:tc>
          <w:tcPr>
            <w:tcW w:w="840" w:type="dxa"/>
            <w:vAlign w:val="bottom"/>
            <w:gridSpan w:val="2"/>
          </w:tcPr>
          <w:p>
            <w:pPr>
              <w:jc w:val="right"/>
              <w:ind w:right="27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583</w:t>
            </w:r>
          </w:p>
        </w:tc>
        <w:tc>
          <w:tcPr>
            <w:tcW w:w="100" w:type="dxa"/>
            <w:vAlign w:val="bottom"/>
          </w:tcPr>
          <w:p>
            <w:pPr>
              <w:spacing w:after="0"/>
              <w:rPr>
                <w:sz w:val="19"/>
                <w:szCs w:val="19"/>
                <w:color w:val="auto"/>
              </w:rPr>
            </w:pPr>
          </w:p>
        </w:tc>
        <w:tc>
          <w:tcPr>
            <w:tcW w:w="460" w:type="dxa"/>
            <w:vAlign w:val="bottom"/>
          </w:tcPr>
          <w:p>
            <w:pPr>
              <w:jc w:val="right"/>
              <w:ind w:right="255"/>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9"/>
        </w:trPr>
        <w:tc>
          <w:tcPr>
            <w:tcW w:w="8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interest revenues</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revenues</w:t>
            </w:r>
          </w:p>
        </w:tc>
        <w:tc>
          <w:tcPr>
            <w:tcW w:w="3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net revenues</w:t>
            </w:r>
          </w:p>
        </w:tc>
        <w:tc>
          <w:tcPr>
            <w:tcW w:w="3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927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7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20" w:type="dxa"/>
            <w:vAlign w:val="bottom"/>
            <w:gridSpan w:val="2"/>
          </w:tcPr>
          <w:p>
            <w:pPr>
              <w:ind w:left="240"/>
              <w:spacing w:after="0"/>
              <w:rPr>
                <w:sz w:val="20"/>
                <w:szCs w:val="20"/>
                <w:color w:val="auto"/>
              </w:rPr>
            </w:pPr>
            <w:r>
              <w:rPr>
                <w:rFonts w:ascii="Arial" w:cs="Arial" w:eastAsia="Arial" w:hAnsi="Arial"/>
                <w:sz w:val="18"/>
                <w:szCs w:val="18"/>
                <w:color w:val="auto"/>
              </w:rPr>
              <w:t>Brokerage and transaction</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8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8120" w:type="dxa"/>
            <w:vAlign w:val="bottom"/>
            <w:gridSpan w:val="2"/>
          </w:tcPr>
          <w:p>
            <w:pPr>
              <w:ind w:left="240"/>
              <w:spacing w:after="0"/>
              <w:rPr>
                <w:sz w:val="20"/>
                <w:szCs w:val="20"/>
                <w:color w:val="auto"/>
              </w:rPr>
            </w:pPr>
            <w:r>
              <w:rPr>
                <w:rFonts w:ascii="Arial" w:cs="Arial" w:eastAsia="Arial" w:hAnsi="Arial"/>
                <w:sz w:val="18"/>
                <w:szCs w:val="18"/>
                <w:color w:val="auto"/>
              </w:rPr>
              <w:t>Operations</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8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8120" w:type="dxa"/>
            <w:vAlign w:val="bottom"/>
            <w:gridSpan w:val="2"/>
          </w:tcPr>
          <w:p>
            <w:pPr>
              <w:ind w:left="240"/>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105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8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133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557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7"/>
        </w:trPr>
        <w:tc>
          <w:tcPr>
            <w:tcW w:w="340" w:type="dxa"/>
            <w:vAlign w:val="bottom"/>
            <w:shd w:val="clear" w:color="auto" w:fill="CCEEFF"/>
          </w:tcPr>
          <w:p>
            <w:pPr>
              <w:spacing w:after="0"/>
              <w:rPr>
                <w:sz w:val="20"/>
                <w:szCs w:val="20"/>
                <w:color w:val="auto"/>
              </w:rPr>
            </w:pPr>
          </w:p>
        </w:tc>
        <w:tc>
          <w:tcPr>
            <w:tcW w:w="7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8120" w:type="dxa"/>
            <w:vAlign w:val="bottom"/>
            <w:gridSpan w:val="2"/>
          </w:tcPr>
          <w:p>
            <w:pPr>
              <w:ind w:left="240"/>
              <w:spacing w:after="0"/>
              <w:rPr>
                <w:sz w:val="20"/>
                <w:szCs w:val="20"/>
                <w:color w:val="auto"/>
              </w:rPr>
            </w:pPr>
            <w:r>
              <w:rPr>
                <w:rFonts w:ascii="Arial" w:cs="Arial" w:eastAsia="Arial" w:hAnsi="Arial"/>
                <w:sz w:val="18"/>
                <w:szCs w:val="18"/>
                <w:color w:val="auto"/>
              </w:rPr>
              <w:t>Less: Net income (loss) attributable to non-controlling interests</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8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Robinhood</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_______________</w:t>
            </w:r>
          </w:p>
        </w:tc>
        <w:tc>
          <w:tcPr>
            <w:tcW w:w="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2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8120" w:type="dxa"/>
            <w:vAlign w:val="bottom"/>
            <w:gridSpan w:val="2"/>
          </w:tcPr>
          <w:p>
            <w:pPr>
              <w:spacing w:after="0"/>
              <w:rPr>
                <w:sz w:val="20"/>
                <w:szCs w:val="20"/>
                <w:color w:val="auto"/>
              </w:rPr>
            </w:pPr>
            <w:r>
              <w:rPr>
                <w:rFonts w:ascii="Arial" w:cs="Arial" w:eastAsia="Arial" w:hAnsi="Arial"/>
                <w:sz w:val="14"/>
                <w:szCs w:val="14"/>
                <w:color w:val="auto"/>
              </w:rPr>
              <w:t>(1)  Includes SBC expense as follows:</w:t>
            </w: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gridSpan w:val="6"/>
          </w:tcPr>
          <w:p>
            <w:pPr>
              <w:jc w:val="right"/>
              <w:ind w:right="9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77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2026</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7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Brokerage and transaction</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780" w:type="dxa"/>
            <w:vAlign w:val="bottom"/>
          </w:tcPr>
          <w:p>
            <w:pPr>
              <w:ind w:left="220"/>
              <w:spacing w:after="0"/>
              <w:rPr>
                <w:sz w:val="20"/>
                <w:szCs w:val="20"/>
                <w:color w:val="auto"/>
              </w:rPr>
            </w:pPr>
            <w:r>
              <w:rPr>
                <w:rFonts w:ascii="Arial" w:cs="Arial" w:eastAsia="Arial" w:hAnsi="Arial"/>
                <w:sz w:val="18"/>
                <w:szCs w:val="18"/>
                <w:color w:val="auto"/>
              </w:rPr>
              <w:t>Total SBC expense</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Comparison of the Three Months Ended March 31, 2025 and 2026</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1"/>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Transaction-based revenues: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60"/>
              <w:spacing w:after="0"/>
              <w:rPr>
                <w:sz w:val="20"/>
                <w:szCs w:val="20"/>
                <w:color w:val="auto"/>
              </w:rPr>
            </w:pPr>
            <w:r>
              <w:rPr>
                <w:rFonts w:ascii="Arial" w:cs="Arial" w:eastAsia="Arial" w:hAnsi="Arial"/>
                <w:sz w:val="18"/>
                <w:szCs w:val="18"/>
                <w:color w:val="auto"/>
              </w:rPr>
              <w:t>Options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260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Cryptocurrencies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7240" w:type="dxa"/>
            <w:vAlign w:val="bottom"/>
          </w:tcPr>
          <w:p>
            <w:pPr>
              <w:ind w:left="260"/>
              <w:spacing w:after="0"/>
              <w:rPr>
                <w:sz w:val="20"/>
                <w:szCs w:val="20"/>
                <w:color w:val="auto"/>
              </w:rPr>
            </w:pPr>
            <w:r>
              <w:rPr>
                <w:rFonts w:ascii="Arial" w:cs="Arial" w:eastAsia="Arial" w:hAnsi="Arial"/>
                <w:sz w:val="18"/>
                <w:szCs w:val="18"/>
                <w:color w:val="auto"/>
              </w:rPr>
              <w:t>Event contracts</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transaction-based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583</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Transaction-based revenues as a % of total net revenues: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60"/>
              <w:spacing w:after="0"/>
              <w:rPr>
                <w:sz w:val="20"/>
                <w:szCs w:val="20"/>
                <w:color w:val="auto"/>
              </w:rPr>
            </w:pPr>
            <w:r>
              <w:rPr>
                <w:rFonts w:ascii="Arial" w:cs="Arial" w:eastAsia="Arial" w:hAnsi="Arial"/>
                <w:sz w:val="18"/>
                <w:szCs w:val="18"/>
                <w:color w:val="auto"/>
              </w:rPr>
              <w:t>Cryptocurrencies</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Event contracts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Pr>
          <w:p>
            <w:pPr>
              <w:ind w:left="520"/>
              <w:spacing w:after="0"/>
              <w:rPr>
                <w:sz w:val="20"/>
                <w:szCs w:val="20"/>
                <w:color w:val="auto"/>
              </w:rPr>
            </w:pPr>
            <w:r>
              <w:rPr>
                <w:rFonts w:ascii="Arial" w:cs="Arial" w:eastAsia="Arial" w:hAnsi="Arial"/>
                <w:sz w:val="18"/>
                <w:szCs w:val="18"/>
                <w:color w:val="auto"/>
              </w:rPr>
              <w:t>Total transaction-based revenues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Transaction-based revenues increased by $40 million, primarily driven by increases of $101 million in event contracts, $26 million in equities, and $20 million in options, partially offset by a decrease of $118 million in cryptocurrencies.</w:t>
      </w:r>
    </w:p>
    <w:p>
      <w:pPr>
        <w:spacing w:after="0" w:line="11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Event contracts revenues increased primarily due to an acceleration in our prediction markets business, reflecting higher trading activity compared to Q1 2025 when the offering was still in its early stage. The increase was partially offset by a $6 million increase of certain match incentives paid to our customers.</w:t>
      </w:r>
    </w:p>
    <w:p>
      <w:pPr>
        <w:spacing w:after="0" w:line="13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Equities revenues increased as a result of a 45% increase in the average Notional Trading Volume traded per trader and a 2% increase in the number of users placing equity trades. The increase was partially offset by lower equity rebate rates due to the mix of ticker symbols traded as different ticker symbols pay different rebate rates. The increase was partially offset by a $4 million increase of certain match incentives paid to our customers.</w:t>
      </w:r>
    </w:p>
    <w:p>
      <w:pPr>
        <w:spacing w:after="0" w:line="14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Options revenues increased due to a 20% increase in Options Contracts Traded per trader. The increase was partially offset by lower option rebate rates due to the mix of ticker symbols traded as different ticker symbols pay different rebate rates. In addition, the increase was partially offset by a $6 million increase of certain incentives paid to our customers.</w:t>
      </w:r>
    </w:p>
    <w:p>
      <w:pPr>
        <w:spacing w:after="0" w:line="13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Cryptocurrencies revenues decreased primarily due to lower cryptocurrency rebate rates from crypto market makers, a 32% decrease in the number of users placing cryptocurrency trades, and a 22% decrease in the average Notional Trading Volume traded per trader, partially offset by cryptocurrencies revenues benefiting from our acquisition of Bitstamp. In addition, the decrease was partially offset by a $6 million decrease of certain incentives paid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5"/>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7400" w:type="dxa"/>
            <w:vAlign w:val="bottom"/>
            <w:tcBorders>
              <w:bottom w:val="single" w:sz="8" w:color="CCEEFF"/>
            </w:tcBorders>
          </w:tcPr>
          <w:p>
            <w:pPr>
              <w:ind w:left="80"/>
              <w:spacing w:after="0"/>
              <w:rPr>
                <w:sz w:val="20"/>
                <w:szCs w:val="20"/>
                <w:color w:val="auto"/>
              </w:rPr>
            </w:pPr>
            <w:r>
              <w:rPr>
                <w:rFonts w:ascii="Arial" w:cs="Arial" w:eastAsia="Arial" w:hAnsi="Arial"/>
                <w:sz w:val="14"/>
                <w:szCs w:val="14"/>
                <w:i w:val="1"/>
                <w:iCs w:val="1"/>
                <w:color w:val="auto"/>
              </w:rPr>
              <w:t>(in millions, except for percentages)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 Change</w:t>
            </w:r>
          </w:p>
        </w:tc>
      </w:tr>
      <w:tr>
        <w:trPr>
          <w:trHeight w:val="211"/>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revenues: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Margin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193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75 %</w:t>
            </w:r>
          </w:p>
        </w:tc>
      </w:tr>
      <w:tr>
        <w:trPr>
          <w:trHeight w:val="229"/>
        </w:trPr>
        <w:tc>
          <w:tcPr>
            <w:tcW w:w="7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on segregated cash, cash equivalents, securities, and deposits,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7400" w:type="dxa"/>
            <w:vAlign w:val="bottom"/>
          </w:tcPr>
          <w:p>
            <w:pPr>
              <w:ind w:left="260"/>
              <w:spacing w:after="0"/>
              <w:rPr>
                <w:sz w:val="20"/>
                <w:szCs w:val="20"/>
                <w:color w:val="auto"/>
              </w:rPr>
            </w:pPr>
            <w:r>
              <w:rPr>
                <w:rFonts w:ascii="Arial" w:cs="Arial" w:eastAsia="Arial" w:hAnsi="Arial"/>
                <w:sz w:val="18"/>
                <w:szCs w:val="18"/>
                <w:color w:val="auto"/>
              </w:rPr>
              <w:t>Cash Sweep</w:t>
            </w:r>
          </w:p>
        </w:tc>
        <w:tc>
          <w:tcPr>
            <w:tcW w:w="280" w:type="dxa"/>
            <w:vAlign w:val="bottom"/>
          </w:tcPr>
          <w:p>
            <w:pPr>
              <w:spacing w:after="0"/>
              <w:rPr>
                <w:sz w:val="19"/>
                <w:szCs w:val="19"/>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45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on corporate cash and investments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7400" w:type="dxa"/>
            <w:vAlign w:val="bottom"/>
          </w:tcPr>
          <w:p>
            <w:pPr>
              <w:ind w:left="260"/>
              <w:spacing w:after="0"/>
              <w:rPr>
                <w:sz w:val="20"/>
                <w:szCs w:val="20"/>
                <w:color w:val="auto"/>
              </w:rPr>
            </w:pPr>
            <w:r>
              <w:rPr>
                <w:rFonts w:ascii="Arial" w:cs="Arial" w:eastAsia="Arial" w:hAnsi="Arial"/>
                <w:sz w:val="18"/>
                <w:szCs w:val="18"/>
                <w:color w:val="auto"/>
              </w:rPr>
              <w:t>Credit card, net</w:t>
            </w:r>
          </w:p>
        </w:tc>
        <w:tc>
          <w:tcPr>
            <w:tcW w:w="280" w:type="dxa"/>
            <w:vAlign w:val="bottom"/>
          </w:tcPr>
          <w:p>
            <w:pPr>
              <w:spacing w:after="0"/>
              <w:rPr>
                <w:sz w:val="19"/>
                <w:szCs w:val="19"/>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32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220 %</w:t>
            </w:r>
          </w:p>
        </w:tc>
      </w:tr>
      <w:tr>
        <w:trPr>
          <w:trHeight w:val="230"/>
        </w:trPr>
        <w:tc>
          <w:tcPr>
            <w:tcW w:w="7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Securities lending,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7400" w:type="dxa"/>
            <w:vAlign w:val="bottom"/>
          </w:tcPr>
          <w:p>
            <w:pPr>
              <w:ind w:left="260"/>
              <w:spacing w:after="0"/>
              <w:rPr>
                <w:sz w:val="20"/>
                <w:szCs w:val="20"/>
                <w:color w:val="auto"/>
              </w:rPr>
            </w:pPr>
            <w:r>
              <w:rPr>
                <w:rFonts w:ascii="Arial" w:cs="Arial" w:eastAsia="Arial" w:hAnsi="Arial"/>
                <w:sz w:val="18"/>
                <w:szCs w:val="18"/>
                <w:color w:val="auto"/>
              </w:rPr>
              <w:t>Interest expenses related to credit facilities</w:t>
            </w:r>
          </w:p>
        </w:tc>
        <w:tc>
          <w:tcPr>
            <w:tcW w:w="28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33 %</w:t>
            </w:r>
          </w:p>
        </w:tc>
      </w:tr>
      <w:tr>
        <w:trPr>
          <w:trHeight w:val="229"/>
        </w:trPr>
        <w:tc>
          <w:tcPr>
            <w:tcW w:w="7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7400" w:type="dxa"/>
            <w:vAlign w:val="bottom"/>
          </w:tcPr>
          <w:p>
            <w:pPr>
              <w:ind w:left="440"/>
              <w:spacing w:after="0"/>
              <w:rPr>
                <w:sz w:val="20"/>
                <w:szCs w:val="20"/>
                <w:color w:val="auto"/>
              </w:rPr>
            </w:pPr>
            <w:r>
              <w:rPr>
                <w:rFonts w:ascii="Arial" w:cs="Arial" w:eastAsia="Arial" w:hAnsi="Arial"/>
                <w:sz w:val="18"/>
                <w:szCs w:val="18"/>
                <w:color w:val="auto"/>
              </w:rPr>
              <w:t>Total net interest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359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24 %</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197"/>
        </w:trPr>
        <w:tc>
          <w:tcPr>
            <w:tcW w:w="7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interest revenues as a % of total net revenues: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7400" w:type="dxa"/>
            <w:vAlign w:val="bottom"/>
          </w:tcPr>
          <w:p>
            <w:pPr>
              <w:ind w:left="260"/>
              <w:spacing w:after="0"/>
              <w:rPr>
                <w:sz w:val="20"/>
                <w:szCs w:val="20"/>
                <w:color w:val="auto"/>
              </w:rPr>
            </w:pPr>
            <w:r>
              <w:rPr>
                <w:rFonts w:ascii="Arial" w:cs="Arial" w:eastAsia="Arial" w:hAnsi="Arial"/>
                <w:sz w:val="18"/>
                <w:szCs w:val="18"/>
                <w:color w:val="auto"/>
              </w:rPr>
              <w:t>Margin interest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on segregated cash, cash equivalents, securities, and deposits,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Cash Sweep</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on corporate cash and investments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Credit card,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3 %</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Securities lending,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400" w:type="dxa"/>
            <w:vAlign w:val="bottom"/>
          </w:tcPr>
          <w:p>
            <w:pPr>
              <w:ind w:left="260"/>
              <w:spacing w:after="0"/>
              <w:rPr>
                <w:sz w:val="20"/>
                <w:szCs w:val="20"/>
                <w:color w:val="auto"/>
              </w:rPr>
            </w:pPr>
            <w:r>
              <w:rPr>
                <w:rFonts w:ascii="Arial" w:cs="Arial" w:eastAsia="Arial" w:hAnsi="Arial"/>
                <w:sz w:val="18"/>
                <w:szCs w:val="18"/>
                <w:color w:val="auto"/>
              </w:rPr>
              <w:t>Interest expenses related to credit facilities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7400" w:type="dxa"/>
            <w:vAlign w:val="bottom"/>
          </w:tcPr>
          <w:p>
            <w:pPr>
              <w:ind w:left="440"/>
              <w:spacing w:after="0"/>
              <w:rPr>
                <w:sz w:val="20"/>
                <w:szCs w:val="20"/>
                <w:color w:val="auto"/>
              </w:rPr>
            </w:pPr>
            <w:r>
              <w:rPr>
                <w:rFonts w:ascii="Arial" w:cs="Arial" w:eastAsia="Arial" w:hAnsi="Arial"/>
                <w:sz w:val="18"/>
                <w:szCs w:val="18"/>
                <w:color w:val="auto"/>
              </w:rPr>
              <w:t>Total net interest revenues</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80" w:firstLine="243"/>
        <w:spacing w:after="0" w:line="257" w:lineRule="auto"/>
        <w:rPr>
          <w:sz w:val="20"/>
          <w:szCs w:val="20"/>
          <w:color w:val="auto"/>
        </w:rPr>
      </w:pPr>
      <w:r>
        <w:rPr>
          <w:rFonts w:ascii="Arial" w:cs="Arial" w:eastAsia="Arial" w:hAnsi="Arial"/>
          <w:sz w:val="18"/>
          <w:szCs w:val="18"/>
          <w:color w:val="auto"/>
        </w:rPr>
        <w:t>Net interest revenues increased by $69 million, primarily driven by higher margin interest and net credit card interest, due to increased margin borrowers and the growth in our credit card business. The increase was partially offset by a decrease in interest revenue from securities lending activities, driven by lower collateral balances and higher stock loan interest expense as stock loan balances grew, as well as a decrease in interest revenue on corporate cash and investments driven by a lower short-term interest rate environment. We anticipate any potential future rate cuts by the Federal Reserve will negatively impact our net interest revenues and adversely affect our customers’ returns on cash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firstLine="324"/>
        <w:spacing w:after="0" w:line="287" w:lineRule="auto"/>
        <w:rPr>
          <w:sz w:val="20"/>
          <w:szCs w:val="20"/>
          <w:color w:val="auto"/>
        </w:rPr>
      </w:pPr>
      <w:r>
        <w:rPr>
          <w:rFonts w:ascii="Arial" w:cs="Arial" w:eastAsia="Arial" w:hAnsi="Arial"/>
          <w:sz w:val="18"/>
          <w:szCs w:val="18"/>
          <w:color w:val="auto"/>
        </w:rPr>
        <w:t>The following table summarizes interest-earning assets, the revenue generated by these assets, and their respective annualized yields:</w:t>
      </w:r>
    </w:p>
    <w:p>
      <w:pPr>
        <w:spacing w:after="0" w:line="152"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Interest</w:t>
            </w:r>
          </w:p>
        </w:tc>
        <w:tc>
          <w:tcPr>
            <w:tcW w:w="6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3"/>
            <w:vMerge w:val="restart"/>
          </w:tcPr>
          <w:p>
            <w:pPr>
              <w:jc w:val="right"/>
              <w:ind w:right="68"/>
              <w:spacing w:after="0"/>
              <w:rPr>
                <w:sz w:val="20"/>
                <w:szCs w:val="20"/>
                <w:color w:val="auto"/>
              </w:rPr>
            </w:pPr>
            <w:r>
              <w:rPr>
                <w:rFonts w:ascii="Arial" w:cs="Arial" w:eastAsia="Arial" w:hAnsi="Arial"/>
                <w:sz w:val="14"/>
                <w:szCs w:val="14"/>
                <w:color w:val="auto"/>
              </w:rPr>
              <w:t>Margin Book</w:t>
            </w: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Cash and</w:t>
            </w:r>
          </w:p>
        </w:tc>
        <w:tc>
          <w:tcPr>
            <w:tcW w:w="960" w:type="dxa"/>
            <w:vAlign w:val="bottom"/>
            <w:gridSpan w:val="2"/>
          </w:tcPr>
          <w:p>
            <w:pPr>
              <w:jc w:val="right"/>
              <w:ind w:right="49"/>
              <w:spacing w:after="0"/>
              <w:rPr>
                <w:sz w:val="20"/>
                <w:szCs w:val="20"/>
                <w:color w:val="auto"/>
              </w:rPr>
            </w:pPr>
            <w:r>
              <w:rPr>
                <w:rFonts w:ascii="Arial" w:cs="Arial" w:eastAsia="Arial" w:hAnsi="Arial"/>
                <w:sz w:val="14"/>
                <w:szCs w:val="14"/>
                <w:color w:val="auto"/>
              </w:rPr>
              <w:t>Cash Sweep</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vertAlign w:val="subscript"/>
              </w:rPr>
              <w:t>(2)</w:t>
            </w:r>
            <w:r>
              <w:rPr>
                <w:rFonts w:ascii="Arial" w:cs="Arial" w:eastAsia="Arial" w:hAnsi="Arial"/>
                <w:sz w:val="14"/>
                <w:szCs w:val="14"/>
                <w:b w:val="1"/>
                <w:bCs w:val="1"/>
                <w:color w:val="auto"/>
              </w:rPr>
              <w:t>Total interest-</w:t>
            </w: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Securities</w:t>
            </w:r>
          </w:p>
        </w:tc>
        <w:tc>
          <w:tcPr>
            <w:tcW w:w="160" w:type="dxa"/>
            <w:vAlign w:val="bottom"/>
          </w:tcPr>
          <w:p>
            <w:pPr>
              <w:spacing w:after="0"/>
              <w:rPr>
                <w:sz w:val="18"/>
                <w:szCs w:val="18"/>
                <w:color w:val="auto"/>
              </w:rPr>
            </w:pPr>
          </w:p>
        </w:tc>
        <w:tc>
          <w:tcPr>
            <w:tcW w:w="840" w:type="dxa"/>
            <w:vAlign w:val="bottom"/>
          </w:tcPr>
          <w:p>
            <w:pPr>
              <w:ind w:left="40"/>
              <w:spacing w:after="0"/>
              <w:rPr>
                <w:sz w:val="20"/>
                <w:szCs w:val="20"/>
                <w:color w:val="auto"/>
              </w:rPr>
            </w:pPr>
            <w:r>
              <w:rPr>
                <w:rFonts w:ascii="Arial" w:cs="Arial" w:eastAsia="Arial" w:hAnsi="Arial"/>
                <w:sz w:val="14"/>
                <w:szCs w:val="14"/>
                <w:color w:val="auto"/>
              </w:rPr>
              <w:t>expenses</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Arial" w:cs="Arial" w:eastAsia="Arial" w:hAnsi="Arial"/>
                <w:sz w:val="14"/>
                <w:szCs w:val="14"/>
                <w:b w:val="1"/>
                <w:bCs w:val="1"/>
                <w:color w:val="auto"/>
                <w:w w:val="99"/>
              </w:rPr>
              <w:t>Total net</w:t>
            </w:r>
          </w:p>
        </w:tc>
        <w:tc>
          <w:tcPr>
            <w:tcW w:w="0" w:type="dxa"/>
            <w:vAlign w:val="bottom"/>
          </w:tcPr>
          <w:p>
            <w:pPr>
              <w:spacing w:after="0"/>
              <w:rPr>
                <w:sz w:val="1"/>
                <w:szCs w:val="1"/>
                <w:color w:val="auto"/>
              </w:rPr>
            </w:pPr>
          </w:p>
        </w:tc>
      </w:tr>
      <w:tr>
        <w:trPr>
          <w:trHeight w:val="135"/>
        </w:trPr>
        <w:tc>
          <w:tcPr>
            <w:tcW w:w="1960" w:type="dxa"/>
            <w:vAlign w:val="bottom"/>
            <w:gridSpan w:val="2"/>
            <w:vMerge w:val="restart"/>
          </w:tcPr>
          <w:p>
            <w:pPr>
              <w:jc w:val="right"/>
              <w:ind w:right="208"/>
              <w:spacing w:after="0"/>
              <w:rPr>
                <w:sz w:val="20"/>
                <w:szCs w:val="20"/>
                <w:color w:val="auto"/>
              </w:rPr>
            </w:pPr>
            <w:r>
              <w:rPr>
                <w:rFonts w:ascii="Arial" w:cs="Arial" w:eastAsia="Arial" w:hAnsi="Arial"/>
                <w:sz w:val="14"/>
                <w:szCs w:val="14"/>
                <w:i w:val="1"/>
                <w:iCs w:val="1"/>
                <w:color w:val="auto"/>
              </w:rPr>
              <w:t>(in millions, except for</w:t>
            </w:r>
          </w:p>
        </w:tc>
        <w:tc>
          <w:tcPr>
            <w:tcW w:w="9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48"/>
              <w:spacing w:after="0" w:line="135" w:lineRule="exact"/>
              <w:rPr>
                <w:sz w:val="20"/>
                <w:szCs w:val="20"/>
                <w:color w:val="auto"/>
              </w:rPr>
            </w:pPr>
            <w:r>
              <w:rPr>
                <w:rFonts w:ascii="Arial" w:cs="Arial" w:eastAsia="Arial" w:hAnsi="Arial"/>
                <w:sz w:val="14"/>
                <w:szCs w:val="14"/>
                <w:color w:val="auto"/>
              </w:rPr>
              <w:t>deposits</w:t>
            </w:r>
            <w:r>
              <w:rPr>
                <w:rFonts w:ascii="Arial" w:cs="Arial" w:eastAsia="Arial" w:hAnsi="Arial"/>
                <w:sz w:val="9"/>
                <w:szCs w:val="9"/>
                <w:color w:val="auto"/>
              </w:rPr>
              <w:t>(1)</w:t>
            </w:r>
          </w:p>
        </w:tc>
        <w:tc>
          <w:tcPr>
            <w:tcW w:w="1880" w:type="dxa"/>
            <w:vAlign w:val="bottom"/>
            <w:gridSpan w:val="4"/>
          </w:tcPr>
          <w:p>
            <w:pPr>
              <w:ind w:left="60"/>
              <w:spacing w:after="0" w:line="135" w:lineRule="exact"/>
              <w:rPr>
                <w:sz w:val="20"/>
                <w:szCs w:val="20"/>
                <w:color w:val="auto"/>
              </w:rPr>
            </w:pPr>
            <w:r>
              <w:rPr>
                <w:rFonts w:ascii="Arial" w:cs="Arial" w:eastAsia="Arial" w:hAnsi="Arial"/>
                <w:sz w:val="14"/>
                <w:szCs w:val="14"/>
                <w:color w:val="auto"/>
              </w:rPr>
              <w:t>(off-balance Credit card, net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earning</w:t>
            </w:r>
          </w:p>
        </w:tc>
        <w:tc>
          <w:tcPr>
            <w:tcW w:w="100" w:type="dxa"/>
            <w:vAlign w:val="bottom"/>
          </w:tcPr>
          <w:p>
            <w:pPr>
              <w:spacing w:after="0"/>
              <w:rPr>
                <w:sz w:val="11"/>
                <w:szCs w:val="11"/>
                <w:color w:val="auto"/>
              </w:rPr>
            </w:pPr>
          </w:p>
        </w:tc>
        <w:tc>
          <w:tcPr>
            <w:tcW w:w="840" w:type="dxa"/>
            <w:vAlign w:val="bottom"/>
          </w:tcPr>
          <w:p>
            <w:pPr>
              <w:jc w:val="right"/>
              <w:ind w:right="8"/>
              <w:spacing w:after="0" w:line="135" w:lineRule="exact"/>
              <w:rPr>
                <w:sz w:val="20"/>
                <w:szCs w:val="20"/>
                <w:color w:val="auto"/>
              </w:rPr>
            </w:pPr>
            <w:r>
              <w:rPr>
                <w:rFonts w:ascii="Arial" w:cs="Arial" w:eastAsia="Arial" w:hAnsi="Arial"/>
                <w:sz w:val="14"/>
                <w:szCs w:val="14"/>
                <w:color w:val="auto"/>
              </w:rPr>
              <w:t>lending, net</w:t>
            </w:r>
          </w:p>
        </w:tc>
        <w:tc>
          <w:tcPr>
            <w:tcW w:w="16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4"/>
                <w:szCs w:val="14"/>
                <w:color w:val="auto"/>
              </w:rPr>
              <w:t>related to</w:t>
            </w:r>
          </w:p>
        </w:tc>
        <w:tc>
          <w:tcPr>
            <w:tcW w:w="6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170"/>
              <w:spacing w:after="0" w:line="135"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95"/>
        </w:trPr>
        <w:tc>
          <w:tcPr>
            <w:tcW w:w="19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jc w:val="right"/>
              <w:ind w:right="169"/>
              <w:spacing w:after="0" w:line="95" w:lineRule="exact"/>
              <w:rPr>
                <w:sz w:val="20"/>
                <w:szCs w:val="20"/>
                <w:color w:val="auto"/>
              </w:rPr>
            </w:pPr>
            <w:r>
              <w:rPr>
                <w:rFonts w:ascii="Arial" w:cs="Arial" w:eastAsia="Arial" w:hAnsi="Arial"/>
                <w:sz w:val="10"/>
                <w:szCs w:val="10"/>
                <w:color w:val="auto"/>
              </w:rPr>
              <w:t>sheet)</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tcPr>
          <w:p>
            <w:pPr>
              <w:jc w:val="center"/>
              <w:ind w:right="260"/>
              <w:spacing w:after="0" w:line="95" w:lineRule="exact"/>
              <w:rPr>
                <w:sz w:val="20"/>
                <w:szCs w:val="20"/>
                <w:color w:val="auto"/>
              </w:rPr>
            </w:pPr>
            <w:r>
              <w:rPr>
                <w:rFonts w:ascii="Arial" w:cs="Arial" w:eastAsia="Arial" w:hAnsi="Arial"/>
                <w:sz w:val="10"/>
                <w:szCs w:val="10"/>
                <w:b w:val="1"/>
                <w:bCs w:val="1"/>
                <w:color w:val="auto"/>
              </w:rPr>
              <w:t>assets</w:t>
            </w: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ind w:left="180"/>
              <w:spacing w:after="0" w:line="95" w:lineRule="exact"/>
              <w:rPr>
                <w:sz w:val="20"/>
                <w:szCs w:val="20"/>
                <w:color w:val="auto"/>
              </w:rPr>
            </w:pPr>
            <w:r>
              <w:rPr>
                <w:rFonts w:ascii="Arial" w:cs="Arial" w:eastAsia="Arial" w:hAnsi="Arial"/>
                <w:sz w:val="10"/>
                <w:szCs w:val="10"/>
                <w:color w:val="auto"/>
              </w:rPr>
              <w:t>credit</w:t>
            </w: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jc w:val="right"/>
              <w:ind w:right="110"/>
              <w:spacing w:after="0" w:line="95" w:lineRule="exact"/>
              <w:rPr>
                <w:sz w:val="20"/>
                <w:szCs w:val="20"/>
                <w:color w:val="auto"/>
              </w:rPr>
            </w:pPr>
            <w:r>
              <w:rPr>
                <w:rFonts w:ascii="Arial" w:cs="Arial" w:eastAsia="Arial" w:hAnsi="Arial"/>
                <w:sz w:val="10"/>
                <w:szCs w:val="10"/>
                <w:b w:val="1"/>
                <w:bCs w:val="1"/>
                <w:color w:val="auto"/>
              </w:rPr>
              <w:t>revenues</w:t>
            </w:r>
          </w:p>
        </w:tc>
        <w:tc>
          <w:tcPr>
            <w:tcW w:w="0" w:type="dxa"/>
            <w:vAlign w:val="bottom"/>
          </w:tcPr>
          <w:p>
            <w:pPr>
              <w:spacing w:after="0"/>
              <w:rPr>
                <w:sz w:val="1"/>
                <w:szCs w:val="1"/>
                <w:color w:val="auto"/>
              </w:rPr>
            </w:pPr>
          </w:p>
        </w:tc>
      </w:tr>
      <w:tr>
        <w:trPr>
          <w:trHeight w:val="189"/>
        </w:trPr>
        <w:tc>
          <w:tcPr>
            <w:tcW w:w="162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i w:val="1"/>
                <w:iCs w:val="1"/>
                <w:color w:val="auto"/>
              </w:rPr>
              <w:t>annualized yield)</w:t>
            </w:r>
          </w:p>
        </w:tc>
        <w:tc>
          <w:tcPr>
            <w:tcW w:w="3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facilities</w:t>
            </w:r>
            <w:r>
              <w:rPr>
                <w:rFonts w:ascii="Arial" w:cs="Arial" w:eastAsia="Arial" w:hAnsi="Arial"/>
                <w:sz w:val="9"/>
                <w:szCs w:val="9"/>
                <w:color w:val="auto"/>
              </w:rPr>
              <w:t>(5)</w:t>
            </w: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March</w:t>
            </w: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b w:val="1"/>
                <w:bCs w:val="1"/>
                <w:color w:val="auto"/>
                <w:w w:val="91"/>
              </w:rPr>
              <w:t>31, 2026</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620" w:type="dxa"/>
            <w:vAlign w:val="bottom"/>
          </w:tcPr>
          <w:p>
            <w:pPr>
              <w:jc w:val="right"/>
              <w:spacing w:after="0"/>
              <w:rPr>
                <w:sz w:val="20"/>
                <w:szCs w:val="20"/>
                <w:color w:val="auto"/>
              </w:rPr>
            </w:pPr>
            <w:r>
              <w:rPr>
                <w:rFonts w:ascii="Arial" w:cs="Arial" w:eastAsia="Arial" w:hAnsi="Arial"/>
                <w:sz w:val="14"/>
                <w:szCs w:val="14"/>
                <w:color w:val="auto"/>
              </w:rPr>
              <w:t>March 31,</w:t>
            </w:r>
          </w:p>
        </w:tc>
        <w:tc>
          <w:tcPr>
            <w:tcW w:w="340" w:type="dxa"/>
            <w:vAlign w:val="bottom"/>
          </w:tcPr>
          <w:p>
            <w:pPr>
              <w:jc w:val="right"/>
              <w:spacing w:after="0"/>
              <w:rPr>
                <w:sz w:val="20"/>
                <w:szCs w:val="20"/>
                <w:color w:val="auto"/>
              </w:rPr>
            </w:pPr>
            <w:r>
              <w:rPr>
                <w:rFonts w:ascii="Arial" w:cs="Arial" w:eastAsia="Arial" w:hAnsi="Arial"/>
                <w:sz w:val="14"/>
                <w:szCs w:val="14"/>
                <w:color w:val="auto"/>
              </w:rPr>
              <w:t>2026</w:t>
            </w:r>
          </w:p>
        </w:tc>
        <w:tc>
          <w:tcPr>
            <w:tcW w:w="2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16,953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16,669</w:t>
            </w:r>
          </w:p>
        </w:tc>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26,023</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1,132</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auto"/>
              </w:rPr>
              <w:t>60,777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31,</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16,823</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10,995</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32,786</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61,644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gridSpan w:val="2"/>
          </w:tcPr>
          <w:p>
            <w:pPr>
              <w:jc w:val="right"/>
              <w:spacing w:after="0" w:line="202" w:lineRule="exact"/>
              <w:rPr>
                <w:sz w:val="20"/>
                <w:szCs w:val="20"/>
                <w:color w:val="auto"/>
              </w:rPr>
            </w:pPr>
            <w:r>
              <w:rPr>
                <w:rFonts w:ascii="Arial" w:cs="Arial" w:eastAsia="Arial" w:hAnsi="Arial"/>
                <w:sz w:val="14"/>
                <w:szCs w:val="14"/>
                <w:color w:val="auto"/>
              </w:rPr>
              <w:t>Average</w:t>
            </w:r>
            <w:r>
              <w:rPr>
                <w:rFonts w:ascii="Arial" w:cs="Arial" w:eastAsia="Arial" w:hAnsi="Arial"/>
                <w:sz w:val="18"/>
                <w:szCs w:val="18"/>
                <w:color w:val="auto"/>
                <w:vertAlign w:val="superscript"/>
              </w:rPr>
              <w:t>(3)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17,344</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13,974</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29,019</w:t>
            </w:r>
          </w:p>
        </w:tc>
        <w:tc>
          <w:tcPr>
            <w:tcW w:w="3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1,084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auto"/>
              </w:rPr>
              <w:t>61,421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4"/>
            <w:shd w:val="clear" w:color="auto" w:fill="CCEEFF"/>
          </w:tcPr>
          <w:p>
            <w:pPr>
              <w:jc w:val="right"/>
              <w:ind w:right="88"/>
              <w:spacing w:after="0"/>
              <w:rPr>
                <w:sz w:val="20"/>
                <w:szCs w:val="20"/>
                <w:color w:val="auto"/>
              </w:rPr>
            </w:pPr>
            <w:r>
              <w:rPr>
                <w:rFonts w:ascii="Arial" w:cs="Arial" w:eastAsia="Arial" w:hAnsi="Arial"/>
                <w:sz w:val="14"/>
                <w:szCs w:val="14"/>
                <w:color w:val="auto"/>
              </w:rPr>
              <w:t>Revenue (expense)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254"/>
        </w:trPr>
        <w:tc>
          <w:tcPr>
            <w:tcW w:w="1960" w:type="dxa"/>
            <w:vAlign w:val="bottom"/>
            <w:gridSpan w:val="2"/>
          </w:tcPr>
          <w:p>
            <w:pPr>
              <w:jc w:val="right"/>
              <w:spacing w:after="0"/>
              <w:rPr>
                <w:sz w:val="20"/>
                <w:szCs w:val="20"/>
                <w:color w:val="auto"/>
              </w:rPr>
            </w:pPr>
            <w:r>
              <w:rPr>
                <w:rFonts w:ascii="Arial" w:cs="Arial" w:eastAsia="Arial" w:hAnsi="Arial"/>
                <w:sz w:val="14"/>
                <w:szCs w:val="14"/>
                <w:color w:val="auto"/>
              </w:rPr>
              <w:t>Annualized yield</w:t>
            </w:r>
            <w:r>
              <w:rPr>
                <w:rFonts w:ascii="Arial" w:cs="Arial" w:eastAsia="Arial" w:hAnsi="Arial"/>
                <w:sz w:val="18"/>
                <w:szCs w:val="18"/>
                <w:color w:val="auto"/>
                <w:vertAlign w:val="superscript"/>
              </w:rPr>
              <w:t>(4)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4.45%</w:t>
            </w:r>
          </w:p>
        </w:tc>
        <w:tc>
          <w:tcPr>
            <w:tcW w:w="1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2.63%</w:t>
            </w:r>
          </w:p>
        </w:tc>
        <w:tc>
          <w:tcPr>
            <w:tcW w:w="22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0.62%</w:t>
            </w:r>
          </w:p>
        </w:tc>
        <w:tc>
          <w:tcPr>
            <w:tcW w:w="34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11.81 %</w:t>
            </w:r>
          </w:p>
        </w:tc>
        <w:tc>
          <w:tcPr>
            <w:tcW w:w="160" w:type="dxa"/>
            <w:vAlign w:val="bottom"/>
          </w:tcPr>
          <w:p>
            <w:pPr>
              <w:spacing w:after="0"/>
              <w:rPr>
                <w:sz w:val="22"/>
                <w:szCs w:val="22"/>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b w:val="1"/>
                <w:bCs w:val="1"/>
                <w:color w:val="auto"/>
              </w:rPr>
              <w:t>2.36%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b w:val="1"/>
                <w:bCs w:val="1"/>
                <w:color w:val="auto"/>
              </w:rPr>
              <w:t>2.34%</w:t>
            </w:r>
          </w:p>
        </w:tc>
        <w:tc>
          <w:tcPr>
            <w:tcW w:w="0" w:type="dxa"/>
            <w:vAlign w:val="bottom"/>
          </w:tcPr>
          <w:p>
            <w:pPr>
              <w:spacing w:after="0"/>
              <w:rPr>
                <w:sz w:val="1"/>
                <w:szCs w:val="1"/>
                <w:color w:val="auto"/>
              </w:rPr>
            </w:pPr>
          </w:p>
        </w:tc>
      </w:tr>
      <w:tr>
        <w:trPr>
          <w:trHeight w:val="205"/>
        </w:trPr>
        <w:tc>
          <w:tcPr>
            <w:tcW w:w="2920" w:type="dxa"/>
            <w:vAlign w:val="bottom"/>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December 31, 2025</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20" w:type="dxa"/>
            <w:vAlign w:val="bottom"/>
          </w:tcPr>
          <w:p>
            <w:pPr>
              <w:jc w:val="right"/>
              <w:spacing w:after="0"/>
              <w:rPr>
                <w:sz w:val="20"/>
                <w:szCs w:val="20"/>
                <w:color w:val="auto"/>
              </w:rPr>
            </w:pPr>
            <w:r>
              <w:rPr>
                <w:rFonts w:ascii="Arial" w:cs="Arial" w:eastAsia="Arial" w:hAnsi="Arial"/>
                <w:sz w:val="14"/>
                <w:szCs w:val="14"/>
                <w:color w:val="auto"/>
              </w:rPr>
              <w:t>December 31,</w:t>
            </w:r>
          </w:p>
        </w:tc>
        <w:tc>
          <w:tcPr>
            <w:tcW w:w="340" w:type="dxa"/>
            <w:vAlign w:val="bottom"/>
          </w:tcPr>
          <w:p>
            <w:pPr>
              <w:jc w:val="right"/>
              <w:spacing w:after="0"/>
              <w:rPr>
                <w:sz w:val="20"/>
                <w:szCs w:val="20"/>
                <w:color w:val="auto"/>
              </w:rPr>
            </w:pPr>
            <w:r>
              <w:rPr>
                <w:rFonts w:ascii="Arial" w:cs="Arial" w:eastAsia="Arial" w:hAnsi="Arial"/>
                <w:sz w:val="14"/>
                <w:szCs w:val="14"/>
                <w:color w:val="auto"/>
              </w:rPr>
              <w:t>2025</w:t>
            </w:r>
          </w:p>
        </w:tc>
        <w:tc>
          <w:tcPr>
            <w:tcW w:w="2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16,823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10,995</w:t>
            </w:r>
          </w:p>
        </w:tc>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32,786</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1,040</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auto"/>
              </w:rPr>
              <w:t>61,644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September 30,</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13,938</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14,352</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35,370</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64,402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gridSpan w:val="2"/>
          </w:tcPr>
          <w:p>
            <w:pPr>
              <w:jc w:val="right"/>
              <w:spacing w:after="0" w:line="202" w:lineRule="exact"/>
              <w:rPr>
                <w:sz w:val="20"/>
                <w:szCs w:val="20"/>
                <w:color w:val="auto"/>
              </w:rPr>
            </w:pPr>
            <w:r>
              <w:rPr>
                <w:rFonts w:ascii="Arial" w:cs="Arial" w:eastAsia="Arial" w:hAnsi="Arial"/>
                <w:sz w:val="14"/>
                <w:szCs w:val="14"/>
                <w:color w:val="auto"/>
              </w:rPr>
              <w:t>Average</w:t>
            </w:r>
            <w:r>
              <w:rPr>
                <w:rFonts w:ascii="Arial" w:cs="Arial" w:eastAsia="Arial" w:hAnsi="Arial"/>
                <w:sz w:val="18"/>
                <w:szCs w:val="18"/>
                <w:color w:val="auto"/>
                <w:vertAlign w:val="superscript"/>
              </w:rPr>
              <w:t>(3)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16,027</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13,048</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33,721</w:t>
            </w:r>
          </w:p>
        </w:tc>
        <w:tc>
          <w:tcPr>
            <w:tcW w:w="3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auto"/>
              </w:rPr>
              <w:t>63,697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4"/>
            <w:shd w:val="clear" w:color="auto" w:fill="CCEEFF"/>
          </w:tcPr>
          <w:p>
            <w:pPr>
              <w:jc w:val="right"/>
              <w:ind w:right="88"/>
              <w:spacing w:after="0"/>
              <w:rPr>
                <w:sz w:val="20"/>
                <w:szCs w:val="20"/>
                <w:color w:val="auto"/>
              </w:rPr>
            </w:pPr>
            <w:r>
              <w:rPr>
                <w:rFonts w:ascii="Arial" w:cs="Arial" w:eastAsia="Arial" w:hAnsi="Arial"/>
                <w:sz w:val="14"/>
                <w:szCs w:val="14"/>
                <w:color w:val="auto"/>
              </w:rPr>
              <w:t>Revenue (expense)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393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411</w:t>
            </w:r>
          </w:p>
        </w:tc>
        <w:tc>
          <w:tcPr>
            <w:tcW w:w="0" w:type="dxa"/>
            <w:vAlign w:val="bottom"/>
          </w:tcPr>
          <w:p>
            <w:pPr>
              <w:spacing w:after="0"/>
              <w:rPr>
                <w:sz w:val="1"/>
                <w:szCs w:val="1"/>
                <w:color w:val="auto"/>
              </w:rPr>
            </w:pPr>
          </w:p>
        </w:tc>
      </w:tr>
      <w:tr>
        <w:trPr>
          <w:trHeight w:val="254"/>
        </w:trPr>
        <w:tc>
          <w:tcPr>
            <w:tcW w:w="1960" w:type="dxa"/>
            <w:vAlign w:val="bottom"/>
            <w:gridSpan w:val="2"/>
          </w:tcPr>
          <w:p>
            <w:pPr>
              <w:jc w:val="right"/>
              <w:spacing w:after="0"/>
              <w:rPr>
                <w:sz w:val="20"/>
                <w:szCs w:val="20"/>
                <w:color w:val="auto"/>
              </w:rPr>
            </w:pPr>
            <w:r>
              <w:rPr>
                <w:rFonts w:ascii="Arial" w:cs="Arial" w:eastAsia="Arial" w:hAnsi="Arial"/>
                <w:sz w:val="14"/>
                <w:szCs w:val="14"/>
                <w:color w:val="auto"/>
              </w:rPr>
              <w:t>Annualized yield</w:t>
            </w:r>
            <w:r>
              <w:rPr>
                <w:rFonts w:ascii="Arial" w:cs="Arial" w:eastAsia="Arial" w:hAnsi="Arial"/>
                <w:sz w:val="18"/>
                <w:szCs w:val="18"/>
                <w:color w:val="auto"/>
                <w:vertAlign w:val="superscript"/>
              </w:rPr>
              <w:t>(4)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4.89%</w:t>
            </w:r>
          </w:p>
        </w:tc>
        <w:tc>
          <w:tcPr>
            <w:tcW w:w="1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3.56%</w:t>
            </w:r>
          </w:p>
        </w:tc>
        <w:tc>
          <w:tcPr>
            <w:tcW w:w="22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0.68%</w:t>
            </w:r>
          </w:p>
        </w:tc>
        <w:tc>
          <w:tcPr>
            <w:tcW w:w="34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10.65 %</w:t>
            </w:r>
          </w:p>
        </w:tc>
        <w:tc>
          <w:tcPr>
            <w:tcW w:w="160" w:type="dxa"/>
            <w:vAlign w:val="bottom"/>
          </w:tcPr>
          <w:p>
            <w:pPr>
              <w:spacing w:after="0"/>
              <w:rPr>
                <w:sz w:val="22"/>
                <w:szCs w:val="22"/>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b w:val="1"/>
                <w:bCs w:val="1"/>
                <w:color w:val="auto"/>
              </w:rPr>
              <w:t>2.48%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b w:val="1"/>
                <w:bCs w:val="1"/>
                <w:color w:val="auto"/>
              </w:rPr>
              <w:t>2.58%</w:t>
            </w:r>
          </w:p>
        </w:tc>
        <w:tc>
          <w:tcPr>
            <w:tcW w:w="0" w:type="dxa"/>
            <w:vAlign w:val="bottom"/>
          </w:tcPr>
          <w:p>
            <w:pPr>
              <w:spacing w:after="0"/>
              <w:rPr>
                <w:sz w:val="1"/>
                <w:szCs w:val="1"/>
                <w:color w:val="auto"/>
              </w:rPr>
            </w:pPr>
          </w:p>
        </w:tc>
      </w:tr>
      <w:tr>
        <w:trPr>
          <w:trHeight w:val="205"/>
        </w:trPr>
        <w:tc>
          <w:tcPr>
            <w:tcW w:w="2920" w:type="dxa"/>
            <w:vAlign w:val="bottom"/>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March 31, 2025</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20" w:type="dxa"/>
            <w:vAlign w:val="bottom"/>
          </w:tcPr>
          <w:p>
            <w:pPr>
              <w:jc w:val="right"/>
              <w:spacing w:after="0"/>
              <w:rPr>
                <w:sz w:val="20"/>
                <w:szCs w:val="20"/>
                <w:color w:val="auto"/>
              </w:rPr>
            </w:pPr>
            <w:r>
              <w:rPr>
                <w:rFonts w:ascii="Arial" w:cs="Arial" w:eastAsia="Arial" w:hAnsi="Arial"/>
                <w:sz w:val="14"/>
                <w:szCs w:val="14"/>
                <w:color w:val="auto"/>
              </w:rPr>
              <w:t>March 31,</w:t>
            </w:r>
          </w:p>
        </w:tc>
        <w:tc>
          <w:tcPr>
            <w:tcW w:w="340" w:type="dxa"/>
            <w:vAlign w:val="bottom"/>
          </w:tcPr>
          <w:p>
            <w:pPr>
              <w:jc w:val="right"/>
              <w:spacing w:after="0"/>
              <w:rPr>
                <w:sz w:val="20"/>
                <w:szCs w:val="20"/>
                <w:color w:val="auto"/>
              </w:rPr>
            </w:pPr>
            <w:r>
              <w:rPr>
                <w:rFonts w:ascii="Arial" w:cs="Arial" w:eastAsia="Arial" w:hAnsi="Arial"/>
                <w:sz w:val="14"/>
                <w:szCs w:val="14"/>
                <w:color w:val="auto"/>
              </w:rPr>
              <w:t>2025</w:t>
            </w:r>
          </w:p>
        </w:tc>
        <w:tc>
          <w:tcPr>
            <w:tcW w:w="2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8,802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9,763</w:t>
            </w:r>
          </w:p>
        </w:tc>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28,187</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429</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auto"/>
              </w:rPr>
              <w:t>47,181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31,</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7,909</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9,943</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26,064</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44,307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gridSpan w:val="2"/>
          </w:tcPr>
          <w:p>
            <w:pPr>
              <w:jc w:val="right"/>
              <w:spacing w:after="0" w:line="202" w:lineRule="exact"/>
              <w:rPr>
                <w:sz w:val="20"/>
                <w:szCs w:val="20"/>
                <w:color w:val="auto"/>
              </w:rPr>
            </w:pPr>
            <w:r>
              <w:rPr>
                <w:rFonts w:ascii="Arial" w:cs="Arial" w:eastAsia="Arial" w:hAnsi="Arial"/>
                <w:sz w:val="14"/>
                <w:szCs w:val="14"/>
                <w:color w:val="auto"/>
              </w:rPr>
              <w:t>Average</w:t>
            </w:r>
            <w:r>
              <w:rPr>
                <w:rFonts w:ascii="Arial" w:cs="Arial" w:eastAsia="Arial" w:hAnsi="Arial"/>
                <w:sz w:val="18"/>
                <w:szCs w:val="18"/>
                <w:color w:val="auto"/>
                <w:vertAlign w:val="superscript"/>
              </w:rPr>
              <w:t>(3)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8,449</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10,070</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26,717</w:t>
            </w:r>
          </w:p>
        </w:tc>
        <w:tc>
          <w:tcPr>
            <w:tcW w:w="3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auto"/>
              </w:rPr>
              <w:t>45,638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40" w:type="dxa"/>
            <w:vAlign w:val="bottom"/>
            <w:gridSpan w:val="4"/>
            <w:shd w:val="clear" w:color="auto" w:fill="CCEEFF"/>
          </w:tcPr>
          <w:p>
            <w:pPr>
              <w:jc w:val="right"/>
              <w:ind w:right="88"/>
              <w:spacing w:after="0"/>
              <w:rPr>
                <w:sz w:val="20"/>
                <w:szCs w:val="20"/>
                <w:color w:val="auto"/>
              </w:rPr>
            </w:pPr>
            <w:r>
              <w:rPr>
                <w:rFonts w:ascii="Arial" w:cs="Arial" w:eastAsia="Arial" w:hAnsi="Arial"/>
                <w:sz w:val="14"/>
                <w:szCs w:val="14"/>
                <w:color w:val="auto"/>
              </w:rPr>
              <w:t>Revenue (expense)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273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290</w:t>
            </w:r>
          </w:p>
        </w:tc>
        <w:tc>
          <w:tcPr>
            <w:tcW w:w="0" w:type="dxa"/>
            <w:vAlign w:val="bottom"/>
          </w:tcPr>
          <w:p>
            <w:pPr>
              <w:spacing w:after="0"/>
              <w:rPr>
                <w:sz w:val="1"/>
                <w:szCs w:val="1"/>
                <w:color w:val="auto"/>
              </w:rPr>
            </w:pPr>
          </w:p>
        </w:tc>
      </w:tr>
      <w:tr>
        <w:trPr>
          <w:trHeight w:val="252"/>
        </w:trPr>
        <w:tc>
          <w:tcPr>
            <w:tcW w:w="1960" w:type="dxa"/>
            <w:vAlign w:val="bottom"/>
            <w:gridSpan w:val="2"/>
          </w:tcPr>
          <w:p>
            <w:pPr>
              <w:jc w:val="right"/>
              <w:spacing w:after="0"/>
              <w:rPr>
                <w:sz w:val="20"/>
                <w:szCs w:val="20"/>
                <w:color w:val="auto"/>
              </w:rPr>
            </w:pPr>
            <w:r>
              <w:rPr>
                <w:rFonts w:ascii="Arial" w:cs="Arial" w:eastAsia="Arial" w:hAnsi="Arial"/>
                <w:sz w:val="14"/>
                <w:szCs w:val="14"/>
                <w:color w:val="auto"/>
              </w:rPr>
              <w:t>Annualized yield</w:t>
            </w:r>
            <w:r>
              <w:rPr>
                <w:rFonts w:ascii="Arial" w:cs="Arial" w:eastAsia="Arial" w:hAnsi="Arial"/>
                <w:sz w:val="18"/>
                <w:szCs w:val="18"/>
                <w:color w:val="auto"/>
                <w:vertAlign w:val="superscript"/>
              </w:rPr>
              <w:t>(4)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5.21%</w:t>
            </w:r>
          </w:p>
        </w:tc>
        <w:tc>
          <w:tcPr>
            <w:tcW w:w="1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4.17%</w:t>
            </w:r>
          </w:p>
        </w:tc>
        <w:tc>
          <w:tcPr>
            <w:tcW w:w="220" w:type="dxa"/>
            <w:vAlign w:val="bottom"/>
          </w:tcPr>
          <w:p>
            <w:pPr>
              <w:spacing w:after="0"/>
              <w:rPr>
                <w:sz w:val="21"/>
                <w:szCs w:val="21"/>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0.72%</w:t>
            </w:r>
          </w:p>
        </w:tc>
        <w:tc>
          <w:tcPr>
            <w:tcW w:w="340" w:type="dxa"/>
            <w:vAlign w:val="bottom"/>
          </w:tcPr>
          <w:p>
            <w:pPr>
              <w:spacing w:after="0"/>
              <w:rPr>
                <w:sz w:val="21"/>
                <w:szCs w:val="21"/>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4"/>
                <w:szCs w:val="14"/>
                <w:color w:val="auto"/>
              </w:rPr>
              <w:t>9.95%</w:t>
            </w:r>
          </w:p>
        </w:tc>
        <w:tc>
          <w:tcPr>
            <w:tcW w:w="160" w:type="dxa"/>
            <w:vAlign w:val="bottom"/>
          </w:tcPr>
          <w:p>
            <w:pPr>
              <w:spacing w:after="0"/>
              <w:rPr>
                <w:sz w:val="21"/>
                <w:szCs w:val="21"/>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b w:val="1"/>
                <w:bCs w:val="1"/>
                <w:color w:val="auto"/>
              </w:rPr>
              <w:t>2.39%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b w:val="1"/>
                <w:bCs w:val="1"/>
                <w:color w:val="auto"/>
              </w:rPr>
              <w:t>2.54%</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p>
    <w:p>
      <w:pPr>
        <w:ind w:left="500" w:right="20" w:hanging="168"/>
        <w:spacing w:after="0" w:line="227" w:lineRule="auto"/>
        <w:tabs>
          <w:tab w:leader="none" w:pos="492"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Includes cash and cash equivalents, restricted cash, segregated cash, cash equivalents, and securities under federal and other regulations, deposits with clearing organizations, and investments.</w:t>
      </w:r>
    </w:p>
    <w:p>
      <w:pPr>
        <w:jc w:val="both"/>
        <w:ind w:left="500" w:hanging="168"/>
        <w:spacing w:after="0" w:line="266" w:lineRule="auto"/>
        <w:tabs>
          <w:tab w:leader="none" w:pos="478"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Credit card, net consists of i) an off-balance sheet amount representing customer principal amounts funded by Coastal Bank under the Program Agreement. Under the Program Agreement, Robinhood Credit collects interest from customers that carry a balance and pays interest on the amount funded by Coastal Bank, with the difference between those amounts resulting in net interest revenue and ii) an on-balance sheet amount representing purchased credit card receivables by the Trust. Robinhood Credit collects interest from customers that carry balances and pays interest on the amount funded through the Trust, with the difference in those amounts resulting in net interest revenues. As of March 31, 2026, the off-balance sheet amount funded under the Program agreement was $216 million and the on-balance sheet amount was $916 million. Refer to Note 10 - Financing Activities and Off-Balance Sheet Risk to our unaudited condensed consolidated financial statements in this Quarterly Report for more information.</w:t>
      </w:r>
    </w:p>
    <w:p>
      <w:pPr>
        <w:spacing w:after="0" w:line="156" w:lineRule="exact"/>
        <w:rPr>
          <w:rFonts w:ascii="Arial" w:cs="Arial" w:eastAsia="Arial" w:hAnsi="Arial"/>
          <w:sz w:val="17"/>
          <w:szCs w:val="17"/>
          <w:color w:val="auto"/>
          <w:vertAlign w:val="superscript"/>
        </w:rPr>
      </w:pPr>
    </w:p>
    <w:p>
      <w:pPr>
        <w:ind w:left="480" w:hanging="148"/>
        <w:spacing w:after="0"/>
        <w:tabs>
          <w:tab w:leader="none" w:pos="480" w:val="left"/>
        </w:tabs>
        <w:numPr>
          <w:ilvl w:val="0"/>
          <w:numId w:val="11"/>
        </w:numPr>
        <w:rPr>
          <w:rFonts w:ascii="Arial" w:cs="Arial" w:eastAsia="Arial" w:hAnsi="Arial"/>
          <w:sz w:val="9"/>
          <w:szCs w:val="9"/>
          <w:color w:val="auto"/>
        </w:rPr>
      </w:pPr>
      <w:r>
        <w:rPr>
          <w:rFonts w:ascii="Arial" w:cs="Arial" w:eastAsia="Arial" w:hAnsi="Arial"/>
          <w:sz w:val="14"/>
          <w:szCs w:val="14"/>
          <w:color w:val="auto"/>
        </w:rPr>
        <w:t>Average balance rows represent the simple average of month-end balances in a given period.</w:t>
      </w:r>
    </w:p>
    <w:p>
      <w:pPr>
        <w:spacing w:after="0" w:line="14" w:lineRule="exact"/>
        <w:rPr>
          <w:rFonts w:ascii="Arial" w:cs="Arial" w:eastAsia="Arial" w:hAnsi="Arial"/>
          <w:sz w:val="9"/>
          <w:szCs w:val="9"/>
          <w:color w:val="auto"/>
        </w:rPr>
      </w:pPr>
    </w:p>
    <w:p>
      <w:pPr>
        <w:ind w:left="480" w:hanging="148"/>
        <w:spacing w:after="0" w:line="203" w:lineRule="auto"/>
        <w:tabs>
          <w:tab w:leader="none" w:pos="48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Annualized yield is calculated by annualizing revenue for the given period and dividing by the applicable average asset balance.</w:t>
      </w:r>
    </w:p>
    <w:p>
      <w:pPr>
        <w:jc w:val="both"/>
        <w:ind w:left="500" w:hanging="168"/>
        <w:spacing w:after="0" w:line="250" w:lineRule="auto"/>
        <w:tabs>
          <w:tab w:leader="none" w:pos="478"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Includes interest expenses related to our revolving credit facilities; interest expense related to the Trust is included in the credit card, net interest yield calculation. Refer to Note 10 - Financing Activities and Off-Balance Sheet Risk to our unaudited condensed consolidated financial statements in this Quarterly Report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42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9"/>
        </w:trPr>
        <w:tc>
          <w:tcPr>
            <w:tcW w:w="69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5"/>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Gold subscription revenues</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Proxy revenues</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9"/>
              </w:rPr>
              <w:t>7</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286 %</w:t>
            </w:r>
          </w:p>
        </w:tc>
      </w:tr>
      <w:tr>
        <w:trPr>
          <w:trHeight w:val="288"/>
        </w:trPr>
        <w:tc>
          <w:tcPr>
            <w:tcW w:w="6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other revenues</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177"/>
        </w:trPr>
        <w:tc>
          <w:tcPr>
            <w:tcW w:w="6960" w:type="dxa"/>
            <w:vAlign w:val="bottom"/>
            <w:tcBorders>
              <w:top w:val="single" w:sz="8" w:color="CCEEFF"/>
            </w:tcBorders>
          </w:tcPr>
          <w:p>
            <w:pPr>
              <w:ind w:left="20"/>
              <w:spacing w:after="0" w:line="176" w:lineRule="exact"/>
              <w:rPr>
                <w:sz w:val="20"/>
                <w:szCs w:val="20"/>
                <w:color w:val="auto"/>
              </w:rPr>
            </w:pPr>
            <w:r>
              <w:rPr>
                <w:rFonts w:ascii="Arial" w:cs="Arial" w:eastAsia="Arial" w:hAnsi="Arial"/>
                <w:sz w:val="18"/>
                <w:szCs w:val="18"/>
                <w:color w:val="auto"/>
              </w:rPr>
              <w:t>Other revenues as a % of total net revenues:</w:t>
            </w:r>
          </w:p>
        </w:tc>
        <w:tc>
          <w:tcPr>
            <w:tcW w:w="9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r>
      <w:tr>
        <w:trPr>
          <w:trHeight w:val="22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Gold subscription revenues</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6960" w:type="dxa"/>
            <w:vAlign w:val="bottom"/>
          </w:tcPr>
          <w:p>
            <w:pPr>
              <w:ind w:left="220"/>
              <w:spacing w:after="0"/>
              <w:rPr>
                <w:sz w:val="20"/>
                <w:szCs w:val="20"/>
                <w:color w:val="auto"/>
              </w:rPr>
            </w:pPr>
            <w:r>
              <w:rPr>
                <w:rFonts w:ascii="Arial" w:cs="Arial" w:eastAsia="Arial" w:hAnsi="Arial"/>
                <w:sz w:val="18"/>
                <w:szCs w:val="18"/>
                <w:color w:val="auto"/>
              </w:rPr>
              <w:t>Proxy revenues</w:t>
            </w:r>
          </w:p>
        </w:tc>
        <w:tc>
          <w:tcPr>
            <w:tcW w:w="9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center"/>
              <w:ind w:left="10"/>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3"/>
        </w:trPr>
        <w:tc>
          <w:tcPr>
            <w:tcW w:w="6960" w:type="dxa"/>
            <w:vAlign w:val="bottom"/>
          </w:tcPr>
          <w:p>
            <w:pPr>
              <w:ind w:left="440"/>
              <w:spacing w:after="0"/>
              <w:rPr>
                <w:sz w:val="20"/>
                <w:szCs w:val="20"/>
                <w:color w:val="auto"/>
              </w:rPr>
            </w:pPr>
            <w:r>
              <w:rPr>
                <w:rFonts w:ascii="Arial" w:cs="Arial" w:eastAsia="Arial" w:hAnsi="Arial"/>
                <w:sz w:val="18"/>
                <w:szCs w:val="18"/>
                <w:color w:val="auto"/>
              </w:rPr>
              <w:t>Other revenues as a % of total net revenues</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
        </w:trPr>
        <w:tc>
          <w:tcPr>
            <w:tcW w:w="6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8"/>
          <w:szCs w:val="18"/>
          <w:color w:val="auto"/>
        </w:rPr>
        <w:t>Other revenues increased $31 million, primarily driven by an increase in Robinhood Gold subscription revenues due to growth in Robinhood Gold Subscribers, revenues earned from coin listings, and revenues derived from acquired businesses.</w:t>
      </w: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center"/>
              <w:ind w:left="496"/>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2025 to 2026 %</w:t>
            </w:r>
          </w:p>
        </w:tc>
        <w:tc>
          <w:tcPr>
            <w:tcW w:w="0" w:type="dxa"/>
            <w:vAlign w:val="bottom"/>
          </w:tcPr>
          <w:p>
            <w:pPr>
              <w:spacing w:after="0"/>
              <w:rPr>
                <w:sz w:val="1"/>
                <w:szCs w:val="1"/>
                <w:color w:val="auto"/>
              </w:rPr>
            </w:pPr>
          </w:p>
        </w:tc>
      </w:tr>
      <w:tr>
        <w:trPr>
          <w:trHeight w:val="133"/>
        </w:trPr>
        <w:tc>
          <w:tcPr>
            <w:tcW w:w="7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0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4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credit losses</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9"/>
        </w:trPr>
        <w:tc>
          <w:tcPr>
            <w:tcW w:w="704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3"/>
        </w:trPr>
        <w:tc>
          <w:tcPr>
            <w:tcW w:w="704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
        </w:trPr>
        <w:tc>
          <w:tcPr>
            <w:tcW w:w="7040" w:type="dxa"/>
            <w:vAlign w:val="bottom"/>
            <w:vMerge w:val="restart"/>
          </w:tcPr>
          <w:p>
            <w:pPr>
              <w:spacing w:after="0"/>
              <w:rPr>
                <w:sz w:val="20"/>
                <w:szCs w:val="20"/>
                <w:color w:val="auto"/>
              </w:rPr>
            </w:pPr>
            <w:r>
              <w:rPr>
                <w:rFonts w:ascii="Arial" w:cs="Arial" w:eastAsia="Arial" w:hAnsi="Arial"/>
                <w:sz w:val="18"/>
                <w:szCs w:val="18"/>
                <w:i w:val="1"/>
                <w:iCs w:val="1"/>
                <w:color w:val="auto"/>
              </w:rPr>
              <w:t>Brokerage and Transaction</w:t>
            </w: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7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center"/>
              <w:ind w:left="536"/>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2025 to 2026 %</w:t>
            </w:r>
          </w:p>
        </w:tc>
        <w:tc>
          <w:tcPr>
            <w:tcW w:w="0" w:type="dxa"/>
            <w:vAlign w:val="bottom"/>
          </w:tcPr>
          <w:p>
            <w:pPr>
              <w:spacing w:after="0"/>
              <w:rPr>
                <w:sz w:val="1"/>
                <w:szCs w:val="1"/>
                <w:color w:val="auto"/>
              </w:rPr>
            </w:pPr>
          </w:p>
        </w:tc>
      </w:tr>
      <w:tr>
        <w:trPr>
          <w:trHeight w:val="133"/>
        </w:trPr>
        <w:tc>
          <w:tcPr>
            <w:tcW w:w="7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0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Market data expenses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6"/>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Instant withdrawals</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CCEEFF"/>
            </w:tcBorders>
            <w:gridSpan w:val="2"/>
          </w:tcPr>
          <w:p>
            <w:pPr>
              <w:jc w:val="right"/>
              <w:ind w:right="4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9"/>
        </w:trPr>
        <w:tc>
          <w:tcPr>
            <w:tcW w:w="7040" w:type="dxa"/>
            <w:vAlign w:val="bottom"/>
          </w:tcPr>
          <w:p>
            <w:pPr>
              <w:ind w:left="260"/>
              <w:spacing w:after="0"/>
              <w:rPr>
                <w:sz w:val="20"/>
                <w:szCs w:val="20"/>
                <w:color w:val="auto"/>
              </w:rPr>
            </w:pPr>
            <w:r>
              <w:rPr>
                <w:rFonts w:ascii="Arial" w:cs="Arial" w:eastAsia="Arial" w:hAnsi="Arial"/>
                <w:sz w:val="18"/>
                <w:szCs w:val="18"/>
                <w:color w:val="auto"/>
              </w:rPr>
              <w:t>Percent of total net revenues: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Brokerage and transaction costs increased by $10 million for the three months ended March 31, 2026, primarily due to a $4 million increase in employee compensation, benefits, and overhead expenses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due to increased average headcount to continue to support the growth and expansion of our business and a $4 million increase in other brokerage and transactions costs primarily related to credit card processing fees.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3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9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2025 to 2026 %</w:t>
            </w:r>
          </w:p>
        </w:tc>
        <w:tc>
          <w:tcPr>
            <w:tcW w:w="0" w:type="dxa"/>
            <w:vAlign w:val="bottom"/>
          </w:tcPr>
          <w:p>
            <w:pPr>
              <w:spacing w:after="0"/>
              <w:rPr>
                <w:sz w:val="1"/>
                <w:szCs w:val="1"/>
                <w:color w:val="auto"/>
              </w:rPr>
            </w:pPr>
          </w:p>
        </w:tc>
      </w:tr>
      <w:tr>
        <w:trPr>
          <w:trHeight w:val="133"/>
        </w:trPr>
        <w:tc>
          <w:tcPr>
            <w:tcW w:w="69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2026</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94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Cloud infrastructure services</w:t>
            </w:r>
          </w:p>
        </w:tc>
        <w:tc>
          <w:tcPr>
            <w:tcW w:w="880" w:type="dxa"/>
            <w:vAlign w:val="bottom"/>
          </w:tcPr>
          <w:p>
            <w:pPr>
              <w:spacing w:after="0"/>
              <w:rPr>
                <w:sz w:val="19"/>
                <w:szCs w:val="19"/>
                <w:color w:val="auto"/>
              </w:rPr>
            </w:pP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and tools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9"/>
        </w:trPr>
        <w:tc>
          <w:tcPr>
            <w:tcW w:w="6940" w:type="dxa"/>
            <w:vAlign w:val="bottom"/>
          </w:tcPr>
          <w:p>
            <w:pPr>
              <w:ind w:left="260"/>
              <w:spacing w:after="0"/>
              <w:rPr>
                <w:sz w:val="20"/>
                <w:szCs w:val="20"/>
                <w:color w:val="auto"/>
              </w:rPr>
            </w:pPr>
            <w:r>
              <w:rPr>
                <w:rFonts w:ascii="Arial" w:cs="Arial" w:eastAsia="Arial" w:hAnsi="Arial"/>
                <w:sz w:val="18"/>
                <w:szCs w:val="18"/>
                <w:color w:val="auto"/>
              </w:rPr>
              <w:t>Percent of total net revenues:</w:t>
            </w: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Technology and development costs increased by $27 million for the three months ended March 31, 2026, primarily due to $13 million in software and tool expenses driven by the integration of acquired businesses and continued growth of our business. Additionally employee compensation, benefits, and overhead expenses increased $8 million due to increased average headcount to support the expansion into new products.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36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2025 to 2026 %</w:t>
            </w:r>
          </w:p>
        </w:tc>
        <w:tc>
          <w:tcPr>
            <w:tcW w:w="0" w:type="dxa"/>
            <w:vAlign w:val="bottom"/>
          </w:tcPr>
          <w:p>
            <w:pPr>
              <w:spacing w:after="0"/>
              <w:rPr>
                <w:sz w:val="1"/>
                <w:szCs w:val="1"/>
                <w:color w:val="auto"/>
              </w:rPr>
            </w:pPr>
          </w:p>
        </w:tc>
      </w:tr>
      <w:tr>
        <w:trPr>
          <w:trHeight w:val="133"/>
        </w:trPr>
        <w:tc>
          <w:tcPr>
            <w:tcW w:w="7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2026</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Customer experience</w:t>
            </w:r>
          </w:p>
        </w:tc>
        <w:tc>
          <w:tcPr>
            <w:tcW w:w="920" w:type="dxa"/>
            <w:vAlign w:val="bottom"/>
          </w:tcPr>
          <w:p>
            <w:pPr>
              <w:spacing w:after="0"/>
              <w:rPr>
                <w:sz w:val="19"/>
                <w:szCs w:val="19"/>
                <w:color w:val="auto"/>
              </w:rPr>
            </w:pPr>
          </w:p>
        </w:tc>
        <w:tc>
          <w:tcPr>
            <w:tcW w:w="42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7100" w:type="dxa"/>
            <w:vAlign w:val="bottom"/>
          </w:tcPr>
          <w:p>
            <w:pPr>
              <w:ind w:left="260"/>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Percent of total net revenues:</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Operations costs increased by $7 million for the three months ended March 31, 2026, primarily due to a $4 million increase in employee compensation, benefits, and overhead driven by increased average headcount to support the expansion of our business. Additionally, customer experience and other operations expense increased driven by the increase in the size of our customer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36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7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2026</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ind w:right="42"/>
              <w:spacing w:after="0" w:line="129" w:lineRule="exact"/>
              <w:rPr>
                <w:sz w:val="20"/>
                <w:szCs w:val="20"/>
                <w:color w:val="auto"/>
              </w:rPr>
            </w:pPr>
            <w:r>
              <w:rPr>
                <w:rFonts w:ascii="Arial" w:cs="Arial" w:eastAsia="Arial" w:hAnsi="Arial"/>
                <w:sz w:val="14"/>
                <w:szCs w:val="14"/>
                <w:b w:val="1"/>
                <w:bCs w:val="1"/>
                <w:color w:val="auto"/>
              </w:rPr>
              <w:t>2025 to 2026 %</w:t>
            </w:r>
          </w:p>
        </w:tc>
        <w:tc>
          <w:tcPr>
            <w:tcW w:w="0" w:type="dxa"/>
            <w:vAlign w:val="bottom"/>
          </w:tcPr>
          <w:p>
            <w:pPr>
              <w:spacing w:after="0"/>
              <w:rPr>
                <w:sz w:val="1"/>
                <w:szCs w:val="1"/>
                <w:color w:val="auto"/>
              </w:rPr>
            </w:pPr>
          </w:p>
        </w:tc>
      </w:tr>
      <w:tr>
        <w:trPr>
          <w:trHeight w:val="189"/>
        </w:trPr>
        <w:tc>
          <w:tcPr>
            <w:tcW w:w="7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 - credit card related</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credit losses - brokerage related</w:t>
            </w: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360" w:type="dxa"/>
            <w:vAlign w:val="bottom"/>
            <w:tcBorders>
              <w:bottom w:val="single" w:sz="8" w:color="CCEEFF"/>
            </w:tcBorders>
            <w:gridSpan w:val="2"/>
          </w:tcPr>
          <w:p>
            <w:pPr>
              <w:jc w:val="right"/>
              <w:ind w:right="4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3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9"/>
        </w:trPr>
        <w:tc>
          <w:tcPr>
            <w:tcW w:w="7100" w:type="dxa"/>
            <w:vAlign w:val="bottom"/>
          </w:tcPr>
          <w:p>
            <w:pPr>
              <w:ind w:left="260"/>
              <w:spacing w:after="0"/>
              <w:rPr>
                <w:sz w:val="20"/>
                <w:szCs w:val="20"/>
                <w:color w:val="auto"/>
              </w:rPr>
            </w:pPr>
            <w:r>
              <w:rPr>
                <w:rFonts w:ascii="Arial" w:cs="Arial" w:eastAsia="Arial" w:hAnsi="Arial"/>
                <w:sz w:val="18"/>
                <w:szCs w:val="18"/>
                <w:color w:val="auto"/>
              </w:rPr>
              <w:t>Percent of total net revenues:</w:t>
            </w: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Provision for credit losses costs increased by $12 million for the three months ended March 31, 2026, primarily driven by an $18 million increase in credit card related provision for credit losses mainly due to higher balances in purchased credit card receivables, partially offset by a decrease in brokerage related losses of $6 million due to decreased fraud activity.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3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9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2025 to 2026 %</w:t>
            </w:r>
          </w:p>
        </w:tc>
        <w:tc>
          <w:tcPr>
            <w:tcW w:w="0" w:type="dxa"/>
            <w:vAlign w:val="bottom"/>
          </w:tcPr>
          <w:p>
            <w:pPr>
              <w:spacing w:after="0"/>
              <w:rPr>
                <w:sz w:val="1"/>
                <w:szCs w:val="1"/>
                <w:color w:val="auto"/>
              </w:rPr>
            </w:pPr>
          </w:p>
        </w:tc>
      </w:tr>
      <w:tr>
        <w:trPr>
          <w:trHeight w:val="133"/>
        </w:trPr>
        <w:tc>
          <w:tcPr>
            <w:tcW w:w="69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2026</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94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 marketing</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Brand marketing</w:t>
            </w:r>
          </w:p>
        </w:tc>
        <w:tc>
          <w:tcPr>
            <w:tcW w:w="860" w:type="dxa"/>
            <w:vAlign w:val="bottom"/>
          </w:tcPr>
          <w:p>
            <w:pPr>
              <w:spacing w:after="0"/>
              <w:rPr>
                <w:sz w:val="19"/>
                <w:szCs w:val="19"/>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9"/>
        </w:trPr>
        <w:tc>
          <w:tcPr>
            <w:tcW w:w="6940" w:type="dxa"/>
            <w:vAlign w:val="bottom"/>
          </w:tcPr>
          <w:p>
            <w:pPr>
              <w:ind w:left="260"/>
              <w:spacing w:after="0"/>
              <w:rPr>
                <w:sz w:val="20"/>
                <w:szCs w:val="20"/>
                <w:color w:val="auto"/>
              </w:rPr>
            </w:pPr>
            <w:r>
              <w:rPr>
                <w:rFonts w:ascii="Arial" w:cs="Arial" w:eastAsia="Arial" w:hAnsi="Arial"/>
                <w:sz w:val="18"/>
                <w:szCs w:val="18"/>
                <w:color w:val="auto"/>
              </w:rPr>
              <w:t>Percent of total net revenues:</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11 %</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Marketing costs increased by $2 million for the three months ended March 31, 2026 primarily due to an increase in marketing expenses related to our credit card offerings.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44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2026</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jc w:val="right"/>
              <w:ind w:right="99"/>
              <w:spacing w:after="0" w:line="129" w:lineRule="exact"/>
              <w:rPr>
                <w:sz w:val="20"/>
                <w:szCs w:val="20"/>
                <w:color w:val="auto"/>
              </w:rPr>
            </w:pPr>
            <w:r>
              <w:rPr>
                <w:rFonts w:ascii="Arial" w:cs="Arial" w:eastAsia="Arial" w:hAnsi="Arial"/>
                <w:sz w:val="14"/>
                <w:szCs w:val="14"/>
                <w:b w:val="1"/>
                <w:bCs w:val="1"/>
                <w:color w:val="auto"/>
              </w:rPr>
              <w:t>2025 to 2026 %</w:t>
            </w:r>
          </w:p>
        </w:tc>
        <w:tc>
          <w:tcPr>
            <w:tcW w:w="0" w:type="dxa"/>
            <w:vAlign w:val="bottom"/>
          </w:tcPr>
          <w:p>
            <w:pPr>
              <w:spacing w:after="0"/>
              <w:rPr>
                <w:sz w:val="1"/>
                <w:szCs w:val="1"/>
                <w:color w:val="auto"/>
              </w:rPr>
            </w:pPr>
          </w:p>
        </w:tc>
      </w:tr>
      <w:tr>
        <w:trPr>
          <w:trHeight w:val="189"/>
        </w:trPr>
        <w:tc>
          <w:tcPr>
            <w:tcW w:w="68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Legal expenses</w:t>
            </w:r>
          </w:p>
        </w:tc>
        <w:tc>
          <w:tcPr>
            <w:tcW w:w="900" w:type="dxa"/>
            <w:vAlign w:val="bottom"/>
          </w:tcPr>
          <w:p>
            <w:pPr>
              <w:spacing w:after="0"/>
              <w:rPr>
                <w:sz w:val="19"/>
                <w:szCs w:val="19"/>
                <w:color w:val="auto"/>
              </w:rPr>
            </w:pP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professional fees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9"/>
        </w:trPr>
        <w:tc>
          <w:tcPr>
            <w:tcW w:w="6820" w:type="dxa"/>
            <w:vAlign w:val="bottom"/>
          </w:tcPr>
          <w:p>
            <w:pPr>
              <w:ind w:left="260"/>
              <w:spacing w:after="0"/>
              <w:rPr>
                <w:sz w:val="20"/>
                <w:szCs w:val="20"/>
                <w:color w:val="auto"/>
              </w:rPr>
            </w:pPr>
            <w:r>
              <w:rPr>
                <w:rFonts w:ascii="Arial" w:cs="Arial" w:eastAsia="Arial" w:hAnsi="Arial"/>
                <w:sz w:val="18"/>
                <w:szCs w:val="18"/>
                <w:color w:val="auto"/>
              </w:rPr>
              <w:t>Percent of total net revenues:</w:t>
            </w: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14 %</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General and administrative costs increased by $41 million for the three months ended March 31, 2026 primarily due to a $29 million increase in employee compensation, benefits, and overhead expenses driven by increased SBC related to the deemed modification of awards in connection with the CFO transition and increased average headcount to support the expansion of our business. Additionally, legal expenses increased $9 million for the three months ended March 31, 2026 in relation to new product offerings and reserves for legal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Provision for Income Taxes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60" w:type="dxa"/>
            <w:vAlign w:val="bottom"/>
            <w:gridSpan w:val="4"/>
          </w:tcPr>
          <w:p>
            <w:pPr>
              <w:jc w:val="right"/>
              <w:ind w:right="159"/>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March 31,</w:t>
            </w:r>
          </w:p>
        </w:tc>
        <w:tc>
          <w:tcPr>
            <w:tcW w:w="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2025 to 2026 %</w:t>
            </w:r>
          </w:p>
        </w:tc>
        <w:tc>
          <w:tcPr>
            <w:tcW w:w="0" w:type="dxa"/>
            <w:vAlign w:val="bottom"/>
          </w:tcPr>
          <w:p>
            <w:pPr>
              <w:spacing w:after="0"/>
              <w:rPr>
                <w:sz w:val="1"/>
                <w:szCs w:val="1"/>
                <w:color w:val="auto"/>
              </w:rPr>
            </w:pPr>
          </w:p>
        </w:tc>
      </w:tr>
      <w:tr>
        <w:trPr>
          <w:trHeight w:val="133"/>
        </w:trPr>
        <w:tc>
          <w:tcPr>
            <w:tcW w:w="70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9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2025</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2026</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08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Provision for income taxes increased by $30 million for the three months ended March 31, 2026 primarily due to the growth of the business and decrease in excess tax benefits from SBC.</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color w:val="auto"/>
        </w:rPr>
        <w:t>Liquidity and Capital Resources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Sources and Uses of Funds</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principal sources of liquidity are cash flows generated from operations and our cash, cash equivalents, investments, and stablecoin. Other sources of future funds may include potential borrowing under our revolving lines of credit and potential issuance of new debt or equity. Our liquidity needs are primarily to support and invest in our core business, including investing in new ways to serve our customers, potentially seeking strategic acquisitions to leverage existing capabilities and further build our business, and for general capital needs (including capital requirements imposed by regulators and SROs and cash deposit and collateral requirements under the rules of the DTC, the NSCC, OCC, and the CFTC. Based on our current level of operations, we believe our primary sources of liquidity will be adequate to meet our current liquidity needs for the next 12 months.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 Assets</w:t>
      </w:r>
    </w:p>
    <w:p>
      <w:pPr>
        <w:spacing w:after="0" w:line="19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As of March 31, 2026, we had cash and cash equivalents of $5.0 billion and stablecoin of $153 million. Refer to Note 7 - Investments and Fair Value Measurement, to our unaudited condensed consolidated financial statements in this Quarterly Report for further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Facilities and Credit Card Funding Trust</w:t>
      </w:r>
    </w:p>
    <w:p>
      <w:pPr>
        <w:spacing w:after="0" w:line="1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of March 31, 2026, we had committed revolving credit facilities with a total borrowing capacity of up to $4.875 billion and a borrowing capacity for the Trust of up to $1.250 billion. Refer to Note 10 - Financing Activities and Off-Balance Sheet Risk to our unaudited condensed consolidated financial statements in this Quarterly Report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short- and long-term material cash requirements for contractual obligations as of March 31, 2026:</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28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18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Remainder of</w:t>
            </w:r>
          </w:p>
        </w:tc>
        <w:tc>
          <w:tcPr>
            <w:tcW w:w="180" w:type="dxa"/>
            <w:vAlign w:val="bottom"/>
          </w:tcPr>
          <w:p>
            <w:pPr>
              <w:spacing w:after="0"/>
              <w:rPr>
                <w:sz w:val="12"/>
                <w:szCs w:val="12"/>
                <w:color w:val="auto"/>
              </w:rPr>
            </w:pPr>
          </w:p>
        </w:tc>
        <w:tc>
          <w:tcPr>
            <w:tcW w:w="10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2027-2028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2029-2030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89"/>
        </w:trPr>
        <w:tc>
          <w:tcPr>
            <w:tcW w:w="47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lease commitments</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line="23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Robinhood match incentives commitments</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Credit Card Funding Trust borrowing principal and interest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240" w:hanging="151"/>
        <w:spacing w:after="0" w:line="237" w:lineRule="auto"/>
        <w:tabs>
          <w:tab w:leader="none" w:pos="24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Operating lease commitments include tenant improvement allowance incentives amortized over the lease terms from 2025 to 2026.</w:t>
      </w:r>
    </w:p>
    <w:p>
      <w:pPr>
        <w:spacing w:after="0" w:line="161" w:lineRule="exact"/>
        <w:rPr>
          <w:rFonts w:ascii="Arial" w:cs="Arial" w:eastAsia="Arial" w:hAnsi="Arial"/>
          <w:sz w:val="18"/>
          <w:szCs w:val="18"/>
          <w:color w:val="auto"/>
          <w:vertAlign w:val="superscript"/>
        </w:rPr>
      </w:pPr>
    </w:p>
    <w:p>
      <w:pPr>
        <w:ind w:left="260" w:hanging="171"/>
        <w:spacing w:after="0" w:line="305" w:lineRule="auto"/>
        <w:tabs>
          <w:tab w:leader="none" w:pos="266" w:val="left"/>
        </w:tabs>
        <w:numPr>
          <w:ilvl w:val="0"/>
          <w:numId w:val="12"/>
        </w:numPr>
        <w:rPr>
          <w:rFonts w:ascii="Arial" w:cs="Arial" w:eastAsia="Arial" w:hAnsi="Arial"/>
          <w:sz w:val="9"/>
          <w:szCs w:val="9"/>
          <w:color w:val="auto"/>
        </w:rPr>
      </w:pPr>
      <w:r>
        <w:rPr>
          <w:rFonts w:ascii="Arial" w:cs="Arial" w:eastAsia="Arial" w:hAnsi="Arial"/>
          <w:sz w:val="14"/>
          <w:szCs w:val="14"/>
          <w:color w:val="auto"/>
        </w:rPr>
        <w:t>Purchase commitments are determined based on the non-cancelable quantities or termination amounts to which we are contractually obligated. These primarily relate to commitments for cloud infrastructure, data services and business insurance.</w:t>
      </w:r>
    </w:p>
    <w:p>
      <w:pPr>
        <w:spacing w:after="0" w:line="117" w:lineRule="exact"/>
        <w:rPr>
          <w:rFonts w:ascii="Arial" w:cs="Arial" w:eastAsia="Arial" w:hAnsi="Arial"/>
          <w:sz w:val="9"/>
          <w:szCs w:val="9"/>
          <w:color w:val="auto"/>
        </w:rPr>
      </w:pPr>
    </w:p>
    <w:p>
      <w:pPr>
        <w:ind w:left="260" w:hanging="171"/>
        <w:spacing w:after="0" w:line="231" w:lineRule="auto"/>
        <w:tabs>
          <w:tab w:leader="none" w:pos="267"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Robinhood match incentives commitments represent non-cancelable future match payments on eligible cash deposits made by Robinhood Gold Subscribers. The future match payments are forfeited if deposits are not held on the platform during the specific earning period.</w:t>
      </w:r>
    </w:p>
    <w:p>
      <w:pPr>
        <w:spacing w:after="0" w:line="13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to lease and purchase commitments, we have two committed financing agreements: one with a contractual term of 30 days and a daily minimum commitment of $25 million and another with a contractual term of 21 days with a daily minimum commitment of $35 million.</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Regulatory Capital Requirements</w:t>
      </w:r>
    </w:p>
    <w:p>
      <w:pPr>
        <w:spacing w:after="0" w:line="21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broker-dealer subsidiaries (RHS, RHF, and TradePMR) are subject to the Net Capital Rule, administered by the SEC and FINRA, which requires the maintenance of minimum net capital, as defined. Net capital and the related net capital requirements may fluctuate on a daily basis. RHS and RHF compute net capital under the alternative method as permitted by the Net Capital Rule.</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FCM subsidiary, RHD, is subject to CFTC Regulation 1.17, administered by the CFTC and the NFA, which requires the maintenance of minimum net capital, as defined by CFTC Regulation 1.17. Net capital and the related net capital requirements may fluctuate on a daily basis.</w:t>
      </w:r>
    </w:p>
    <w:p>
      <w:pPr>
        <w:spacing w:after="0" w:line="144"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The table below summarizes the net capital, capital requirements, and excess net capital of RHS, RHF, RHD, and TradePMR as of periods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March 31, 2026</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Net Capital in Excess</w:t>
            </w:r>
          </w:p>
        </w:tc>
        <w:tc>
          <w:tcPr>
            <w:tcW w:w="0" w:type="dxa"/>
            <w:vAlign w:val="bottom"/>
          </w:tcPr>
          <w:p>
            <w:pPr>
              <w:spacing w:after="0"/>
              <w:rPr>
                <w:sz w:val="1"/>
                <w:szCs w:val="1"/>
                <w:color w:val="auto"/>
              </w:rPr>
            </w:pPr>
          </w:p>
        </w:tc>
      </w:tr>
      <w:tr>
        <w:trPr>
          <w:trHeight w:val="139"/>
        </w:trPr>
        <w:tc>
          <w:tcPr>
            <w:tcW w:w="63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2"/>
                <w:szCs w:val="12"/>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 Capital</w:t>
            </w:r>
          </w:p>
        </w:tc>
        <w:tc>
          <w:tcPr>
            <w:tcW w:w="16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Required Net Capital</w:t>
            </w:r>
          </w:p>
        </w:tc>
        <w:tc>
          <w:tcPr>
            <w:tcW w:w="180" w:type="dxa"/>
            <w:vAlign w:val="bottom"/>
          </w:tcPr>
          <w:p>
            <w:pPr>
              <w:spacing w:after="0"/>
              <w:rPr>
                <w:sz w:val="12"/>
                <w:szCs w:val="12"/>
                <w:color w:val="auto"/>
              </w:rPr>
            </w:pPr>
          </w:p>
        </w:tc>
        <w:tc>
          <w:tcPr>
            <w:tcW w:w="1400" w:type="dxa"/>
            <w:vAlign w:val="bottom"/>
          </w:tcPr>
          <w:p>
            <w:pPr>
              <w:jc w:val="center"/>
              <w:ind w:right="96"/>
              <w:spacing w:after="0" w:line="139" w:lineRule="exact"/>
              <w:rPr>
                <w:sz w:val="20"/>
                <w:szCs w:val="20"/>
                <w:color w:val="auto"/>
              </w:rPr>
            </w:pPr>
            <w:r>
              <w:rPr>
                <w:rFonts w:ascii="Arial" w:cs="Arial" w:eastAsia="Arial" w:hAnsi="Arial"/>
                <w:sz w:val="14"/>
                <w:szCs w:val="14"/>
                <w:b w:val="1"/>
                <w:bCs w:val="1"/>
                <w:color w:val="auto"/>
              </w:rPr>
              <w:t>of Required Net</w:t>
            </w:r>
          </w:p>
        </w:tc>
        <w:tc>
          <w:tcPr>
            <w:tcW w:w="0" w:type="dxa"/>
            <w:vAlign w:val="bottom"/>
          </w:tcPr>
          <w:p>
            <w:pPr>
              <w:spacing w:after="0"/>
              <w:rPr>
                <w:sz w:val="1"/>
                <w:szCs w:val="1"/>
                <w:color w:val="auto"/>
              </w:rPr>
            </w:pPr>
          </w:p>
        </w:tc>
      </w:tr>
      <w:tr>
        <w:trPr>
          <w:trHeight w:val="197"/>
        </w:trPr>
        <w:tc>
          <w:tcPr>
            <w:tcW w:w="6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76"/>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24"/>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RHS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RHF</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RHD</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9"/>
        </w:trPr>
        <w:tc>
          <w:tcPr>
            <w:tcW w:w="6320" w:type="dxa"/>
            <w:vAlign w:val="bottom"/>
          </w:tcPr>
          <w:p>
            <w:pPr>
              <w:ind w:left="20"/>
              <w:spacing w:after="0"/>
              <w:rPr>
                <w:sz w:val="20"/>
                <w:szCs w:val="20"/>
                <w:color w:val="auto"/>
              </w:rPr>
            </w:pPr>
            <w:r>
              <w:rPr>
                <w:rFonts w:ascii="Arial" w:cs="Arial" w:eastAsia="Arial" w:hAnsi="Arial"/>
                <w:sz w:val="18"/>
                <w:szCs w:val="18"/>
                <w:color w:val="auto"/>
              </w:rPr>
              <w:t>TradePMR</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2026, these subsidiaries were in compliance with their respective regulatory capital requirements.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Flows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 activities: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gridSpan w:val="4"/>
          </w:tcPr>
          <w:p>
            <w:pPr>
              <w:jc w:val="center"/>
              <w:ind w:right="275"/>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619"/>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9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2026</w:t>
            </w:r>
          </w:p>
        </w:tc>
      </w:tr>
      <w:tr>
        <w:trPr>
          <w:trHeight w:val="211"/>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22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642</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2,038</w:t>
            </w:r>
          </w:p>
        </w:tc>
      </w:tr>
      <w:tr>
        <w:trPr>
          <w:trHeight w:val="229"/>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39"/>
        </w:trPr>
        <w:tc>
          <w:tcPr>
            <w:tcW w:w="822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467"/>
        </w:trPr>
        <w:tc>
          <w:tcPr>
            <w:tcW w:w="8220" w:type="dxa"/>
            <w:vAlign w:val="bottom"/>
          </w:tcPr>
          <w:p>
            <w:pPr>
              <w:spacing w:after="0"/>
              <w:rPr>
                <w:sz w:val="20"/>
                <w:szCs w:val="20"/>
                <w:color w:val="auto"/>
              </w:rPr>
            </w:pPr>
            <w:r>
              <w:rPr>
                <w:rFonts w:ascii="Arial" w:cs="Arial" w:eastAsia="Arial" w:hAnsi="Arial"/>
                <w:sz w:val="18"/>
                <w:szCs w:val="18"/>
                <w:i w:val="1"/>
                <w:iCs w:val="1"/>
                <w:color w:val="auto"/>
              </w:rPr>
              <w:t>Operating activities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28"/>
        </w:trPr>
        <w:tc>
          <w:tcPr>
            <w:tcW w:w="82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2025 to 2026 Change</w:t>
            </w:r>
          </w:p>
        </w:tc>
      </w:tr>
    </w:tbl>
    <w:p>
      <w:pPr>
        <w:spacing w:after="0" w:line="1" w:lineRule="exact"/>
        <w:rPr>
          <w:sz w:val="20"/>
          <w:szCs w:val="20"/>
          <w:color w:val="auto"/>
        </w:rPr>
      </w:pPr>
    </w:p>
    <w:p>
      <w:pPr>
        <w:sectPr>
          <w:pgSz w:w="11900" w:h="16838" w:orient="portrait"/>
          <w:cols w:equalWidth="0" w:num="1">
            <w:col w:w="11240"/>
          </w:cols>
          <w:pgMar w:left="320" w:top="122" w:right="339" w:bottom="1440" w:gutter="0" w:footer="0" w:header="0"/>
        </w:sectPr>
      </w:pPr>
    </w:p>
    <w:p>
      <w:pPr>
        <w:ind w:left="20"/>
        <w:spacing w:after="0"/>
        <w:rPr>
          <w:sz w:val="20"/>
          <w:szCs w:val="20"/>
          <w:color w:val="auto"/>
        </w:rPr>
      </w:pPr>
      <w:r>
        <w:rPr>
          <w:rFonts w:ascii="Arial" w:cs="Arial" w:eastAsia="Arial" w:hAnsi="Arial"/>
          <w:sz w:val="18"/>
          <w:szCs w:val="18"/>
          <w:color w:val="auto"/>
        </w:rPr>
        <w:t>Changes to net cash provided by (used in) operating activities were primarily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Increase in net income after adjusting for non-cash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265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360" w:hanging="161"/>
        <w:spacing w:after="0" w:line="234" w:lineRule="auto"/>
        <w:rPr>
          <w:sz w:val="20"/>
          <w:szCs w:val="20"/>
          <w:color w:val="auto"/>
        </w:rPr>
      </w:pPr>
      <w:r>
        <w:rPr>
          <w:rFonts w:ascii="Arial" w:cs="Arial" w:eastAsia="Arial" w:hAnsi="Arial"/>
          <w:sz w:val="18"/>
          <w:szCs w:val="18"/>
          <w:color w:val="auto"/>
        </w:rPr>
        <w:t>Increase in working capital primarily driven by increase in payables to users driven by retention of customer balances, the timing of collection of receivables from users and payment of current liabilities</w:t>
      </w:r>
    </w:p>
    <w:p>
      <w:pPr>
        <w:spacing w:after="0" w:line="6" w:lineRule="exact"/>
        <w:rPr>
          <w:sz w:val="20"/>
          <w:szCs w:val="20"/>
          <w:color w:val="auto"/>
        </w:rPr>
      </w:pPr>
    </w:p>
    <w:p>
      <w:pPr>
        <w:ind w:left="360" w:right="40" w:hanging="161"/>
        <w:spacing w:after="0"/>
        <w:rPr>
          <w:sz w:val="20"/>
          <w:szCs w:val="20"/>
          <w:color w:val="auto"/>
        </w:rPr>
      </w:pPr>
      <w:r>
        <w:rPr>
          <w:rFonts w:ascii="Arial" w:cs="Arial" w:eastAsia="Arial" w:hAnsi="Arial"/>
          <w:sz w:val="18"/>
          <w:szCs w:val="18"/>
          <w:color w:val="auto"/>
        </w:rPr>
        <w:t>Increase in securities loaned due to continued growth of our securities lending program, as well as market conditions, variable lending and funding activities</w:t>
      </w:r>
    </w:p>
    <w:p>
      <w:pPr>
        <w:spacing w:after="0" w:line="5" w:lineRule="exact"/>
        <w:rPr>
          <w:sz w:val="20"/>
          <w:szCs w:val="20"/>
          <w:color w:val="auto"/>
        </w:rPr>
      </w:pPr>
    </w:p>
    <w:p>
      <w:pPr>
        <w:ind w:left="180" w:right="3860"/>
        <w:spacing w:after="0" w:line="303" w:lineRule="auto"/>
        <w:rPr>
          <w:sz w:val="20"/>
          <w:szCs w:val="20"/>
          <w:color w:val="auto"/>
        </w:rPr>
      </w:pPr>
      <w:r>
        <w:rPr>
          <w:rFonts w:ascii="Arial" w:cs="Arial" w:eastAsia="Arial" w:hAnsi="Arial"/>
          <w:sz w:val="18"/>
          <w:szCs w:val="18"/>
          <w:color w:val="auto"/>
        </w:rPr>
        <w:t>Increase in securities segregated under federal and other regulations Increase in securities borrowed due to increased customer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282" w:hanging="1282"/>
        <w:spacing w:after="0"/>
        <w:tabs>
          <w:tab w:leader="none" w:pos="12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77</w:t>
      </w:r>
    </w:p>
    <w:p>
      <w:pPr>
        <w:spacing w:after="0" w:line="211" w:lineRule="exact"/>
        <w:rPr>
          <w:rFonts w:ascii="Arial" w:cs="Arial" w:eastAsia="Arial" w:hAnsi="Arial"/>
          <w:sz w:val="18"/>
          <w:szCs w:val="18"/>
          <w:color w:val="auto"/>
        </w:rPr>
      </w:pPr>
    </w:p>
    <w:p>
      <w:pPr>
        <w:ind w:left="1042"/>
        <w:spacing w:after="0"/>
        <w:rPr>
          <w:rFonts w:ascii="Arial" w:cs="Arial" w:eastAsia="Arial" w:hAnsi="Arial"/>
          <w:sz w:val="18"/>
          <w:szCs w:val="18"/>
          <w:color w:val="auto"/>
        </w:rPr>
      </w:pPr>
      <w:r>
        <w:rPr>
          <w:rFonts w:ascii="Arial" w:cs="Arial" w:eastAsia="Arial" w:hAnsi="Arial"/>
          <w:sz w:val="18"/>
          <w:szCs w:val="18"/>
          <w:color w:val="auto"/>
        </w:rPr>
        <w:t>5,612</w:t>
      </w:r>
    </w:p>
    <w:p>
      <w:pPr>
        <w:spacing w:after="0" w:line="21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126</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(4,350)</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(69)</w:t>
      </w:r>
    </w:p>
    <w:p>
      <w:pPr>
        <w:spacing w:after="0" w:line="27" w:lineRule="exact"/>
        <w:rPr>
          <w:sz w:val="20"/>
          <w:szCs w:val="20"/>
          <w:color w:val="auto"/>
        </w:rPr>
      </w:pPr>
    </w:p>
    <w:p>
      <w:pPr>
        <w:ind w:left="1042" w:hanging="1042"/>
        <w:spacing w:after="0"/>
        <w:tabs>
          <w:tab w:leader="none" w:pos="10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1,396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033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40" w:space="138"/>
            <w:col w:w="1562"/>
          </w:cols>
          <w:pgMar w:left="320" w:top="122" w:right="33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00" w:lineRule="exact"/>
        <w:rPr>
          <w:sz w:val="20"/>
          <w:szCs w:val="20"/>
          <w:color w:val="auto"/>
        </w:rPr>
      </w:pPr>
    </w:p>
    <w:p>
      <w:pPr>
        <w:spacing w:after="0" w:line="249" w:lineRule="exact"/>
        <w:rPr>
          <w:sz w:val="20"/>
          <w:szCs w:val="20"/>
          <w:color w:val="auto"/>
        </w:rPr>
      </w:pPr>
    </w:p>
    <w:p>
      <w:pPr>
        <w:ind w:left="20"/>
        <w:spacing w:after="0"/>
        <w:tabs>
          <w:tab w:leader="none" w:pos="9760" w:val="left"/>
        </w:tabs>
        <w:rPr>
          <w:sz w:val="20"/>
          <w:szCs w:val="20"/>
          <w:color w:val="auto"/>
        </w:rPr>
      </w:pPr>
      <w:r>
        <w:rPr>
          <w:rFonts w:ascii="Arial" w:cs="Arial" w:eastAsia="Arial" w:hAnsi="Arial"/>
          <w:sz w:val="14"/>
          <w:szCs w:val="14"/>
          <w:i w:val="1"/>
          <w:iCs w:val="1"/>
          <w:color w:val="auto"/>
        </w:rPr>
        <w:t>(in millions)</w:t>
      </w:r>
      <w:r>
        <w:rPr>
          <w:sz w:val="20"/>
          <w:szCs w:val="20"/>
          <w:color w:val="auto"/>
        </w:rPr>
        <w:tab/>
      </w:r>
      <w:r>
        <w:rPr>
          <w:rFonts w:ascii="Arial" w:cs="Arial" w:eastAsia="Arial" w:hAnsi="Arial"/>
          <w:sz w:val="14"/>
          <w:szCs w:val="14"/>
          <w:b w:val="1"/>
          <w:bCs w:val="1"/>
          <w:color w:val="auto"/>
        </w:rPr>
        <w:t>2025 to 2026 Change</w:t>
      </w:r>
    </w:p>
    <w:p>
      <w:pPr>
        <w:sectPr>
          <w:pgSz w:w="11900" w:h="16838" w:orient="portrait"/>
          <w:cols w:equalWidth="0" w:num="1">
            <w:col w:w="11240"/>
          </w:cols>
          <w:pgMar w:left="320" w:top="122" w:right="339" w:bottom="1440" w:gutter="0" w:footer="0" w:header="0"/>
          <w:type w:val="continuous"/>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to net cash provided by (used in) investing activities were primarily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Consideration transferred for business acquisitions and asset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Decrease in proceeds received from maturities of held-to-maturity investments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Increase in purchases of non-marketable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right="1546"/>
        <w:spacing w:after="0" w:line="279" w:lineRule="auto"/>
        <w:rPr>
          <w:sz w:val="20"/>
          <w:szCs w:val="20"/>
          <w:color w:val="auto"/>
        </w:rPr>
      </w:pPr>
      <w:r>
        <w:rPr>
          <w:rFonts w:ascii="Arial" w:cs="Arial" w:eastAsia="Arial" w:hAnsi="Arial"/>
          <w:sz w:val="18"/>
          <w:szCs w:val="18"/>
          <w:color w:val="auto"/>
        </w:rPr>
        <w:t>Increase in purchases of credit card receivables offset by collections during the year Decrease in cash, cash equivalents, and segregated cash acquired in business acquisitions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1114" w:hanging="1114"/>
        <w:spacing w:after="0"/>
        <w:tabs>
          <w:tab w:leader="none" w:pos="11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104</w:t>
      </w:r>
    </w:p>
    <w:p>
      <w:pPr>
        <w:spacing w:after="0" w:line="31" w:lineRule="exact"/>
        <w:rPr>
          <w:rFonts w:ascii="Arial" w:cs="Arial" w:eastAsia="Arial" w:hAnsi="Arial"/>
          <w:sz w:val="18"/>
          <w:szCs w:val="18"/>
          <w:color w:val="auto"/>
        </w:rPr>
      </w:pPr>
    </w:p>
    <w:p>
      <w:pPr>
        <w:ind w:left="1054"/>
        <w:spacing w:after="0"/>
        <w:rPr>
          <w:rFonts w:ascii="Arial" w:cs="Arial" w:eastAsia="Arial" w:hAnsi="Arial"/>
          <w:sz w:val="18"/>
          <w:szCs w:val="18"/>
          <w:color w:val="auto"/>
        </w:rPr>
      </w:pPr>
      <w:r>
        <w:rPr>
          <w:rFonts w:ascii="Arial" w:cs="Arial" w:eastAsia="Arial" w:hAnsi="Arial"/>
          <w:sz w:val="17"/>
          <w:szCs w:val="17"/>
          <w:color w:val="auto"/>
        </w:rPr>
        <w:t>(208)</w:t>
      </w:r>
    </w:p>
    <w:p>
      <w:pPr>
        <w:spacing w:after="0" w:line="34" w:lineRule="exact"/>
        <w:rPr>
          <w:rFonts w:ascii="Arial" w:cs="Arial" w:eastAsia="Arial" w:hAnsi="Arial"/>
          <w:sz w:val="18"/>
          <w:szCs w:val="18"/>
          <w:color w:val="auto"/>
        </w:rPr>
      </w:pPr>
    </w:p>
    <w:p>
      <w:pPr>
        <w:ind w:left="1154"/>
        <w:spacing w:after="0"/>
        <w:rPr>
          <w:rFonts w:ascii="Arial" w:cs="Arial" w:eastAsia="Arial" w:hAnsi="Arial"/>
          <w:sz w:val="18"/>
          <w:szCs w:val="18"/>
          <w:color w:val="auto"/>
        </w:rPr>
      </w:pPr>
      <w:r>
        <w:rPr>
          <w:rFonts w:ascii="Arial" w:cs="Arial" w:eastAsia="Arial" w:hAnsi="Arial"/>
          <w:sz w:val="17"/>
          <w:szCs w:val="17"/>
          <w:color w:val="auto"/>
        </w:rPr>
        <w:t>(92)</w:t>
      </w:r>
    </w:p>
    <w:p>
      <w:pPr>
        <w:spacing w:after="0" w:line="34" w:lineRule="exact"/>
        <w:rPr>
          <w:rFonts w:ascii="Arial" w:cs="Arial" w:eastAsia="Arial" w:hAnsi="Arial"/>
          <w:sz w:val="18"/>
          <w:szCs w:val="18"/>
          <w:color w:val="auto"/>
        </w:rPr>
      </w:pPr>
    </w:p>
    <w:p>
      <w:pPr>
        <w:ind w:left="1154"/>
        <w:spacing w:after="0"/>
        <w:rPr>
          <w:rFonts w:ascii="Arial" w:cs="Arial" w:eastAsia="Arial" w:hAnsi="Arial"/>
          <w:sz w:val="18"/>
          <w:szCs w:val="18"/>
          <w:color w:val="auto"/>
        </w:rPr>
      </w:pPr>
      <w:r>
        <w:rPr>
          <w:rFonts w:ascii="Arial" w:cs="Arial" w:eastAsia="Arial" w:hAnsi="Arial"/>
          <w:sz w:val="17"/>
          <w:szCs w:val="17"/>
          <w:color w:val="auto"/>
        </w:rPr>
        <w:t>(83)</w:t>
      </w:r>
    </w:p>
    <w:p>
      <w:pPr>
        <w:spacing w:after="0" w:line="34" w:lineRule="exact"/>
        <w:rPr>
          <w:rFonts w:ascii="Arial" w:cs="Arial" w:eastAsia="Arial" w:hAnsi="Arial"/>
          <w:sz w:val="18"/>
          <w:szCs w:val="18"/>
          <w:color w:val="auto"/>
        </w:rPr>
      </w:pPr>
    </w:p>
    <w:p>
      <w:pPr>
        <w:ind w:left="1254"/>
        <w:spacing w:after="0"/>
        <w:rPr>
          <w:rFonts w:ascii="Arial" w:cs="Arial" w:eastAsia="Arial" w:hAnsi="Arial"/>
          <w:sz w:val="18"/>
          <w:szCs w:val="18"/>
          <w:color w:val="auto"/>
        </w:rPr>
      </w:pPr>
      <w:r>
        <w:rPr>
          <w:rFonts w:ascii="Arial" w:cs="Arial" w:eastAsia="Arial" w:hAnsi="Arial"/>
          <w:sz w:val="18"/>
          <w:szCs w:val="18"/>
          <w:color w:val="auto"/>
        </w:rPr>
        <w:t>(7)</w:t>
      </w:r>
    </w:p>
    <w:p>
      <w:pPr>
        <w:spacing w:after="0" w:line="22" w:lineRule="exact"/>
        <w:rPr>
          <w:rFonts w:ascii="Arial" w:cs="Arial" w:eastAsia="Arial" w:hAnsi="Arial"/>
          <w:sz w:val="18"/>
          <w:szCs w:val="18"/>
          <w:color w:val="auto"/>
        </w:rPr>
      </w:pPr>
    </w:p>
    <w:p>
      <w:pPr>
        <w:ind w:left="1254"/>
        <w:spacing w:after="0"/>
        <w:rPr>
          <w:rFonts w:ascii="Arial" w:cs="Arial" w:eastAsia="Arial" w:hAnsi="Arial"/>
          <w:sz w:val="18"/>
          <w:szCs w:val="18"/>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12065</wp:posOffset>
            </wp:positionV>
            <wp:extent cx="9601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7" w:lineRule="exact"/>
        <w:rPr>
          <w:sz w:val="20"/>
          <w:szCs w:val="20"/>
          <w:color w:val="auto"/>
        </w:rPr>
      </w:pPr>
    </w:p>
    <w:p>
      <w:pPr>
        <w:ind w:left="1054" w:hanging="1054"/>
        <w:spacing w:after="0"/>
        <w:tabs>
          <w:tab w:leader="none" w:pos="1054" w:val="left"/>
        </w:tabs>
        <w:numPr>
          <w:ilvl w:val="0"/>
          <w:numId w:val="16"/>
        </w:numPr>
        <w:rPr>
          <w:rFonts w:ascii="Arial" w:cs="Arial" w:eastAsia="Arial" w:hAnsi="Arial"/>
          <w:sz w:val="17"/>
          <w:szCs w:val="17"/>
          <w:color w:val="auto"/>
        </w:rPr>
      </w:pPr>
      <w:r>
        <w:rPr>
          <w:rFonts w:ascii="Arial" w:cs="Arial" w:eastAsia="Arial" w:hAnsi="Arial"/>
          <w:sz w:val="17"/>
          <w:szCs w:val="17"/>
          <w:color w:val="auto"/>
        </w:rPr>
        <w:t>(293)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9601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50800</wp:posOffset>
            </wp:positionV>
            <wp:extent cx="9601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26" w:space="720"/>
            <w:col w:w="1494"/>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 to 2026 Change</w:t>
            </w:r>
          </w:p>
        </w:tc>
      </w:tr>
      <w:tr>
        <w:trPr>
          <w:trHeight w:val="21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to net cash provided by (used in) financing activities were primarily due to:</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9660" w:type="dxa"/>
            <w:vAlign w:val="bottom"/>
          </w:tcPr>
          <w:p>
            <w:pPr>
              <w:ind w:left="180"/>
              <w:spacing w:after="0"/>
              <w:rPr>
                <w:sz w:val="20"/>
                <w:szCs w:val="20"/>
                <w:color w:val="auto"/>
              </w:rPr>
            </w:pPr>
            <w:r>
              <w:rPr>
                <w:rFonts w:ascii="Arial" w:cs="Arial" w:eastAsia="Arial" w:hAnsi="Arial"/>
                <w:sz w:val="18"/>
                <w:szCs w:val="18"/>
                <w:color w:val="auto"/>
              </w:rPr>
              <w:t>Proceeds received from issuance of RVI common stock in connection with initial public offering, net of offering costs</w:t>
            </w:r>
          </w:p>
        </w:tc>
        <w:tc>
          <w:tcPr>
            <w:tcW w:w="660" w:type="dxa"/>
            <w:vAlign w:val="bottom"/>
          </w:tcPr>
          <w:p>
            <w:pPr>
              <w:jc w:val="right"/>
              <w:ind w:right="45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29"/>
        </w:trPr>
        <w:tc>
          <w:tcPr>
            <w:tcW w:w="9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cash paid for taxes related to net share settlement of equity awards</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9660" w:type="dxa"/>
            <w:vAlign w:val="bottom"/>
          </w:tcPr>
          <w:p>
            <w:pPr>
              <w:ind w:left="180"/>
              <w:spacing w:after="0"/>
              <w:rPr>
                <w:sz w:val="20"/>
                <w:szCs w:val="20"/>
                <w:color w:val="auto"/>
              </w:rPr>
            </w:pPr>
            <w:r>
              <w:rPr>
                <w:rFonts w:ascii="Arial" w:cs="Arial" w:eastAsia="Arial" w:hAnsi="Arial"/>
                <w:sz w:val="18"/>
                <w:szCs w:val="18"/>
                <w:color w:val="auto"/>
              </w:rPr>
              <w:t>Increase in borrowings by the Credit Card Funding Trust to purchase credit card receivables</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9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repurchase of common stock under the Repurchase Program</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9660" w:type="dxa"/>
            <w:vAlign w:val="bottom"/>
          </w:tcPr>
          <w:p>
            <w:pPr>
              <w:ind w:left="180"/>
              <w:spacing w:after="0"/>
              <w:rPr>
                <w:sz w:val="20"/>
                <w:szCs w:val="20"/>
                <w:color w:val="auto"/>
              </w:rPr>
            </w:pPr>
            <w:r>
              <w:rPr>
                <w:rFonts w:ascii="Arial" w:cs="Arial" w:eastAsia="Arial" w:hAnsi="Arial"/>
                <w:sz w:val="18"/>
                <w:szCs w:val="18"/>
                <w:color w:val="auto"/>
              </w:rPr>
              <w:t>Increase in contributions from noncontrolling interests</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9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repayments on borrowings by the Credit Card Funding Trust</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9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96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auto"/>
        </w:rPr>
        <w:t>Critical Accounting Estimates</w:t>
      </w:r>
    </w:p>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unaudited condensed consolidated financial statements are prepared in accordance with GAAP. The preparation of these unaudited condensed consolidated financial statements requires estimates and assumptions that affect the reported amounts of assets and liabilities, revenues and expenses, and related disclosures of contingent liabilities on our unaudited condensed consolidated financial statements and accompanying notes. The SEC has defined a company’s critical accounting policies as the ones that are most important to the portrayal of the company’s financial condition and results of operations, and which require the company to make its most difficult and subjective judgments, often as a result of the need to make estimates of matters that are inherently uncertain. We also have other key accounting policies, which involve the use of estimates, judgments, and assumptions that are significant to understanding our results. Although we believe that our estimates, assumptions, and judgments are reasonable, they are based upon information presently available. Actual results might differ significantly from these estimates under different assumptions, judgments, or conditions.</w:t>
      </w:r>
    </w:p>
    <w:p>
      <w:pPr>
        <w:spacing w:after="0" w:line="14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have been no material changes to our critical accounting estimates during the three months ended March 31, 2026, as compared to those disclosed in “Management’s Discussion and Analysis of Financial Condition and Results of Operations — Critical Accounting Estimates” in our 2025 Form 10-K.</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color w:val="auto"/>
        </w:rPr>
        <w:t>Recent Accounting Pronouncements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 of Part I, “Unaudited Financial Statements — Note 2 - Recent Accounting Pronouncements.”</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color w:val="auto"/>
        </w:rPr>
        <w:t>ITEM 3. QUANTITATIVE AND QUALITATIVE DISCLOSURES ABOUT MARKET RISK</w:t>
      </w:r>
    </w:p>
    <w:p>
      <w:pPr>
        <w:spacing w:after="0" w:line="20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Interest Rate Risk</w:t>
      </w:r>
    </w:p>
    <w:p>
      <w:pPr>
        <w:spacing w:after="0" w:line="17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Our exposure to changes in interest rates primarily relates to interest revenue earned on our interest-earning assets that are subject to floating interest rates. Interest revenue is affected by various factors such as the distribution and composition of interest-earning assets and the federal funds rate. We use a net interest sensitivity analysis, which applies hypothetical 50, 100 or 150 basis point increases or decreases in interest rates to the period end balances of our interest-earning assets and liabilities, including interest rate sensitive off-</w:t>
      </w:r>
    </w:p>
    <w:p>
      <w:pPr>
        <w:jc w:val="both"/>
        <w:spacing w:after="0" w:line="237" w:lineRule="auto"/>
        <w:rPr>
          <w:sz w:val="20"/>
          <w:szCs w:val="20"/>
          <w:color w:val="auto"/>
        </w:rPr>
      </w:pPr>
      <w:r>
        <w:rPr>
          <w:rFonts w:ascii="Arial" w:cs="Arial" w:eastAsia="Arial" w:hAnsi="Arial"/>
          <w:sz w:val="18"/>
          <w:szCs w:val="18"/>
          <w:color w:val="auto"/>
        </w:rPr>
        <w:t>balance sheet amounts related to our Coastal Bank Program Agreement, to evaluate the effect that changes in interest rates might have on total net revenues, net income, and cash flows, prior to any income tax effects, over the next 12 months.</w:t>
      </w:r>
    </w:p>
    <w:p>
      <w:pPr>
        <w:spacing w:after="0" w:line="208"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sensitivity analysis assumes the asset and liability structure of the consolidated balance sheets would not change as a result of simulated changes in interest rates. Additionally, the analysis does not factor in any assumptions on the effect simulated changes in interest rates would have on trading activities across our platforms. For our Cash Sweep program, we earn a net interest spread on Cash Sweep balances based on the interest rate offered by the partner banks less the interest rate given to users, as stated in our program terms. For the vast majority of the Cash Sweep program, we have the ability to manage our net interest spread by adjusting the rate given to users as a result of changes in rates received from partner banks. As such, we do not consider the Cash Sweep balance to be subject to short-term interest rate risk and the sensitivity analysis excludes Cash Sweep balances.</w:t>
      </w:r>
    </w:p>
    <w:p>
      <w:pPr>
        <w:spacing w:after="0" w:line="21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impact to total net revenues, net income, and cash flows, prior to any income tax effects, as a result of a hypothetical interest rate change at the end of each reporting period would be: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7"/>
                <w:szCs w:val="17"/>
                <w:color w:val="auto"/>
              </w:rPr>
            </w:pPr>
          </w:p>
        </w:tc>
      </w:tr>
      <w:tr>
        <w:trPr>
          <w:trHeight w:val="19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2026</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 basis point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100 basis point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150 basis point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bl>
    <w:p>
      <w:pPr>
        <w:spacing w:after="0" w:line="292"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The change to total net revenues, net income, and cash flows, prior to any income tax effects, would be the same as total net revenues includes net interest revenue, which captures both the impact of any incremental interest revenue and interest expense, and changes in interest rates do not have a direct impact on operating expenses. The impact related to the change in interest rates is positively correlated, linear, and proportional. The change in the sensitivity analysis from prior year is in line with the change in interest-earning asset balances.</w:t>
      </w:r>
    </w:p>
    <w:p>
      <w:pPr>
        <w:spacing w:after="0" w:line="214"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We also have exposure to changes in interest rates related to our variable-rate credit facilities. See Note 10 - Financing Activities and Off-Balance Sheet Risk, to our unaudited condensed consolidated financial statements in this Quarterly Report for further information. However, as there were no outstanding borrowings under our uncommitted revolving credit facilities as of March 31, 2026, we had limited financial exposure associated with changes in interest rates as of such date.</w:t>
      </w:r>
    </w:p>
    <w:p>
      <w:pPr>
        <w:spacing w:after="0" w:line="14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have established a comprehensive interest rate risk management policy, which formalizes our approach to managing interest rate risk arising in connection with the operation of our businesses. The policy sets forth policies and procedures pursuant to which we will identify interest rate risk exposure, identify and implement appropriate hedging strategies and hedging instruments, and analyze the effectiveness of our hedging strategies. Interest rate instruments will be used for hedging purposes only and not for speculation.</w:t>
      </w:r>
    </w:p>
    <w:p>
      <w:pPr>
        <w:spacing w:after="0" w:line="14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measurement of interest rate risk involves assumptions that are inherently uncertain and, as a result, our analysis might not precisely estimate the actual impact of changes in interest rates on net interest revenues. Actual results may differ from simulated results due to balance growth or decline and the timing, magnitude, and frequency of interest rate changes, as well as changes in market conditions and management strategies, including changes in asset and liability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Market-Related Credit Risk</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indirectly exposed to equity securities risk in connection with securities collateralizing margin receivables, as well as risk related to our securities lending activities. We manage risk on margin and securities-based lending by requiring customers to maintain collateral in compliance with internal and, as applicable, regulatory guidelines. We monitor required margin levels daily and require our customers to deposit additional collateral, or to reduce positions, when necessary. We continuously monitor customer accounts to detect excessive concentration, large orders or positions, and other activities that indicate increased risk to us. We manage risks associated with our securities lending activities by requiring credit approvals for counterparties, by monitoring the market value of securities loaned and collateral values for securities borrowed on a daily basis, by requiring additional cash as collateral for securities loaned or return of collateral for securities borrowed when necessary, and by participating in a risk-sharing program offered through the OCC.</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color w:val="auto"/>
        </w:rPr>
        <w:t>ITEM 4. CONTROLS AND PROCEDURES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Evaluation of Disclosure Controls and Procedures</w:t>
      </w:r>
    </w:p>
    <w:p>
      <w:pPr>
        <w:spacing w:after="0" w:line="21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management, with the participation of our CEO and our Chief Financial Officer (“CFO”), has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Based on such evaluation, our CEO and CFO have concluded that, as of the end of the period covered by this Quarterly Report, our disclosure controls and procedures were effective.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in Internal Control Over Financial Reporting</w:t>
      </w:r>
    </w:p>
    <w:p>
      <w:pPr>
        <w:spacing w:after="0" w:line="22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15d-15(f) under the Exchange Act) during the three months ended March 31, 2026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20"/>
        <w:spacing w:after="0"/>
        <w:rPr>
          <w:sz w:val="20"/>
          <w:szCs w:val="20"/>
          <w:color w:val="auto"/>
        </w:rPr>
      </w:pPr>
      <w:r>
        <w:rPr>
          <w:rFonts w:ascii="Arial" w:cs="Arial" w:eastAsia="Arial" w:hAnsi="Arial"/>
          <w:sz w:val="36"/>
          <w:szCs w:val="36"/>
          <w:color w:val="auto"/>
        </w:rPr>
        <w:t>PART II</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color w:val="auto"/>
        </w:rPr>
        <w:t>ITEM 1. LEGAL PROCEEDINGS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Item 1 of Part I, “Unaudited Financial Statements — Note 14 - Commitments &amp;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ITEM 1A. RISK FACTORS</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as well as the other information included in this Quarterly Report, including our unaudited condensed consolidated financial statements and the related notes and “Management’s Discussion and Analysis of Financial Condition and Results of Operations.” Our business, financial condition, results of operations, and prospects could be materially and adversely affected by any of these risks or uncertainties. In that case, the trading price of our Class A common stock could decline, and you could lose all or part of your investment. The risks and uncertainties described below are not the only ones we face. Additional risks and uncertainties that we are unaware of or that we currently see as immaterial might also adversely affect our business. Some statements in this Quarterly Report,</w:t>
      </w:r>
    </w:p>
    <w:p>
      <w:pPr>
        <w:spacing w:after="0" w:line="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including statements in the following risk factors, constitute forward-looking statements. Please refer to “Cautionary Note Regarding Forward-Looking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Summary of Risk Factors</w:t>
      </w:r>
    </w:p>
    <w:p>
      <w:pPr>
        <w:spacing w:after="0" w:line="23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business is subject to a number of risks and uncertainties including those described at length in the Risk Factors section below. We consider the following to be our most material risks:</w:t>
      </w:r>
    </w:p>
    <w:p>
      <w:pPr>
        <w:spacing w:after="0" w:line="18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We might not grow in line with historical rates.</w:t>
      </w:r>
    </w:p>
    <w:p>
      <w:pPr>
        <w:spacing w:after="0" w:line="238"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We have expanded and continue to expand our operations rapidly, including continuing to introduce new products and services on our platforms as well as geographic expansion, which subjects us to a number of uncertainties, risks, and difficulties that could adversely affect our business.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results of operations and other operating metrics fluctuate from quarter to quarter, which makes these metrics difficult to predict.</w:t>
      </w:r>
    </w:p>
    <w:p>
      <w:pPr>
        <w:spacing w:after="0" w:line="238" w:lineRule="exact"/>
        <w:rPr>
          <w:rFonts w:ascii="Arial" w:cs="Arial" w:eastAsia="Arial" w:hAnsi="Arial"/>
          <w:sz w:val="18"/>
          <w:szCs w:val="18"/>
          <w:color w:val="auto"/>
        </w:rPr>
      </w:pPr>
    </w:p>
    <w:p>
      <w:pPr>
        <w:jc w:val="both"/>
        <w:ind w:left="660" w:hanging="328"/>
        <w:spacing w:after="0" w:line="24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Factors that affect transaction-based revenue - such as reduced spreads in securities pricing, reduced levels of trading activity generally, changes in our business relationships with or disruption in the services provided by Liquidity Providers (as defined below), and any new regulation of, or any bans on, PFOF and similar practices - might result in reduced profitability, increased compliance costs, and negative publicity.</w:t>
      </w:r>
    </w:p>
    <w:p>
      <w:pPr>
        <w:spacing w:after="0" w:line="208" w:lineRule="exact"/>
        <w:rPr>
          <w:rFonts w:ascii="Arial" w:cs="Arial" w:eastAsia="Arial" w:hAnsi="Arial"/>
          <w:sz w:val="18"/>
          <w:szCs w:val="18"/>
          <w:color w:val="auto"/>
        </w:rPr>
      </w:pPr>
    </w:p>
    <w:p>
      <w:pPr>
        <w:ind w:left="660" w:hanging="328"/>
        <w:spacing w:after="0" w:line="26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We are directly and indirectly exposed to fluctuations in interest rates, and rapidly changing interest rate environments have in the past and could in the future reduce our net interest revenues and otherwise result in reduced profitability.</w:t>
      </w:r>
    </w:p>
    <w:p>
      <w:pPr>
        <w:spacing w:after="0" w:line="184"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As registered broker-dealers, we are subject to “best execution” requirements under common law agency principles, fiduciary obligations, and FINRA rules. We could be penalized if we fail to comply with these requirements and these requirements might be modified in the future in a way that could harm our business.</w:t>
      </w:r>
    </w:p>
    <w:p>
      <w:pPr>
        <w:spacing w:after="0" w:line="198" w:lineRule="exact"/>
        <w:rPr>
          <w:rFonts w:ascii="Arial" w:cs="Arial" w:eastAsia="Arial" w:hAnsi="Arial"/>
          <w:sz w:val="18"/>
          <w:szCs w:val="18"/>
          <w:color w:val="auto"/>
        </w:rPr>
      </w:pPr>
    </w:p>
    <w:p>
      <w:pPr>
        <w:ind w:left="660" w:hanging="328"/>
        <w:spacing w:after="0" w:line="26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Unfavorable media coverage and other events that harm our brand and reputation have in the past, and may in the future, adversely affect our revenue and the size, engagement, and loyalty of our customer base.</w:t>
      </w:r>
    </w:p>
    <w:p>
      <w:pPr>
        <w:spacing w:after="0" w:line="184" w:lineRule="exact"/>
        <w:rPr>
          <w:rFonts w:ascii="Arial" w:cs="Arial" w:eastAsia="Arial" w:hAnsi="Arial"/>
          <w:sz w:val="18"/>
          <w:szCs w:val="18"/>
          <w:color w:val="auto"/>
        </w:rPr>
      </w:pPr>
    </w:p>
    <w:p>
      <w:pPr>
        <w:ind w:left="660" w:hanging="328"/>
        <w:spacing w:after="0" w:line="26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business has been and might continue to be harmed by changes in business, economic, or political conditions that impact global financial markets, or by a systemic market event.</w:t>
      </w:r>
    </w:p>
    <w:p>
      <w:pPr>
        <w:spacing w:after="0" w:line="184" w:lineRule="exact"/>
        <w:rPr>
          <w:rFonts w:ascii="Arial" w:cs="Arial" w:eastAsia="Arial" w:hAnsi="Arial"/>
          <w:sz w:val="18"/>
          <w:szCs w:val="18"/>
          <w:color w:val="auto"/>
        </w:rPr>
      </w:pPr>
    </w:p>
    <w:p>
      <w:pPr>
        <w:ind w:left="660" w:hanging="328"/>
        <w:spacing w:after="0" w:line="26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future success depends on the continuing efforts of our key employees and our ability to attract and retain senior management and other highly skilled personnel.</w:t>
      </w:r>
    </w:p>
    <w:p>
      <w:pPr>
        <w:spacing w:after="0" w:line="184" w:lineRule="exact"/>
        <w:rPr>
          <w:rFonts w:ascii="Arial" w:cs="Arial" w:eastAsia="Arial" w:hAnsi="Arial"/>
          <w:sz w:val="18"/>
          <w:szCs w:val="18"/>
          <w:color w:val="auto"/>
        </w:rPr>
      </w:pPr>
    </w:p>
    <w:p>
      <w:pPr>
        <w:jc w:val="both"/>
        <w:ind w:left="660" w:hanging="328"/>
        <w:spacing w:after="0" w:line="24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Rothera, owned and operated as a joint venture with SIG, operates a futures and derivatives exchange and clearinghouse through its subsidiary, Rothera E&amp;C. We do not wholly own or operationally control Rothera and its subsidiaries, and actions taken by Rothera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subsidiaries could adversely affect our business, financial condition, results of operations, and reputation.</w:t>
      </w:r>
    </w:p>
    <w:p>
      <w:pPr>
        <w:spacing w:after="0" w:line="239" w:lineRule="exact"/>
        <w:rPr>
          <w:sz w:val="20"/>
          <w:szCs w:val="20"/>
          <w:color w:val="auto"/>
        </w:rPr>
      </w:pPr>
    </w:p>
    <w:p>
      <w:pPr>
        <w:ind w:left="660" w:hanging="328"/>
        <w:spacing w:after="0" w:line="26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We currently operate in certain international markets and plan to further expand our international operations, which exposes us to significant new risks, and our international expansion efforts might not succeed.</w:t>
      </w:r>
    </w:p>
    <w:p>
      <w:pPr>
        <w:spacing w:after="0" w:line="184"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98"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spacing w:after="0" w:line="198" w:lineRule="exact"/>
        <w:rPr>
          <w:rFonts w:ascii="Arial" w:cs="Arial" w:eastAsia="Arial" w:hAnsi="Arial"/>
          <w:sz w:val="18"/>
          <w:szCs w:val="18"/>
          <w:color w:val="auto"/>
        </w:rPr>
      </w:pPr>
    </w:p>
    <w:p>
      <w:pPr>
        <w:ind w:left="660" w:hanging="328"/>
        <w:spacing w:after="0" w:line="26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We are involved in numerous litigation matters that are expensive and time consuming, and, if resolved adversely, could expose us to significant liability and reputational harm.</w:t>
      </w:r>
    </w:p>
    <w:p>
      <w:pPr>
        <w:spacing w:after="0" w:line="170"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ability to offer event contracts is subject to the outcome of currently ongoing and potential future regulatory enforcement actions and litigation, as well as potential changes in federal or state law, that could immediately or subsequently prevent us from offering, or continuing to offer, event contracts.</w:t>
      </w:r>
    </w:p>
    <w:p>
      <w:pPr>
        <w:spacing w:after="0" w:line="198" w:lineRule="exact"/>
        <w:rPr>
          <w:rFonts w:ascii="Arial" w:cs="Arial" w:eastAsia="Arial" w:hAnsi="Arial"/>
          <w:sz w:val="18"/>
          <w:szCs w:val="18"/>
          <w:color w:val="auto"/>
        </w:rPr>
      </w:pPr>
    </w:p>
    <w:p>
      <w:pPr>
        <w:ind w:left="660" w:hanging="328"/>
        <w:spacing w:after="0" w:line="26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We operate in highly competitive markets, and many of our competitors have greater resources than we do and may have products and services that are more appealing than ours to our current or potential customers.</w:t>
      </w:r>
    </w:p>
    <w:p>
      <w:pPr>
        <w:spacing w:after="0" w:line="184" w:lineRule="exact"/>
        <w:rPr>
          <w:rFonts w:ascii="Arial" w:cs="Arial" w:eastAsia="Arial" w:hAnsi="Arial"/>
          <w:sz w:val="18"/>
          <w:szCs w:val="18"/>
          <w:color w:val="auto"/>
        </w:rPr>
      </w:pPr>
    </w:p>
    <w:p>
      <w:pPr>
        <w:ind w:left="660" w:right="20" w:hanging="328"/>
        <w:spacing w:after="0" w:line="26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If we fail to retain existing customers or attract new customers, or if our customers decrease their use of our products and services, our revenue will decline.</w:t>
      </w:r>
    </w:p>
    <w:p>
      <w:pPr>
        <w:spacing w:after="0" w:line="184" w:lineRule="exact"/>
        <w:rPr>
          <w:rFonts w:ascii="Arial" w:cs="Arial" w:eastAsia="Arial" w:hAnsi="Arial"/>
          <w:sz w:val="18"/>
          <w:szCs w:val="18"/>
          <w:color w:val="auto"/>
        </w:rPr>
      </w:pPr>
    </w:p>
    <w:p>
      <w:pPr>
        <w:ind w:left="660" w:right="20" w:hanging="328"/>
        <w:spacing w:after="0" w:line="26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If we fail to provide, monetize or successfully execute on new and innovative products, services and initiatives that are adopted by customers, our business may become less competitive and our revenue might decline.</w:t>
      </w:r>
    </w:p>
    <w:p>
      <w:pPr>
        <w:spacing w:after="0" w:line="184" w:lineRule="exact"/>
        <w:rPr>
          <w:rFonts w:ascii="Arial" w:cs="Arial" w:eastAsia="Arial" w:hAnsi="Arial"/>
          <w:sz w:val="18"/>
          <w:szCs w:val="18"/>
          <w:color w:val="auto"/>
        </w:rPr>
      </w:pPr>
    </w:p>
    <w:p>
      <w:pPr>
        <w:ind w:left="660" w:hanging="328"/>
        <w:spacing w:after="0" w:line="26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We rely on third parties to perform some key functions, and their failure to perform those functions could adversely affect our business, financial condition, and results of operations.</w:t>
      </w:r>
    </w:p>
    <w:p>
      <w:pPr>
        <w:spacing w:after="0" w:line="184" w:lineRule="exact"/>
        <w:rPr>
          <w:rFonts w:ascii="Arial" w:cs="Arial" w:eastAsia="Arial" w:hAnsi="Arial"/>
          <w:sz w:val="18"/>
          <w:szCs w:val="18"/>
          <w:color w:val="auto"/>
        </w:rPr>
      </w:pPr>
    </w:p>
    <w:p>
      <w:pPr>
        <w:ind w:left="660" w:right="20" w:hanging="328"/>
        <w:spacing w:after="0" w:line="26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We continue to incorporate AI technologies into some of our products and processes. These technologies may present business, compliance, legal, and reputational risks.</w:t>
      </w:r>
    </w:p>
    <w:p>
      <w:pPr>
        <w:spacing w:after="0" w:line="170" w:lineRule="exact"/>
        <w:rPr>
          <w:rFonts w:ascii="Arial" w:cs="Arial" w:eastAsia="Arial" w:hAnsi="Arial"/>
          <w:sz w:val="18"/>
          <w:szCs w:val="18"/>
          <w:color w:val="auto"/>
        </w:rPr>
      </w:pPr>
    </w:p>
    <w:p>
      <w:pPr>
        <w:ind w:left="660" w:right="20" w:hanging="328"/>
        <w:spacing w:after="0" w:line="26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business could be materially and adversely affected by a cybersecurity breach or other attack involving our computer systems or data or those of our customers or third-party or fourth-party service providers.</w:t>
      </w:r>
    </w:p>
    <w:p>
      <w:pPr>
        <w:spacing w:after="0" w:line="184" w:lineRule="exact"/>
        <w:rPr>
          <w:rFonts w:ascii="Arial" w:cs="Arial" w:eastAsia="Arial" w:hAnsi="Arial"/>
          <w:sz w:val="18"/>
          <w:szCs w:val="18"/>
          <w:color w:val="auto"/>
        </w:rPr>
      </w:pPr>
    </w:p>
    <w:p>
      <w:pPr>
        <w:ind w:left="660" w:hanging="328"/>
        <w:spacing w:after="0" w:line="26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If we do not maintain the net capital levels required by regulators, our broker-dealer business may be restricted, and we may be fined or subject to other disciplinary or corrective actions.</w:t>
      </w:r>
    </w:p>
    <w:p>
      <w:pPr>
        <w:spacing w:after="0" w:line="184" w:lineRule="exact"/>
        <w:rPr>
          <w:rFonts w:ascii="Arial" w:cs="Arial" w:eastAsia="Arial" w:hAnsi="Arial"/>
          <w:sz w:val="18"/>
          <w:szCs w:val="18"/>
          <w:color w:val="auto"/>
        </w:rPr>
      </w:pPr>
    </w:p>
    <w:p>
      <w:pPr>
        <w:ind w:left="660" w:hanging="328"/>
        <w:spacing w:after="0" w:line="26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184"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 the U.S., any particular cryptocurrency’s status as a “security” and cryptocurrency transaction’s status as an “investment contract” is subject to a high degree of uncertainty and if we have not properly characterized one or more cryptocurrencies or cryptocurrency transactions, we might be subject to legal and regulatory scrutiny, investigations, fines, and other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660" w:hanging="328"/>
        <w:spacing w:after="0" w:line="24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If the SEC, a state regulator or a private litigant alleges that staking services we offer in the U.S. involve unregistered offers and sales of securities or unregistered securities broker-dealer activity in violation of federal securities laws or applicable state laws or regulations, and the courts agree with such plaintiff, we may be required to cease our staking activities and may be subject to monetary penalties and other sanctions.</w:t>
      </w:r>
    </w:p>
    <w:p>
      <w:pPr>
        <w:spacing w:after="0" w:line="204"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Cryptocurrency laws, regulations, regulatory guidance, regulatory interpretations, and accounting standards are often difficult to interpret and are rapidly evolving in ways that are difficult to predict. Changes in these laws and regulations, or our failure to comply with them, could negatively impact cryptocurrency trading on our platforms.</w:t>
      </w:r>
    </w:p>
    <w:p>
      <w:pPr>
        <w:spacing w:after="0" w:line="198" w:lineRule="exact"/>
        <w:rPr>
          <w:rFonts w:ascii="Arial" w:cs="Arial" w:eastAsia="Arial" w:hAnsi="Arial"/>
          <w:sz w:val="18"/>
          <w:szCs w:val="18"/>
          <w:color w:val="auto"/>
        </w:rPr>
      </w:pPr>
    </w:p>
    <w:p>
      <w:pPr>
        <w:ind w:left="660" w:right="20" w:hanging="328"/>
        <w:spacing w:after="0" w:line="26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introduction of Robinhood Stock Tokens and crypto-asset perpetual trading in the EEA may expose us to significant regulatory, litigation, contractual, operational, and reputational risks.</w:t>
      </w:r>
    </w:p>
    <w:p>
      <w:pPr>
        <w:spacing w:after="0" w:line="184" w:lineRule="exact"/>
        <w:rPr>
          <w:rFonts w:ascii="Arial" w:cs="Arial" w:eastAsia="Arial" w:hAnsi="Arial"/>
          <w:sz w:val="18"/>
          <w:szCs w:val="18"/>
          <w:color w:val="auto"/>
        </w:rPr>
      </w:pPr>
    </w:p>
    <w:p>
      <w:pPr>
        <w:jc w:val="both"/>
        <w:ind w:left="660" w:hanging="328"/>
        <w:spacing w:after="0" w:line="24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multi-class structure of our common stock has the effect of concentrating voting power with our founders, which limits your ability to influence the outcome of matters submitted to our stockholders for approval. In addition, the Founders’ Voting Agreement (as defined below) and any future issuances of our Class C common stock could prolong the duration of our founders’ voting control.</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Business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grow in line with historical rates.</w:t>
      </w:r>
    </w:p>
    <w:p>
      <w:pPr>
        <w:spacing w:after="0" w:line="237"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We have grown rapidly since our founding. However, the circumstances that accelerated the growth of our business in the past, including an extended period of general macroeconomic growth in the U.S., as well as growth in the financial services and technology industries, may not exist in the future. You should not rely on our revenue or key business metrics for any previous quarterly or annual period as any indication of our revenue, revenue growth, key business metrics or key business metrics growth in future periods.</w:t>
      </w:r>
    </w:p>
    <w:p>
      <w:pPr>
        <w:spacing w:after="0" w:line="201"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might experience declines in the growth of our business (or negative growth) as a result of a number of factors, including slowing demand for our platforms, insufficient growth in the number of customers that utilize our platforms, declines in the level of usage of our platforms by existing customers, macroeconomic factors, increasing competition, a decrease in the growth of our overall market, or our failure to continue to capitalize on growth opportunities, including as a result of our inability to scale to meet such growth and economic conditions that have, in some instances, and could continue to reduce financial activity and the maturation of our business, among others.</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 also may not realize the intended benefits of acquisitions of, or investments in, other companies, products or technologies intended to grow our business. Any failure to successfully address these risks and challenges as we encounter them, will negatively affect our growth.</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revenue growth rate has declined in the past and if our revenue growth rate were to decline in the future, investors’ perceptions of our business and the trading price of our Class A common stock could be adversely affected.</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expanded and continue to expand our operations rapidly, including continuing to introduce new products and services on our platforms as well as geographic expansion, which subjects us to a number of uncertainties, risks, and difficulties that could adversely affect our business.</w:t>
      </w:r>
    </w:p>
    <w:p>
      <w:pPr>
        <w:spacing w:after="0" w:line="18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We have expanded and continue to expand our operations rapidly, including continuing to introduce new products and services on our platforms as well as geographic expansion, which makes it difficult to evaluate our current business and future prospects, and subjects us to a number of uncertainties, including our ability to plan for, model, and manage potential future growth and risks. For example, we have undertaken multiple restructurings, and in the past, have implemented significant workforce reductions and have scaled back hiring plans. These actions were driven by a general downturn in economic and market conditions. While these steps were taken to improve operational efficiency, there can be no assurance that further restructuring or workforce reductions will not be necessary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our ongoing efforts in the normal course of business, we also continuously evaluate whether we are appropriately staffed to be cost efficient. From time to time, we have reduced our staff in certain departments as we saw increased productivity and opportunities for greater efficiency under a leaner operating model while continuing to deliver great service and innovation for our customers.</w:t>
      </w:r>
    </w:p>
    <w:p>
      <w:pPr>
        <w:spacing w:after="0" w:line="19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Such efforts to control costs have in the past resulted, and might in the future result in reduced productivity and deteriorating workforce morale, which can cause our business initiatives to suffer. However, as market conditions improve, we also face a risk that renewed business growth could strain our existing resources, or that we are not able to effectively scale up in response, and we could experience ongoing operating difficulties in managing our business across numerous jurisdictions, including difficulties in hiring, training, and managing a dispersed employee base.</w:t>
      </w:r>
    </w:p>
    <w:p>
      <w:pPr>
        <w:spacing w:after="0" w:line="203"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We have also encountered, and will continue to encounter, risks and difficulties frequently experienced by companies in rapidly changing and heavily regulated industries, including challenges associated with achieving market acceptance of our products and services, attracting</w:t>
      </w:r>
    </w:p>
    <w:p>
      <w:pPr>
        <w:jc w:val="both"/>
        <w:spacing w:after="0" w:line="226" w:lineRule="auto"/>
        <w:rPr>
          <w:sz w:val="20"/>
          <w:szCs w:val="20"/>
          <w:color w:val="auto"/>
        </w:rPr>
      </w:pPr>
      <w:r>
        <w:rPr>
          <w:rFonts w:ascii="Arial" w:cs="Arial" w:eastAsia="Arial" w:hAnsi="Arial"/>
          <w:sz w:val="18"/>
          <w:szCs w:val="18"/>
          <w:color w:val="auto"/>
        </w:rPr>
        <w:t>and retaining customers, and complying with laws and regulations (particularly those that are subject to evolving interpretations and application), as well as increased competition and the complexities of managing expenses as we expand our business. Additionally, as our</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business operations continue to expand, we have had and may continue to have difficulties meeting customer demand and expectations or face challenges with respect to new offerings or services we have not previously provided or have previously provided in a different capacity or smaller scale. For instance, as a result of our acquisition of Bitstamp in June 2025, we now provide additional cryptocurrency products and services to institutional customers both in parts of the U.S. and internationally, including products and services such as on-exchange lending, off-exchange settlement, post-trade settlement, and perpetual futures. These offerings to certain institutional clients expose us to risks we have not historically faced at scale, including credit risk, regulations and laws. Similarly, through our engagement as brokerage and initial trustee in connection with the Trump Accounts initiative, we are entering into a new business line, which introduces new and heightened risks, including potential increased public or political scrutiny, the need to comply with certain federal contracting policies and requirements, including with respect to reimbursement and invoicing, and operational challenges associated with building and managing a platform to government specifications. We might fail to adequately address these and other challenges we may face, and our business might be adversely affected if we do not manage these risks successfully.</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results of operations and other operating metrics fluctuate from quarter to quarter, which makes these metrics difficult to predict.</w:t>
      </w:r>
    </w:p>
    <w:p>
      <w:pPr>
        <w:spacing w:after="0" w:line="17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Our results of operations are heavily reliant on the level of trading activity on our platforms and Net Deposits. In the past, our results of operations and other operating metrics have fluctuated from quarter to quarter, including due to movements and trends in the underlying markets, changes in general economic conditions, interest in investing, and fluctuations in trading levels generally, each of which is outside our control and will continue to be outside of our control. As a result, period-to-period comparisons of our results of operations might not be meaningful, and our past results of operations should not be relied on as indicators of future performance. Further, we are subject to additional risks and uncertainties that are frequently encountered by companies in rapidly evolving markets. Our financial condition and results of operations in any given quarter can be influenced by numerous factors, including the occurrence of any of the risks described elsewhere in this Risk Factors section, many of which we are unable to predict or are outside of our control. Factors contributing to quarterly fluctuations have included and could in the future include, among others:</w:t>
      </w:r>
    </w:p>
    <w:p>
      <w:pPr>
        <w:spacing w:after="0" w:line="22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retain and engage existing customers and attract new customers;</w:t>
      </w:r>
    </w:p>
    <w:p>
      <w:pPr>
        <w:spacing w:after="0" w:line="238" w:lineRule="exact"/>
        <w:rPr>
          <w:rFonts w:ascii="Arial" w:cs="Arial" w:eastAsia="Arial" w:hAnsi="Arial"/>
          <w:sz w:val="18"/>
          <w:szCs w:val="18"/>
          <w:color w:val="auto"/>
        </w:rPr>
      </w:pPr>
    </w:p>
    <w:p>
      <w:pPr>
        <w:ind w:left="660" w:right="600" w:hanging="328"/>
        <w:spacing w:after="0" w:line="26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timing and success of new product and service introductions by us or our competitors, or other changes in the competitive landscape of our market;</w:t>
      </w:r>
    </w:p>
    <w:p>
      <w:pPr>
        <w:spacing w:after="0" w:line="197" w:lineRule="exact"/>
        <w:rPr>
          <w:rFonts w:ascii="Arial" w:cs="Arial" w:eastAsia="Arial" w:hAnsi="Arial"/>
          <w:sz w:val="18"/>
          <w:szCs w:val="18"/>
          <w:color w:val="auto"/>
        </w:rPr>
      </w:pPr>
    </w:p>
    <w:p>
      <w:pPr>
        <w:jc w:val="both"/>
        <w:ind w:left="660" w:right="100" w:hanging="328"/>
        <w:spacing w:after="0" w:line="252"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volatility in the market, whether generally or as a result of certain anticipated or unanticipated events (such as international conflicts, geopolitical events and developments with respect to tariffs and trade policy shifts), or the occurrence of so-called “meme” trading in equities,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420"/>
        <w:spacing w:after="0" w:line="285" w:lineRule="auto"/>
        <w:rPr>
          <w:sz w:val="20"/>
          <w:szCs w:val="20"/>
          <w:color w:val="auto"/>
        </w:rPr>
      </w:pPr>
      <w:r>
        <w:rPr>
          <w:rFonts w:ascii="Arial" w:cs="Arial" w:eastAsia="Arial" w:hAnsi="Arial"/>
          <w:sz w:val="18"/>
          <w:szCs w:val="18"/>
          <w:i w:val="1"/>
          <w:iCs w:val="1"/>
          <w:color w:val="auto"/>
        </w:rPr>
        <w:t>options, cryptocurrencies, or futures (which includes options on futures and swaps, including cleared swaps and event contracts (“Futures”)) any of which can cause our trading volumes to fluctuate;</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fluctuations in interest rates;</w:t>
      </w:r>
    </w:p>
    <w:p>
      <w:pPr>
        <w:spacing w:after="0" w:line="238" w:lineRule="exact"/>
        <w:rPr>
          <w:rFonts w:ascii="Arial" w:cs="Arial" w:eastAsia="Arial" w:hAnsi="Arial"/>
          <w:sz w:val="18"/>
          <w:szCs w:val="18"/>
          <w:color w:val="auto"/>
        </w:rPr>
      </w:pPr>
    </w:p>
    <w:p>
      <w:pPr>
        <w:ind w:left="660" w:right="340" w:hanging="328"/>
        <w:spacing w:after="0" w:line="28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increases in marketing, sales, compensation (for example, due to increased hiring competition for highly skilled personnel), cloud infrastructure, and other operating expenses that we might incur to grow and expand our operations and to remain competitive;</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the timing and amount of non-cash expenses, such as SBC and asset impairments;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the success of our expansion into new markets or acquisitions;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trading volume and the prevailing trading prices for cryptocurrencies, which can be highly volatile;</w:t>
      </w:r>
    </w:p>
    <w:p>
      <w:pPr>
        <w:spacing w:after="0" w:line="238" w:lineRule="exact"/>
        <w:rPr>
          <w:rFonts w:ascii="Arial" w:cs="Arial" w:eastAsia="Arial" w:hAnsi="Arial"/>
          <w:sz w:val="18"/>
          <w:szCs w:val="18"/>
          <w:color w:val="auto"/>
        </w:rPr>
      </w:pPr>
    </w:p>
    <w:p>
      <w:pPr>
        <w:ind w:left="660" w:right="480" w:hanging="328"/>
        <w:spacing w:after="0" w:line="25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fluctuations in transaction-based revenues, which include options, cryptocurrencies, and equities, are driven by different factors across asset classes, with equities and options revenues mainly impacted by market volatility and changes in asset mix, and cryptocurrency revenues mainly impacted by changes in the mix of customers and applicable pricing tiers;</w:t>
      </w:r>
    </w:p>
    <w:p>
      <w:pPr>
        <w:spacing w:after="0" w:line="193" w:lineRule="exact"/>
        <w:rPr>
          <w:rFonts w:ascii="Arial" w:cs="Arial" w:eastAsia="Arial" w:hAnsi="Arial"/>
          <w:sz w:val="18"/>
          <w:szCs w:val="18"/>
          <w:color w:val="auto"/>
        </w:rPr>
      </w:pPr>
    </w:p>
    <w:p>
      <w:pPr>
        <w:ind w:left="660" w:right="920" w:hanging="328"/>
        <w:spacing w:after="0" w:line="25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ceasing support for certain cryptocurrencies on our RHC platform, including those that the SEC or a court has asserted or determined are securities or proactively removing certain cryptocurrencies because they share similarities with such cryptocurrencies;</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changes in the public’s perception, adoption, and use of cryptocurrencies and other asset classes;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any inability of customers to place trades, due to system disruptions, outages, or trading restrictions;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any events that damage customer confidence in Robinhood, such as breaches of security or privacy;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the impacts of public health threats (including pandemics such as COVID-19), unemployment, and inflation;</w:t>
      </w:r>
    </w:p>
    <w:p>
      <w:pPr>
        <w:spacing w:after="0" w:line="238" w:lineRule="exact"/>
        <w:rPr>
          <w:rFonts w:ascii="Arial" w:cs="Arial" w:eastAsia="Arial" w:hAnsi="Arial"/>
          <w:sz w:val="18"/>
          <w:szCs w:val="18"/>
          <w:color w:val="auto"/>
        </w:rPr>
      </w:pPr>
    </w:p>
    <w:p>
      <w:pPr>
        <w:ind w:left="660" w:right="840" w:hanging="328"/>
        <w:spacing w:after="0" w:line="28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changes in domestic or global business or macroeconomic conditions, including as a result of tariffs and trade policy shifts, geopolitical conflicts, banking instability, or responses to these events; and</w:t>
      </w:r>
    </w:p>
    <w:p>
      <w:pPr>
        <w:spacing w:after="0" w:line="169" w:lineRule="exact"/>
        <w:rPr>
          <w:rFonts w:ascii="Arial" w:cs="Arial" w:eastAsia="Arial" w:hAnsi="Arial"/>
          <w:sz w:val="18"/>
          <w:szCs w:val="18"/>
          <w:color w:val="auto"/>
        </w:rPr>
      </w:pPr>
    </w:p>
    <w:p>
      <w:pPr>
        <w:ind w:left="660" w:right="340" w:hanging="328"/>
        <w:spacing w:after="0" w:line="26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changes in tax laws or judicial or regulatory interpretations of tax laws, which are recorded in the period such laws are enacted or interpretations are issued, and might significantly affect the effective tax rate of that period.</w:t>
      </w:r>
    </w:p>
    <w:p>
      <w:pPr>
        <w:spacing w:after="0" w:line="18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Any of the factors above or listed elsewhere in this Risk Factors section, or the cumulative effect of some of those factors, could result in significant fluctuations in our results of operations.</w:t>
      </w:r>
    </w:p>
    <w:p>
      <w:pPr>
        <w:spacing w:after="0" w:line="19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In most full year periods since our inception, we have incurred operating losses, and even though we are profitable now, we may not be profitable in the future.</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generated positive full year GAAP net income for the first time in 2024, and full year GAAP net income increased in 2025. However, in most full year periods since our inception, we have incurred operating losses. We may not be able to maintain or increase our revenue and/or maintain or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reduce our operating expenses by sufficient amounts to sustain positive GAAP net income at levels consistent with 2024 and 2025, or continue to generate positive GAAP net income.</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Factors that affect transaction-based revenue - such as reduced spreads in securities pricing, reduced levels of trading activity generally, changes in our business relationships with or disruption in the services provided by Liquidity Providers, and any new regulation of, or any bans on, PFOF and similar practices - might result in reduced profitability, increased compliance costs, and negative publicity.</w:t>
      </w:r>
    </w:p>
    <w:p>
      <w:pPr>
        <w:spacing w:after="0" w:line="3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 large portion of our revenue is transaction-based, in that we receive consideration in exchange for routing our users’ equity, option, and cryptocurrency trade orders to market makers, wholesalers and other liquidity providers (together, “Liquidity Providers”) for execution. With respect to equities and options trading, such fees are known as payment for order flow, or “PFOF.” With respect to cryptocurrency trading, currently we receive “Transaction Rebates.” Our transaction-based revenue is sensitive to and dependent on trading volumes and therefore tends to decline during periods in which we experience decreased levels of trading generally. Computer-generated buy/sell programs and other technological advances and regulatory changes in the marketplace might continue to tighten spreads on transactions, which could also lead to a decrease in our PFOF earned from Liquidity Providers. For example, the SEC adopted final rules in 2024 (the “September 2024 Final Rules”) to, among other things, adopt an additional minimum pricing increment, or “tick size,” for the quoting of certain NMS stocks under Rule 612 of Regulation NMS, reduce the access fee caps for protected quotations under Rule 610 of Regulation NMS and enhance the transparency of better priced orders. On September 30, 2025 and October 31, 2025, the SEC granted temporary exemptive relief from certain compliance dates adopted under the September 2024 Final Rules, including those relating to amended Rule 605 reporting, rules related to the requirement that exchange fees be determinable at the time of execution and the rules related to minimum pricing increments and access fee caps, which extended the effective dates to August, February, and November of 2026 respectively. The quote transparency rules will make the information about smaller-sized orders publicly available and may result in the contraction of spreads across several securities, which we expect could lead to a decrease in the PFOF earned from such orders given that, as a result of the amended round lot (implemented in November 2025) and odd-lot definitions (starting on May 1, 2026), the SIPs have begun making information about smaller-sized orders publicly available and will be followed by an August 1, 2026 compliance date for the Rule 605 execution quality report amendments. In addition, the legislative and regulatory landscape governing cryptocurrencies and related activities is subject to change and is experiencing rapid evolution, and changes in the legislative or regulatory landscape, including for instance, the assertion of jurisdiction by domestic and foreign regulators and governments over cryptocurrency and cryptocurrency markets, could reduce demand for cryptocurrency trading and might materially decrease our revenue derived from Transaction Rebates in absolute terms and as a proportion of our total revenues.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Risks Related to our Business Relationships with Liquidity Providers</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PFOF and Transaction Rebate arrangements with Liquidity Providers are a matter of practice and business understanding and are often not documented under binding contracts (as is generally the case with Liquidity Providers in equities and options). If any Liquidity Providers were unwilling or unable to continue to receive orders from us or to pay us for those orders (including, for example, as a result of unusually high volatility or regulatory scrutiny), we might have little to no recourse and, if there are no other Liquidity Providers that are willing or able to receive such orders from us or to pay us for such orders, or if we are unable to find replacement Liquidity Providers in a timely manner, our transaction-based revenue would be negatively impacted. Although we have established relationships with third-party cryptocurrency exchanges that may provide additional access to Liquidity Providers that are able to execute cryptocurrency trades, any shortages in Liquidity Providers willing and able to support cryptocurrencies in the U.S., could pose a risk that we may be unable to find suitable Liquidity Providers to support cryptocurrencies. Additionally, this risk is heightened for brokerage orders executed outside of regular market hours through Robinhood 24 Hour Market, as currently brokerage trades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overnight are primarily routed through two Liquidity Providers. If one or more of those Liquidity Providers becomes unwilling or unable to do business with us in the future, we may be unable to find additional Liquidity Providers to support Robinhood 24 Hour Market, which could negatively impact our transaction-based revenue. Furthermore, if any of our Liquidity Providers decide to alter our given fee arrangement, our transaction-based revenue could significantly decrease.</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disruptions in the services provided by Liquidity Providers, whether, for example, due to technical or operational issues on their part, or external factors such as legal or regulatory changes or market volatility, have in the past, and may in the future impair our ability to execute our clients’ orders. Should a Liquidity Provider experience a disruption of service or reduced capacity or performance, particularly during peak trading hours, our ability to execute customer orders could be compromised and could have an adverse impact on our business, financial condition, and results of operations.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Risks Related to Regulation of PFOF</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recent years, PFOF practices have drawn heightened scrutiny from the U.S. Congress, the SEC, state regulators, and other regulatory and legislative authorities. For example, in December 2020, we settled an SEC investigation into our best execution and PFOF practices, and we have preliminary approval of a settlement of a consolidated putative class action in federal district court relating to the same factual allegations. Additionally, since July 2023, we have been cooperating with an investigation being conducted by the New York Attorney General concerning brokerage execution quality. We also face the risk that the SEC, other regulatory authorities, or legislative bodies might adopt additional regulation or legislation relating to, or which may otherwise impact, PFOF practices as a result of such heightened scrutiny or otherwise. For instance, in March 2024, the SEC adopted amendments to enhance order execution disclosures under Rule 605 of Regulation NMS (the “Order Execution Disclosure Rules”), which will apply for the first time to RHF and RHS beginning in August 2026.</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Beginning in August 2026, the Order Execution Disclosure Rules will require brokers, including RHF and RHS, to make new, publicly available execution quality disclosures that will allow customers, regulators, academics, the press and others to compare execution quality between brokers. Execution quality of brokers may vary based on the trading characteristics of the broker’s customers, including, but not limited to, the average number of shares traded, the types of securities (e.g., large cap, small cap, more liquid or less liquid, average spread size, etc.), what types of orders customers submit (e.g., market or limit) and when customers place their trades (e.g., market open, during the regular session or market close). Depending on how our order execution quality compares to other brokers, we could be subject to negative press or critical academic studies that could result in regulatory scrutiny or civil actions that may result in negative consequences for our business and profitability in both the near-term and long-term.</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result of the SEC’s amended round lot definition (which was implemented in November 2025) and the odd-lot definition (which is currently scheduled to become effective on May 1, 2026), the SIPs have begun making information about smaller-sized orders publicly available, which may result in the contraction of spreads across many securities, and we expect may lead to a decrease in the PFOF earned from such orders. Any new or heightened PFOF regulation, including the September 2024 Final Rules, could result in increased compliance costs and otherwise could materially decrease our transaction-based revenue, might make it more difficult for us to expand our platforms in certain jurisdictions, and could require us to make significant changes to our revenue model, which might not be successful. Because some of our competitors either do not engage in PFOF or derive a lower percentage of their revenues from PFOF than we do, any legal or regulatory change that impacts PFOF could have an outsized impact on our results of operations. Furthermore, legal or regulatory changes could also increase our risk of potential regulatory violations and civil litigation, which could result in fines or other penalties, as well as negative publicity.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Risks Related to Negative Publicity Associated with PFOF, Transaction Rebates or our Liquidity Providers</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any negative publicity surrounding PFOF or Transaction Rebate practices generally, or our implementation of these practices, could harm our brand and reputation. For example, as a result of the Early 2021 Trading Restrictions (as defined in Note 14 - Commitments &amp; Contingencies to our unaudited condensed consolidated financial statements in this Quarterly Report), we faced allegations that our decision to temporarily prevent our customers from purchasing specified securities was influenced by our relationship with certain market makers. Additionally, as registered broker-dealers, market makers must comply with rules and regulations that are generally intended to prohibit them from taking advantage of information they obtain while executing orders (e.g., through the prohibition on “front running”). Market makers also have a duty to seek “best execution” of customers’ equity and option orders we send to them. If the market makers we use to execute our customers’ equity and option trades were to violate such rules and regulations and use this data for their own benefit in violation of applicable rules and regulations, it could result in negative publicity for us by association. Developments in any proposals related to the regulation of PFOF or market structure design have generated and might continue to generate negative publicity associated with PFOF.</w:t>
      </w:r>
    </w:p>
    <w:p>
      <w:pPr>
        <w:spacing w:after="0" w:line="14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Additionally, if our customers or potential customers believe that they might get better execution quality (including better price improvement) directly from our competitors that have different execution arrangements, or if our customers perceive our PFOF practices to create a conflict of interest between us and them, or if they begin to disfavor the specific market makers with which we do business due to any negative media attention or otherwise, they might decide to limit or cease the use of our platforms. Some customers might prefer to transact through our competitors that do not engage in PFOF or Transaction Rebate practices or engage in them differently than we do. Any such loss of customer engagement as a result of any negative publicity associated with PFOF or Transaction Rebate practices could adversely affect our business, financial condition, and results of operations.</w:t>
      </w:r>
    </w:p>
    <w:p>
      <w:pPr>
        <w:spacing w:after="0" w:line="14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RHC has started to allow customers to choose a fee-based model in lieu of a liquidity provider rebate-based model (under which RHC receives Transaction Rebates from Liquidity Providers) for cryptocurrency orders routed to cryptocurrency exchanges for execution. This shift may lead to negative publicity due to potential differences in total costs for customers under the two models. Depending on the nature of these cost differences, concerns might arise about (i) the use of PFOF with respect to other asset classes like equities and options and/or (ii) the replacement of Transaction Rebates with customer fees for cryptocurrency orders routed to cryptocurrency exchanges for execution. Any negative publicity associated with adopting this model may have an adverse impact on our business, financial condition and results of operations.</w:t>
      </w:r>
    </w:p>
    <w:p>
      <w:pPr>
        <w:spacing w:after="0" w:line="38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are directly and indirectly exposed to fluctuations in interest rates, and rapidly changing interest rate environments have in the past and could in the future reduce our net interest revenues and otherwise result in reduced profitability.</w:t>
      </w:r>
    </w:p>
    <w:p>
      <w:pPr>
        <w:spacing w:after="0" w:line="153"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A portion of our revenue comes from interest income earned from our corporate cash and investment portfolio, our securities lending activities, cash sweep, and from interest-rate sensitive assets, including receivables from users’ margin-borrowing and other assets underlying the customer balances we hold on our balance sheets as customer accounts. Interest rates are the key driver of our net interest income and are subject to many factors beyond our control. Reductions in interest rates have negatively impacted, and a return to a low interest rate environment would negatively impact our total net revenues, net income (loss), and cash flows, prior to any income tax effects, and adversely impact our customers’ returns on their cash deposits. Changes to the level or mix of interest earning balances could also negatively impact our total net revenues, net income (loss), and cash flows, prior to any tax income effects, if customers react to the rising interest rate environment by moving cash that would have otherwise been spent on services or products with higher revenue potential for Robinhood into Robinhood accounts that offer customers high interest rates. For a more detailed discussion of interest rate risk and an estimate of 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hypothetical 50, 100 or 150 basis point increases or decreases in interest rates to the period end balances of our interest-earning assets and liabilities could affect our total net revenues, net income (loss), and cash flows, prior to any income tax effects, see “Quantitative and Qualitative Disclosures about Market Risk-Interest Rate Risk” elsewhere in this report.</w:t>
      </w:r>
    </w:p>
    <w:p>
      <w:pPr>
        <w:spacing w:after="0" w:line="19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Higher interest rates also lead to higher payment obligations by our customers to us and to their creditors under mortgage, credit card, and other consumer and merchant loans, which might reduce our customers’ ability to satisfy their obligations to us, including failing to pay for securities purchased, meet minimum credit card payments, deliver securities sold, or meet margin calls, and therefore lead to increased delinquencies, charge-offs, and allowances for loan and interest receivables, which could have an adverse effect on our net income. Fluctuations in interest rates could adversely impact our customers’ general spending levels and ability and willingness to invest and spend through our platforms.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registered broker-dealers, we are subject to “best execution” requirements under common law agency principles, fiduciary</w:t>
      </w:r>
    </w:p>
    <w:p>
      <w:pPr>
        <w:spacing w:after="0" w:line="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obligations, and FINRA rules. We could be penalized if we fail to comply with these requirements and these requirements might be modified in the future in a way that could harm our business.</w:t>
      </w:r>
    </w:p>
    <w:p>
      <w:pPr>
        <w:spacing w:after="0" w:line="196"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As registered broker-dealers, we are subject to “best execution” requirements under common law agency principles, fiduciary obligations, and FINRA rules, which require us to seek to obtain the best execution of customer orders. We have in the past and continue to be subject to investigations related to our best execution practices. We may face additional investigations and/or a risk of penalties in the future related to our best execution practices.</w:t>
      </w:r>
    </w:p>
    <w:p>
      <w:pPr>
        <w:spacing w:after="0" w:line="201"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also might be adversely affected in the future by legal or regulatory changes related to our obligations with regard to best execution. In particular, receipt of PFOF and best execution requirements have drawn heightened scrutiny from the U.S. Congress, the SEC, and other legislative and regulatory authorities, who have at times alleged that PFOF arrangements, like those we have with our Liquidity Providers, can result in harm to customer execution quality. There is a risk that these legislative and regulatory authorities might adopt new laws or regulations relating to PFOF practices and best execution requirements as a result of such heightened scrutiny or otherwise. For instance, the SEC previously proposed rules relating to best execution requirements in December 2022 but formally withdrew them in June 2025. Any such new laws, regulations, or regulatory expectations could have a material adverse impact on our business and one of our primary sources of revenue.</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might need additional capital to provide liquidity and support business growth and objectives, and this capital might not be available to us on reasonable terms, if at all, might result in stockholder dilution, or might be delayed or prohibited by applicable regulations.</w:t>
      </w:r>
    </w:p>
    <w:p>
      <w:pPr>
        <w:spacing w:after="0" w:line="18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 xml:space="preserve">Maintaining adequate liquidity is crucial to our securities brokerage, cryptocurrency and money services business operations, including key functions such as transaction settlement, custody requirements, and margin lending. The SEC and FINRA impose requirements governing the maintenance of specific levels of net capital by securities broker-dealers. We meet our liquidity needs primarily from working capital and cash generated by customer activity, as well as from external debt and equity financing. Despite these resources, increases in the number of customers, and fluctuations in customer cash or deposit balances, as well as market conditions or changes in regulatory treatment of customer deposits, could affect our ability to meet our liquidity needs. We might be adversely affected by regulatory changes related to our obligations with regard to capital maintenance requirements. For example, in December 2024, the SEC adopted amendments to the broker-dealer customer protection rule (SEC Rule 15c3-3) to require certain broker-dealers to compute their customer and broker-dealer reserve deposit requirements, and to make any required deposits, daily rather than weekly. </w:t>
      </w:r>
      <w:r>
        <w:rPr>
          <w:rFonts w:ascii="Arial" w:cs="Arial" w:eastAsia="Arial" w:hAnsi="Arial"/>
          <w:sz w:val="18"/>
          <w:szCs w:val="18"/>
          <w:color w:val="303030"/>
        </w:rPr>
        <w:t>While these amendments require broker-dealer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303030"/>
        </w:rPr>
        <w:t xml:space="preserve">compliance by June 2026, we proactively began implementing these daily computations and required deposits in January 2026. This transition to daily computations has increased the operational complexity and burden related to such calculations and funding. </w:t>
      </w:r>
      <w:r>
        <w:rPr>
          <w:rFonts w:ascii="Arial" w:cs="Arial" w:eastAsia="Arial" w:hAnsi="Arial"/>
          <w:sz w:val="18"/>
          <w:szCs w:val="18"/>
          <w:color w:val="000000"/>
        </w:rPr>
        <w:t>Additionally,</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there is a lack of definitive guidance on whether or how these rules may apply to most cryptocurrencies, and we might be adversely affected in the future if the SEC determines that they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In addition, our clearing and carrying broker-dealer is subject to cash deposit and collateral requirements under the rules of the clearinghouses in which it participates (including DTC, NSCC, and OCC), which requirements fluctuate significantly from time to time based upon the nature and volume of customers’ trading activity and volatility in the market or individual securities. If we fail to meet any such deposit requirements, our ability to settle trades through the clearinghouse may be suspended or we might be forced to restrict trading in certain stocks in order to limit clearinghouse deposit requirements. For example, from January 28 to February 5, 2021, due to increased deposit requirements imposed on our clearing and carrying broker-dealer by NSCC in response to unprecedented market volatility, particularly in certain securities, we implemented the Early 2021 Trading Restrictions. This resulted in negative media attention, customer dissatisfaction, reputational harm, litigation, and regulatory and U.S. Congressional inquiries and investigations, and necessitated additional capital raising on our part. We face a risk that similar events could occur in the future and, if we are unable to satisfy our deposit requirements, the clearinghouse may cease to act for us and may liquidate our unsettled clearing portfolio. RHD also needs to hold capital</w:t>
      </w:r>
    </w:p>
    <w:p>
      <w:pPr>
        <w:spacing w:after="0" w:line="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and make deposits with respect to certain event contracts in accordance with applicable CFTC regulations and the rules of ForecastEx, LLC, Kalshi Klear LLC, and KalshiEx LLC.</w:t>
      </w:r>
    </w:p>
    <w:p>
      <w:pPr>
        <w:spacing w:after="0" w:line="208"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Further, RHEU and Bitstamp Europe S.A., are licensed crypto asset service providers under the EU’s MiCA, the provisions of which went into effect as of December 30, 2024. Among other requirements, RHEU and Bitstamp Europe S.A. are subject to mandatory capital requirements that vary based on the services we provide. Failure to meet these capital requirements or any future increases to these requirements could limit our ability to obtain or maintain authorization, constrain operational flexibility, or result in penalties or sanctions.</w:t>
      </w:r>
    </w:p>
    <w:p>
      <w:pPr>
        <w:spacing w:after="0" w:line="201"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A reduction in our liquidity position could reduce our customers’ confidence in us, which could result in the withdrawal of customer assets and loss of customers, or could cause us to fail to satisfy broker-dealer or other regulatory capital guidelines, which may result in immediate suspension of activities, regulatory prohibitions against certain business practices, increased regulatory inquiries and reporting requirements, increased costs, fines, penalties or other sanctions, including suspension or expulsion by federal or state regulators or SROs, and could ultimately lead to the liquidation of our broker-dealers or other regulated entities. Factors that might adversely affect our liquidity positions include temporary liquidity demands due to timing differences between brokerage transaction settlements and the availability of segregated cash balances, timing differences between cryptocurrency transaction settlements between us and our cryptocurrency Liquidity Providers</w:t>
      </w:r>
    </w:p>
    <w:p>
      <w:pPr>
        <w:spacing w:after="0" w:line="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between us and our cryptocurrency customers, fluctuations in cash held in customer accounts, a significant increase in our margin lending activities, increased regulatory capital requirements, changes in regulatory guidance or interpretations, other regulatory changes, or a</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loss of market or customer confidence resulting in unanticipated and/or excessive withdrawals or redemptions, or a suspension of redemptions or withdrawals of customer assets. For example, in May 2025, the UK’s FCA published three papers which announced new proposals for certain aspects of the prudential requirements for crypto firms. These proposals are largely modeled on the requirements for investment firms and, if adopted, would, among other requirements, require authorized crypto asset firms to hold a required minimum amount of regulatory capital. In particular, any increase in capital or liquidity requirements under the proposed FCA regime could reduce available liquidity and constrain flexibility in Bitstamp’s operations. If adopted, these regulations could also limit our ability to obtain or maintain authorization, constrain operational flexibility, affect our ability to raise capital or result in penalties or sanctions.</w:t>
      </w:r>
    </w:p>
    <w:p>
      <w:pPr>
        <w:spacing w:after="0" w:line="21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might also need additional capital to continue to support our business and any future growth and to respond to competitive challenges, including the need to promote our products and services, develop new products and services, enhance our existing products, services and operating infrastructure, acquire and invest in complementary businesses and technologies, and to fund payments on our obligations at the parent company level, such as the income tax withholding and remittance obligations that arise upon the vesting and/or</w:t>
      </w:r>
    </w:p>
    <w:p>
      <w:pPr>
        <w:jc w:val="both"/>
        <w:spacing w:after="0" w:line="226" w:lineRule="auto"/>
        <w:rPr>
          <w:sz w:val="20"/>
          <w:szCs w:val="20"/>
          <w:color w:val="auto"/>
        </w:rPr>
      </w:pPr>
      <w:r>
        <w:rPr>
          <w:rFonts w:ascii="Arial" w:cs="Arial" w:eastAsia="Arial" w:hAnsi="Arial"/>
          <w:sz w:val="18"/>
          <w:szCs w:val="18"/>
          <w:color w:val="auto"/>
        </w:rPr>
        <w:t>settlement of our outstanding RSUs, and any debt obligations we might incur. To meet liquidity needs at the parent level, we might need to rely on dividends, distributions and other payments from our subsidiaries. Regulatory and other legal restrictions might limit our ability to</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transfer funds to or from some subsidiaries. For example, under FINRA rules applicable to RHS, a dividend of over 10% of a member firm’s excess net capital must not be paid without FINRA’s prior written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When available cash is not sufficient, we might seek to engage in equity or debt financing to secure additional funds. However, such additional funding might not be available on terms attractive to us, or at all, and our inability to obtain additional funding when needed could have an adverse effect on our business, financial condition, and results of operations. If we issue equity or convertible debt securities, our stockholders could suffer significant dilution, and the new shares could have rights, preferences and privileges superior to those of our current stockholders. Any debt financing could involve restrictive covenants relating to our capital-raising activities and other financial and operational matters, which might make it more difficult for us to obtain additional capital and to pursue future business opportunities.</w:t>
      </w:r>
    </w:p>
    <w:p>
      <w:pPr>
        <w:spacing w:after="0" w:line="2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Unfavorable media coverage and other events that harm our brand and reputation have in the past, and may in the future, adversely affect our revenue and the size, engagement, and loyalty of our customer base.</w:t>
      </w:r>
    </w:p>
    <w:p>
      <w:pPr>
        <w:spacing w:after="0" w:line="166"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Our brand and our reputation are two of our most important assets. Our ability to attract, build trust with, engage, and retain existing and new customers might be adversely affected by events that harm our brand and reputation, such as public complaints and unfavorable media coverage about us, our platforms, and our customers, even if factually incorrect or based on isolated incidents.</w:t>
      </w:r>
    </w:p>
    <w:p>
      <w:pPr>
        <w:spacing w:after="0" w:line="18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receive a high volume of media coverage, which has included, and might continue to include, negative coverage regarding our products and services and the risk of our customers’ misuse or misunderstanding of our products and services, inappropriate or otherwise unauthorized behavior by our customers and litigation or regulatory activity. In addition, given our public profile, any unanticipated system disruptions, outages, technical or security-related incidents, or other performance problems relating to our platforms have in the past and are likely in the future to receive extensive media attention. Furthermore, any negative experiences our customers have in connection with their use of our products and services, including as a result of any such performance problems, have in the past, and may in the future diminish customer confidence in us and our products and services, which have in the past, and may in the future result in unfavorable media coverage or publicity.</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Damage to our brand and reputation could also be caused by:</w:t>
      </w:r>
    </w:p>
    <w:p>
      <w:pPr>
        <w:spacing w:after="0" w:line="254" w:lineRule="exact"/>
        <w:rPr>
          <w:sz w:val="20"/>
          <w:szCs w:val="20"/>
          <w:color w:val="auto"/>
        </w:rPr>
      </w:pPr>
    </w:p>
    <w:p>
      <w:pPr>
        <w:ind w:left="660" w:right="520" w:hanging="328"/>
        <w:spacing w:after="0" w:line="26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cybersecurity attacks, privacy or data security breaches, or other security incidents, payment disruptions or other incidents that impact the reliability of our platforms;</w:t>
      </w:r>
    </w:p>
    <w:p>
      <w:pPr>
        <w:spacing w:after="0" w:line="184"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actual or alleged illegal, negligent, reckless, fraudulent or otherwise inappropriate behavior by our management team, our other employees or contractors, our customers or third-party service providers or partners as well as complaints or negative publicity about such individuals or companies;</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future restructurings or any similar such reductions or activities in the future;</w:t>
      </w:r>
    </w:p>
    <w:p>
      <w:pPr>
        <w:spacing w:after="0" w:line="252" w:lineRule="exact"/>
        <w:rPr>
          <w:rFonts w:ascii="Arial" w:cs="Arial" w:eastAsia="Arial" w:hAnsi="Arial"/>
          <w:sz w:val="18"/>
          <w:szCs w:val="18"/>
          <w:color w:val="auto"/>
        </w:rPr>
      </w:pPr>
    </w:p>
    <w:p>
      <w:pPr>
        <w:ind w:left="660" w:right="120" w:hanging="328"/>
        <w:spacing w:after="0" w:line="26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any repeat imposition of temporary trading restrictions (similar to our Early 2021 Trading Restrictions), or any outright failure to meet our deposit requirements;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litigation, regulatory actions, settlements, or investigations involving our platforms or our business;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regulators requesting or requiring us to cease offering specific products or services;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any failures to comply with legal, tax and regulatory requirements;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any perceived or actual weakness in our financial strength or liquidity;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any regulatory action or settlement that results in changes to, or prohibits us from offering, certain features,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20" w:hanging="328"/>
        <w:spacing w:after="0" w:line="285"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any new policies, features, products, services, or initiatives, or changes to our policies, features, products, services, or initiatives, that customers or others perceive as overly restrictive, unclear, inconsistent with our values or mission, or not clearly articulated;</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 failure to operate our business in a way that is consistent with our values and mission;</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inadequate or unsatisfactory customer support experiences;</w:t>
      </w:r>
    </w:p>
    <w:p>
      <w:pPr>
        <w:spacing w:after="0" w:line="252" w:lineRule="exact"/>
        <w:rPr>
          <w:rFonts w:ascii="Arial" w:cs="Arial" w:eastAsia="Arial" w:hAnsi="Arial"/>
          <w:sz w:val="18"/>
          <w:szCs w:val="18"/>
          <w:color w:val="auto"/>
        </w:rPr>
      </w:pPr>
    </w:p>
    <w:p>
      <w:pPr>
        <w:ind w:left="660" w:right="580" w:hanging="328"/>
        <w:spacing w:after="0" w:line="26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negative responses by customers, regulators, or other third parties to our business model or to particular features, products or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 failure to adapt to new or changing customer preferences;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decision to offer products or services or participate in initiatives viewed by some as controversial;</w:t>
      </w:r>
    </w:p>
    <w:p>
      <w:pPr>
        <w:spacing w:after="0" w:line="238" w:lineRule="exact"/>
        <w:rPr>
          <w:rFonts w:ascii="Arial" w:cs="Arial" w:eastAsia="Arial" w:hAnsi="Arial"/>
          <w:sz w:val="18"/>
          <w:szCs w:val="18"/>
          <w:color w:val="auto"/>
        </w:rPr>
      </w:pPr>
    </w:p>
    <w:p>
      <w:pPr>
        <w:ind w:left="660" w:right="680" w:hanging="328"/>
        <w:spacing w:after="0" w:line="26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inability to successfully expand into new markets or make successful acquisitions of, or investments in, other companies, products or technologies;</w:t>
      </w:r>
    </w:p>
    <w:p>
      <w:pPr>
        <w:spacing w:after="0" w:line="197" w:lineRule="exact"/>
        <w:rPr>
          <w:rFonts w:ascii="Arial" w:cs="Arial" w:eastAsia="Arial" w:hAnsi="Arial"/>
          <w:sz w:val="18"/>
          <w:szCs w:val="18"/>
          <w:color w:val="auto"/>
        </w:rPr>
      </w:pPr>
    </w:p>
    <w:p>
      <w:pPr>
        <w:ind w:left="660" w:right="620" w:hanging="328"/>
        <w:spacing w:after="0" w:line="26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 prolonged weakness in popular equities or cryptocurrencies specifically or in U.S. or international equity and cryptocurrency markets generally, or a sustained downturn in the U.S. or international economies;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negative claims or publicity involving our culture or businesses, regardless of whether such claims are accurate;</w:t>
      </w:r>
    </w:p>
    <w:p>
      <w:pPr>
        <w:spacing w:after="0" w:line="252" w:lineRule="exact"/>
        <w:rPr>
          <w:rFonts w:ascii="Arial" w:cs="Arial" w:eastAsia="Arial" w:hAnsi="Arial"/>
          <w:sz w:val="18"/>
          <w:szCs w:val="18"/>
          <w:color w:val="auto"/>
        </w:rPr>
      </w:pPr>
    </w:p>
    <w:p>
      <w:pPr>
        <w:ind w:left="660" w:right="440" w:hanging="328"/>
        <w:spacing w:after="0" w:line="25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any failures to effectively moderate, or the perception of failing to effectively moderate, user-generated content on our in-app platforms, including Robinhood Social, that lead to harassment, market manipulation schemes, or other inappropriate content or conduct that could subject us to platform liability claims or viral negative publicity;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design-based liability claims, including with respect to design decisions regarding engagement driven technology; and</w:t>
      </w:r>
    </w:p>
    <w:p>
      <w:pPr>
        <w:spacing w:after="0" w:line="238" w:lineRule="exact"/>
        <w:rPr>
          <w:rFonts w:ascii="Arial" w:cs="Arial" w:eastAsia="Arial" w:hAnsi="Arial"/>
          <w:sz w:val="18"/>
          <w:szCs w:val="18"/>
          <w:color w:val="auto"/>
        </w:rPr>
      </w:pPr>
    </w:p>
    <w:p>
      <w:pPr>
        <w:ind w:left="660" w:right="140" w:hanging="328"/>
        <w:spacing w:after="0" w:line="25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any of the foregoing with respect to our competitors, to the extent the resulting negative perception affects the public’s perception of us or our industry as a whole.</w:t>
      </w:r>
    </w:p>
    <w:p>
      <w:pPr>
        <w:spacing w:after="0" w:line="196"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These and other events could negatively impact the willingness of our existing customers, and potential new customers, to do business with us, which could adversely affect our trading volumes and number of Funded Customers, as well as our ability to recruit and retain personnel, any of which could have an adverse effect on our business, financial condition, and results of operations, as well as the trading price of our Class A common stock.</w:t>
      </w:r>
    </w:p>
    <w:p>
      <w:pPr>
        <w:spacing w:after="0" w:line="20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could incur substantial losses from our cash and investment accounts if one or more of the financial institutions that we use fails or is taken over by the FDIC.</w:t>
      </w:r>
    </w:p>
    <w:p>
      <w:pPr>
        <w:spacing w:after="0" w:line="16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maintain cash and investment accounts, as well as restricted cash as certificates of deposits for facility leases and other contractual obligations, at multiple financial institutions in amounts that are significantly in excess of the limits insured by the FDIC. In spring 2023, certain U.S. banks failed and were taken over by the FDIC (the “2023 Banking Events”). If any of the financial institutions where we hold significant deposits were to fail or be taken over by the FDIC, our ability to access such accounts has in the past and could be in the future</w:t>
      </w:r>
    </w:p>
    <w:p>
      <w:pPr>
        <w:jc w:val="both"/>
        <w:spacing w:after="0" w:line="226" w:lineRule="auto"/>
        <w:rPr>
          <w:sz w:val="20"/>
          <w:szCs w:val="20"/>
          <w:color w:val="auto"/>
        </w:rPr>
      </w:pPr>
      <w:r>
        <w:rPr>
          <w:rFonts w:ascii="Arial" w:cs="Arial" w:eastAsia="Arial" w:hAnsi="Arial"/>
          <w:sz w:val="18"/>
          <w:szCs w:val="18"/>
          <w:color w:val="auto"/>
        </w:rPr>
        <w:t>temporarily or permanently limited, which could adversely affect our business. In particular, while we have taken steps to help ensure that the loss of all or a significant portion of any uninsured amount would not have an adverse effect on our ability to pay our operational expenses or</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make other payments, the failure of a financial institution where we hold significant deposits has in the past and may in the future require us to move funds to another bank, which could cause a temporary delay in making payments to our vendors and employees, or under other contractual arrangements,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cause other operational inconveniences. Additionally, any losses or delay in access to funds as a result of such events could have a material adverse effect on our ability to meet contractual obligations, earnings, financial condition, cash flows, and stock price.</w:t>
      </w:r>
    </w:p>
    <w:p>
      <w:pPr>
        <w:spacing w:after="0" w:line="18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business has been and might continue to be harmed by changes in business, economic, or political conditions that impact global financial markets, or by a systemic market event.</w:t>
      </w:r>
    </w:p>
    <w:p>
      <w:pPr>
        <w:spacing w:after="0" w:line="16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As we are a financial services company, our business, results of operations, and reputation are directly and indirectly affected by elements beyond our control, such as financial market volatility (such as we previously experienced during the COVID-19 pandemic or have experienced and may experience in the future due to trade policy shifts and the imposition or escalation of tariffs implemented by the U.S. and other countries or blocs, including China, Canada, and the EU, and those countries’ or blocs’ responses to such shifts and tariffs), economic and political conditions including unemployment rates, inflation, tax and interest rates, geopolitical conflicts, such as the Russian invasion of Ukraine and ongoing events in the Middle East, significant increases in the volatility or trading volume of particular securities,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cryptocurrencies, or Futures (such as we experienced during the meme stock events of early 2021 and the Dogecoin surge of mid-2021), broad trends in business and finance, actual events or concerns involving liquidity, defaults, or non-performance by third-party financial</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institutions or transactional counterparties (such as the 2023 Banking Events), changes in volume of securities, cryptocurrencies, or Futures trading generally and changes in the markets in which such transactions occur, and changes in how such transactions are processed. These elements can arise suddenly, and the full impact of such conditions could have an adverse effect on our business results or remain uncertain indefinitely. Because a large percentage of our customers are first time investors, we might be disproportionately affected by declines in investor confidence caused by adverse economic conditions. A prolonged market weakness, such as a slowdown causing reduced trading volume in securities, derivatives, or cryptocurrency markets, has resulted, and could result in the future in reduced revenues and adversely affect our business, financial condition, and results of operations. Conversely, significant upturns in such markets or conditions might cause individuals to be less proactive in seeking ways to improve the returns on their trading or investment decisions and, thus, decrease the demand for our products and services.</w:t>
      </w:r>
    </w:p>
    <w:p>
      <w:pPr>
        <w:spacing w:after="0" w:line="208"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Additionally, concerns regarding the U.S. and/or international financial systems, such as in connection with the 2023 Banking Events, could result in less favorable commercial financing terms available to us, including higher interest rates or costs and tighter financial and operating covenants, or systemic limitations on our access to credit and liquidity sources.</w:t>
      </w:r>
    </w:p>
    <w:p>
      <w:pPr>
        <w:spacing w:after="0" w:line="18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Any of these changes could cause our future performance to be uncertain or unpredictable, and could have an adverse effect on our business and results of operations.</w:t>
      </w:r>
    </w:p>
    <w:p>
      <w:pPr>
        <w:spacing w:after="0" w:line="18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key employees and our ability to attract and retain senior management and other highly skilled personnel.</w:t>
      </w:r>
    </w:p>
    <w:p>
      <w:pPr>
        <w:spacing w:after="0" w:line="16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Our future success depends, in part, on our ability to continue to identify, attract, develop, integrate and retain qualified and highly skilled personnel. In particular, our CEO, Vladimir Tenev, has been critical to the development and execution of our business, vision, and strategic direction. In addition, we have heavily relied, and expect we will continue to heavily rely, on the services and performance of our senior management team, which provides leadership, contributes to the core areas of our business and helps us to efficiently execute our business. Although we have entered into employment offer letters with some of our key personnel, most of these agreements have no specific duration and are terminable by either party at-will and our senior management team has experienced recent changes. We do not maintain key person life insurance policies on any of our employees.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might not be successful in attracting, integrating or retaining qualified personnel to fulfill our current or future needs. In particular,</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there continues to be particularly high competition in the San Francisco Bay Area for software engineers, computer scientists and other technical personnel. This competition may increase further due to ongoing changes in U.S. immigration policies and enforcement practices,</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particularly given the foreign national employee population from which we and other companies hire for these positions, and may present increased challenges to attracting, integrating or retaining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qualified personnel. Given our heavy emphasis on SBC, the performance of our stock price has in the past had, and could continue to have, a significant impact on our ability to recruit, retain, and motivate highly skilled personnel. Additionally, our working model may negatively impact our ability to retain and recruit highly skilled personnel, especially to the extent other companies continue to allow more flexible remote working models. Attrition and workforce reorganizations and reductions have also and might continue to adversely affect our reputation among job seekers, demoralize our remaining employees, and result in a loss of institutional know-how, reduced productivity, slower customer service response, reduced effectiveness of internal compliance and risk-mitigation programs, and cancellations of or delays in completing new product developments and other strategic projects. For example, in the periods immediately following our past restructurings, we experienced higher rates of voluntary employee attrition and declines in reported employee job satisfaction. We might continue to experience difficulty in hiring and retaining highly skilled employees with appropriate qualifications.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a critical component of our efforts to attract and retain employees has been our corporate culture of innovation. We have</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invested substantial time and resources in building our team. As we continue to expand internationally, we will face new challenges to maintain our corporate culture of innovation among a larger number of geographically dispersed and remote employees, as well as other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service providers. Failure to preserve our company culture could harm our ability to retain and recruit personnel.</w:t>
      </w:r>
    </w:p>
    <w:p>
      <w:pPr>
        <w:spacing w:after="0" w:line="2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If we are unable to attract, integrate, retain, or effectively replace our key employees and qualified and highly skilled personnel, our ability to effectively focus on and pursue our corporate objectives will decline, and our business and future growth prospects could be harmed.</w:t>
      </w:r>
    </w:p>
    <w:p>
      <w:pPr>
        <w:spacing w:after="0" w:line="183"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Acquisitions of, or investments in, other companies, products or technologies have in the past and could in the future require significant management attention, disrupt our business, dilute stockholder value, and adversely affect our results of operations.</w:t>
      </w:r>
    </w:p>
    <w:p>
      <w:pPr>
        <w:spacing w:after="0" w:line="16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As part of our business strategy, we have made and might continue to make acquisitions of, or investments in, other compatible companies, products, technologies, or specialized employees. We also have entered into and might continue to enter into relationships with other businesses in order to expand our products and services. Negotiating these transactions can be time-consuming, difficult, and expensive. Our ability to close these transactions has been and might in the future be subject to third-party approvals and customary closing conditions, such as governmental and other regulatory approvals, some of which are beyond our control, and may take longer than expected to be obtained, if at all. If pending transactions are not completed, we have in the past and could in the future be subject to losses from legal fees and other expenses as well as impairment charges.</w:t>
      </w:r>
    </w:p>
    <w:p>
      <w:pPr>
        <w:spacing w:after="0" w:line="19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In general, our efforts to grow through acquisitions are subject to the risks that we might be unable to find suitable acquisition or investment candidates or to complete acquisitions on favorable terms or in a timely manner, if at all. Moreover, these kinds of acquisitions or investments can result in unforeseen risks, operating difficulties and expenditures prior to and following closing, including disrupting our ongoing operations, diverting management from their primary responsibilities, subjecting us to additional liabilities, compliance obligations and/or regulatory costs and penalties, exposing us to increased regulatory risk in connection with acquired companies, increasing our expenses, and adversely impacting our business, financial condition and results of operations. In connection with such acquisitions, we have encountered and may encounter in the future challenges in successfully integrating the acquired personnel, operations, products, and technologies, including in connection with our recent acquisitions of TradePMR and Bitstamp, and have and may have in the future difficulty effectively managing the combined business following such acquisitions. Moreover, the anticipated benefits of any acquisition or investment might not be realized, the acquisition or investment might not perform in accordance with expectations, and we might be exposed to unknown liabilities or risks.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connection with these types of transactions, we might issue additional equity securities that would dilute our stockholders, use cash</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that we might need in the future to operate our business, incur debt on terms unfavorable to us or that we are unable to repay, incur large charges or substantial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encounter difficulties integrating diverse business cultures, and become subject to adverse tax consequences, substantial depreciation, or deferred compensation charges.</w:t>
      </w:r>
    </w:p>
    <w:p>
      <w:pPr>
        <w:spacing w:after="0" w:line="18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Rothera, owned and operated as a joint venture with SIG, operates a futures and derivatives exchange and clearinghouse through its subsidiary, Rothera E&amp;C. We do not wholly own or operationally control Rothera and its subsidiaries, and actions taken by Rothera and its subsidiaries could adversely affect our business, financial condition, results of operations, and reputation.</w:t>
      </w:r>
    </w:p>
    <w:p>
      <w:pPr>
        <w:spacing w:after="0" w:line="186"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On November 19, 2025, Robinhood invested in Rothera, a joint venture established to operate an independent and institutional-grade futures and derivatives exchange and clearinghouse. On January 20, 2026, Rothera acquired 90% of the issued and outstanding equity of Rothera E&amp;C, a CFTC-licensed DCM, DCO, and SEF to accelerate delivery of futures and derivative product offerings, including prediction markets.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Rothera is an independent entity with its own management team and employees responsible for the day-to-day operations of the joint</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venture. While Robinhood is entitled to designate a majority of the members of the board of directors of Rothera and one representative to serve on the board of directors of Rothera E&amp;C, and exercises governance control at Rothera’s board level and as otherwise set forth in</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Rothera’s governance documents, we do not have decision-making authority over all operational, strategic, or commercial decisions made by Rothera or any of its subsidiaries, and certain decisions may be subject to applicable regulatory requirements or require the consent of SIG and other holders of the equity of Rothera and its subsidiaries, any of whom may have economic or other business interests that are inconsistent with ours.</w:t>
      </w:r>
    </w:p>
    <w:p>
      <w:pPr>
        <w:spacing w:after="0" w:line="207"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Although we do not own a majority of Rothera’s equity interests and Rothera’s day-to-day operations are conducted by its management team, we designate the majority of the members of its board of directors which exercises governance control over Rothera, and thus consolidate the financial results of Rothera and its subsidiaries into our consolidated financial statements. As a result, any failure by Rothera or its subsidiaries to operate effectively, comply with applicable laws or regulations, maintain adequate internal controls, manage liquidity or capital requirements, or successfully execute their business strategy, could adversely affect our business, financial condition, results of operations, and reputation.</w:t>
      </w:r>
    </w:p>
    <w:p>
      <w:pPr>
        <w:spacing w:after="0" w:line="20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currently operate in certain international markets and plan to further expand our international operations, which exposes us to significant new risks, and our international expansion efforts might not succeed.</w:t>
      </w:r>
    </w:p>
    <w:p>
      <w:pPr>
        <w:spacing w:after="0" w:line="15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We currently only offer select services to the public outside the U.S. in certain jurisdictions, including brokerage and futures services in the U.K. through RHUK, crypto and brokerage services in the EU, through RHEU, and our Robinhood Wallet, which is available in over 150 countries and offered through our Cayman Islands subsidiary, Robinhood Non-Custodial Ltd. In addition, Bitstamp, which we acquired in June 2025 and expect to help accelerate our international growth, currently has entities operating internationally in the U.K., EU, Singapore, and the British Virgin Islands, and also offers services in other countries globally.</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intend to continue expanding our operations outside of the U.S. International expansion requires significant resources and management attention and subjects us to additional regulatory, economic, operational, and political risks on top of those we already face in the U.S. There are significant risks and costs inherent in establishing and doing business in international markets, including:</w:t>
      </w:r>
    </w:p>
    <w:p>
      <w:pPr>
        <w:spacing w:after="0" w:line="198" w:lineRule="exact"/>
        <w:rPr>
          <w:sz w:val="20"/>
          <w:szCs w:val="20"/>
          <w:color w:val="auto"/>
        </w:rPr>
      </w:pPr>
    </w:p>
    <w:p>
      <w:pPr>
        <w:ind w:left="660" w:hanging="328"/>
        <w:spacing w:after="0" w:line="26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difficulty establishing and managing international entities, offices, and/or operations and the increased operations, travel, infrastructure, and legal and compliance costs associated with operations, entities, and/or people in different countries or regions;</w:t>
      </w:r>
    </w:p>
    <w:p>
      <w:pPr>
        <w:spacing w:after="0" w:line="184"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the need to understand, interpret and comply with local laws, regulations, and customs in multiple jurisdictions, including laws and regulations governing cryptocurrency-related, credit, payments services, derivatives (including crypto-asset perpetuals), broker-dealer,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i w:val="1"/>
          <w:iCs w:val="1"/>
          <w:color w:val="auto"/>
        </w:rPr>
        <w:t>transmitter, or regulated entity practices, some of which do or might require permissions, registrations, authorizations, licenses or consents, or are or might be different from, or conflict with, those of other jurisdictions or foreign cybersecurity, data privacy, or labor and employment laws;</w:t>
      </w:r>
    </w:p>
    <w:p>
      <w:pPr>
        <w:spacing w:after="0" w:line="212" w:lineRule="exact"/>
        <w:rPr>
          <w:sz w:val="20"/>
          <w:szCs w:val="20"/>
          <w:color w:val="auto"/>
        </w:rPr>
      </w:pPr>
    </w:p>
    <w:p>
      <w:pPr>
        <w:ind w:left="660" w:right="700" w:hanging="328"/>
        <w:spacing w:after="0" w:line="26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the additional complexities of any merger or acquisition activity internationally, which could subject us to additional regulatory scrutiny, approvals, obligations, costs and penalties or risk;</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the need to adapt, localize, and position our products for specific countries (also known as “product-market fit”);</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increased exposure to foreign fraud vectors;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increased competition from local providers of similar products and services;</w:t>
      </w:r>
    </w:p>
    <w:p>
      <w:pPr>
        <w:spacing w:after="0" w:line="252" w:lineRule="exact"/>
        <w:rPr>
          <w:rFonts w:ascii="Arial" w:cs="Arial" w:eastAsia="Arial" w:hAnsi="Arial"/>
          <w:sz w:val="18"/>
          <w:szCs w:val="18"/>
          <w:color w:val="auto"/>
        </w:rPr>
      </w:pPr>
    </w:p>
    <w:p>
      <w:pPr>
        <w:ind w:left="660" w:right="160" w:hanging="328"/>
        <w:spacing w:after="0" w:line="26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challenges of obtaining, maintaining, protecting, defending and enforcing intellectual property rights abroad, including the challenge of extending or obtaining third-party intellectual property rights to use various technologies in new countries;</w:t>
      </w:r>
    </w:p>
    <w:p>
      <w:pPr>
        <w:spacing w:after="0" w:line="184" w:lineRule="exact"/>
        <w:rPr>
          <w:rFonts w:ascii="Arial" w:cs="Arial" w:eastAsia="Arial" w:hAnsi="Arial"/>
          <w:sz w:val="18"/>
          <w:szCs w:val="18"/>
          <w:color w:val="auto"/>
        </w:rPr>
      </w:pPr>
    </w:p>
    <w:p>
      <w:pPr>
        <w:ind w:left="660" w:right="200" w:hanging="328"/>
        <w:spacing w:after="0" w:line="285"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the need to offer customer support and other aspects of our offering (including websites, articles, blog posts, and customer support documentation) in various languages or locations;</w:t>
      </w:r>
    </w:p>
    <w:p>
      <w:pPr>
        <w:spacing w:after="0" w:line="169" w:lineRule="exact"/>
        <w:rPr>
          <w:rFonts w:ascii="Arial" w:cs="Arial" w:eastAsia="Arial" w:hAnsi="Arial"/>
          <w:sz w:val="18"/>
          <w:szCs w:val="18"/>
          <w:color w:val="auto"/>
        </w:rPr>
      </w:pPr>
    </w:p>
    <w:p>
      <w:pPr>
        <w:ind w:left="660" w:right="180" w:hanging="328"/>
        <w:spacing w:after="0" w:line="26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compliance with anti-bribery and anti-corruption laws, such as the FCPA and equivalent AML and sanctions rules and requirements in local markets, by us, our employees, and our business partners;</w:t>
      </w:r>
    </w:p>
    <w:p>
      <w:pPr>
        <w:spacing w:after="0" w:line="197" w:lineRule="exact"/>
        <w:rPr>
          <w:rFonts w:ascii="Arial" w:cs="Arial" w:eastAsia="Arial" w:hAnsi="Arial"/>
          <w:sz w:val="18"/>
          <w:szCs w:val="18"/>
          <w:color w:val="auto"/>
        </w:rPr>
      </w:pPr>
    </w:p>
    <w:p>
      <w:pPr>
        <w:ind w:left="660" w:right="160" w:hanging="328"/>
        <w:spacing w:after="0" w:line="26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the need to recruit and manage staff in new countries and regions to support international operations, and comply with employment law, tax, payroll, and benefits requirements in multiple countries;</w:t>
      </w:r>
    </w:p>
    <w:p>
      <w:pPr>
        <w:spacing w:after="0" w:line="184" w:lineRule="exact"/>
        <w:rPr>
          <w:rFonts w:ascii="Arial" w:cs="Arial" w:eastAsia="Arial" w:hAnsi="Arial"/>
          <w:sz w:val="18"/>
          <w:szCs w:val="18"/>
          <w:color w:val="auto"/>
        </w:rPr>
      </w:pPr>
    </w:p>
    <w:p>
      <w:pPr>
        <w:ind w:left="660" w:right="280" w:hanging="328"/>
        <w:spacing w:after="0" w:line="285"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the need to enter into new business partnerships with third-party service providers in order to provide products and services in the local market, or to meet regulatory obligations;</w:t>
      </w:r>
    </w:p>
    <w:p>
      <w:pPr>
        <w:spacing w:after="0" w:line="169" w:lineRule="exact"/>
        <w:rPr>
          <w:rFonts w:ascii="Arial" w:cs="Arial" w:eastAsia="Arial" w:hAnsi="Arial"/>
          <w:sz w:val="18"/>
          <w:szCs w:val="18"/>
          <w:color w:val="auto"/>
        </w:rPr>
      </w:pPr>
    </w:p>
    <w:p>
      <w:pPr>
        <w:ind w:left="660" w:right="20" w:hanging="328"/>
        <w:spacing w:after="0" w:line="26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varying levels of internet technology adoption and infrastructure, and increased or varying network and hosting service provider costs and differences in technology service delivery in different countries;</w:t>
      </w:r>
    </w:p>
    <w:p>
      <w:pPr>
        <w:spacing w:after="0" w:line="197" w:lineRule="exact"/>
        <w:rPr>
          <w:rFonts w:ascii="Arial" w:cs="Arial" w:eastAsia="Arial" w:hAnsi="Arial"/>
          <w:sz w:val="18"/>
          <w:szCs w:val="18"/>
          <w:color w:val="auto"/>
        </w:rPr>
      </w:pPr>
    </w:p>
    <w:p>
      <w:pPr>
        <w:ind w:left="660" w:right="40" w:hanging="328"/>
        <w:spacing w:after="0" w:line="252"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fluctuations in currency exchange rates, inflation, and tariffs and trade policy shifts could limit our ability to operate efficiently across or within borders, and the requirements of currency control regulations, which might restrict or prohibit conversion of other currencies into U.S. dollars;</w:t>
      </w:r>
    </w:p>
    <w:p>
      <w:pPr>
        <w:spacing w:after="0" w:line="211" w:lineRule="exact"/>
        <w:rPr>
          <w:rFonts w:ascii="Arial" w:cs="Arial" w:eastAsia="Arial" w:hAnsi="Arial"/>
          <w:sz w:val="18"/>
          <w:szCs w:val="18"/>
          <w:color w:val="auto"/>
        </w:rPr>
      </w:pPr>
    </w:p>
    <w:p>
      <w:pPr>
        <w:ind w:left="660" w:right="400" w:hanging="328"/>
        <w:spacing w:after="0" w:line="26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double taxation of our international earnings and potentially adverse tax consequences due to requirements of or changes in the income and other tax laws of the U.S. or the international jurisdictions in which we operate;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political or social change or unrest or economic instability in a specific country or region in which we operate.</w:t>
      </w:r>
    </w:p>
    <w:p>
      <w:pPr>
        <w:spacing w:after="0" w:line="23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limited experience with international legal and regulatory environments and market practices, and we might not be able to enter, penetrate or successfully operate in the markets we choose. In addition, we might incur significant expenses as a result of our international expansion, and we might not be successful, which could lead to substantial losses.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funding transaction losses due to reversals or insufficient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Some of our products and services are paid for by electronic transfer from customers’ bank accounts which exposes us to risks associated with reversals and insufficient funds. Unwinding of funds transfers due to reversals, and insufficient funds could arise from fraud, misuse, unintentional use, settlement delay, or other activities. Also, criminals are using increasingly sophisticated methods to engage in illegal activities, such as counterfeiting and fraud. If we are unable to collect and retain such amounts from the customer, or if the customer refuses or is unable, due to bankruptcy or other reasons, to reimburse us, we bear the loss for the amount of the chargeback, refund, or return.</w:t>
      </w:r>
    </w:p>
    <w:p>
      <w:pPr>
        <w:spacing w:after="0" w:line="206"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While we have policies and procedures designed to manage and mitigate these risks, we cannot be certain that such processes will be effective. Our failure to limit returns, including as a result of fraudulent transactions, could lead payment networks or our banking partners to require us to increase reserves, impose penalties on us, charge additional or higher fees, or terminate their relationships with us. These risks may be amplified as we continue to expand our operations internationally and increase our exposure to foreign fraud vectors.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working model, which allows a subset of our employees to work remotely, subjects us to heightened operational risks.</w:t>
      </w:r>
    </w:p>
    <w:p>
      <w:pPr>
        <w:spacing w:after="0" w:line="223"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We currently have a large segment of employees who work remotely and are not required to come into the office on a daily basis. Allowing employees to work remotely subjects us to heightened operational risks. For example, technologies in our employees’ homes might not be as robust or effective as in our offices and could lead to lower productivity and/or increased vulnerability to cybersecurity attacks or other privacy or data security incidents. There is no guarantee that the data security and privacy safeguards we have put in place will be completely effective or that we will not encounter risks associated with employees accessing company data and systems remotely. Additionally, in June 2024 FINRA’s new Residential Supervisory Location Designation Rule became effective, under which the homes of certain of our employees who work remotely could be treated as “residential supervisory locations” subject to inspections on a regular periodic schedule, which in turn has required certain operational changes and compliance adjustments. Non-compliance with the Residential Supervisory Location Designation Rule could subject us to fines, penalties or enforcement actions. We also face challenges due to the need to operate with a dispersed and remote workforce, as well as increased costs related to business continuity initiatives.</w:t>
      </w:r>
    </w:p>
    <w:p>
      <w:pPr>
        <w:spacing w:after="0" w:line="207"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Allowing for remote work has in the past made, and may continue to make, it more difficult for us to preserve our corporate culture of innovation and our employees might have decreased opportunities to collaborate in meaningful ways. Further, we cannot guarantee that</w:t>
      </w:r>
    </w:p>
    <w:p>
      <w:pPr>
        <w:jc w:val="both"/>
        <w:spacing w:after="0" w:line="226" w:lineRule="auto"/>
        <w:rPr>
          <w:sz w:val="20"/>
          <w:szCs w:val="20"/>
          <w:color w:val="auto"/>
        </w:rPr>
      </w:pPr>
      <w:r>
        <w:rPr>
          <w:rFonts w:ascii="Arial" w:cs="Arial" w:eastAsia="Arial" w:hAnsi="Arial"/>
          <w:sz w:val="18"/>
          <w:szCs w:val="18"/>
          <w:color w:val="auto"/>
        </w:rPr>
        <w:t>requiring a subset of employees to work in-office, or allowing certain employees to continue to work remotely, will not have a negative impact on employee morale or productivity. Any failure to overcome the challenges presented by our working model could harm our future success,</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including our ability to retain and recruit personnel, innovate and operate effectively, maintain product development velocity, and execute on our business strategy.</w:t>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Regulation and Litigation</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8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are subject to a wide variety of local, state, federal, and international laws, regulations, licensing schemes, and industry standards in the U.S., the U.K., the EU, the United Arab Emirates, Singapore, the British Virgin Islands, and in other countries and regions in which we operate. These laws, regulations, and standards govern numerous areas that are important to our business, and include, or might in the future include, those relating to all aspects of financial services, the securities and futures markets, investment advisory, investment companies, money transmission, the origination, marketing, servicing, and collection of consumer debt, foreign exchange, payments services</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products (such as payment processing, settlement services, and credit cards), cryptocurrency (including crypto-asset perpetuals), derivatives, trading in shares and fractional shares, fraud detection, consumer protection, AML, escheatment, sanctions regimes and export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controls, data privacy, data protection, custodial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data security, as well as climate risk and environmental impact, including with respect to disclosure of GHG emissions and other metrics related to climate change.</w:t>
      </w:r>
    </w:p>
    <w:p>
      <w:pPr>
        <w:spacing w:after="0" w:line="181"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substantial costs and uncertainties related to complying with these laws and regulations continue to increase, and our introduction of new products or services, expansion of our business into new jurisdictions or subindustries, acquisitions of other businesses that operate in similar regulated spaces, or other actions that we may take might subject us to additional laws, regulations, or other government or regulatory scrutiny. For example, after announcing in March 2024 the launch of the Robinhood Gold Card, which is offered through Robinhood Credit exclusively to Robinhood Gold Subscribers and provides rewards via the Robinhood Gold Credit Card Rewards Program, we received requests for information from the MSD related to the Robinhood Gold subscription service and the Robinhood Gold Card. Regulations are intended to ensure the integrity of financial markets, to maintain appropriate capitalization of broker-dealers and other financial services companies, and to protect customers and their assets. These regulations could limit our business activities through capital, customer</w:t>
      </w:r>
    </w:p>
    <w:p>
      <w:pPr>
        <w:spacing w:after="0" w:line="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protection, and market conduct requirements, as well as restrictions on the activities that we are authorized to conduct. We may also be subject to additional audits and investigations relating to government contracts, and any violations could result in various civil and criminal</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penalties and administrative sanctions, including termination of contracts, suspension of payments, payment of fines, and suspension or debarment from future government business, as well as harm to our reputation and financial results. In addition, the introduction of Robinhood Custodial Accounts subjects us to a complex state regulatory framework including, but not limited to, regulations related to the legal age of termination, a beneficiary’s rights at certain ages, and rules for account administration. These regulations vary by state and, as a result, we face operational risks in accurately administering these accounts and transitioning assets when a beneficiary reaches adulthood. If our systems fail to effectively manage these risks or fail to properly restrict access to unsupported investment products and features, we could face regulatory scrutiny, customer disputes, and reputational harm.</w:t>
      </w:r>
    </w:p>
    <w:p>
      <w:pPr>
        <w:spacing w:after="0" w:line="21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operate in highly regulated industries and, despite our efforts to comply with applicable legal requirements, like all companies in our industries, we must adapt to frequent changes in laws and regulations, and face complexity in interpreting and applying evolving laws and regulations to our business, heightened scrutiny of the conduct of financial services firms and increasing penalties for violations of applicable laws and regulations. We might fail to establish and enforce procedures that comply with applicable legal and regulatory requirements. We</w:t>
      </w:r>
    </w:p>
    <w:p>
      <w:pPr>
        <w:jc w:val="both"/>
        <w:spacing w:after="0" w:line="226" w:lineRule="auto"/>
        <w:rPr>
          <w:sz w:val="20"/>
          <w:szCs w:val="20"/>
          <w:color w:val="auto"/>
        </w:rPr>
      </w:pPr>
      <w:r>
        <w:rPr>
          <w:rFonts w:ascii="Arial" w:cs="Arial" w:eastAsia="Arial" w:hAnsi="Arial"/>
          <w:sz w:val="18"/>
          <w:szCs w:val="18"/>
          <w:color w:val="auto"/>
        </w:rPr>
        <w:t>might be adversely affected by new laws or regulations, changes in the interpretation of existing laws or regulations, or more rigorous enforcement. Furthermore, the U.S. Congress continues to consider potential legislation relating to digital assets and cryptocurrencies. For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example, on July 17, 2025, the House of Representatives passed the CLARITY Act, which seeks to provide for a system of regulation of the offer and sale of digital assets by the SEC and CFTC and establish a provisional registration regime. The CLARITY Act is currently under consideration by the U.S. Senate, where the Senate Committee on Banking, Housing, and Urban Affairs released preliminary discussion drafts on July 22, 2025, September 5, 2025, and January 12, 2026, of its proposed “Digital Asset Market Clarity Act” that builds upon the CLARITY Act. On January 29, 2026, the Senate Committee on Agriculture, Nutrition, and Forestry voted in favor of advancing its proposed “Digital Commodity Intermediaries Act,” which likewise builds upon the CLARITY Act. Additionally, on July 18, 2025, the President signed into law the GENIUS Act, which establishes a federal regulatory framework for “payment stablecoins” and their issuers, as well as contemplates scope for state-only regulation. If the CLARITY Act or any of the related bills discussed above are enacted, or as the GENIUS Act is implemented, we could be required to make significant operational changes and incur increased compliance costs. Our ability to offer certain products may also be impacted by potential legislation or actions taken by government regulators. For example, on March 23, 2026, the Prediction Markets Are Gambling Act was introduced in the U.S. Senate to amend the CEA to prohibit certain event contracts. If enacted,</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proposed legislation could lead to the suspension or termination of certain product offerings, which could materially decrease revenue in our prediction markets business. Additionally, regulators have requested and, in the future, could request or require us to cease offering specific</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products or services. Such regulatory actions have led, and in the future could lead, to the suspension or termination of product offerings, which have resulted, and may in the future result in increased compliance costs, financial losses and negative publicity. For example, after the U.S. District Court for the District of Nevada denied our motion for a preliminary injunction on November 25, 2025, we agreed to cease offering new sports-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related event contracts in Nevada as of December 1, 2025, and to take action to explore unwinding longer-duration open sports-related event contracts in Nevada. For additional information, refer to Note 14 - Commitments &amp; Contingencies to our unaudited condensed consolidated financial statements in this Quarterly Report.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Broker-Dealer, FCM, Investment Adviser, and Insurance Regulations</w:t>
      </w:r>
    </w:p>
    <w:p>
      <w:pPr>
        <w:spacing w:after="0" w:line="23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As broker-dealers, our U.S. based subsidiaries RHF, RHS, and TradePMR are subject to extensive regulation by federal and state regulators and SROs and are subject to laws and regulations covering all aspects of the securities industry. Similarly, our broker-dealer subsidiary in the U.K., RHUK, is subject to comprehensive regulation by the FCA, including the Consumer Duty which establishes standards requiring regulated firms to, among other things, deliver good outcomes for retail customers. This includes outcomes relating to products and services, price and value, consumer understanding, and consumer support. Our TradePMR insurance agency subsidiary is subject to regulation by state insurance regulators. Federal and state regulators (and, in the case of RHUK, the FCA) and SROs, including the SEC and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FINRA, can, among other things, investigate, censure or fine us, issue cease-and-desist orders or otherwise restrict our operations, require changes to our business practices, products or services, limit our acquisition activities or suspend or expel a broker-dealer or any of its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officers or employees. We also might be adversely affected by other regulatory changes related to our obligations with regard to suitability of financial products, supervision, sales practices, application of fiduciary or best interest standards (including the interpretation of what constitutes an “investment recommendation” for the purposes of the SEC’s “Regulation Best Interest” and state securities laws) and best execution in the context of our business and market structure, any of which could limit our business, increase our costs and damage our reputation. Our subsidiary RHD, which is registered with the CFTC as a FCM, is also subject to extensive regulation by federal and state regulators and SROs related to offering our customers Futures products. Rothera E&amp;C, a subsidiary of the Rothera joint venture, is also registered with the CFTC and operates as a regulated DCM, DCO and SEF and is similarly subject to extensive regulation. Similarly, state attorneys general and other state regulators, including state securities and financial services regulators, can bring legal actions on behalf of their states to assure compliance with state laws. In addition, criminal authorities such as state attorneys general or the DOJ may institute civil or criminal proceedings against us for violating applicable laws, rules, or regulations. Our subsidiaries, RAM and RHV are registered as investment advisers with the SEC under the Advisers Act. The Advisers Act mandates a variety of requirements for RIAs, including fiduciary</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duties, record-keeping, operational protocols, and disclosure obligations. The Advisers Act grants regulatory bodies such as the SEC significant administrative authority to govern investment advisory firms. If the SEC or other government agencies determine that RAM or RHV</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have not complied with relevant laws or regulations, they can impose fines, suspend registrants and individual employees, or enact other sanctions, which may include revoking RAM’s and RHV’s registrations under the Advisers Act.</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Money-Transmitter Regulation</w:t>
      </w:r>
    </w:p>
    <w:p>
      <w:pPr>
        <w:spacing w:after="0" w:line="237"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As money transmitters, certain of our subsidiaries are subject to regulation, primarily at the state level. We are also subject to regulation by the CFPB. We have obtained or are in the process of obtaining licenses to operate as a money transmitter (or as another type of regulated financial services institution, as applicable) at the federal level and in the states where this is required. As a licensed money transmitter, we are subject to obligations and restrictions with respect to the movement of customer funds, reporting requirements, bonding requirements, and inspection by state regulatory agencies concerning those aspects of our business considered money transmission. Evaluation of our compliance efforts, as well as the questions of whether and to what extent our products and services are considered money transmission, are matters of regulatory interpretation and could change over time. There are substantial costs and potential product and operational changes involved in maintaining and renewing these licenses, certifications, and approvals, and we could be subject to fines,</w:t>
      </w:r>
    </w:p>
    <w:p>
      <w:pPr>
        <w:spacing w:after="0" w:line="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other enforcement actions, and litigation if we are found to violate any of these requirements. There can be no assurance that we will be able to (or decide to) continue to apply for or obtain any such licenses, renewals, certifications, and approvals in any jurisdictions. In certain</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markets, we might rely on local banks or other partners to process payments and conduct foreign currency exchange transactions in local currency, and local regulators might use their authority over such local partners to prohibit, restrict, or limit us from doing business. The need to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or maintain these licenses, certifications, or other regulatory approvals could impose substantial additional costs, delay or preclude planned transactions, product launches or improvements, require significant and costly operational changes, impose restrictions, limitations, or additional requirements on our business, products, and services, or prevent us from providing our products or services in a given market.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Non-U.S. Regulations</w:t>
      </w:r>
    </w:p>
    <w:p>
      <w:pPr>
        <w:spacing w:after="0" w:line="23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As investment firms and crypto-asset service providers, our subsidiaries RHEU, Bitstamp Europe S.A., Bitstamp Financial Services Ltd., Bitstamp Asia Pte. Ltd., and Bitstamp UK Limited are subject to extensive regulation by regulators in Lithuania, Luxembourg, Slovenia, Singapore, and the U.K., respectively. Specifically, our subsidiaries, RHEU and Bitstamp Europe S.A., are licensed crypto asset service providers under MiCA, the provisions of which went into effect as of December 30, 2024. Among other provisions, MiCA introduces a comprehensive authorization and compliance regime for crypto-asset service providers, including requirements related to governance, reserves, capital, asset safeguarding, segregation, and security. In addition, our subsidiaries, RHEU and Bitstamp Financial Services Ltd.,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are licensed under MiFID to provide brokerage, multilateral trading facilities and/or investment advisory services. Compliance with MiFID imposes extensive regulatory requirements on our operations in the EU, including obligations related to client classification, product</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governance, transaction reporting, and best execution standards. As a result of holding both MiCA and MiFID licenses, we are subject to comprehensive regulation covering virtually all financial and crypto activities within the EU. This dual licensing framework subjects us to broad and evolving supervisory regimes governing traditional financial instruments, crypto-assets, client protections, disclosure obligations, and operational standards. As we continue to evaluate and align our licensing and supervisory frameworks in the EU, including assessing the optimal structure for our MiCA and MiFID entities, we will face periods of overlapping or evolving regulatory oversight, which could result in increased compliance costs, operational burdens, and extended approval timelines in connection with any changes.</w:t>
      </w:r>
    </w:p>
    <w:p>
      <w:pPr>
        <w:spacing w:after="0" w:line="20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Certain of our subsidiaries, including Bitstamp Asia Pte. Ltd. and Bitstamp UK Limited, are registered or regulated in a number of other foreign jurisdictions and subject to oversight by the applicable regulators, including the MAS and the FCA. These regulatory frameworks generally impose ongoing compliance requirements related to customer due diligence, AML, transaction monitoring, reporting, and governance. Maintaining and renewing any of these licenses, qualifications and approvals could impose substantial costs, delay or preclude planned expansions of business activities, require significant and costly operational changes, impose restrictions, limitations, or additional</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requirements on our business, products and services, or prevent us from providing our products or services in any given market. In addition, we could be subject to fines, enforcement actions and litigation if we are found to violate any of the requirements of such licenses,</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qualifications and approvals. There can be no assurance that we will be able to (or decide to) continue to apply for or obtain any such licenses, renewals, qualifications and approvals in any jurisdictions.</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spacing w:after="0" w:line="18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From time to time, we have been and currently are subject, and, given the highly regulated nature of the industries in which we operate, we expect that we will be subject in the future, to a number of legal and regulatory examinations and investigations arising out of our business practices and operations, conducted by the DOJ, SEC, FINRA, the CFTC and the NFA or other SROs or federal agencies such as OFAC, FinCEN, the FDIC or CFPB, state regulatory agencies, such as the MSD, the CAGO, the NYDFS, and international regulatory agencies, such as the U.K.’s FCA, Luxembourg’s Commission de Surveillance du Secteur Financier, Slovenia’s Agencija za trg vrednostnih papirjev, the MAS, and the Bank of Lithuania, among other authorities. These examinations and investigations have in some instances in the</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past and might in the future lead to lawsuits, arbitration claims, and enforcement proceedings, as well as other actions and claims, that result in injunctions, fines, penalties, and monetary settlements.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60" w:hanging="328"/>
        <w:spacing w:after="0" w:line="23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connection with the Early 2021 Trading Restrictions, we and our employees, including our CEO, Vladimir Tenev, have received requests for information, and in some cases, subpoenas and requests for testimony from the USAO, the DOJ, Antitrust Division, the SEC Staff, FINRA, the New York Attorney General’s Office, other state attorneys general offices, and a number of state securities regulators. Also, a related search warrant was executed by the USAO to obtain Mr. Tenev’s cell phone. We received inquiries from the SEC’s Division of Examinations and Division of Enforcement and FINRA related to employee trading during the week of January 25, 2021 in some of the securities that were subject to the Early 2021 Trading Restrictions, including GameStop Corp. and AMC Entertainment Holdings, Inc., and specifically as to whether any employee trading in these securities may have occurred after the decision to impose the Early 2021 Trading Restrictions and before the public announcement of the Early 2021 Trading Restrictions on January 28, 2021. On January 10, 2025, SEC Enforcement advised us in writing that it had closed its investigation into the Early 2021 Trading Restrictions and any contemporaneous employee trading issues. On March 6, 2025, we resolved FINRA’s investigations into the Early 2021 Trading Restrictions and employee trading issues.</w:t>
      </w:r>
    </w:p>
    <w:p>
      <w:pPr>
        <w:spacing w:after="0" w:line="199" w:lineRule="exact"/>
        <w:rPr>
          <w:rFonts w:ascii="Arial" w:cs="Arial" w:eastAsia="Arial" w:hAnsi="Arial"/>
          <w:sz w:val="18"/>
          <w:szCs w:val="18"/>
          <w:color w:val="auto"/>
        </w:rPr>
      </w:pPr>
    </w:p>
    <w:p>
      <w:pPr>
        <w:jc w:val="both"/>
        <w:ind w:left="660" w:hanging="328"/>
        <w:spacing w:after="0" w:line="244"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January 2024, we settled a matter with the MSD related to supervision of certain product features and marketing strategies, the service outages on our U.S. stock trading platform on March 2-3, 2020 and March 9, 2020 (the “March 2020 Outages”), and our options trading approval process, as well as the November 2021 Data Security Incident, under which we paid a $7.5 million fine and engaged an independent consultant to review, among other things, implementation of the FINRA independent consultant’s recommendations, policies and procedures regarding certain application features, and cybersecurity measures.</w:t>
      </w:r>
    </w:p>
    <w:p>
      <w:pPr>
        <w:spacing w:after="0" w:line="203"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August 2024, we settled a matter with the CAGO related to, among other things, certain disclosures by RHC and delivery of customers’ cryptocurrency assets under California Corporations Code Sections 29520 and 29505 during the period January 2018 through April 2022. We paid a monetary penalty of $3.9 million.</w:t>
      </w:r>
    </w:p>
    <w:p>
      <w:pPr>
        <w:spacing w:after="0" w:line="195" w:lineRule="exact"/>
        <w:rPr>
          <w:rFonts w:ascii="Arial" w:cs="Arial" w:eastAsia="Arial" w:hAnsi="Arial"/>
          <w:sz w:val="18"/>
          <w:szCs w:val="18"/>
          <w:color w:val="auto"/>
        </w:rPr>
      </w:pPr>
    </w:p>
    <w:p>
      <w:pPr>
        <w:jc w:val="both"/>
        <w:ind w:left="660" w:hanging="328"/>
        <w:spacing w:after="0" w:line="24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January 2025, we settled multiple matters with the SEC (including investigations into Regulation SHO, the timeliness of our broker-dealers’ SAR filings, EBS submissions, various brokerage recordkeeping issues, the November 2021 Data Security Incident, and Regulation S-ID violations) in which RHF and RHS paid penalties totaling $45 million, and agreed to certain undertakings (together, the “January 2025 SEC Settlement”).</w:t>
      </w:r>
    </w:p>
    <w:p>
      <w:pPr>
        <w:spacing w:after="0" w:line="200" w:lineRule="exact"/>
        <w:rPr>
          <w:rFonts w:ascii="Arial" w:cs="Arial" w:eastAsia="Arial" w:hAnsi="Arial"/>
          <w:sz w:val="18"/>
          <w:szCs w:val="18"/>
          <w:color w:val="auto"/>
        </w:rPr>
      </w:pPr>
    </w:p>
    <w:p>
      <w:pPr>
        <w:jc w:val="both"/>
        <w:ind w:left="660" w:hanging="328"/>
        <w:spacing w:after="0" w:line="23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March 2025, we settled multiple matters with FINRA (including investigations into RHF’s historical practice of collaring market orders, CIP, use of certain social media influencers, delivery of certain regulatory required documents to customers, and origin code designations for professional customers; RHS’s supervision of its clearing system technology, improper rejection of certain ACATS requests, improper effectuation of trades in securities during trading halts, execution of trades during extraordinary market volatility at prices that were above or below specified price bands, and the maintenance and reporting of inaccurate or incomplete trade, order, and position data to FINRA, FINRA TRF, CAT, Central Repository, and the OCC; and both broker-dealers’ AML programs, registration of required personnel, and supervision of trading in associated persons’ brokerage accounts) (together, the “March 2025 FINRA Settlement”). RHF and RHS paid a penalty totaling $26 million, and agreed to pay restitution of approximately $3.76 million to customers plus interest and certain undertakings.</w:t>
      </w:r>
    </w:p>
    <w:p>
      <w:pPr>
        <w:spacing w:after="0" w:line="21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These and other proceedings, some of which are described in Note 14 - Commitments &amp; Contingencies to our unaudited condensed consolidated financial statements in this Quarterly Report, have in the past and might in the future relate to broker-dealer, derivatives, investment adviser, credit card, cryptocurrency, and financial services rules and regulations, including our trading and supervisory policies and procedures, our clearing and routing practices, our trade reporting, our public communications, our compliance with FINRA registration</w:t>
      </w:r>
    </w:p>
    <w:p>
      <w:pPr>
        <w:jc w:val="both"/>
        <w:spacing w:after="0" w:line="226" w:lineRule="auto"/>
        <w:rPr>
          <w:sz w:val="20"/>
          <w:szCs w:val="20"/>
          <w:color w:val="auto"/>
        </w:rPr>
      </w:pPr>
      <w:r>
        <w:rPr>
          <w:rFonts w:ascii="Arial" w:cs="Arial" w:eastAsia="Arial" w:hAnsi="Arial"/>
          <w:sz w:val="18"/>
          <w:szCs w:val="18"/>
          <w:color w:val="auto"/>
        </w:rPr>
        <w:t>requirements, AML and other financial crimes regulations, cybersecurity matters, a particular cryptocurrency’s status as a “security,” and our licensing status, among other topics. These sorts of proceedings, inquiries, examinations, investigations, and other regulatory matters have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the past and might in the future subject us to fines, penalties, and monetary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settlements, harm our reputation and brand, require substantial management attention, result in additional compliance requirements, result in certain of our subsidiaries losing or being unable to obtain their regulatory licenses or losing their ability to conduct business in some jurisdictions (which could, among other things, result in statutory disqualification by FINRA and the SEC), increase regulatory scrutiny of our business, restrict our operations or require us to change our business practices, require changes to our products and services, require changes in personnel or management, delay planned product or service launches or development, limit our ability to acquire other complementary businesses and technologies, or lead to the suspension or expulsion of our other regulated subsidiaries or their officers or employees.</w:t>
      </w:r>
    </w:p>
    <w:p>
      <w:pPr>
        <w:spacing w:after="0" w:line="212"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In connection with litigation settlements, we have in the past and might in the future be required to make expenditures to enhance our compliance activities. For example, in connection with the August 2022 NYDFS settlement, we engaged an independent consultant to perform a comprehensive evaluation of our compliance program and remediation efforts with respect to identified deficiencies and violations.</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independent consultant completed its evaluation and made recommendations to implement enhancements in certain areas identified in the settlement, which required significant effort to implement.</w:t>
      </w:r>
    </w:p>
    <w:p>
      <w:pPr>
        <w:spacing w:after="0" w:line="208"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Additionally, while we offer select services and products in certain countries outside the U.S., we are not currently licensed, authorized, or registered in every jurisdiction (and in some cases are not licensed in every state). Under the terms of our customer agreements, we currently offer services only to citizens and permanent residents with a legal address within those jurisdictions where we are authorized and registered, and our application includes features designed to block access to our services from unauthorized jurisdictions. However, to the extent a customer accesses our application or services outside of jurisdictions where we have obtained required governmental licenses and authorization, we face a risk of becoming subject to regulations in that local jurisdiction. A regulator’s investigation as to whether, or conclusion that we, are servicing customers in its jurisdiction without being appropriately licensed, registered, or authorized has in the past and could in the future result in fines or other enforcement actions or settlements. For example, in December 2024, we were required to pay fines and entered into consent orders with the Nebraska Department of Banking and Finance and the Massachusetts Division of Banks in connection with prior unlicensed activity.</w:t>
      </w:r>
    </w:p>
    <w:p>
      <w:pPr>
        <w:spacing w:after="0" w:line="20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Previous statements by lawmakers, regulators and other public officials have signaled an increased focus on new or additional regulations that could impact our business and require us to make significant changes to our business model and practices.</w:t>
      </w:r>
    </w:p>
    <w:p>
      <w:pPr>
        <w:spacing w:after="0" w:line="15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Various lawmakers, regulators and other public officials have previously made statements about our business and that of other broker-dealers signaling an increased focus on new or additional laws or regulations that, if acted upon, could impact our business. For instance, the former SEC Chair previously indicated that he had instructed the SEC Staff to study, and in some cases make rulemaking recommendations to the SEC, relating to, or had otherwise discussed the following, among other topics: PFOF, digital engagement practices, and whether broker-dealers are adequately disclosing their policies and procedures around potential trading restrictions; whether margin requirements and other payment requirements are sufficient; whether broker-dealers have appropriate tools to manage their liquidity and risk; conflicts that can arise from the use of predictive analytics, in particular conflicts that may arise to the extent advisors or brokers are optimizing their own interests as well as others; the use of mobile app features such as rewards, bonuses, push notifications and other prompts and that such prompts could promote behavior that is not in the interest of the customer, such as excessive trading, and whether expanded enforcement mechanisms are necessary; and digital engagement practices. Although the SEC, under the current administration, withdrew certain notices of proposed rulemaking that were issued under the former SEC Chair, if the SEC enacts similar rules in the future, whether in this current or future administration, such rules could impose additional regulatory requirements on our business and operations and could require us to</w:t>
      </w:r>
    </w:p>
    <w:p>
      <w:pPr>
        <w:spacing w:after="0" w:line="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make significant changes to our business model and practices. Additionally, from time to time, we have received requests from regulators, including from the SEC, regarding our collection and uses of customer data and related disclosures.</w:t>
      </w:r>
    </w:p>
    <w:p>
      <w:pPr>
        <w:spacing w:after="0" w:line="20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in 2022, FINRA issued a regulatory notice requesting comment on complex products and options including “whether the current regulatory framework…is appropriately tailored to address current concerns raised by complex products and options.” If FINRA amends its rules to impose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requirements on firms with respect to determining customer eligibility and/or suitability to trade options, such rule changes could result in fewer Robinhood customers being approved to trade options which could negatively impact our options trading volumes and associated revenues.</w:t>
      </w:r>
    </w:p>
    <w:p>
      <w:pPr>
        <w:spacing w:after="0" w:line="19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Also, in September 2021, FINRA announced that it is reviewing firms’ use of social media marketing, including social media influencers, which is a marketing channel that we actively utilize. In February 2022, FINRA opened an investigation into our use of social media marketing, which we resolved as part of the March 2025 FINRA Settlement. In February 2023, FINRA provided updated guidance about firms’ practices related to their acquisition of customers through social media channels, as well as firms’ sharing of customers’ usage information with affiliates and non-affiliated third parties. In light of this updated guidance, we narrowed the scope of our social media influencer and affiliate publisher programs. Any additional limits that FINRA might impose on our use of this marketing channel could make it more difficult for us to attract new customers, resulting in slower growth.</w:t>
      </w:r>
    </w:p>
    <w:p>
      <w:pPr>
        <w:spacing w:after="0" w:line="212"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To the extent that the SEC, FINRA, or other regulatory authorities or legislative bodies adopt additional regulations or legislation in respect of any of these areas or relating to any other aspect of our business, we could face a heightened risk of potential regulatory violations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and could be required to make significant changes to our business model and practices, which changes might not be successful. Any of these outcomes could have an adverse effect on our business, financial condition, and results of operations.</w:t>
      </w:r>
    </w:p>
    <w:p>
      <w:pPr>
        <w:spacing w:after="0" w:line="20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are involved in numerous litigation matters that are expensive and time consuming, and, if resolved adversely, could expose us to significant liability and reputational harm.</w:t>
      </w:r>
    </w:p>
    <w:p>
      <w:pPr>
        <w:spacing w:after="0" w:line="16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In addition to regulatory proceedings, we are also involved in numerous other litigation matters, including putative class action lawsuits, and we anticipate that we will continue to be a target for litigation in the future. Potential litigation matters include commercial litigation matters, derivative matters, insurance matters, securities litigation matters, privacy and cybersecurity disputes, intellectual property disputes, contract disputes, consumer protection matters (including gambling loss recovery matters), and employment matters. This risk might be more pronounced during market downturns, during which the volume of legal claims and amount of damages sought in litigation and regulatory proceedings against financial services companies have historically increased.</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Litigation matters brought against us have in the past and might in the future require substantial management attention and might result</w:t>
      </w:r>
    </w:p>
    <w:p>
      <w:pPr>
        <w:spacing w:after="0" w:line="14"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in settlements, awards, injunctions, fines, penalties, and other adverse results. A substantial judgment, settlement, fine, penalty, or injunctive relief could be material to our results of operations or cash flows for a particular period, or could cause us significant reputational harm.</w:t>
      </w:r>
    </w:p>
    <w:p>
      <w:pPr>
        <w:spacing w:after="0" w:line="20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For more information about the legal proceedings in which we are currently involved, see Note 14 - Commitments &amp; Contingencies to our unaudited condensed consolidated financial statements in this Quarterly Report.</w:t>
      </w:r>
    </w:p>
    <w:p>
      <w:pPr>
        <w:spacing w:after="0" w:line="18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anti-corruption, anti-bribery, economic and trade sanctions, AML, and counter-terror financing that could impair our ability to compete in international markets or subject us to criminal or civil liability if we violate them.</w:t>
      </w:r>
    </w:p>
    <w:p>
      <w:pPr>
        <w:spacing w:after="0" w:line="18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We are required to comply with U.S. economic and trade sanctions administered by OFAC and we have processes in place to facilitate compliance with OFAC regulations. As part of our customer onboarding process, in accordance with the CIP rules under Section 326 of the USA Patriot Act, we screen all potential customers against OFAC watchlists and continue to screen all customers, vendors and employees daily against OFAC watchlists. Although our application includes features designed to block access to our services from sanctioned countries, if our services are accessed from a sanctioned country in violation of trade and economic sanctions, we could be subject to enforcement actions.</w:t>
      </w:r>
    </w:p>
    <w:p>
      <w:pPr>
        <w:spacing w:after="0" w:line="206"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are subject to the FCPA, U.S. and foreign bribery laws, and other U.S. and foreign anti-corruption laws. Anti-corruption and anti-bribery laws have been enforced aggressively in recent years and while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there may currently be a reduced focus on enforcement in the U.S. in light of a February 2025 Presidential executive order, these laws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The failure to comply with any such laws could subject us to criminal or civil liability, cause us significant reputational harm, and have an adverse effect on our business, financial condition, and results of operations.</w:t>
      </w:r>
    </w:p>
    <w:p>
      <w:pPr>
        <w:spacing w:after="0" w:line="20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are also subject to various AML and counter-terrorist financing laws and regulations that prohibit, among other things, our involvement in transferring the proceeds of criminal activities. In the U.S., most of our services are subject to AML laws and regulations, including the Bank Secrecy Act, as amended, and similar laws and regulations. Regulators in the U.S. continue to increase their scrutiny of compliance with these obligations. For example, in August 2022, we settled an NYDFS investigation of our cryptocurrency business related</w:t>
      </w:r>
    </w:p>
    <w:p>
      <w:pPr>
        <w:jc w:val="both"/>
        <w:spacing w:after="0" w:line="226" w:lineRule="auto"/>
        <w:rPr>
          <w:sz w:val="20"/>
          <w:szCs w:val="20"/>
          <w:color w:val="auto"/>
        </w:rPr>
      </w:pPr>
      <w:r>
        <w:rPr>
          <w:rFonts w:ascii="Arial" w:cs="Arial" w:eastAsia="Arial" w:hAnsi="Arial"/>
          <w:sz w:val="18"/>
          <w:szCs w:val="18"/>
          <w:color w:val="auto"/>
        </w:rPr>
        <w:t>primarily to AML and cybersecurity-related issues, under which we paid a monetary penalty of $30 million and engaged an independent compliance consultant and in January 2025, as part of the January 2025 SEC Settlement, RHF and RHS paid penalties totaling $13 million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violations of the timeliness of our broker-dealers’ compliance with SAR filing requirements from January 2020 through March 2022.</w:t>
      </w:r>
    </w:p>
    <w:p>
      <w:pPr>
        <w:spacing w:after="0" w:line="221"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Although our operations are currently concentrated in the U.S., we have expanded our operations outside of the U.S. As we have started to expand internationally, we have become subject to additional non-U.S. laws, rules, regulations, and other requirements regarding economic and trade sanctions, AML, and counter-terror financing. In order to comply with applicable laws, we have revised and expanded, and will continue to, revise and expand our compliance program, including the procedures we use to verify the identity of our customers and to conduct ongoing monitoring of our customers and their transactions on our systems, including payments to persons outside of the U.S. The need to comply with multiple sets of laws, rules, regulations, and other requirements could substantially increase our compliance costs, impair our ability to compete in international markets, and subject us to risk of criminal or civil liability for violations. For example, RHEU identified elevated fraudulent activity in 2025, consistent with industry-wide trends for EU financial institutions operating SEPA-to-crypto products, and has implemented remediation measures. No formal regulatory proceedings or penalty notices have been initiated, but regulators exercise significant regulatory discretion over how to interpret and enforce applicable law and regulations.</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auto"/>
        </w:rPr>
        <w:t>Our ability to offer event contracts is subject to the outcome of currently ongoing and potential future regulatory enforcement actions and litigation, as well as potential changes in federal or state law, that could immediately or subsequently prevent us from</w:t>
      </w:r>
    </w:p>
    <w:p>
      <w:pPr>
        <w:spacing w:after="0"/>
        <w:rPr>
          <w:sz w:val="20"/>
          <w:szCs w:val="20"/>
          <w:color w:val="auto"/>
        </w:rPr>
      </w:pPr>
      <w:r>
        <w:rPr>
          <w:rFonts w:ascii="Arial" w:cs="Arial" w:eastAsia="Arial" w:hAnsi="Arial"/>
          <w:sz w:val="18"/>
          <w:szCs w:val="18"/>
          <w:b w:val="1"/>
          <w:bCs w:val="1"/>
          <w:i w:val="1"/>
          <w:iCs w:val="1"/>
          <w:color w:val="auto"/>
        </w:rPr>
        <w:t>offering, or continuing to offer, event contracts.</w:t>
      </w:r>
    </w:p>
    <w:p>
      <w:pPr>
        <w:spacing w:after="0" w:line="2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Event contracts, whether offered by us or others, have drawn scrutiny from federal and state regulators and private parties, and have resulted in litigation that we are party to as well as litigation involving other companies that offer event contracts and between the CFTC and several states. In particular:</w:t>
      </w:r>
    </w:p>
    <w:p>
      <w:pPr>
        <w:spacing w:after="0" w:line="209" w:lineRule="exact"/>
        <w:rPr>
          <w:sz w:val="20"/>
          <w:szCs w:val="20"/>
          <w:color w:val="auto"/>
        </w:rPr>
      </w:pPr>
    </w:p>
    <w:p>
      <w:pPr>
        <w:ind w:left="660" w:hanging="328"/>
        <w:spacing w:after="0" w:line="27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Various CFTC-designated contract markets (“DCM”) and FCMs—including RHD—have received cease-and-desist letters from various states asserting that offering federally regulated event contracts violates state wagering and gaming laws.</w:t>
      </w:r>
    </w:p>
    <w:p>
      <w:pPr>
        <w:spacing w:after="0" w:line="194" w:lineRule="exact"/>
        <w:rPr>
          <w:rFonts w:ascii="Arial" w:cs="Arial" w:eastAsia="Arial" w:hAnsi="Arial"/>
          <w:sz w:val="18"/>
          <w:szCs w:val="18"/>
          <w:color w:val="auto"/>
        </w:rPr>
      </w:pPr>
    </w:p>
    <w:p>
      <w:pPr>
        <w:jc w:val="both"/>
        <w:ind w:left="660" w:hanging="328"/>
        <w:spacing w:after="0" w:line="24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Several states have also filed civil enforcement actions against DCMs and FCMs—including RHD—in state court, which generally assert that the offering of federally regulated event contracts violates state wagering and gaming laws or public nuisance laws. Certain state courts have issued orders granting temporary restraining orders and preliminary injunctions against some defendants restraining the offer of certain categories of event contracts; at least one of these orders has been appealed to a state appellate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660" w:hanging="328"/>
        <w:spacing w:after="0" w:line="252"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March 2026, Arizona filed criminal charges against KalshiEx LLC (“KalshiEx”) and a related entity in Arizona state court for alleged violations of state betting and wagering laws. The CFTC has successfully secured a temporary restraining order prohibiting Arizona from enforcing its gambling laws through any criminal or civil enforcement actions related to event contracts listed on CFTC-regulated DCMs.</w:t>
      </w:r>
    </w:p>
    <w:p>
      <w:pPr>
        <w:spacing w:after="0" w:line="210" w:lineRule="exact"/>
        <w:rPr>
          <w:rFonts w:ascii="Arial" w:cs="Arial" w:eastAsia="Arial" w:hAnsi="Arial"/>
          <w:sz w:val="18"/>
          <w:szCs w:val="18"/>
          <w:color w:val="auto"/>
        </w:rPr>
      </w:pPr>
    </w:p>
    <w:p>
      <w:pPr>
        <w:jc w:val="both"/>
        <w:ind w:left="660" w:hanging="328"/>
        <w:spacing w:after="0" w:line="24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DCMs and FCMs have also filed actions for declaratory judgment and permanent injunction seeking to enjoin states from filing civil and criminal enforcement actions against DCMs and FCMs on the ground that the Commodity Exchange Act (“CEA”) preempts the application of state law to federally regulated event contracts traded on DCMs. Such suits, including ones brought by RHD, have been brought in federal court. While some federal lawsuits have been successful in obtaining preliminary relief against certain states, other courts have denied preliminary relief to DCMs and FCMs. Certain of those decisions granting or denying preliminary relief have been appealed to federal courts of appeals. The United States Court of Appeals for the Third Circuit has affirmed a decision granting preliminary relief to KalshiEx.</w:t>
      </w:r>
    </w:p>
    <w:p>
      <w:pPr>
        <w:spacing w:after="0" w:line="202" w:lineRule="exact"/>
        <w:rPr>
          <w:rFonts w:ascii="Arial" w:cs="Arial" w:eastAsia="Arial" w:hAnsi="Arial"/>
          <w:sz w:val="18"/>
          <w:szCs w:val="18"/>
          <w:color w:val="auto"/>
        </w:rPr>
      </w:pPr>
    </w:p>
    <w:p>
      <w:pPr>
        <w:jc w:val="both"/>
        <w:ind w:left="660" w:hanging="328"/>
        <w:spacing w:after="0" w:line="24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April 2026, the CFTC filed complaints for declaratory relief and permanent injunction against certain states seeking to enjoin them from enforcing state laws on the ground that the CEA preempts the application of state law to federally regulated event contracts traded on DCMs. In at least one of these actions, the CFTC has been successful in securing a temporary restraining order prohibiting a state regulator from enforcing its state gambling laws through any criminal or civil enforcement actions related to event contracts listed on CFTC-regulated DCMs.</w:t>
      </w:r>
    </w:p>
    <w:p>
      <w:pPr>
        <w:spacing w:after="0" w:line="217" w:lineRule="exact"/>
        <w:rPr>
          <w:rFonts w:ascii="Arial" w:cs="Arial" w:eastAsia="Arial" w:hAnsi="Arial"/>
          <w:sz w:val="18"/>
          <w:szCs w:val="18"/>
          <w:color w:val="auto"/>
        </w:rPr>
      </w:pPr>
    </w:p>
    <w:p>
      <w:pPr>
        <w:jc w:val="both"/>
        <w:ind w:left="660" w:hanging="328"/>
        <w:spacing w:after="0" w:line="24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Native American tribes have sued KalshiEx, Kalshi Inc., Robinhood, and RHD, in federal court for injunctive relief and damages for offering event contracts accessible using devices on or near tribal lands. Although these tribes have asserted claims under the Indian Gaming Regulatory Act and the Lanham Act against the Kalshi defendants, the only claim currently being asserted against Robinhood and RHD is for civil violation of the Racketeer Influenced and Corrupt Organizations Act for working with the Kalshi defendants to offer event contracts through KalshiEx’s exchange.</w:t>
      </w:r>
    </w:p>
    <w:p>
      <w:pPr>
        <w:spacing w:after="0" w:line="203" w:lineRule="exact"/>
        <w:rPr>
          <w:rFonts w:ascii="Arial" w:cs="Arial" w:eastAsia="Arial" w:hAnsi="Arial"/>
          <w:sz w:val="18"/>
          <w:szCs w:val="18"/>
          <w:color w:val="auto"/>
        </w:rPr>
      </w:pPr>
    </w:p>
    <w:p>
      <w:pPr>
        <w:jc w:val="both"/>
        <w:ind w:left="660" w:hanging="328"/>
        <w:spacing w:after="0" w:line="24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Several private organizations have been formed to recover, under state Statute of Anne laws, certain damages alleged to have resulted from event contract trading on DCMs. Those entities have brought actions against FCMs, DCMs, and others in state court, including RHD and KalshiEx, among other related entities. State Statute of Anne laws generally allow a losing party to recover certain gambling losses and, if no recovery is sought after the expiration of a set period of time, may permit others to recover those same losses. Some states permit the recovery of additional damages including treble damages.</w:t>
      </w:r>
    </w:p>
    <w:p>
      <w:pPr>
        <w:spacing w:after="0" w:line="1" w:lineRule="exact"/>
        <w:rPr>
          <w:rFonts w:ascii="Arial" w:cs="Arial" w:eastAsia="Arial" w:hAnsi="Arial"/>
          <w:sz w:val="18"/>
          <w:szCs w:val="18"/>
          <w:color w:val="auto"/>
        </w:rPr>
      </w:pPr>
    </w:p>
    <w:p>
      <w:pPr>
        <w:jc w:val="both"/>
        <w:ind w:left="660" w:hanging="328"/>
        <w:spacing w:after="0" w:line="242"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Purported customers of several DCMs and other entities—including RHD—have also brought state statutory and common law claims on behalf of themselves and putative state and nationwide classes of consumers against DCMs in connection with their offering of event contracts, both in federal court and state courts. Plaintiffs generally allege that DCMs are conducting illegal sports gambling operations. Plaintiffs assert, among other claims, violations of state unlawful trade practices statutes, claims to recover under state Statute of Anne laws, violations of the CEA and CFTC regulations, joint venture and veil piercing liability, and common law unjust enrichment, and seek damages and equitable relief. Some plaintiffs have asserted that certain contracts, or the resolution of certain contracts, violated the CEA.</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For more information on certain of these proceedings, see Note 14 - Commitments &amp; Contingencies to our unaudited condensed consolidated financial statements in this Quarterly Report.</w:t>
      </w:r>
    </w:p>
    <w:p>
      <w:pPr>
        <w:spacing w:after="0" w:line="181"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The outcome of these cases or new laws or regulations, changes in the interpretation of existing laws or regulations, or more rigorous enforcement in this space could immediately or subsequently prevent us from offering, or continuing to offer, some or all types of event contracts in the future, including in specific states. In particular, additional federal or state courts, including appellate courts, may conclude that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laws attempting to prevent the trading of CFTC-regulated sports-related event contracts are not preempted by the CEA, or that outcome based event contracts are not “swaps” or contracts in excluded commodities falling within the jurisdiction of the CFTC, which would likely require us to cease offering certain event contracts in one or more states (or across all jurisdictions in which we operate) and could lead to adverse litigation and regulatory actions against us for doing so. Any such decision(s) could also result in us becoming subject to various new state-specific regulations relating to or implicating other event contracts, which would further limit our ability to offer access to event contracts within such state(s). Changes in CFTC or other regulatory policy that seek to ban or more heavily regulate event contracts, particularly event contracts that we offer such as those related to sporting events, could also require us to cease offering event contracts or materially impact our ability to offer event contracts and we may be required to cease offering such contracts in one or more jurisdictions in which we operate either immediately or with minimal advanced notice to customers. The CFTC previously proposed a rule amendment that, if adopted by the CFTC as proposed, would likely have prohibited us from offering sports and election event contracts (similar to the ones we offered in</w:t>
      </w:r>
    </w:p>
    <w:p>
      <w:pPr>
        <w:spacing w:after="0" w:line="8"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November 2024). While the CFTC withdrew this proposed rule amendment on February 4, 2026, it also announced that it intends to engage in further event contract rulemaking. In the future, the CFTC could also take broader and more expansive actions with respect to these or</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event contracts without notice at any time. Further, the tax treatment of event contracts is unclear, and unfavorable interpretations of tax laws or regulations by foreign or U.S. federal or state tax authorities could result in income and other taxes being imposed on Robinhood, our counterparties and our customers. If our ability to offer event contracts (either entirely or in certain categories) in one or more jurisdictions in which we operate is threatened, the perception of our brand may suffer and we may be unable to retain customers, and we may incur significant costs to attempt to continue listing some or all such event contracts. Any of these outcomes could have an adverse effect on our business, financial condition and results of operations.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Attracting, Retaining, and Engaging Customers</w:t>
      </w:r>
    </w:p>
    <w:p>
      <w:pPr>
        <w:spacing w:after="0" w:line="24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operate in highly competitive markets, and many of our competitors have greater resources than we do and may have products and services that are more appealing than ours to our current or potential customers.</w:t>
      </w:r>
    </w:p>
    <w:p>
      <w:pPr>
        <w:spacing w:after="0" w:line="166"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The markets in which we compete are evolving and highly competitive, with multiple participants competing for the same customers. Our current and potential future competition principally comes from incumbent brokerages, established financial technology companies, venture-</w:t>
      </w:r>
    </w:p>
    <w:p>
      <w:pPr>
        <w:jc w:val="both"/>
        <w:spacing w:after="0" w:line="226" w:lineRule="auto"/>
        <w:rPr>
          <w:sz w:val="20"/>
          <w:szCs w:val="20"/>
          <w:color w:val="auto"/>
        </w:rPr>
      </w:pPr>
      <w:r>
        <w:rPr>
          <w:rFonts w:ascii="Arial" w:cs="Arial" w:eastAsia="Arial" w:hAnsi="Arial"/>
          <w:sz w:val="18"/>
          <w:szCs w:val="18"/>
          <w:color w:val="auto"/>
        </w:rPr>
        <w:t>backed financial technology firms, banks, cryptocurrency exchanges, asset management firms, financial institutions, consumer financial service providers and technology platforms. The majority of our competitors have longer operating histories and greater capital resources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than we have and offer a wider range of products and services. Some of our competitors, particularly new and emerging technology companies, are not subject to the same regulatory requirements or scrutiny to which we are subject, which could allow them to innovate more quickly or take more risks, placing us at a competitive disadvantage. The impact of competitors with superior name recognition, greater market acceptance, larger customer bases, or stronger capital positions could adversely affect our results of operations and customer acquisition and retention. Our competitors might also be able to respond more quickly to new or changing opportunities and demands and withstand changing market conditions better than we can, especially larger competitors that might benefit from more diversified product and customer bases. For example, some of our competitors have quickly adopted, or are seeking to adopt, some of our key offerings and services, including commission-free trading, fractional share trading, no account minimums, and IRA match since their introduction on our platforms in order to compete with us. In addition, competitors might conduct extensive promotional activities, offer better terms or offer differentiating products and services that could attract our current and prospective customers and potentially result in intensified competition within our markets. We continue to experience aggressive price competition in our markets, and we might not be able to match the marketing</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efforts or prices of our competitors. In addition, our competitors might choose to forgo PFOF, which could create downward pressure on PFOF and make it more difficult for us to maintain our PFOF arrangements, which are a significant source of our revenue. We might also be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subject to increased competition as our competitors enter into business combinations or partnerships, or established companies in other market segments expand to become competitive with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Our ability to compete successfully in the financial services and cryptocurrency markets depends on a number of factors, including, among other things:</w:t>
      </w:r>
    </w:p>
    <w:p>
      <w:pPr>
        <w:spacing w:after="0" w:line="18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maintaining competitive pricing;</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providing easy-to-use, innovative, and attractive products and services that are adopted by customers;</w:t>
      </w:r>
    </w:p>
    <w:p>
      <w:pPr>
        <w:spacing w:after="0" w:line="238" w:lineRule="exact"/>
        <w:rPr>
          <w:rFonts w:ascii="Arial" w:cs="Arial" w:eastAsia="Arial" w:hAnsi="Arial"/>
          <w:sz w:val="18"/>
          <w:szCs w:val="18"/>
          <w:color w:val="auto"/>
        </w:rPr>
      </w:pPr>
    </w:p>
    <w:p>
      <w:pPr>
        <w:ind w:left="660" w:hanging="328"/>
        <w:spacing w:after="0" w:line="26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retaining customers (such as by providing effective customer support and avoiding outages, security breaches, and trading restrictions);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recruiting and retaining highly skilled personnel and senior management;</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maintaining and improving our reputation and the market perception of our brand and overall value;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maintaining our relationships with our counterparties;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adjusting to a dynamic regulatory environment.</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competitive position within our markets could be adversely affected if we are unable to adequately address these factors.</w:t>
      </w:r>
    </w:p>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retain existing customers or attract new customers, or if our customers decrease their use of our products and services, our revenue will decline.</w:t>
      </w:r>
    </w:p>
    <w:p>
      <w:pPr>
        <w:spacing w:after="0" w:line="16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We have experienced customer growth in recent years, including a significant fraction of new customers, often more than 50%, who have told us that Robinhood is their first brokerage account. Our business and revenue growth depends on our efforts to attract new customers, retain existing customers, and increase the amount that our customers use our products and services (including premium services, such as Robinhood Gold). It is particularly important that we retain and engage our most active brokerage customers, who account for a disproportionately large percentage of our brokerage trading volumes. Any erosion of this active customer base would have a disproportionately large negative impact on our revenues, which could cause the trading price of our Class A common stock to decline significantly. Our efforts to attract and retain customers might fail due to a number of factors, including our customers losing confidence in us or preferring a competitor’s offerings. Additional factors that could lead to a decline in our number of customers or their usage of our products and services or that could prevent us from increasing our number of customers include:</w:t>
      </w:r>
    </w:p>
    <w:p>
      <w:pPr>
        <w:spacing w:after="0" w:line="21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a decline in our brand and reputation;</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increased pricing for our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a shift in pricing models, including allowing customers to choose a fee-based model for cryptocurrency orders;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ineffective marketing efforts or a reduction in marketing activity;</w:t>
      </w:r>
    </w:p>
    <w:p>
      <w:pPr>
        <w:spacing w:after="0" w:line="238" w:lineRule="exact"/>
        <w:rPr>
          <w:rFonts w:ascii="Arial" w:cs="Arial" w:eastAsia="Arial" w:hAnsi="Arial"/>
          <w:sz w:val="18"/>
          <w:szCs w:val="18"/>
          <w:color w:val="auto"/>
        </w:rPr>
      </w:pPr>
    </w:p>
    <w:p>
      <w:pPr>
        <w:ind w:left="660" w:hanging="328"/>
        <w:spacing w:after="0" w:line="26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certain of our customers, due to being new and inexperienced, might be less loyal to our product or less likely to maintain historical trading patterns and interest in investing;</w:t>
      </w:r>
    </w:p>
    <w:p>
      <w:pPr>
        <w:spacing w:after="0" w:line="184" w:lineRule="exact"/>
        <w:rPr>
          <w:rFonts w:ascii="Arial" w:cs="Arial" w:eastAsia="Arial" w:hAnsi="Arial"/>
          <w:sz w:val="18"/>
          <w:szCs w:val="18"/>
          <w:color w:val="auto"/>
        </w:rPr>
      </w:pPr>
    </w:p>
    <w:p>
      <w:pPr>
        <w:ind w:left="660" w:right="20" w:hanging="328"/>
        <w:spacing w:after="0" w:line="26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a broad decline in the equity or other financial markets, which could result in many of these investors feeling discouraged and exiting the markets altogether (as has occurred in connection with prior bear market cycles);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rising inflation resulting in less disposable income for our customers to invest;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hanging="328"/>
        <w:spacing w:after="0" w:line="26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our customers experiencing difficulties using the Robinhood app as intended, due to any number of reasons such as design errors, service outages, or trading restrictions imposed by us;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our customers experiencing security or data breaches, account intrusions, or other unauthorized access;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our failure to provide adequate customer service;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customer resistance to and non-acceptance of cryptocurrencies; and</w:t>
      </w:r>
    </w:p>
    <w:p>
      <w:pPr>
        <w:spacing w:after="0" w:line="238" w:lineRule="exact"/>
        <w:rPr>
          <w:rFonts w:ascii="Arial" w:cs="Arial" w:eastAsia="Arial" w:hAnsi="Arial"/>
          <w:sz w:val="18"/>
          <w:szCs w:val="18"/>
          <w:color w:val="auto"/>
        </w:rPr>
      </w:pPr>
    </w:p>
    <w:p>
      <w:pPr>
        <w:ind w:left="660" w:right="20" w:hanging="328"/>
        <w:spacing w:after="0" w:line="26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customer dissatisfaction with the limited number of cryptocurrencies available on our platforms or with our ceasing support for cryptocurrencies on our RHC, RHEU, or Bitstamp platforms because they failed our regular listing committee review; and</w:t>
      </w:r>
    </w:p>
    <w:p>
      <w:pPr>
        <w:spacing w:after="0" w:line="184" w:lineRule="exact"/>
        <w:rPr>
          <w:rFonts w:ascii="Arial" w:cs="Arial" w:eastAsia="Arial" w:hAnsi="Arial"/>
          <w:sz w:val="18"/>
          <w:szCs w:val="18"/>
          <w:color w:val="auto"/>
        </w:rPr>
      </w:pPr>
    </w:p>
    <w:p>
      <w:pPr>
        <w:ind w:left="660" w:hanging="328"/>
        <w:spacing w:after="0" w:line="26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customer dissatisfaction with the RHC and Bitstamp USA, Inc. platforms removing certain cryptocurrencies because the SEC or a court has asserted or determined that the cryptocurrencies or similar cryptocurrencies are securities.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customers may choose to cease using our platforms, products, and services at any time, and may choose to transfer their accounts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another broker-dealer. For example, during the first quarter of 2021 many customers became upset by our imposition of the Early 2021 Trading Restrictions, and we saw an increase in customers choosing to transfer their accounts to other broker-dealers.</w:t>
      </w:r>
    </w:p>
    <w:p>
      <w:pPr>
        <w:spacing w:after="0" w:line="21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provide, monetize or successfully execute on new and innovative products, services and initiatives that are adopted by customers, our business may become less competitive and our revenue might decline.</w:t>
      </w:r>
    </w:p>
    <w:p>
      <w:pPr>
        <w:spacing w:after="0" w:line="16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Our ability to attract, engage, and retain our customers and to increase our revenue depends heavily on our ability to evolve our existing offerings and to create, monetize, or successfully execute on new products, services and initiatives that are adopted by customers. Rapid and significant technological changes continue to confront the financial services industry, including developments in the methods in which securities are traded and developments in cryptocurrencies. To keep pace or to innovate we have introduced and might continue to introduce significant changes to our existing products and services or acquire or introduce new and unproven products, services and initiatives, including using technologies with which we have little or no prior development or operating experience (for instance, event contracts). Our efforts have been and might continue to be inhibited by industry-wide standards, legal restrictions, incompatible customer expectations, demands, and preferences, or third-party intellectual property rights. Our efforts to innovate have been and might continue to also be delayed or blocked by new or enhanced regulatory scrutiny or technical complications. Incorporating new technologies into our products and services,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successfully executing on new initiatives, or realizing the intended benefits of acquisitions of, or investments in, other companies, products or technologies, has required and might continue to require substantial expenditures and take considerable time, and we might not be</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successful in realizing a return on these efforts in a timely manner or at all. It might be difficult to monetize products in a manner consistent with our brand’s focus on low prices. If we fail to innovate and deliver products, services, and initiatives with market fit and differentiation, or fail to do so quickly enough as compared to our competitors, we might fail to attract and retain customers and maintain customer engagement, causing our revenue to decline. Our international expansion efforts may increase these risks as we expect to adapt our product and service offerings to reflect local regulatory requirements, customer preferences, and other location-specific factors, as discussed in “-Risks Related to Our Business-We currently operate in certain international markets and plan to further expand our international operations, which exposes us to significant new risks, and our international expansion efforts might not succeed.”</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Platforms, Systems, and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products and services rely on software and systems that are highly technical and have been, and may in the future be, subject to interruption, instability, and other potential flaws due to software errors, design defects, and other processing, operational, and technological failures, whether internal or external.</w:t>
      </w:r>
    </w:p>
    <w:p>
      <w:pPr>
        <w:spacing w:after="0" w:line="18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7"/>
          <w:szCs w:val="17"/>
          <w:color w:val="auto"/>
        </w:rPr>
        <w:t>We rely on technology, including the internet and mobile services, to conduct much of our business activity and allow our customers to conduct financial transactions on our platforms. Our systems and operations, including our cloud-based operations and disaster recovery operations, those of the third parties on which we rely to conduct certain key functions, and those of companies we have acquired or may seek to acquire in the future, are vulnerable to disruptions from natural disasters, power and service outages, interruptions or losses, computer and telecommunications failures, software bugs, cybersecurity attacks, computer viruses, malware, distributed denial of service attacks, spam attacks, phishing or other social engineering, ransomware, security breaches, credential stuffing, technological failure, vulnerabilities, human error, terrorism, improper operation, unauthorized entry, data loss, intentional bad actions, and other similar events and</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 have experienced such disruptions in the past. For example, on October 20, 2025, Amazon Web Services (AWS) experienced a major disruption in its US-EAST-1 region due to a failure in an internal system. This affected certain of our operations, resulting in service instability</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and interruption. Further, we have in the past and might in the future be particularly vulnerable to any such internal technology failures because we rely heavily on our own self-clearing platform, proprietary order routing system, data platforms, and other back-end infrastructure for our operations, and any such failures could have an adverse effect on our reputation, business, financial condition, and results of operations.</w:t>
      </w:r>
    </w:p>
    <w:p>
      <w:pPr>
        <w:spacing w:after="0" w:line="207"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Our products and internal systems also rely on software that is highly technical and complex (including software developed or maintained internally and/or by third parties and also including machine learning models) in order to collect, store, retrieve, transmit, manage and otherwise process immense amounts of data. The software on which we rely has in the past contained and might in the future contain errors, bugs, vulnerabilities, design defects, or technical limitations that might compromise our ability to meet our objectives. Some such problems are inherently difficult to detect, and some such problems might only be discovered after code has been released for external or internal use. Media outlets have in the past and might in the future learn of our plans for features by examining hidden but unprotected images and code in publicly available beta versions of our app, resulting in unwanted publicity prior to our intended announcement dates. Such problems might</w:t>
      </w:r>
    </w:p>
    <w:p>
      <w:pPr>
        <w:spacing w:after="0" w:line="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also lead to negative customer experiences (including the communication of inaccurate information to customers), compromised ability of our products to perform in a manner consistent with customer expectations, delayed product introductions, compromised ability to protect data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intellectual property, or an inability to provide some or all of our services.</w:t>
      </w:r>
    </w:p>
    <w:p>
      <w:pPr>
        <w:spacing w:after="0" w:line="221"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While we have made, and continue to make, significant investments designed to correct software errors and design defects and to enhance the reliability and scalability of our platforms and operations, the risk of software and system failures and design defects is always present, we do not have fully redundant systems, and we might fail to maintain, expand, and upgrade our systems and infrastructure to meet future requirements and mitigate future risks on a timely basis. It might become increasingly difficult to maintain and improve the availability of our platforms, especially as our platforms and product offerings become more complex and our customer base grows. For instance, we have needed and will continue to need to have adequate capacity and infrastructure on our platform with respect to the rollout, offering, and settlement of event contracts and to serve as brokerage and initial trustee for Trump Accounts. We might also encounter technical issues in connection with changes and upgrades to the underlying networks of supported cryptocurrencies. Any number of technical changes, software upgrades, soft or hard forks, cybersecurity incidents, or other changes to the underlying blockchain networks might occur from time to time, causing incompatibility, technical issues, disruptions or security weaknesses to our platforms. If we are unable to identify, troubleshoot, and</w:t>
      </w:r>
    </w:p>
    <w:p>
      <w:pPr>
        <w:spacing w:after="0" w:line="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resolve any such issues successfully, we might no longer be able to support such cryptocurrency, our customers’ assets might be frozen or lost, the security of our hot or cold wallets might be compromised, and our platforms and technical infrastructure might be affected.</w:t>
      </w:r>
    </w:p>
    <w:p>
      <w:pPr>
        <w:spacing w:after="0" w:line="20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addition, surges in trading volume on our platforms have in the past and might in the future cause our systems to operate at diminished speed or even fail, temporarily or for a more prolonged period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time, which would affect our ability to process transactions and potentially result in some customers’ orders being executed at prices they did not anticipate, executed incorrectly, or not executed at all. For example, we experienced (i) the March 2020 Outages, which resulted in some of our customers being unable to buy and sell securities and other financial products on our U.S. trading platform for a period of time, and (ii) the partial service outages and degraded service on our RHC cryptocurrency platform from time to time in mid-April and early May 2021 caused by a surging demand for cryptocurrency trading (the “April-May 2021 Disruptions”), which resulted in some of our customers being unable to buy and sell cryptocurrencies for a period of time. Our platforms have otherwise in the past and might in the future experience outages. The March 2020 Outages resulted in putative class action lawsuits, arbitrations, and regulatory examinations and investigations, as well as cash remediation payments. Disruptions to, destruction of, improper access to, breach of, instability of, or failure to effectively maintain our information technology systems (including our data processing systems, self-clearing platform, and order routing system) that allow our customers to use our products and services, and any associated degradations or interruptions of service could result in damage to</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our reputation, loss of customers, loss of revenue, regulatory or governmental investigations, civil litigation, and liability for damages. In addition, our customer service team from time to time experiences backlogs responding to customer support requests. These backlogs have</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compounded when we have experienced any market outages, provider network disruptions, or platform outages or errors, including, for example, in connection with the March 2020 Outages and the April-May 2021 Disruptions, and may compound in the future as a result of such events. Frequent or persistent interruptions, or perceptions of such interruptions whether true or not, in our products and services could cause customers to believe that our products and services are unreliable, leading them to switch to our competitors or to otherwise avoid our products and services. Additionally, our insurance policies might be insufficient to cover a claim made against us by any such customers affected by any disruptions, outages, or other performance or infrastructure problems.</w:t>
      </w:r>
    </w:p>
    <w:p>
      <w:pPr>
        <w:spacing w:after="0" w:line="21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success depends in part upon continued distribution through app stores and effective operation with mobile operating systems, networks, technologies, products, hardware and standards that we do not control.</w:t>
      </w:r>
    </w:p>
    <w:p>
      <w:pPr>
        <w:spacing w:after="0" w:line="16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A substantial majority of our customers’ activity on our platforms occurs on mobile devices. We are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versions of operating systems, or changes in our relationships with mobile operating system providers, device manufacturers or mobile carriers, or in their terms of service or policies that degrade the functionality of our app, reduce or eliminate our ability to distribute</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applications, give preferential treatment to competitive products, limit our ability to target or measure the effectiveness of applications, or impose fees or other charges related to our delivery of our application could adversely affect customer usage of the Robinhood app. For example, from time to time we have experienced delays in our ability to launch products or update features on our platforms as a result of prolonged app store review processes. Further, we are subject to the standard policies and terms of service of these operating systems, as well as policies and terms of service of the various application stores that make our application and experiences available to our developers, creators and customers.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platforms and those changes might be unfavorable to us and our customers’ use of our platforms. If we were to violate, or an operating system provider or application store believes that we have violated, its terms of service or policies, that operating system provider or application store could limit or discontinue our access to its operating system or store. Any limitation or discontinuation of our access to any third-party platform or application store could adversely affect our business, financial condition or results of operations.</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Additionally, in order to deliver a high-quality mobile experience for our customers, it is important that our products and services work well with a range of mobile technologies, products, systems, networks, hardware and standards that we do not control. We need to continuously modify, enhance, and improve our products and services to keep pace with changes in internet-related hardware, mobile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systems and other software, communication, browser, and database technologies. We might not be successful in developing products that operate effectively with these technologies, products, systems, networks or standards or in bringing them to market quickly or cost-effectively in response to market demands. If our customers choose to not update our app to the latest version, or if it is otherwise difficult for them to access or use our app on their mobile devices, or if they use mobile products that do not offer access to our app, our customer growth and engagement could be adversely affected and our revenues might decline. In addition, if our customers use older versions of our app it may result in customer complaints and regulatory inquiries that could lead to arbitration claims or regulatory sanctions.</w:t>
      </w:r>
    </w:p>
    <w:p>
      <w:pPr>
        <w:spacing w:after="0" w:line="2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rely on third parties to perform some key functions, and their failure to perform those functions could adversely affect our business, financial condition, and results of operations.</w:t>
      </w:r>
    </w:p>
    <w:p>
      <w:pPr>
        <w:spacing w:after="0" w:line="166"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We rely on certain third-party computer systems or third-party service providers, including several cloud technology providers such as AWS (on which we primarily rely to deliver our services to customers on our platforms), internet service providers, payment services</w:t>
      </w:r>
    </w:p>
    <w:p>
      <w:pPr>
        <w:jc w:val="both"/>
        <w:spacing w:after="0" w:line="226" w:lineRule="auto"/>
        <w:rPr>
          <w:sz w:val="20"/>
          <w:szCs w:val="20"/>
          <w:color w:val="auto"/>
        </w:rPr>
      </w:pPr>
      <w:r>
        <w:rPr>
          <w:rFonts w:ascii="Arial" w:cs="Arial" w:eastAsia="Arial" w:hAnsi="Arial"/>
          <w:sz w:val="18"/>
          <w:szCs w:val="18"/>
          <w:color w:val="auto"/>
        </w:rPr>
        <w:t>providers, market and third-party data providers, regulatory services providers, clearing systems, Liquidity Providers, securities and cryptocurrency exchanges, facilitators of cryptocurrency staking services, the U.S. government and its financial agents, alternative trading</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systems (such as BOATS, Moon ATS, and Bruce ATS with respect to Robinhood 24 Hour Market), exchange systems (such as ForecastEx, LLC and KalshiEx LLC, with respect to certain event contracts), banking systems, payment gateways that link us to the payment card and bank clearing networks to process transactions, co-location facilities, communications facilities, and other third-party facilities to run our platforms, facilitate trades by our customers (such as Wells Fargo Clearing Services, LLC for TradePMR customers), provide the technology we use to manage some of our cryptocurrency custody, transfer, and settlement operations and support or carry out some regulatory obligations. In addition, external content providers provide us with financial information, market news, charts, option and stock quotes, cryptocurrency quotes, research reports, and other fundamental data that we provide to our customers. These providers have been and are susceptible to processing, operational, technological and security vulnerabilities, including security breaches, which might impact our business, and our ability to monitor our third-party service providers’ data security is limited. In addition, these third-party service providers might rely on subcontractors to provide services to us that face similar risks.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face a risk that our third-party service providers might be unable or unwilling to continue to provide these services to meet our current</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needs in an efficient, cost-effective manner or to expand their services to meet our needs in the future. Any failures by our third-party service providers that result in an interruption in service, unauthorized access, misuse, loss or destruction of data or other similar occurrences could</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interrupt our business, cause us to incur losses, result in decreased customer satisfaction and increase customer attrition, subject us to customer complaints, significant fines, litigation, disputes, claims, regulatory investigations or other inquiries and harm our reputation. Regulators might also hold us responsible for the failures of our providers. For example, after BOATS, the trading venue that primarily supports overnight trading on Robinhood 24 Hour Market (8:00 pm - 4:00 am ET), experienced disruptions during the overnight trading session on August 4-5, 2024, we received requests for information from certain regulators.</w:t>
      </w:r>
    </w:p>
    <w:p>
      <w:pPr>
        <w:spacing w:after="0" w:line="20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continue to incorporate AI technologies into some of our products and processes. These technologies may present business, compliance, legal, and reputational risks.</w:t>
      </w:r>
    </w:p>
    <w:p>
      <w:pPr>
        <w:spacing w:after="0" w:line="16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currently use machine learning and AI to improve our products and processes in certain circumstances, such as to increase the efficiency of our in-app chat support, customer support workflows, fraud detection systems, and software coding optimization, as well as to improve the customer experience in our newsfeed, and we have plans to continue to expand our use of AI in the future. Our research and development of such technology also remains ongoing. As with many new and emerging technologies, AI presents numerous risks and</w:t>
      </w:r>
    </w:p>
    <w:p>
      <w:pPr>
        <w:jc w:val="both"/>
        <w:ind w:right="20"/>
        <w:spacing w:after="0" w:line="226" w:lineRule="auto"/>
        <w:rPr>
          <w:sz w:val="20"/>
          <w:szCs w:val="20"/>
          <w:color w:val="auto"/>
        </w:rPr>
      </w:pPr>
      <w:r>
        <w:rPr>
          <w:rFonts w:ascii="Arial" w:cs="Arial" w:eastAsia="Arial" w:hAnsi="Arial"/>
          <w:sz w:val="18"/>
          <w:szCs w:val="18"/>
          <w:color w:val="auto"/>
        </w:rPr>
        <w:t>challenges that could adversely affect our business. If we fail to keep pace with rapidly evolving AI technological developments, especially in the financial technology sector, our competitive position and business results may suffer. At the same time, use of AI has recently become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source of significant media attention and political debate. The introduction and use of AI technologies, particularly generative AI, into new or existing offerings may result in new or expanded risks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including due to enhanced governmental or regulatory scrutiny, litigation, compliance issues, ethical concerns, confidentiality or security risks, as well as other factors that could adversely affect our business, reputation, and financial results. For example, AI technologies can lead to unintended consequences, including generating content that appears correct but is factually inaccurate, misleading or otherwise flawed, or that results in unintended biases and discriminatory outcomes, which could negatively impact our customers, harm our reputation and business, and expose us to liability. Laws, regulations or industry standards that develop in response to the use of AI may be burdensome or may restrict our ability to use, develop, or deploy AI, particularly generative AI technologies, in our products or processes, or our efforts to expand our business. For example, the EU's AI Act, which became effective on August 1, 2024, governs the development, marketing and use of AI in the EU and could impose significant additional costs on us to comply or significant fines for failing to comply. In the U.S., a patchwork of emerging AI-related laws and regulations could also require us to modify our practices or increase compliance costs. For example, at the state-level, numerous states including California, Colorado and Texas have enacted laws regulating AI safety protocols,</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reporting, and transparency. At the federal level, on December 11, 2025, the President issued an executive order to establish a national policy framework for AI intended to preempt state AI laws and regulations. Among other things, the executive order directs the Federal</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Communications Commission to initiate a proceeding to determine whether to adopt a federal reporting and disclosure standard for AI models, which could impose significant additional costs on us to comply or significant fines for failing to comply.</w:t>
      </w:r>
    </w:p>
    <w:p>
      <w:pPr>
        <w:spacing w:after="0" w:line="199"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We also use AI technologies from third parties, which may include open source software. If we are unable to maintain rights to use these AI technologies on commercially reasonable terms, we may be forced to acquire or develop alternate AI technologies, which may limit or delay our ability to provide competitive offerings and may increase our costs. These AI technologies also may incorporate data from third-party sources, publicly available sources, or other datasets. We may not always be aware of the provenance, ownership, or licensing status of data used in connection with our AI technologies, which may expose us to risks associated with data rights and protection. The increased adoption of AI technologies by us, by our employees, contractors, and other including use of third-party AI platforms, increases the risk that confidential, proprietary, or sensitive information, including customer data, trade secrets, and security credentials, may be inadvertently disclosed to or retained by third-party AI service providers outside of our controlled systems, which could result in the unauthorized exposure of such information, expose us to legal and regulatory claims, compromise our intellectual property, and harm our competitive position 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reputation. In addition, AI models we develop, or use may generate outputs that reproduce, closely resemble, or are derived from third-party copyrighted, proprietary, or otherwise protected content, which could expose us to infringement or misappropriation claims with respect to</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such outputs. The legal and regulatory landscape surrounding AI technologies is rapidly evolving and uncertain, including with respect to intellectual property ownership and license rights, cybersecurity, and data protection laws, among others, and has not yet been fully addressed by courts or regulators. The use, development, or adoption of AI technologies into our products may result in exposure to claims by third parties of copyright infringement or other intellectual property misappropriation, which may require us to pay compensation or license fees to third parties. The evolving legal, regulatory and compliance framework for AI technologies may also impact our ability to protect our own data and intellectual property against infringing use.</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Cybersecurity and Data Privacy</w:t>
      </w:r>
    </w:p>
    <w:p>
      <w:pPr>
        <w:spacing w:after="0" w:line="24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business could be materially and adversely affected by a cybersecurity breach or other attack involving our computer systems or data or those of our customers or third-party or fourth-party service providers.</w:t>
      </w:r>
    </w:p>
    <w:p>
      <w:pPr>
        <w:spacing w:after="0" w:line="166"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Our systems, including those of companies we have acquired or may seek to acquire in the future, and those of our customers and third-party service providers have been and might in the future be vulnerable to cybersecurity issues. We, like other financial technology</w:t>
      </w:r>
    </w:p>
    <w:p>
      <w:pPr>
        <w:jc w:val="both"/>
        <w:spacing w:after="0" w:line="226" w:lineRule="auto"/>
        <w:rPr>
          <w:sz w:val="20"/>
          <w:szCs w:val="20"/>
          <w:color w:val="auto"/>
        </w:rPr>
      </w:pPr>
      <w:r>
        <w:rPr>
          <w:rFonts w:ascii="Arial" w:cs="Arial" w:eastAsia="Arial" w:hAnsi="Arial"/>
          <w:sz w:val="18"/>
          <w:szCs w:val="18"/>
          <w:color w:val="auto"/>
        </w:rPr>
        <w:t>organizations, routinely are subject to cybersecurity threats and our technologies, systems, and networks have been and might in the future be subject to attempted cybersecurity attacks. Such issues are increasing in frequency and evolving in nature, including employee and</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contractor theft or misuse, denial-of-service attacks, and sophisticated nation-state and nation-state-supported actors engaging in attacks. The operation of our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involves the use, collection, storage, sharing, disclosure, transfer, and other processing of customer information, including personal data. Security breaches and other security incidents could expose us to a risk of loss or exposure of this information, which could result in potential liability, investigations, regulatory fines, penalties for violation of applicable laws or regulations, litigation, and remediation costs, as well as reputational harm. As the breadth and complexity of the technologies we use and the software and platforms we develop continue to grow, the potential risk of security breaches and cybersecurity attacks increases.</w:t>
      </w:r>
    </w:p>
    <w:p>
      <w:pPr>
        <w:spacing w:after="0" w:line="20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Cybersecurity attacks and other malicious internet-based activity continue to increase, and financial technology platform providers have been and expect to continue to be targeted. In light of media attention, we might be a particularly attractive target of attacks seeking to access customer data or assets and have experienced negative publicity in connection with previous security incidents and might in the future experience similar adverse effects relating to real or perceived security incidents, whether or not related to the security of our platforms or systems. We have also received customer complaints and been subject to litigation and regulatory inquiries, examinations, enforcement</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actions, and investigations by various state and federal regulatory bodies, including the SEC, FINRA, and certain state regulators, including the NYDFS and the New York Attorney General, related to these events. The increasing sophistication and resources of cyber criminals and</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other non-state threat actors and increased actions by nation-state actors make it difficult to keep up with new threats and could result in a breach of security. For example, as AI technologies, including generative AI models and machine learning, develop rapidly, threat actors are using these technologies to rapidly identify currently unknown vulnerabilities and create new sophisticated attack methods that are increasingly automated, targeted, coordinated and more difficult to defend against. In addition, the increasing sophistication and use of AI poses a greater risk of security breaches and incidences of fraudulent activity, including identity fraud, as malicious actors may exploit various AI technologies to create increasingly convincing false identities, transaction records, or attempt to manipulate our verification processes. This has necessitated and will continue to necessitate ongoing enhancements to our verification systems and security protocols. We have been and may continue to be required to expend significant additional resources to continue to modify or enhance these systems and protocols or to investigate and remediate any information security vulnerabilities.</w:t>
      </w:r>
    </w:p>
    <w:p>
      <w:pPr>
        <w:spacing w:after="0" w:line="208"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Additionally, there is an increased risk that we might experience cybersecurity-related incidents as a result of any of our employees, service providers, or other third parties working remotely on less secure systems and environments. While we take significant efforts to</w:t>
      </w:r>
    </w:p>
    <w:p>
      <w:pPr>
        <w:jc w:val="both"/>
        <w:spacing w:after="0" w:line="226" w:lineRule="auto"/>
        <w:rPr>
          <w:sz w:val="20"/>
          <w:szCs w:val="20"/>
          <w:color w:val="auto"/>
        </w:rPr>
      </w:pPr>
      <w:r>
        <w:rPr>
          <w:rFonts w:ascii="Arial" w:cs="Arial" w:eastAsia="Arial" w:hAnsi="Arial"/>
          <w:sz w:val="18"/>
          <w:szCs w:val="18"/>
          <w:color w:val="auto"/>
        </w:rPr>
        <w:t>protect our systems and data, including establishing internal processes and implementing technological measures designed to provide multiple layers of security, our safety and security measures might be insufficient to prevent damage to, or interruption or breach of, our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information systems, data (including personal data), and operations, such as the November 2021 Data Security Incident.</w:t>
      </w:r>
    </w:p>
    <w:p>
      <w:pPr>
        <w:spacing w:after="0" w:line="221"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Furthermore, 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customers and employees is increased. Third-party risks include insufficient security measures, data location uncertainty, vulnerabilities and the possibility of data storage in inappropriate jurisdictions where laws or security measures might be inadequate. Our ability to monitor, and our resources to optimize integration with, third-party service providers’ data security practices are also limited. These third-party risks might be exacerbated as our resources are spread across multiple public cloud service providers. Although we generally have agreements relating to cybersecurity and data privacy in place with our third-party service providers, such agreements might not prevent the accidental or unauthorized access to or disclosure, loss, destruction, disablement or encryption of, use or misuse of, or modification of data (including personal data) and/or might not enable us to obtain adequate (or any) reimbursement from our third-party service providers in the event we should suffer any such incidents. For example, in late October 2024, a</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cyberattack occurred on our Newsroom in which a cyber attacker gained access to our Newsroom website, control of which is subcontracted to a third party vendor, for a limited number of hours. The cyberattack did not result in any unauthorized access of customer information. In</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addition, in December 2024, a cyberattack occurred at Cyberhaven, a data protection company we utilize as a third-party vendor, creating the potential for attackers to steal sensitive data through a malicious version of a Google Chrome extension. Although we do not believe that this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party vulnerability impacted us, the attack highlights the growing risk from cybersecurity threats against third-party service providers. Due to applicable laws and regulations or contractual obligations, we could be held responsible for any information security failure or cybersecurity attack attributed to our vendors as they relate to the information we share with them. A vulnerability in a third-party service provider’s software or systems, a failure of our third-party service providers’ safeguards, policies or procedures, or a breach of a third-party service provider’s software or systems has in the past and may in the future result in the compromise of the confidentiality, integrity, or availability of our systems or the data housed in our third-party solutions. Additionally, we could also be exposed to information security vulnerabilities or failures at third parties’ common suppliers or vendors (known as “fourth parties”) that could also impact the security of our data, and we may not be able to effectively directly monitor or mitigate such fourth-party risks, in particular as such risks relate to the use of common suppliers or vendors by the third parties that perform functions and services for us and our limited ability to assess the fourth party’s operational controls.</w:t>
      </w:r>
    </w:p>
    <w:p>
      <w:pPr>
        <w:spacing w:after="0" w:line="207"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A core aspect of our business is the reliability and security of our platforms. Any unauthorized access to or disclosure, loss, destruction, disablement or encryption of, use or misuse of or modification of data, including personal data, cybersecurity breach or other security incident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that we, our customers or our third-party or fourth-party service providers experience or the perception that one has occurred or might occur, could harm our reputation, reduce the demand for our products and services and disrupt normal business operations. In addition, it might require us to expend significant financial and operational resources in response to a security breach, including repairing system damage, increasing security protection costs by deploying additional personnel and modifying or enhancing our protection technologies, investigating, remediating, or correcting the breach and any security vulnerabilities, defending against and resolving legal and regulatory claims, and preventing future security breaches and incidents, all of which could expose us to uninsured liability, increase our risk of regulatory scrutiny, expose us to legal liabilities, including litigation, regulatory enforcement, indemnity obligations, or damages for contract breach, divert resources and the attention of our management and key personnel away from our business operations, and cause us to incur significant costs, any of which could materially adversely affect our business, financial condition, and results of operations. Moreover, our and our third party partners’ efforts to improve security and protect data from compromise has in the past identified and might in the future identify previously undiscovered security breaches or vulnerabilities. There could be public announcements regarding any security incidents or</w:t>
      </w:r>
    </w:p>
    <w:p>
      <w:pPr>
        <w:spacing w:after="0" w:line="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vulnerabilities and any steps we take to respond to or remediate such incidents, and if securities analysts or investors perceive these announcements to be negative, it could have an adverse effect on the trading price of our Class A common stock.</w:t>
      </w:r>
    </w:p>
    <w:p>
      <w:pPr>
        <w:spacing w:after="0" w:line="208"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While we maintain cybersecurity insurance, our coverage may be insufficient to cover all liabilities resulting from a cybersecurity incident. We cannot be certain that our insurance coverage will be adequate to address the results of regulatory or civil investigations or any liabilities resulting from a cybersecurity incident, that adequate insurance will be available to us on economically reasonable terms, or that our insurer will cover all cybersecurity incident-related claims. The successful assertion of one or more significant claims against us or changes in our cybersecurity insurance coverage, premiums, or deductibles may adversely affect our reputation, business, financial condition or results of operations.</w: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are subject to stringent laws, rules, regulations, policies, industry standards and contractual obligations regarding data privacy and security and might become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subject to a variety of federal, state, local, and non-U.S. laws, directives, rules, policies, industry standards and regulations, as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well as contractual obligations, relating to privacy and the collection, protection, use, retention, security, disclosure, transfer and other processing of personal data and other data, including the Gramm-Leach-Bliley Act of 1999, Section 5 of the Federal Trade Commission Act,</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and state laws such as the California Consumer Privacy Act, which provides consumers with the right to know what personal data is being collected, know whether their personal data is sold or disclosed and to whom and opt out of the sale of their personal data, among other rights. We also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particular privacy, data security and data protection risks in connection with our expansion into the U.K. and the EU and other jurisdictions in connection with the General Data Protection Regulation, the Digital Operational Resilience Act, the ePrivacy Directive (including its national implementations), and other data protection regulations including but not limited to facing complexity in interpreting, applying, implementing and complying with such regulations. The regulatory framework for data privacy and security worldwide is also evolving and, as a result, interpretation, implementation standards and enforcement practices are likely to remain uncertain for the foreseeable future. New laws, amendments to or reinterpretations of existing laws, regulations, standards and other obligations might require us to incur additional costs and restrict our business operations, and might require us to change how we use, collect, store, transfer or otherwise process certain types of personal data, to implement new processes to comply with those laws and our customers’ exercise of their rights thereunder, and could greatly increase the cost of providing our offerings, require significant changes to our operations, or even prevent us from providing some offerings in jurisdictions in which we currently operate and in which we might operate in the future or incur potential liability in an effort to</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comply with certain legislation. There is a risk of enforcement actions in response to rules and regulations promulgated under the authority of federal and international agencies and state attorneys general and legislatures and consumer protection agencies. For instance, we have in</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past (as discussed in Note 14 - Commitments &amp; Contingencies to our unaudited condensed consolidated financial statements in this Quarterly Report) and may in the future be subject to investigations and examinations regarding, among other things, our cybersecurity practices. In addition, if we fail to follow these security standards, even if no customer information is compromised, we might incur significant fines or experience a significant increase in costs. Following the November 2021 Data Security Incident, we received requests for information from regulatory authorities regarding, among other things, the adequacy of our information security measures, and as part of the January 2025 SEC Settlement, RHF and RHS paid penalties for violating Regulation S-P.</w:t>
      </w:r>
    </w:p>
    <w:p>
      <w:pPr>
        <w:spacing w:after="0" w:line="20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Any failure or perceived failure by us or our third-party service providers to comply with our posted privacy policies or with any applicable federal, state or similar foreign laws, rules, regulations, industry standards, policies, certifications or orders relating to data privacy and security, contractual obligations, or any compromise of security that results in the theft, unauthorized access, acquisition, use, disclosure, or misappropriation of personal data or other customer data, could result in significant awards, fines, civil and/or criminal penalties or judgments, proceedings or litigation by governmental agencies or customers, including class action privacy litigation in certain jurisdictions</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negative publicity and reputational harm, one or all of which could have an adverse effect on our reputation, business, financial condition and results of operations. For example, the operation of Robinhood Social involves processing and displaying customer performance</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statistics, join dates, and selected account-level trade data of participating customers. Any failure in the platform’s privacy and content settings (such as a failure to properly execute a user’s account deactivation or content deletion request) could violate state data privacy laws, rules and regulations and subject us to investigations, examinations, regulatory fines and class-action privacy litigation.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Brokerage Products and Services</w:t>
      </w:r>
    </w:p>
    <w:p>
      <w:pPr>
        <w:spacing w:after="0" w:line="24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do not maintain the net capital levels required by regulators, our broker-dealer business may be restricted, and we may be fined or subject to other disciplinary or corrective actions.</w:t>
      </w:r>
    </w:p>
    <w:p>
      <w:pPr>
        <w:spacing w:after="0" w:line="16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SEC, FINRA, and various state regulators impose requirements with respect to the maintenance of specific levels of net capital by securities broker-dealers. For example, our broker-dealer subsidiaries are each subject to the SEC Uniform Net Capital Rule, which specifies minimum capital requirements intended to ensure the general financial soundness and liquidity of broker-dealers, and our clearing and carrying broker-dealer subsidiary is subject to Rule 15c3-3 under the Act, which requires broker-dealers to maintain a reserve account to ensure customer securities are protected and accessible, even in cases of firm insolvency. Our failure to maintain the required net capital</w:t>
      </w:r>
    </w:p>
    <w:p>
      <w:pPr>
        <w:spacing w:after="0" w:line="4"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levels and protect customer assets could potentially result in immediate suspension of securities activities, suspension or expulsion by the SEC or FINRA, restrictions on our ability to expand our existing business or to commence new businesses, and could ultimately lead to the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liquidation of our broker-dealer entities and winding down of our broker-dealer business. If such net capital rules are changed or expanded, if there is a large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loss, or an unusually large charge against net capital, or if we make changes in our business operations that increase our capital requirements, operations that require an intensive use of capital could be limited and have adverse effects on our ability to maintain or expand our business. </w:t>
      </w:r>
      <w:r>
        <w:rPr>
          <w:rFonts w:ascii="Arial" w:cs="Arial" w:eastAsia="Arial" w:hAnsi="Arial"/>
          <w:sz w:val="18"/>
          <w:szCs w:val="18"/>
          <w:color w:val="303030"/>
        </w:rPr>
        <w:t>For example, in December 2024, the SEC adopted amendments to Rule 15c3-3, which require certain broker-dealers,</w:t>
      </w:r>
      <w:r>
        <w:rPr>
          <w:rFonts w:ascii="Arial" w:cs="Arial" w:eastAsia="Arial" w:hAnsi="Arial"/>
          <w:sz w:val="18"/>
          <w:szCs w:val="18"/>
          <w:color w:val="auto"/>
        </w:rPr>
        <w:t xml:space="preserve"> </w:t>
      </w:r>
      <w:r>
        <w:rPr>
          <w:rFonts w:ascii="Arial" w:cs="Arial" w:eastAsia="Arial" w:hAnsi="Arial"/>
          <w:sz w:val="18"/>
          <w:szCs w:val="18"/>
          <w:color w:val="303030"/>
        </w:rPr>
        <w:t>including RHS, by June 2026 to increase the frequency with which they perform computations of the net cash they owe to customers from weekly to daily. We proactively started implementing these daily computations and began making any required deposits in January 2026.</w:t>
      </w:r>
    </w:p>
    <w:p>
      <w:pPr>
        <w:spacing w:after="0" w:line="200" w:lineRule="exact"/>
        <w:rPr>
          <w:sz w:val="20"/>
          <w:szCs w:val="20"/>
          <w:color w:val="auto"/>
        </w:rPr>
      </w:pPr>
    </w:p>
    <w:p>
      <w:pPr>
        <w:spacing w:after="0" w:line="24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16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As a financial services company, our business exposes us to a number of heightened risks. We have devoted significant resources to develop our compliance and risk management policies and procedures and will continue to do so, but our efforts might be insufficient. Our previous and continued expanded operations, evolving business, and unpredictable periods of rapid growth make it difficult to predict all of</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risks and challenges we might encounter and therefore increase the risk that our policies and procedures for identifying, monitoring, and managing compliance risks might not be fully effective in mitigating our exposure in all market environments or against all types of risk.</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Further, some controls are manual and are subject to inherent limitations and errors in oversight, which could cause our compliance and other risk management strategies to be ineffective. Other compliance and risk management methods depend upon the evaluation of information regarding markets, customers, catastrophe occurrences, or other matters that are publicly available or otherwise accessible to us, which might not always be accurate, complete, up -to-date, or properly evaluated. Insurance and other traditional risk-shifting tools might be held by or available to us in order to manage some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financial condition, and results of operations.</w:t>
      </w:r>
    </w:p>
    <w:p>
      <w:pPr>
        <w:spacing w:after="0" w:line="21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are also exposed to heightened regulatory risk because our business is subject to extensive regulation and oversight by a number of regulators and SROs in a variety of areas and geographies and such regulations are subject to revision, supplementation, or evolving interpretations and application, and it can be difficult to predict how they might be applied to our business, particularly as we introduce new products and services and expand into new jurisdictions. For example, in December 2022, RHF and RHS received investigative requests</w:t>
      </w:r>
    </w:p>
    <w:p>
      <w:pPr>
        <w:jc w:val="both"/>
        <w:spacing w:after="0" w:line="226" w:lineRule="auto"/>
        <w:rPr>
          <w:sz w:val="20"/>
          <w:szCs w:val="20"/>
          <w:color w:val="auto"/>
        </w:rPr>
      </w:pPr>
      <w:r>
        <w:rPr>
          <w:rFonts w:ascii="Arial" w:cs="Arial" w:eastAsia="Arial" w:hAnsi="Arial"/>
          <w:sz w:val="18"/>
          <w:szCs w:val="18"/>
          <w:color w:val="auto"/>
        </w:rPr>
        <w:t>from the SEC Division of Enforcement regarding their record keeping and preservation practices, including use of personal devices for brokerage communications. RHF and RHS settled the SEC’s investigation into these practices as part of the January 2025 SEC Settlement,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paying penalties totaling $8 million and agreeing to complete an internal audit review of electronic communications retention.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potential losses as a result of our clearing and execution activities.</w:t>
      </w:r>
    </w:p>
    <w:p>
      <w:pPr>
        <w:spacing w:after="0" w:line="237"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We provide clearing and execution services for our securities brokerage business. Clearing and execution services include the confirmation, receipt, settlement and delivery functions involved in securities transactions. Clearing brokers also assume direct responsibility for the possession or control of customer securities and other assets, the clearing of customer securities transactions and lending money to customers on margin. Self-clearing securities firms are subject to substantially more regulatory control and examination than introducing brokers that rely on others to perform clearing functions. Errors in performing clearing functions, including clerical and other errors related to the handling of funds and securities on behalf of customers, (i) could lead to civil penalties, as well as losses and liability as a result of related lawsuits brought by customers and others and any out-of-pocket costs associated with remediating customers for losses, and (ii) have led to, and could in the future lead to the risk of, fines or other actions by regulators. For example, as part of the January 2025 SEC Settlement, RHS settled investigations with the SEC related to suspicious activity reporting, identity theft protection, unauthorized access to Robinhood</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systems, off-channel communications, retention of brokerage data, failure to maintain certain templated customer communications, EBS submissions and Regulation SHO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connection with fractional share trading and stock lending, which resulted in RHS paying combined monetary penalties of $33.5 million and agreeing to certain undertakings. Furthermore, as part of the March 2025 FINRA Settlement, RHS resolved multiple matters with FINRA, including RHS’s supervision of its clearing system technology, improper rejection of certain ACATS requests, improper effectuation of trades in securities during trading halts, execution of trades during extraordinary market volatility at prices that were above or below specified price bands, and the maintenance and reporting of inaccurate or incomplete trade, order, and position data to FINRA, FINRA TRF, CAT, and OCC, and RHS’s AML program, registration of required personnel, and supervision of trading in associated persons’ brokerage accounts. RHS, along with RHF, paid a penalty totaling $26 million and agreed to pay restitution and to certain undertakings to resolve these investigations, among others.</w:t>
      </w:r>
    </w:p>
    <w:p>
      <w:pPr>
        <w:spacing w:after="0" w:line="207"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All customers can place limit orders to buy whole shares of the most traded exchange-traded funds and individual stocks - 24 hours a day, five days a week, through Robinhood 24 Hour Market. Offering U.S. stock trading overnight has heightened risks related to our clearing</w:t>
      </w:r>
    </w:p>
    <w:p>
      <w:pPr>
        <w:jc w:val="both"/>
        <w:spacing w:after="0" w:line="226" w:lineRule="auto"/>
        <w:rPr>
          <w:sz w:val="20"/>
          <w:szCs w:val="20"/>
          <w:color w:val="auto"/>
        </w:rPr>
      </w:pPr>
      <w:r>
        <w:rPr>
          <w:rFonts w:ascii="Arial" w:cs="Arial" w:eastAsia="Arial" w:hAnsi="Arial"/>
          <w:sz w:val="18"/>
          <w:szCs w:val="18"/>
          <w:color w:val="auto"/>
        </w:rPr>
        <w:t>and execution activities as we do not have previous experience operating or staffing our systems for around-the-clock coverage and may not be able to accurately anticipate the volume of trading activity that will occur outside of regular market hours. Overnight trading on Robinhood</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24 Hour Market is primarily supported by BOATS, a trading venue that replicates the role that stock exchanges play during regular market hours. If BOATS becomes unwilling or unable to do business with us or one of our Liquidity Providers in the future, we may be unable to find another trading platform to support Robinhood 24 Hour Market, which could negatively impact our transaction-based revenue and generate negative publicity. Additionally, any disruptions in the services provided by BOATS, whether due to technical malfunctions, operational mishaps, or external factors such as regulatory changes or market volatility, have in the past, and may in the future impair our ability to execute our client's orders. Should BOATS experience downtime or diminished performance (as it has in the past and could again in the future), particularly during overnight trading hours, our ability to execute customer orders through Robinhood 24 Hour Market could be compromised and could have an adverse impact on our business, financial condition, results of operations, and/or brand and reputation. For example, on August 5, 2024, BOATS did not open for overnight trading and as a result, Robinhood customers were unable to execute any trades during that overnight session.</w:t>
      </w:r>
    </w:p>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clearing operations (including for TradePMR customers through TradePMR’s contract with its clearing firm, Wells Fargo Clearing</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Services, LLC) also require a commitment of our capital and, despite safeguards implemented through both manual and automated controls, involve risks of losses due to the potential failure of our customers or counterparties to perform their obligations under these transactions and</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margin loans. If our customers default on their obligations, including failing to pay for securities purchased, deliver securities sold, or meet margin calls, we remain financially liable for such obligations, and although these obligations are collateralized, we are subject to market risk in the liquidation of customer collateral to satisfy those obligations. While we have established systems and processes designed to manage risks related to our clearing and execution services, we face a risk that such systems and processes might be inadequate. Any liability arising from clearing and margin operations could have an adverse effect on our business, financial condition, and results of operations.</w:t>
      </w:r>
    </w:p>
    <w:p>
      <w:pPr>
        <w:spacing w:after="0" w:line="20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In addition, as a clearing member firm of securities and derivatives clearinghouses in the U.S., we are also exposed to clearing member credit risk. Securities and derivatives clearinghouses require member firms to deposit cash, stock and/or government securities for margin requirements and for clearing funds. If a clearing member defaults in its obligations to the clearinghouse in an amount larger than its own margin and clearing fund deposits, the shortfall is absorbed pro rata from the deposits of the other clearing members. Many clearinghouses of which we are members also have the authority to assess their members for additional funds if the clearing fund is depleted. A large clearing member default could result in a substantial cost to us if we are required to pay such assessments. Furthermore, in the event that a</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significant amount of our customers’ open trades fail to settle, we might be exposed to potential loss of the capital we committed to meet our deposit requirements.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credit risk with customers, Liquidity Providers, and other counterparties could result in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We extend margin credit and leverage to customers, which are collateralized by customer assets. By permitting customers to engage in margin transactions, we are subject to risks inherent in extending credit. Rapid changes in market conditions or in the trading price of individual securities may cause the value of collateral to fluctuate, potentially resulting in the value of the collateral held by us falling below the amount of a customer’s indebtedness. We also lend and borrow securities in connection with our broker-dealer business. In accordance with regulatory guidelines, we hold cash as collateral when we lend securities, and likewise, we collateralize our borrowings of securities by depositing cash with lenders. Sharp changes in market values of substantial amounts of securities in a short period of time and the failure by parties to the lending or borrowing transactions to honor their commitments could result in substantial losses. Such changes could also adversely impact our capital because our clearing operations require a commitment of our capital and, despite safeguards implemented by our software, involve risks of losses due to the potential failure of our customers to perform their obligations under these transactions and margin loans.</w:t>
      </w:r>
    </w:p>
    <w:p>
      <w:pPr>
        <w:spacing w:after="0" w:line="207" w:lineRule="exact"/>
        <w:rPr>
          <w:sz w:val="20"/>
          <w:szCs w:val="20"/>
          <w:color w:val="auto"/>
        </w:rPr>
      </w:pPr>
    </w:p>
    <w:p>
      <w:pPr>
        <w:jc w:val="both"/>
        <w:ind w:right="20" w:firstLine="324"/>
        <w:spacing w:after="0" w:line="237" w:lineRule="auto"/>
        <w:rPr>
          <w:sz w:val="20"/>
          <w:szCs w:val="20"/>
          <w:color w:val="auto"/>
        </w:rPr>
      </w:pPr>
      <w:r>
        <w:rPr>
          <w:rFonts w:ascii="Arial" w:cs="Arial" w:eastAsia="Arial" w:hAnsi="Arial"/>
          <w:sz w:val="18"/>
          <w:szCs w:val="18"/>
          <w:color w:val="auto"/>
        </w:rPr>
        <w:t>We are also exposed to credit risk in our dealings with the Liquidity Providers to which we route cryptocurrency orders. Unlike equities and option trades, cryptocurrency trades do not settle through any central clearinghouses but rather are conducted under bilateral</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agreements between us and each crypto Liquidity Provider (the risk of the Liquidity Provider’s default therefore falls upon us rather than being distributed among a clearinghouse’s members). The terms of these bilateral agreements vary, but spot transactions are generally aggregated and settled on a net basis once per business day (with the crypto deliveries occurring first and the net cash moving within 24 hours thereafter) and payment obligations are generally unsecured during the interval between delivery and payment. It is not uncommon for us to have an intra-day outstanding net receivable of $100 million that we are owed by any one cryptocurrency Liquidity Provider. Similarly, we routinely have unsecured PFOF receivables from equities and options Liquidity Providers, as well as credit risk from our on-exchange lending and post-trade settlement services. Any payment default by a Liquidity Provider could have adverse effects on our financial condition and results of operations. Our acquisition of Bitstamp has resulted in increased credit risk associated with certain Liquidity Providers, given that some of these firms are also customers of Bitstamp.</w:t>
      </w:r>
    </w:p>
    <w:p>
      <w:pPr>
        <w:spacing w:after="0" w:line="208"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Additionally, RHD is obligated to establish and maintain an appropriate RITA, which is the amount of RHD’s own capital held in segregation in excess of the amount required to be segregated based on customer positions. RHD also maintains additional firm capital in</w:t>
      </w:r>
    </w:p>
    <w:p>
      <w:pPr>
        <w:jc w:val="both"/>
        <w:spacing w:after="0" w:line="226" w:lineRule="auto"/>
        <w:rPr>
          <w:sz w:val="20"/>
          <w:szCs w:val="20"/>
          <w:color w:val="auto"/>
        </w:rPr>
      </w:pPr>
      <w:r>
        <w:rPr>
          <w:rFonts w:ascii="Arial" w:cs="Arial" w:eastAsia="Arial" w:hAnsi="Arial"/>
          <w:sz w:val="18"/>
          <w:szCs w:val="18"/>
          <w:color w:val="auto"/>
        </w:rPr>
        <w:t>segregation greater than the established RITA amount, (i.e., excess segregated funds). If the aggregate customer margin deficiency amount on any day exceeds the excess segregated funds amount to the point where RHD breaches its RITA, RHD would be in violation of CFTC</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rules and would potentially be subject to monetary penalties, sanctions, or other disciplinary actions for failing to maintain an appropriate RITA.</w:t>
      </w:r>
    </w:p>
    <w:p>
      <w:pPr>
        <w:spacing w:after="0" w:line="199"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As a result of our acquisition of Bitstamp, we now provide additional cryptocurrency products and services to institutional customers both in parts of the U.S. and internationally, including products and services such as retail lending, on-exchange lending, off-exchange settlement, post-trade settlement, and perpetual futures exchange. These offerings to certain institutional clients expose us to risks we have not historically faced at scale, including credit risk.</w:t>
      </w:r>
    </w:p>
    <w:p>
      <w:pPr>
        <w:spacing w:after="0" w:line="20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have policies and procedures designed to manage credit risk, but we face a risk that such policies and procedures might not be fully effective. We regularly update our risk management framework and practices, but eliminating credit risk entirely is difficult.</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Providing investment advice and recommendations could subject us to investigations, penalties, and liability for customer losses if we fail to comply with applicable regulatory standards, and providing investment education tools could subject us to additional risks if such tools are construed to be investment advice or recommendations.</w:t>
      </w:r>
    </w:p>
    <w:p>
      <w:pPr>
        <w:spacing w:after="0" w:line="18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Risks associated with providing investment advice and recommendations include those arising from how we disclose and address possible conflicts of interest, inadequate due diligence, inadequate disclosure, and human error. The Advisers Act and its related rules and</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interpretations impose a fiduciary duty on our provision of investment advisory services to advisory clients. Other regulations, such as the SEC’s Regulation Best Interest and certain state broker-dealer regulations, impose heightened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standards and requirements on recommendations to retail investors. For example, the NASAA (an association of state securities administrators) has adopted amendments to the NASAA model rule regarding Dishonest or Unethical Business Practices of Broker-Dealers and Agents, which are intended to address Regulation Best Interest and other developments in the securities industry. In addition, the SEC and various states have considered or are considering potential regulations or have already adopted certain regulations that could impose additional standards of conduct or other obligations on us to the extent we provide investment advice or recommendations to our customers or use certain covered technologies while communicating with existing or prospective customers.</w:t>
      </w:r>
    </w:p>
    <w:p>
      <w:pPr>
        <w:spacing w:after="0" w:line="20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also provide customers with a variety of educational materials in various jurisdictions, investment tools, and financial news and information, such as our “Snacks” newsletter (which is offered by Sherwood Media), the suite of other editorial offerings that Sherwood Media has launched and will continue to launch, and the Robinhood Investor Index. Additionally, Robinhood Gold Subscribers have access to Robinhood Cortex, which is an AI-powered investing assistant that enhances Robinhood product offerings with tailored insights and</w:t>
      </w:r>
    </w:p>
    <w:p>
      <w:pPr>
        <w:jc w:val="both"/>
        <w:spacing w:after="0" w:line="226" w:lineRule="auto"/>
        <w:rPr>
          <w:sz w:val="20"/>
          <w:szCs w:val="20"/>
          <w:color w:val="auto"/>
        </w:rPr>
      </w:pPr>
      <w:r>
        <w:rPr>
          <w:rFonts w:ascii="Arial" w:cs="Arial" w:eastAsia="Arial" w:hAnsi="Arial"/>
          <w:sz w:val="18"/>
          <w:szCs w:val="18"/>
          <w:color w:val="auto"/>
        </w:rPr>
        <w:t>information through features such as Digests and customizable market scanners, and stock research reports prepared by our third-party collaborator, Morningstar, Inc. We also provide our customers access to the Robinhood Social platform, that allows eligible customers to</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share executed trades, performance statistics, commentary, and manually initiate trades shared by others. While we explicitly disclose that posts within Robinhood Social reflect only the opinions of individual customers and do not constitute investment advice, recommendations, or solicitations by Robinhood, we face a risk that regulators or courts might interpret these platform features and mechanics as constituting regulated investment advice or recommendations. If Robinhood Social is deemed to violate Regulation Best Interest or state fiduciary standards, we could face investigations, significant fines, penalties, and liability for customer losses. Based on current law and regulations, we believe these services do not constitute investment advice or investment recommendations. If the law were to change or if a court or regulator were to interpret current law and regulations in a novel manner, we face a risk that these services could come to be considered as investment advice. In addition, providing customers access to third party products and services (e.g., tax services) could subject us to liabilities if customers lose money as a result of using such products and services, or if we improperly use customer information in violation of privacy laws.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connection with our acquisition of TradePMR, and through our subsidiary investment adviser RAM, we launched the Robinhood</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Adviser Network (“RAN”), a referral program that connects eligible Robinhood customers with independent RIAs who custody assets with TradePMR. We are responsible for the initial and ongoing vetting of RIAs in the network. If an RIA we refer a customer to later engages in</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activities such as fraud, a breach of fiduciary duty, or significant mismanagement of client funds, we may face "negligent referral" claims or reputational damage, even if we did not provide the underlying investment advice. If the SEC or other regulators were to deem RAM to be acting as a “promoter” or “endorser” within the meaning of the SEC’s Marketing Rule, we would be required to comply with additional, and potentially overlapping, requirements under the Advisers Act and related rules (including the Marketing Rule, as well as any analogous regulatory regimes promulgated by states or self-regulatory organizations), with respect to the structure, documentation, and disclosure of the program, the content and presentation of our communications, and our due diligence and oversight of participating advisers and promoters. The transition of a self-directed retail customer to a third-party RIA also involves sharing sensitive financial data and integrating our platform with TradePMR’s Fusion platform. Operational failures during this transition—such as data breaches, incorrect asset transfers, or poor communication from the referred RIA, could alienate our core user base and lead to higher churn rates. In addition, our agreements with RIAs include "termination fees" if an RIA exits the program but retains the referred clients. Collecting these fees may lead to contractual disputes or litigation with partner firms, which could disrupt the network's stability and discourage new RIAs from joining.</w:t>
      </w:r>
    </w:p>
    <w:p>
      <w:pPr>
        <w:spacing w:after="0" w:line="214"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If services that we do not consider to be recommendations (such as educational materials, and our editorial offerings, including Robinhood Snacks) are construed as constituting investment advice or recommendations, we have been and could be in the future subject to</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investigations by regulatory agencies. For example, in December 2020, the Enforcement Section of MSD filed a complaint against us alleging that a fiduciary conduct standard applies to us under Massachusetts securities law by claiming that certain of our product features and marketing strategies amount to investment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Changes in law or changes in interpretations of existing law might also require us to modify the nature of these services or discontinue them altogether, one or more of which could have an adverse effect on our ability to attract and retain customers.</w:t>
      </w:r>
    </w:p>
    <w:p>
      <w:pPr>
        <w:spacing w:after="0" w:line="181"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To the extent our investment education tools, news and information, or digital engagement practices are determined to constitute investment advice or recommendations and to the extent those recommendations fail to satisfy regulatory requirements, or we fail to know our customers, or improperly advise our customers, or if risks associated with advisory services otherwise materialize, we could be found liable for losses suffered by such customers, or could be subject to regulatory fines, penalties, and other actions such as business limitations, any of which could harm our reputation and business.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wholly-owned subsidiary, RHV, serves as the investment adviser to RVI, a closed-end investment company, and expects to advise additional investment vehicles in the future, which subjects us to additional burdens and risks and could subject us to potential liability.</w:t>
      </w:r>
    </w:p>
    <w:p>
      <w:pPr>
        <w:spacing w:after="0" w:line="18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RHV, an investment adviser registered with the SEC under the Advisers Act, serves as the investment adviser to RVI. RVI is a Delaware statutory trust registered under the 1940 Act, as an externally managed, non-diversified, closed-end investment company. RHV expects to</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serve as investment adviser to additional investment vehicles registered under the 1940 Act in the future (collectively with RVI, the “Funds”), where the structure of additional Funds may differ, potentially significantly, from that of RVI.</w:t>
      </w:r>
    </w:p>
    <w:p>
      <w:pPr>
        <w:spacing w:after="0" w:line="199"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RHV is responsible for making investment decisions for RVI’s portfolio, and in the future may be responsible for making investment decisions for additional Funds’ portfolios should it serve as their investment adviser. RHV was formed in August 2025 and has limited investing history. RHV’s service as an investment adviser to RVI, and future service as an investment adviser to the Funds subjects us to additional burdens and risks and could subject us to potential liability, including but not limited to:</w:t>
      </w:r>
    </w:p>
    <w:p>
      <w:pPr>
        <w:spacing w:after="0" w:line="214" w:lineRule="exact"/>
        <w:rPr>
          <w:sz w:val="20"/>
          <w:szCs w:val="20"/>
          <w:color w:val="auto"/>
        </w:rPr>
      </w:pPr>
    </w:p>
    <w:p>
      <w:pPr>
        <w:jc w:val="both"/>
        <w:ind w:left="660" w:hanging="328"/>
        <w:spacing w:after="0" w:line="266"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are subject to additional regulatory and compliance burdens. For example, RVI is registered under the 1940 Act as an investment company. RVI and its investment adviser, RHV, are subject to the 1940 Act and the rules thereunder, which, among other things, regulate the relationship between a registered investment company and its investment adviser and their respective affiliates and prohibit or severely restrict principal transactions and joint transactions. Additional Funds may be subject to varying requirements under the 1940 Act or other regulatory regimes, which will increase the complexity and cost of our compliance programs.</w:t>
      </w:r>
    </w:p>
    <w:p>
      <w:pPr>
        <w:spacing w:after="0" w:line="199" w:lineRule="exact"/>
        <w:rPr>
          <w:rFonts w:ascii="Arial" w:cs="Arial" w:eastAsia="Arial" w:hAnsi="Arial"/>
          <w:sz w:val="17"/>
          <w:szCs w:val="17"/>
          <w:color w:val="auto"/>
        </w:rPr>
      </w:pPr>
    </w:p>
    <w:p>
      <w:pPr>
        <w:jc w:val="both"/>
        <w:ind w:left="660" w:hanging="328"/>
        <w:spacing w:after="0" w:line="252"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RHV was recently formed and while its personnel have investment experience, RHV and its management have limited experience managing closed-end investment companies and other potential investment vehicles. Different fund structures and investment strategies may also require specialized expertise, including with respect to investing and administration, that RHV may be unable to scale effectively.</w:t>
      </w:r>
    </w:p>
    <w:p>
      <w:pPr>
        <w:spacing w:after="0" w:line="197"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RHV or its directors, officers or employees and its affiliates, successors or other legal representatives may be liable for any error of judgment, for any mistake of law or for certain types of acts or omissions by such person. As the number and scope of Funds increase, the risk of litigation and regulatory scrutiny will also increase.</w:t>
      </w:r>
    </w:p>
    <w:p>
      <w:pPr>
        <w:spacing w:after="0" w:line="188" w:lineRule="exact"/>
        <w:rPr>
          <w:rFonts w:ascii="Arial" w:cs="Arial" w:eastAsia="Arial" w:hAnsi="Arial"/>
          <w:sz w:val="18"/>
          <w:szCs w:val="18"/>
          <w:color w:val="auto"/>
        </w:rPr>
      </w:pPr>
    </w:p>
    <w:p>
      <w:pPr>
        <w:jc w:val="both"/>
        <w:ind w:left="660" w:hanging="328"/>
        <w:spacing w:after="0" w:line="24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RHV provides to RVI, and expects in the future to provide to the Funds, certain investment advisory, management and administrative services pursuant to investment advisory agreements. Its provision of those services to the Funds can be terminated without penalty as specified in the investment advisory agreement. In addition, if the investors in a Fund were to be dissatisfied with the investment performance or disagree with investment strategies employed by RHV, they may seek to cause the board of directors of the Fund to terminate its investment advisory agreement with us or change the terms of such agreement in a manner that is less favorable to us.</w:t>
      </w:r>
    </w:p>
    <w:p>
      <w:pPr>
        <w:spacing w:after="0" w:line="217"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and amount of management fees generated by RVI, and expected to be generated by additional future Funds, are uncertain and depend on the success of capital raising efforts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Funds’ investment performance, and revenue derived from such management fees generally will be recognized only after a Fund is deconsolidated from our balance sheet. Different Funds may have different fee structures, including performance-based incentive fees, which are more volatile than base management fees. RHV also may from time to time waive and/or reimburse all or a portion of its management fees for RVI or one or more additional future Funds when it deems appropriate.</w:t>
      </w:r>
    </w:p>
    <w:p>
      <w:pPr>
        <w:spacing w:after="0" w:line="211" w:lineRule="exact"/>
        <w:rPr>
          <w:sz w:val="20"/>
          <w:szCs w:val="20"/>
          <w:color w:val="auto"/>
        </w:rPr>
      </w:pPr>
    </w:p>
    <w:p>
      <w:pPr>
        <w:jc w:val="both"/>
        <w:ind w:left="660" w:hanging="328"/>
        <w:spacing w:after="0" w:line="25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Shareholder activism involving closed-end funds has increased, including public campaigns to demand that a fund consider significant transactions such as a tender offer, merger or liquidation or seek other actions such as the termination of the fund’s investment management contract.</w:t>
      </w:r>
    </w:p>
    <w:p>
      <w:pPr>
        <w:spacing w:after="0" w:line="209" w:lineRule="exact"/>
        <w:rPr>
          <w:rFonts w:ascii="Arial" w:cs="Arial" w:eastAsia="Arial" w:hAnsi="Arial"/>
          <w:sz w:val="18"/>
          <w:szCs w:val="18"/>
          <w:color w:val="auto"/>
        </w:rPr>
      </w:pPr>
    </w:p>
    <w:p>
      <w:pPr>
        <w:jc w:val="both"/>
        <w:ind w:left="660" w:hanging="328"/>
        <w:spacing w:after="0" w:line="244"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RVI holds, and additional future Funds are expected to hold, illiquid, private investments that have no readily ascertainable market prices. The actual results related to any particular investment often vary materially. Because there is significant uncertainty in the valuation of, or in the stability of the value of, illiquid investments, the fair values of such investments as reflected in a Fund’s NAV do not necessarily reflect the prices that would actually be obtained by such Fund when such investments are realized and may contribute to a disconnect between NAV and the market price of such Fund’s shares, volatility in such Fund’s NAV or market price, negative investor perceptions of such Fund’s performance and reduced investor confidence in us or such Fund, which could in turn result in difficulty in raising additional funds, reputational harm, and increased risk of litigation or other claims against us, RHV, RVI, or any additional future Fund.</w:t>
      </w:r>
    </w:p>
    <w:p>
      <w:pPr>
        <w:spacing w:after="0" w:line="206"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made balance sheet investments to provide seed capital to RVI and expect to continue making balance sheet investments to provide seed or other capital to certain Funds during their early fundraising stages. Such investments have been and may in the future be illiquid, long-term in nature and subject to significant valuation uncertainty, and may decline in value. There can be no assurance as to the timing or amount of any returns on such investments, and we may be required to hold such investments for extended periods. In addition, we may determine to commit additional capital to such Funds. As a result, these activities may expose us to investment losses and could adversely affect our financial condition, results of operations, liquidity and capital resources.</w:t>
      </w:r>
    </w:p>
    <w:p>
      <w:pPr>
        <w:spacing w:after="0" w:line="201" w:lineRule="exact"/>
        <w:rPr>
          <w:rFonts w:ascii="Arial" w:cs="Arial" w:eastAsia="Arial" w:hAnsi="Arial"/>
          <w:sz w:val="18"/>
          <w:szCs w:val="18"/>
          <w:color w:val="auto"/>
        </w:rPr>
      </w:pPr>
    </w:p>
    <w:p>
      <w:pPr>
        <w:jc w:val="both"/>
        <w:ind w:left="660" w:hanging="328"/>
        <w:spacing w:after="0" w:line="246"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Funds are subject to conflicts of interest. Our business activities in the management of, or our interest in, our own business and accounts, may present conflicts of interest that could disadvantage the Fund and its shareholders. We provide brokerage services to retail investors that may follow investment programs similar to that of a Fund. RHV and its affiliates will be permitted to market, organize, sponsor, act as general partner or as the primary source for transactions for other pooled investment vehicles and other accounts, which may be offered on a public or private placement basis, and to engage in other investment and business activities. Some of these vehicles and accounts may have investment strategies that overlap with the investment strategies of the Funds. In addition, to the extent permitted under applicable law, our employees and their family members can own investments in companies in which the Funds invest. Such activities may raise conflicts of interest for which the resolution may not be determinable.</w:t>
      </w:r>
    </w:p>
    <w:p>
      <w:pPr>
        <w:spacing w:after="0" w:line="206" w:lineRule="exact"/>
        <w:rPr>
          <w:rFonts w:ascii="Arial" w:cs="Arial" w:eastAsia="Arial" w:hAnsi="Arial"/>
          <w:sz w:val="18"/>
          <w:szCs w:val="18"/>
          <w:color w:val="auto"/>
        </w:rPr>
      </w:pPr>
    </w:p>
    <w:p>
      <w:pPr>
        <w:jc w:val="both"/>
        <w:ind w:left="660" w:hanging="328"/>
        <w:spacing w:after="0" w:line="245"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the number and scope of Funds expands, we will increasingly confront potential conflicts of interest, relating to our and the Funds’ investment activities. For example, potential conflicts may arise with respect to our decisions regarding how to allocate investment opportunities. RHV may allocate an investment opportunity in a manner that excludes one or more Funds or results in a disproportionate allocation based on factors or criteria that RHV determines. In addition, conflicts of interest may exist in the valuation of investments (which can affect fees), timing of transactions, and regarding the allocation of fees and costs among Funds and their portfolio companies.</w:t>
      </w:r>
    </w:p>
    <w:p>
      <w:pPr>
        <w:spacing w:after="0" w:line="203" w:lineRule="exact"/>
        <w:rPr>
          <w:rFonts w:ascii="Arial" w:cs="Arial" w:eastAsia="Arial" w:hAnsi="Arial"/>
          <w:sz w:val="18"/>
          <w:szCs w:val="18"/>
          <w:color w:val="auto"/>
        </w:rPr>
      </w:pPr>
    </w:p>
    <w:p>
      <w:pPr>
        <w:ind w:left="660" w:right="20" w:hanging="328"/>
        <w:spacing w:after="0" w:line="27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 Fund performs poorly or does not achieve expected returns, investors may decline to invest in any future Funds, and such poor performance may be attributed to Robinhood more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Any of these additional burdens and risks could subject us to potential liability and could harm our reputation and business.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provision of brokerage and custodial services to RIAs exposes us to operational, regulatory and reputational risks.</w:t>
      </w:r>
    </w:p>
    <w:p>
      <w:pPr>
        <w:spacing w:after="0" w:line="237"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Our provision of brokerage and custodial services through TradePMR to RIAs and their clients is subject to extensive federal and state regulation, including oversight by the SEC, FINRA, and applicable state securities regulators. Regulatory changes or enhanced enforcement activity may require significant system changes, and increased compliance resources, which could materially affect our business operations and results of operations. Non-compliance with applicable regulations by us or by TradePMR’s clearing firm, Wells Fargo Clearing Services, LLC, could result in censures, fines, or reputational harm.</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rely heavily on proprietary and third-party technology platforms to provide brokerage, custodial, and administrative services. A failure in these systems, including outages, cyberattacks, data breaches, or programming errors, could interrupt our operations or those of our RIA clients, resulting in financial losses, regulatory exposure, or damage to our relationships with advisors and end clients.</w:t>
      </w:r>
    </w:p>
    <w:p>
      <w:pPr>
        <w:spacing w:after="0" w:line="19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Possessing client assets and sensitive personal information exposes us to cybersecurity threats and data privacy obligations. A breach of our systems or those of our vendors could result in unauthorized access to confidential information, potentially triggering legal liabilities,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regulatory investigations, remediation costs, and reputational harm. Continued investment in information security infrastructure and incident response protocols is necessary to mitigate this risk.</w:t>
      </w:r>
    </w:p>
    <w:p>
      <w:pPr>
        <w:spacing w:after="0" w:line="199"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We may be subject to regulatory actions, legal claims, and arbitration proceedings arising from the actions or omissions of RIAs to whom we provide custodial support. We provide investment advice to end clients through RAM and RHV, and although we do not provide such investment advice through TradePMR, disputes may nevertheless arise regarding account management, trade execution, or data integrity. Any such claims could result in costly litigation, adverse judgments, or settlements.</w:t>
      </w:r>
    </w:p>
    <w:p>
      <w:pPr>
        <w:spacing w:after="0" w:line="20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revenue from custodial relationships is largely dependent on assets under custody, cash balances, and the trading activity of advisory clients. Adverse market conditions, rising interest rate volatility, or shifts in client behavior may reduce trading volumes or asset levels, which could negatively impact our fee-based and spread income.</w:t>
      </w:r>
    </w:p>
    <w:p>
      <w:pPr>
        <w:spacing w:after="0" w:line="1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ability to retain and grow our RIA client base depends in part on our reputation for service quality, platform stability, and regulatory compliance. Negative publicity, including but not limited to negative publicity arising from operational failures, regulatory sanctions, or advisor misconduct, may harm our brand and result in the loss of key relationships or reduced advisor onboarding.</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Cryptocurrency Products and Services</w:t>
      </w:r>
    </w:p>
    <w:p>
      <w:pPr>
        <w:spacing w:after="0" w:line="24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The loss, destruction or unauthorized use or access of a private key required to access any of the cryptocurrencies we hold on behalf of customers could result in irreversible loss of such cryptocurrencies. If we are unable to access the private keys or if we experience a hack or other data loss relating to the cryptocurrencies we hold on behalf of customers, our customers might be unable to trade their cryptocurrency, our reputation and business could be harmed, and we might be liable for losses in excess of our ability to pay.</w:t>
      </w:r>
    </w:p>
    <w:p>
      <w:pPr>
        <w:spacing w:after="0" w:line="197"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As we expand our cryptocurrency product and service offerings, the risks associated with failing to safeguard and manage cryptocurrencies we hold on behalf of our customers increase. Our success and the success of our offerings require significant public confidence in our ability to properly manage customers’ balances and handle large transaction volumes and amounts of customer funds. Any failure by us to maintain the necessary controls or to manage the cryptocurrencies we hold on behalf of our customers and funds appropriately and in compliance with applicable regulatory requirements could result in reputational harm, significant financial losses, lead customers to discontinue or reduce their use of our services, and result in significant penalties and fines and additional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hold all settled cryptocurrencies in custody on behalf of customers in two types of wallets: (i) hot wallets, which are managed online, and (ii) cold wallets, which are managed entirely offline and require physical access controls. With the exception of Bitstamp (discussed below), Robinhood does not utilize third-party custodians for settled cryptocurrencies, but does integrate proprietary technology from a third-party industry-standard vendor into the systems Robinhood uses to support the custody, transfer and settlement operations of its wallets. As noted, Bitstamp does use third-party custodians. Failures, problems or issues at these third-party custodians could subject Bitstamp to various forms of risk and may have a significant impact on Bitstamp’s business and reputation, which, in turn, could harm Robinhood’s business and reputation more broadly.</w:t>
      </w:r>
    </w:p>
    <w:p>
      <w:pPr>
        <w:spacing w:after="0" w:line="212"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In general, the overwhelming majority of cryptocurrency coins on our platforms are held in cold storage, though some coins are held in hot wallets to support day-to-day operations. As a public company, we are required to comply with the Sarbanes-Oxley Act of 2002. As part of this, we are required to establish and maintain adequate internal control over financial reporting and evaluate the effectiveness of our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internal control over financial reporting. The effectiveness of Robinhood’s internal control over financial reporting and our financial statements and related notes are audited by Ernst &amp; Young LLP, our independent registered public accounting firm. Under blockchain protocol, in order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to access or transfer cryptocurrency stored in a wallet, we need to use a private key. Robinhood maintains backup copies of private keys in multiple separate locations. Bitstamp safeguards its private keys internally and with custodians. We have several layers of cybersecurity defense in place to protect our omnibus wallets. However, to the extent any private keys are lost, destroyed, unable to be accessed by us, or otherwise compromised and all of their backups are lost, we will be unable to access the assets held in the related hot or cold wallet. Further, we cannot provide assurance that any or all of our wallets will not be hacked, exposed, or compromised such that cryptocurrencies are sent to one or more private addresses that we do not control, which could result in the loss of some or all of the cryptocurrencies that we hold in custody on behalf of customers. Any such losses could be significant, and we may not be able to obtain insurance coverage for some or all of those losses. Cryptocurrencies and blockchain technologies have been, and might in the future be, subject to security breaches, hacking, or other malicious activities, including targeted physical attacks. For example, in August 2021, hackers were able to momentarily take over the BSV network, allowing them to spend coins they did not have and prevent transactions from completing. Any exposure or loss of private keys relating to, or hack or other compromise of, the hot wallets or cold wallets we use to store our customers’ cryptocurrencies could result in</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total loss of customers’ cryptocurrencies (because customers’ cryptocurrency balances are not protected by the SIPC) or adversely affect our customers’ ability to sell their assets, and could result in our being required to reimburse customers for some or all of their losses, subjecting</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us to significant financial losses. Because many insurance carriers do not provide insurance coverage for crypto-related risks, comprehensive coverage for such events is not readily available on commercially reasonable terms. Our current coverage is limited and may not cover the extent of loss, nor the nature of such loss, in which case we may be liable for the full amount of losses suffered, which could be greater than all of our remaining assets. The total value of cryptocurrencies under our control on behalf of customers is significantly greater than the current total value of insurance coverage that would compensate us in the event of theft or other loss of such assets. Furthermore, the term of our current insurance policy expires in the third quarter of 2026, with our option to renew annually or for the carrier to terminate coverage with advance written notice. Any loss of our insurance coverage would impede our ability to mitigate any losses our customers might suffer if we are unable to access private keys. Additionally, any such security compromises or any business continuity issues affecting our cryptocurrency Liquidity Providers might affect the ability or willingness of our customers to trade or hold cryptocurrencies on our platforms, might result in litigation and regulatory enforcement actions, and could harm customer trust in us and our products generally.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prices of most cryptocurrencies are extremely volatile. Fluctuations in the price of various cryptocurrencies might cause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i w:val="1"/>
          <w:iCs w:val="1"/>
          <w:color w:val="auto"/>
        </w:rPr>
        <w:t>uncertainty in the market and could negatively impact trading volumes of cryptocurrencies, and we may not effectively identify, prevent or mitigate cryptocurrency market risks, any of which would adversely affect the success of our business, financial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The prices of most cryptocurrencies are based in part on market adoption and future expectations, which might or might not be realized. As a result of these and other factors, the prices of cryptocurrencies are highly speculative. The prices of cryptocurrencies have been subject to dramatic fluctuations (including as a result of prior bear market cycles), which have impacted, and will continue to impact, our trading volumes and operating results and might adversely impact our growth strategy and business. Several factors could affect a cryptocurrency’s price, including, but not limited to:</w:t>
      </w:r>
    </w:p>
    <w:p>
      <w:pPr>
        <w:spacing w:after="0" w:line="219" w:lineRule="exact"/>
        <w:rPr>
          <w:sz w:val="20"/>
          <w:szCs w:val="20"/>
          <w:color w:val="auto"/>
        </w:rPr>
      </w:pPr>
    </w:p>
    <w:p>
      <w:pPr>
        <w:jc w:val="both"/>
        <w:ind w:left="660" w:hanging="328"/>
        <w:spacing w:after="0" w:line="25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Global cryptocurrency supply, including various alternative currencies which exist, and global cryptocurrency demand, which can be influenced by the growth or decline of retail merchants’ and commercial businesses’ acceptance of cryptocurrencies as payment for goods and services, the security of online cryptocurrency exchanges and digital wallets that hold cryptocurrencies, the perception that the use and holding of digital currencies is safe and secure, and regulatory restrictions on their use.</w:t>
      </w:r>
    </w:p>
    <w:p>
      <w:pPr>
        <w:spacing w:after="0" w:line="200"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Changes in the software, software requirements or hardware requirements underlying a blockchain network, such as a fork. Forks have occurred and are likely to occur again in the future and could result in a sustained decline in the market price of cryptocurrencies.</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Changes in the rights, obligations, incentives, or rewards for the various participants in a blockchain network.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The maintenance and development of the software protocol of cryptocurrencies.</w:t>
      </w:r>
    </w:p>
    <w:p>
      <w:pPr>
        <w:spacing w:after="0" w:line="238" w:lineRule="exact"/>
        <w:rPr>
          <w:rFonts w:ascii="Arial" w:cs="Arial" w:eastAsia="Arial" w:hAnsi="Arial"/>
          <w:sz w:val="18"/>
          <w:szCs w:val="18"/>
          <w:color w:val="auto"/>
        </w:rPr>
      </w:pPr>
    </w:p>
    <w:p>
      <w:pPr>
        <w:ind w:left="660" w:hanging="328"/>
        <w:spacing w:after="0" w:line="269"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Cryptocurrency exchanges’ deposit and withdrawal policies and practices, liquidity on such exchanges, and interruptions in service from or failures of such exchanges.</w:t>
      </w:r>
    </w:p>
    <w:p>
      <w:pPr>
        <w:spacing w:after="0" w:line="197" w:lineRule="exact"/>
        <w:rPr>
          <w:rFonts w:ascii="Arial" w:cs="Arial" w:eastAsia="Arial" w:hAnsi="Arial"/>
          <w:sz w:val="18"/>
          <w:szCs w:val="18"/>
          <w:color w:val="auto"/>
        </w:rPr>
      </w:pPr>
    </w:p>
    <w:p>
      <w:pPr>
        <w:ind w:left="660" w:hanging="328"/>
        <w:spacing w:after="0" w:line="269"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Regulatory measures, if any, that affect the use and value of cryptocurrencies or regulatory or judicial assertions or determinations that certain cryptocurrencies are securities.</w:t>
      </w:r>
    </w:p>
    <w:p>
      <w:pPr>
        <w:spacing w:after="0" w:line="184" w:lineRule="exact"/>
        <w:rPr>
          <w:rFonts w:ascii="Arial" w:cs="Arial" w:eastAsia="Arial" w:hAnsi="Arial"/>
          <w:sz w:val="18"/>
          <w:szCs w:val="18"/>
          <w:color w:val="auto"/>
        </w:rPr>
      </w:pPr>
    </w:p>
    <w:p>
      <w:pPr>
        <w:ind w:left="660" w:hanging="328"/>
        <w:spacing w:after="0" w:line="285"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Competition for and among various cryptocurrencies that exist and market preferences and expectations with respect to adoption of individual currencies.</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Actual or perceived manipulation of the markets for cryptocurrencies.</w:t>
      </w:r>
    </w:p>
    <w:p>
      <w:pPr>
        <w:spacing w:after="0" w:line="238" w:lineRule="exact"/>
        <w:rPr>
          <w:rFonts w:ascii="Arial" w:cs="Arial" w:eastAsia="Arial" w:hAnsi="Arial"/>
          <w:sz w:val="18"/>
          <w:szCs w:val="18"/>
          <w:color w:val="auto"/>
        </w:rPr>
      </w:pPr>
    </w:p>
    <w:p>
      <w:pPr>
        <w:ind w:left="660" w:hanging="328"/>
        <w:spacing w:after="0" w:line="285"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Actual or perceived connections between cryptocurrencies (and related activities such as mining) and adverse environmental effects or illegal activities.</w:t>
      </w:r>
    </w:p>
    <w:p>
      <w:pPr>
        <w:spacing w:after="0" w:line="169" w:lineRule="exact"/>
        <w:rPr>
          <w:rFonts w:ascii="Arial" w:cs="Arial" w:eastAsia="Arial" w:hAnsi="Arial"/>
          <w:sz w:val="18"/>
          <w:szCs w:val="18"/>
          <w:color w:val="auto"/>
        </w:rPr>
      </w:pPr>
    </w:p>
    <w:p>
      <w:pPr>
        <w:ind w:left="660" w:hanging="328"/>
        <w:spacing w:after="0" w:line="269"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Social media posts and other public communications by high-profile individuals relating to specific cryptocurrencies, or listing or other business decisions by cryptocurrency companies relating to specific cryptocurrencies.</w:t>
      </w:r>
    </w:p>
    <w:p>
      <w:pPr>
        <w:spacing w:after="0" w:line="184" w:lineRule="exact"/>
        <w:rPr>
          <w:rFonts w:ascii="Arial" w:cs="Arial" w:eastAsia="Arial" w:hAnsi="Arial"/>
          <w:sz w:val="18"/>
          <w:szCs w:val="18"/>
          <w:color w:val="auto"/>
        </w:rPr>
      </w:pPr>
    </w:p>
    <w:p>
      <w:pPr>
        <w:ind w:left="660" w:right="20" w:hanging="328"/>
        <w:spacing w:after="0" w:line="25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Expectations with respect to the rate of inflation in the economy, monetary policies of governments, trade restrictions, and currency devaluations and revaluations.</w:t>
      </w:r>
    </w:p>
    <w:p>
      <w:pPr>
        <w:spacing w:after="0" w:line="198" w:lineRule="exact"/>
        <w:rPr>
          <w:rFonts w:ascii="Arial" w:cs="Arial" w:eastAsia="Arial" w:hAnsi="Arial"/>
          <w:sz w:val="18"/>
          <w:szCs w:val="18"/>
          <w:color w:val="auto"/>
        </w:rPr>
      </w:pPr>
    </w:p>
    <w:p>
      <w:pPr>
        <w:ind w:left="660" w:hanging="328"/>
        <w:spacing w:after="0" w:line="269" w:lineRule="auto"/>
        <w:tabs>
          <w:tab w:leader="none" w:pos="628"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Developments in mathematics, technology, digital computing, algebraic geometry, and quantum computing that could result in the cryptography that is used by many cryptocurrencies becoming insecure or ineffective.</w:t>
      </w:r>
    </w:p>
    <w:p>
      <w:pPr>
        <w:spacing w:after="0" w:line="182"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While we have observed a positive trend in the total market capitalization of cryptocurrency assets over the long term, driven by increased adoption of cryptocurrency trading by both retail and institutional investors as well as continued growth of various non-investing use cases, historical trends are not indicative of future adoption, and it is possible that the rate of adoption of cryptocurrencies might slow or decline, which would negatively impact our business, financial condition, and results of operations.</w:t>
      </w:r>
    </w:p>
    <w:p>
      <w:pPr>
        <w:spacing w:after="0" w:line="20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While we currently support several cryptocurrencies for trading, market interest in particular cryptocurrencies can also be volatile and there are many cryptocurrencies in the market that we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support. Our business could be adversely affected, and growth in our net revenue earned from cryptocurrency transactions could slow or decline, if the markets for the cryptocurrencies we support deteriorate or if demand moves to other cryptocurrencies not supported by our platforms. The listing committees of RHC and RHEU conduct regular reviews of the cryptocurrencies available on our platforms to ensure that they continue to meet our requirements under our internal policies and procedures (collectively, the “Crypto Listing Frameworks”) for continued support on our platforms and possess the authority to delist and cease support for any asset based on various factors. Bitstamp also conducts similar reviews of cryptocurrencies available on its platform in accordance with its internal listing procedures and processes. Ceasing support for a cryptocurrency with substantial market interest (or if our consideration to cease supporting such a cryptocurrency becomes known) has in the past exposed, and may continue to expose us to negative attention, adversely impacting our business, including revenue loss from no longer supporting a cryptocurrency or customer reaction to such a decision. For instance, in the past we have encountered an influx of customer complaints related to our decisions to cease support for certain cryptocurrencies.</w:t>
      </w:r>
    </w:p>
    <w:p>
      <w:pPr>
        <w:spacing w:after="0" w:line="207"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Volatility in the values of cryptocurrencies caused by the factors described above or other factors might impact our regulatory net worth requirements as well as the demand for our services and therefore have an adverse effect on our business, financial condition and results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21"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Although neither our board of directors nor management have to date identified any material gaps or weaknesses with respect to our existing risk management processes and policies in light of recent cryptocurrency market conditions, we remain subject to cryptocurrency market risks. If we are unable to effectively identify, prevent or mitigate such risks, the success of our business, our financial condition and results of our operations may be adversely affected. As part of our overall risk management processes, the ERM team maintains an enterprise wide risk management standard to ensure risks are evaluated in a clear and transparent manner and partners with various front-line risk teams and risk owners across Robinhood to foster consistent risk management practices across Robinhood. In particular, the ERM team provides governance over risk management practices and reports top risks to the Safety Committee, along with planned mitigants and monitoring procedures. The Safety Committee reviews management’s exercise of its responsibility to identify, assess, manage, monitor and mitigate material risks not specifically allocated to the board of directors or another of its committees. In addition to RHM-level processes, entity-level risk teams affiliated with our operating subsidiaries, including one at RHC, perform ongoing risk operations, including risk and</w:t>
      </w:r>
    </w:p>
    <w:p>
      <w:pPr>
        <w:spacing w:after="0" w:line="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control self-assessments and maintaining risk and control registers. As management identifies operational risks, the entity-level risk team tracks the risk drivers and planned mitigating measures and escalates such risks, as needed, to the ERM team.</w:t>
      </w:r>
    </w:p>
    <w:p>
      <w:pPr>
        <w:spacing w:after="0" w:line="208"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In light of events in 2022, cryptocurrency market risks were identified as a key risk to the Company and management has accordingly implemented certain measures, including enhanced monitoring for cryptocurrency markets (such as reducing net open position limits with liquidity partners through more frequent settlement; adding additional banking and liquidity partners; monitoring on-platform trading activity, coin deposits and withdrawals; and ongoing diligence for listings and banking relationships). The ERM team has also provided quarterly updates to the Safety Committee with respect to such risks and responses. In addition, RHC and RHEU maintain listing committees as described above.</w:t>
      </w:r>
    </w:p>
    <w:p>
      <w:pPr>
        <w:spacing w:after="0" w:line="20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June 2025, we started offering leverage to customers of RHEU and Bitstamp Financial Services Ltd investing in crypto-asset perpetuals. By permitting customers to invest in crypto-asset perpetuals with the use of leverage, both our customers and we are subject to certain risks, especially during periods of extreme volatility in the crypto-asset markets.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 the U.S., any particular cryptocurrency’s status as a “security” and cryptocurrency transaction’s status as an “investment contract” is subject to a high degree of uncertainty and if we have not properly characterized one or more cryptocurrencies or cryptocurrency transactions, we might be subject to legal and regulatory scrutiny, investigations, fines, and other penalties.</w:t>
      </w:r>
    </w:p>
    <w:p>
      <w:pPr>
        <w:spacing w:after="0" w:line="375"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We currently facilitate customer trades for certain cryptocurrencies that we have analyzed under applicable internal policies and procedures and, for cryptocurrencies supported on our RHC and Bitstamp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US platforms, that we believe are not securities under relevant U.S. federal and state securities laws. Determining whether any given cryptocurrency is a security is a highly complex, fact-specific analysis, which may change over time based on changes in the cryptocurrency and its related ecosystem and on legal and regulatory developments. Different parties may reach different conclusions about the outcome of this analysis based on the same facts. The SEC has stated that the security (or non-security) status of a given crypto asset depends on the facts and circumstances and must be analyzed appropriately in light of the asset’s characteristics, uses, and functions. The SEC, individual Commissioners and the SEC Staff have previously taken positions that certain cryptocurrencies are “securities” in the context of settled or litigated enforcement actions. Although the SEC has not historically provided advance confirmation on the status of any particular cryptocurrency as a security, on March 17, 2026, the SEC issued an interpretation clarifying how the federal securities laws apply to certain crypto assets and transactions involving crypto assets. In this interpretive release, the SEC classified crypto assets into five categories based on their characteristics, uses, and functions. “Digital commodities,” “digital collectibles” including “meme coins,” and “digital tools” are not themselves securities according to the SEC. By contrast, the SEC classified “digital securities” (commonly known as “tokenized” securities) as financial instruments enumerated in the definition of a “security.” In the interpretive release, the SEC also specifically identified the following examples of digital commodities: Aptos (APT); Avalanche (AVAX); Bitcoin (BTC); Bitcoin Cash (BCH); Cardano (ADA); Chainlink (LINK); Dogecoin (DOGE); Ether (ETH); Hedera (HBAR); Litecoin (LTC); Polkadot (DOT); Shiba Inu (SHIB); Solana (SOL); Stellar (XLM); Tezos (XTZ); and XRP (XRP). However, the SEC’s interpretation is not binding on any court or other agency. Additionally, Staff of the SEC’s Division of Corporation Finance published statements clarifying that the Division does not view the offers and sales of certain “stablecoins” and “meme coins” to constitute securities transactions. Moreover, SEC Staff have authored informal, non-binding “no-action” letters to the promoters of certain digital assets stating that the Staff would not recommend enforcement action to the SEC on the basis that transactions in such digital assets, as described to the Staff by their respective promoters, are securities transactions, including with respect to the issuance of tokens in connection with internet and energy decentralized physical infrastructure projects and a consumer finance rewards program. However, such statements and views are not official policy statements by the SEC and reflect only the SEC Staff’s and speakers’ views, which are not binding on the SEC or any court or other agency (including, for instance, the NYDFS, which published a consumer alert in January 2025 concerning meme coins that did not opine on whether meme coins constituted securities but warned consumers of the risks of such coins), may be withdrawn at any time without notice or comment by the SEC or its senior officials, cannot be generalized to any other cryptocurrency, and might evolve (including, for instance, recently enacted legislation provides guidelines for the regulation of stablecoins in the U.S., which may differ from the views set forth in the SEC Staff statement regarding stablecoins). Additionally, U.S. regulators have in the past expressed concerns about cryptocurrency platforms adding multiple new coins, some of which they may view as unregistered securities. Although our policies and procedures are intended to enable us to make risk-based assessments regarding the likelihood that a particular cryptocurrency could be deemed a security under applicable laws, including federal securities laws, our assessments are not definitive legal determinations as to whether a particular digital asset is a security under such laws. Accordingly, regardless of our conclusions, we could be subject to legal or regulatory action in the event the SEC, a state regulator, or a court were to assert or determine that a cryptocurrency supported by our RHC or Bitstamp US platforms is a “security” under U.S. law.</w:t>
      </w:r>
    </w:p>
    <w:p>
      <w:pPr>
        <w:spacing w:after="0" w:line="1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example, in June 2023, the SEC charged Binance and, separately, Coinbase with operating their respective cryptocurrency trading platforms as unregistered national securities exchanges, brokers, and clearing agencies, and in doing so, the SEC alleged that certain cryptocurrencies supported on their respective platforms are securities. The charges also implicated Coinbase’s staking-as-a-service program and its non-custodial wallet. In November 2023, the SEC brought similar charges against Kraken, alleging that it operated as an unregistered securities exchange, brokerage and clearing agency. In February 2025, March 2025, and May 2025, each of Coinbase, Kraken, and Binance, respectively, entered into a court-approved joint stipulation with the SEC to dismiss each of the SEC’s lawsuits against such parties with prejudice. Several other cryptocurrency market participants, including us, have also announced that the SEC informed them that the SEC was terminating its investigation or enforcement action into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firm. Also, in April 2025, the Office of the Deputy Attorney General issued a memorandum (the “April DOJ Memo”), setting out new enforcement priorities for digital asset-related investigations and prosecutions by the DOJ. The April DOJ Memo directed prosecutors not to “target virtual currency exchanges, mixing and tumbling services, and offline wallets for the acts of their end users or unwitting violations of regulations.” The April DOJ Memo explained that the DOJ will instead prioritize cases against individuals who cause financial harm to digital asset investors and consumers and/or use digital assets in furtherance of other criminal conduct. The decisions by regulators not to bring enforcement actions provide, and any other action, settlement, or related investigation by regulators, might provide, additional guidance on the legal status of cryptocurrencies as securities more generally, which has affected and might significantly affect the actual or perceived regulatory status and value of cryptocurrencies we currently support or might support in the future. On January 21, 2025, the SEC announced that then-Acting Chairman Mark Uyeda “launched a crypto task force dedicated to developing a comprehensive and clear regulatory framework for crypto assets.” The task force is focused on helping the SEC “draw clear regulatory lines, provide realistic paths to registration, craft sensible disclosure frameworks, and deploy enforcement resources judiciously.” The SEC formed the Crypto Task Force to provide clarity on the application of the federal securities laws to the crypto asset market and to recommend practical policy measures that aim to foster innovation and protect investors. Since its formation, the Crypto Task Force has accepted written submissions on various cryptocurrency-related topics from industry participants; hosted roundtables on topics relating to security status, trading, custody, tokenization, DeFi, and financial surveillance and privacy; and has held meetings with interested stakeholders. On July 31, 2025, SEC Chairman Paul Atkins announced the launch of “Project Crypto,” described as “a Commission-wide initiative to modernize the securities rules and regulations to enable America’s financial markets to move on-chain.” In connection with this initiative, Chairman Atkins indicated that he has asked the Crypto Task Force to develop proposals to implement recommendations in the July 30, 2025, President’s Working Group on Digital Asset Markets Report, as well as a potential innovation exemption. While these developments are positive, the Crypto Task Force’s work remains in the early stages, and no formal rulemaking or exemptions have been proposed or adopted to date. In addition, notwithstanding recent positive developments involving the SEC, DOJ, and other federal regulators, state regulators retain independent authority to enforce their own securities laws, which may differ from or be interpreted more expansively than federal law. As a result, a state regulator could determine that a particular digital asset, product, or service constitutes a security under state law, even if the SEC has elected not to pursue enforcement action, the SEC has provided informal guidance or assurances to the contrary, or the asset, product, or service is otherwise excluded from the definition of a security at the federal level. Moreover, private litigants may assert claims under federal or state securities laws based on similar theories, regardless of the positions taken by federal regulators.</w:t>
      </w:r>
    </w:p>
    <w:p>
      <w:pPr>
        <w:spacing w:after="0" w:line="1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have received with respect to our RHC platform, and might in the future receive, SEC inquiries regarding specific cryptocurrencies supported on our RHC or Bitstamp US platforms and added features. Since December 2022, we have received investigative subpoenas from the SEC regarding, among other topics, RHC’s supported cryptocurrencies, custody of cryptocurrencies, and platform operations. During our discussions with the SEC Staff in the fourth quarter of 2023, the Staff stated that they were considering whether to recommend that the SEC find that, certain cryptocurrencies supported by our RHC platform are securities. In the second quarter of 2024, we received a “Wells Notice” stating that the SEC Staff made a “preliminary determination” to recommend that the SEC file an enforcement action against RHC alleging violations of Sections 15(a) and 17A of the Exchange Act. On February 21, 2025, the SEC Division of Enforcement closed the investigation, advising RHC in writing that it had concluded its investigation and did not intend to move forward with recommending an enforcement action.</w:t>
      </w:r>
    </w:p>
    <w:p>
      <w:pPr>
        <w:spacing w:after="0" w:line="14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To the extent that the SEC or a court asserts or determines that any cryptocurrencies supported by our RHC or Bitstamp US platforms are securities, that assertion or determination could prevent us from continuing to facilitate trading of those cryptocurrencies (including ceasing support for such cryptocurrencies on our RHC or Bitstamp US platforms) or offering those services. It could also result in regulatory enforcement penalties and financial losses in the event that we have liability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need to compensate them for any losses or damages. We could be subject to judicial or administrative sanctions, including disgorgement or penalties which could be material, for failing to offer or sell the cryptocurrency in compliance with securities registration requirements, or for acting as a securities broker or dealer, national securities exchange, clearing agency, or other regulated entity without appropriate registration. Such an action could result in injunctions and cease and desist orders, as well as civil monetary penalties, fines, and disgorgement, criminal liability, and reputational harm. Customers that traded such supported cryptocurrency through our RHC or Bitstamp US platforms and suffered trading losses might also seek to rescind transactions that we facilitated on the basis that they were conducted in violation of applicable law, which could subject us to significant liability and losses. We might also be required to cease facilitating transactions in the supported cryptocurrency, which could negatively impact our business, operating results, and financial condition. Further, if any supported cryptocurrency is deemed to be a security, it might have adverse consequences for such supported cryptocurrency. For instance, all transactions in such supported cryptocurrency would have to be registered with the SEC or other foreign authority, or conducted in accordance with an exemption from registration, which could severely limit its liquidity, usability, and transactability. Moreover, the networks on which such supported cryptocurrencies are used might be required to be regulated as securities intermediaries, and subject to applicable rules, which could effectively render the network impracticable for its existing purposes. In addition, our growth might be adversely affected if we are not able to expand our RHC platform to include additional cryptocurrencies that the SEC has determined to be securities or that we believe are likely to be determined to be securities.</w:t>
      </w:r>
    </w:p>
    <w:p>
      <w:pPr>
        <w:spacing w:after="0" w:line="15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continue to analyze the cryptocurrencies supported on the RHC and Bitstamp US platforms under our Crypto Listing Frameworks and Bitstamp’s similar internal policies, respectively, on a periodic basis to ensure that they continue to meet the applicable internal requirements for continued support on the RHC and Bitstamp US platforms which include, among other factors, that we continue to believe they are not securities under relevant U.S. federal and state securities laws. We may make the determination to cease support for a cryptocurrency for any one or a variety of factors based on a totality of the circumstances under our Crypto Listing Frameworks and Bitstamp’s similar internal policies, as applicable. However, an assertion or determination by the SEC or a court that a cryptocurrency supported by our RHC or Bitstamp US platforms constitutes a security could also result in our determination that it is advisable to remove that cryptocurrency and others with similar characteristics to the cryptocurrency that was asserted or determined to be a security from our RHC or Bitstamp US platforms. If we proactively remove certain cryptocurrencies from our RHC or Bitstamp US platforms because the SEC, a state, or a court has asserted or determined they constitute securities or because they share similarities with such cryptocurrencies or otherwise do not meet our Crypto Listing Frameworks and Bitstamp’s similar internal policies, as applicable, it has and could in the future negatively impact customer sentiment and our business, operating results, and financial condition, especially to the extent that our competitors continue to support such cryptocurrency on their platforms.</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in June 2025, we launched “Robinhood Stock Tokens” in certain jurisdictions in the EEA, which are designed to provide eligible customers in the EEA with exposure to certain U.S. exchange-listed stocks and ETPs. While we currently only offer Robinhood Stock Tokens in the EEA, because the assets underlying the tokens are certain U.S. stocks and ETPs, the SEC could assert jurisdiction over our Robinhood Stock Token offering and claim that transactions in our Robinhood Stock Tokens must be conducted in compliance with applicable federal laws and regulations. See “-Our introduction of Robinhood Stock Tokens and crypto-asset perpetual trading in the EEA may expose us to significant regulatory, litigation, contractual, operational, and reputational risks” for more information.</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If the SEC, a state regulator or a private litigant alleges that staking services we offer in the U.S. involve unregistered offers and sales of securities or unregistered securities broker-dealer activity in violation of federal securities laws or applicable state laws or regulations, and the courts agree with such plaintiff, we may be required to cease our staking activities and may be subject to monetary penalties and other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In June 2025, we announced that RHC will be offering crypto staking services to eligible customers in certain jurisdictions in the U.S. In several enforcement actions filed by the SEC under the prior administration, the SEC alleged that certain companies had offered staking services to retail customers for various digital assets as unregistered securities or acted as unregistered securities broker-dealers in facilitating offers or sales of third-party staking services in violation of the registration provisions of the Securities Act or the Exchange Act. For example, as described under “-Risks Related to Cryptocurrency Products and Services-In the U.S., any particular cryptocurrency’s status as a “security” and cryptocurrency transaction’s status as an “investment contract” is subject to a high degree of uncertainty and if we have not properly characterized one or more cryptocurrencies or cryptocurrency transactions, we might be subject to legal and regulatory scrutiny, investigations, fines, and other penalties,” in 2023 the SEC charged Kraken, Coinbase and Binance with offering and selling digital asset staking-as-a-service programs to retail customers as unregistered investment contract schemes in violation of the Securities Act. In June 2024, the SEC charged Consensys Software Inc. with acting as an underwriter of unregistered securities in violation of the Securities Act and</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as an unregistered broker in violation of the Exchange Act by marketing the Lido and Rocket Pool third-party liquid staking-as-a-service programs to retail customers through Consensys’ “Metamask Staking” platform. As noted above, the litigation against Binance, Coinbase,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Kraken has been dismissed, and the SEC filed a stipulation to dismiss its lawsuit against Consensys with prejudice in March 2025.</w:t>
      </w:r>
    </w:p>
    <w:p>
      <w:pPr>
        <w:spacing w:after="0" w:line="221"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believe that our staking services do not offer or sell any “securities” subject to the securities laws or SEC regulations. We also believe that the structure, terms, and other characteristics of the staking services offered by RHC generally align with those described in the SEC’s March 2026 interpretation clarifying how the federal securities laws apply to certain types of crypto assets and certain transactions involving crypto assets, wherein the SEC stated that protocol staking activities of the nature described therein do not involve the offer and sale of a security. However, the SEC’s interpretation is not binding on any court or other agency and there is no guarantee that the SEC will agree with our assessment of our staking services. Accordingly, we do not know if the SEC will agree with our interpretation of the applicable federal laws or regulations, or if we will be successful if we seek relief from the courts.</w:t>
      </w:r>
    </w:p>
    <w:p>
      <w:pPr>
        <w:spacing w:after="0" w:line="212"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In addition, there is no guarantee that state regulators will agree with our interpretation of applicable state laws or regulations. For example, several state regulators have issued cease and desist orders to, or filed lawsuits against, Coinbase with respect to its staking services, alleging that Coinbase’s staking services constitute unregistered securities offerings under applicable state laws and regulations.</w:t>
      </w:r>
    </w:p>
    <w:p>
      <w:pPr>
        <w:spacing w:after="0" w:line="2"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While certain of the state regulators have since dismissed their lawsuits against Coinbase with respect to its staking services, not all state regulators have done so.</w:t>
      </w:r>
    </w:p>
    <w:p>
      <w:pPr>
        <w:spacing w:after="0" w:line="20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If the SEC, a state regulator, or a private litigant were to prevail on claims that our staking services offered in the U.S. violate the Securities Act, Exchange Act or applicable state laws and regulations, we may be subject to monetary penalties, liabilities, reputational harm, and may be required to cease offering these services.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Cryptocurrency laws, regulations, regulatory guidance, regulatory interpretations, and accounting standards are often difficult to interpret and are rapidly evolving in ways that are difficult to predict. Changes in these laws and regulations, or our failure to comply with them, could negatively impact cryptocurrency trading on our platforms.</w:t>
      </w:r>
    </w:p>
    <w:p>
      <w:pPr>
        <w:spacing w:after="0" w:line="3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Domestic and foreign regulators and governments are increasingly focused on the regulation of cryptocurrencies. In the U.S., cryptocurrencies are regulated by both federal and state authorities, depending on their use. For example, on October 13, 2023, California enacted the DFAL, which, upon effectiveness on July 1, 2026, will prohibit any person or entity from engaging in, or holding itself out as engaging in, digital financial asset business activity with or on behalf of a California resident (including businesses with a place of business in California) unless that person or entity (i) holds a license under the DFAL, (ii) has submitted a license application on or before July 1, 2026 and is awaiting approval or denial, or (iii) is exempt from licensure. Once licensed, a licensee must comply with requirements related to record maintenance, fee and risk disclosures, cybersecurity, customer protection, anti-fraud, and AML. We expect to apply for a license under the DFAL in connection with our cryptocurrency trading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California. In addition, the NYDFS requires any person or entity engaging in virtual currency activity for third parties in or involving New York, excluding merchants and consumers, to obtain a license, commonly referred to as a “BitLicense”, from the NYDFS and to comply with AML, cybersecurity, consumer protection, and financial and reporting requirements, among others, or, alternatively, to be chartered under the New York Banking Law and be approved by the NYDFS to engage in virtual currency business activity. We will continue to monitor developments in state-level legislation, guidance, and regulations applicable to us. Cryptocurrency market disruptions and resulting governmental interventions are unpredictable, and may render cryptocurrencies, or certain cryptocurrency business activities, illegal. As regulation of cryptocurrencies continues to evolve, there is a substantial risk of inconsistent regulatory guidance among federal and state agencies and among state governments which, along with potential accounting and tax issues and other requirements relating to cryptocurrencies, could impede the growth of our cryptocurrency operations. Additionally, regulation in response to the climate impact of cryptocurrency mining could negatively impact cryptocurrency trading on our platforms.</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cryptocurrency accounting rules and regulations that we must comply with are complex and subject to interpretation by the FASB, the SEC, and various bodies that promulgate and interpret accounting principles. A change in these rules, regulations or interpretations could significantly impact our reported results of operations and financial condition, and could also affect the reporting of transactions completed before the announcement or effectiveness of a change. Further, there are limited precedents for the financial accounting treatment of cryptocurrency assets, including valuation and revenue recognition. While the staff of the SEC’s Division of Trading and Markets provided certain limited FAQ guidance on May 15, 2025 with respect to net capital considerations, no formal guidance has been provided by the FASB or the SEC. Accordingly, there remains significant uncertainty regarding the appropriate accounting for cryptocurrency asset transactions, cryptocurrency assets, and related revenues. Uncertainties in, or changes to regulatory or financial accounting standards could require us to change our accounting methods or restate our financial statements, and could impair our ability to provide timely and accurate financial information, which could adversely affect our financial statements, and result in a loss of investor confidence.</w:t>
      </w:r>
    </w:p>
    <w:p>
      <w:pPr>
        <w:spacing w:after="0" w:line="14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future regulatory actions or policies, including, the assertion of jurisdiction by domestic and foreign regulators and governments over cryptocurrency and cryptocurrency markets could limit or restrict cryptocurrency usage, custody, or trading, or the ability to convert cryptocurrencies to fiat currencies. This includes recent legislative actions related to the RFIA, CLARITY Act, and GENIUS Act. See “-Risks Related to Regulation and Litigation-Our business is subject to extensive, complex, and changing laws and regulations, and related regulatory proceedings and investigations. Changes in these laws and regulations, or our failure to comply with these laws and regulations, could harm our business.” Additionally, some lawmakers and regulators have raised questions about Transaction Rebates from cryptocurrency trading. Transaction Rebates from cryptocurrency trading have historically comprised, and might continue to comprise, a significant percentage of our total net revenues. The current presidential administration and the control of Congress also present considerable uncertainty regarding such regulatory actions or policies. Any future regulatory actions or policies could reduce demand for cryptocurrency trading and might materially decrease our revenue derived from Transaction Rebates in absolute terms and as a proportion of our total revenues.</w:t>
      </w:r>
    </w:p>
    <w:p>
      <w:pPr>
        <w:spacing w:after="0" w:line="14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legal framework governing the characterization of cryptocurrencies held “in custody,” including whether and how such assets are treated as customer property versus property of an insolvency estate, remains evolving and may differ by jurisdiction and by product structure, contractual terms, and operational facts. In certain prior bankruptcy proceedings, cryptocurrencies held in custody on behalf of customers have become subject to the claims of creditors, the automatic stay, court-supervised distribution processes, or other restrictions, and customers have been treated as general unsecured creditors with respect to some or all of their cryptocurrency entitlements. However, based on the terms of our user agreement, the structure of our crypto offerings, and applicable law, and, although we have not obtained a formal legal opinion on this matter, after consultation with internal and external legal counsel, we believe that the cryptocurrency we hold in custody for users of our platforms should be respected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users’ property (and should not be available to satisfy the claims of our general creditors) in the event we were to enter bankruptcy. Although we are well-capitalized, to the extent users are concerned that cryptocurrencies might not be secure in a bankruptcy generally, their willingness to hold crypto in custodial accounts and their general interest in trading cryptocurrencies might decline.</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Infrastructure Investment and Jobs Act significantly changes the tax reporting requirements applicable to brokers and holders of cryptocurrency and digital assets. On August 25, 2023, the U.S. Department of the Treasury and the Internal Revenue Service released proposed regulations on the sale and exchange of digital assets by brokers. On June 28, 2024, final regulations that require information reporting by digital asset brokers on certain digital asset sales or exchanges that occur on or after January 1, 2025, and basis tracking for digital assets that are treated as “covered securities” if acquired on or after January 1, 2026 implementing these requirements, and any further legislative changes or related guidance from the Internal Revenue Service and the U.S. Department of the Treasury, might significantly impact our tax reporting and withholding processes and result in increased compliance costs. Failure to comply with these new information reporting and withholding requirements might subject us to significant tax liabilities and penalties. Similarly, the OECD has published final guidance on a new “crypto-asset reporting framework” and amendments to the existing global “common reporting standard” that might apply to our international operations. These new rules might give rise to potential liabilities or disclosure requirements, and implementation may have a significant impact on our operations and result in increased costs.</w:t>
      </w:r>
    </w:p>
    <w:p>
      <w:pPr>
        <w:spacing w:after="0" w:line="14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continued efforts to expand our business internationally also subject us to additional laws, regulations, and other governmental or regulatory scrutiny as discussed in “-Risks Related to Our Business-We currently operate in certain international markets and plan to further expand our international operations, which exposes us to significant new risks, and our international expansion efforts might not succeed” and “-Risks Related to Regulation and Litigation-Our business is subject to extensive, complex and changing laws and regulations, and related regulatory proceedings and investigations. Changes in these laws and regulations, or our failure to comply with these laws and regulations, could harm our business.” Various foreign jurisdictions have adopted, and may continue to adopt laws, regulations or directives that affect crypto-asset industry participants, the crypto-asset markets, and their users, particularly trading platforms and service providers that fall within such jurisdictions’ regulatory scope. For example, the provisions of MiCA went into effect as of December 30, 2024, and the FCA announced new proposals for certain aspects of the prudential requirements for crypto firms. See “Risks Related to Our Business- We might need additional capital to provide liquidity and support business growth and objectives, and this capital might not be available to us on reasonable terms, if at all, might result in stockholder dilution, or might be delayed or prohibited by applicable regulations” for more information. Accordingly, in addition to the licenses RHEU and Bitstamp Financial Services Ltd. obtained under MiFID, RHEU and Bitstamp Europe S.A. have obtained licenses to operate as crypto asset service providers under MiCA. As noted above, monitoring and maintaining our compliance with the laws and regulations to which we are subject is complex and requires significant resources. Any failure to comply with applicable laws and regulations could result in regulatory fines, suspensions of personnel or other sanctions, including revocation of our registration or that of our subsidiaries, which could, among other things, require changes to our business practices and scope of operations or harm our reputation, and, in turn could have a material adverse effect on our results of operations, financial condition or business. New laws or regulations, or new interpretations of existing laws or regulations, could have a materially adverse impact on our ability to operate as currently intended, or require us to obtain additional or newly created registrations or licenses and incur significant expense in order to ensure compliance. Additionally, under recommendations from FinCEN, and the Financial Action Task Force, the United States and several international jurisdictions in which RHEU or Bitstamp operate have imposed the Funds Travel Rule and the Funds Transfer Rule (collectively the “Travel Rule”) on financial service providers in the cryptoeconomy. We may incur high costs to implement and comply with the Travel Rule, could face penalties for technical violations, and could lose customers if compliance negatively affects customer service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Crypto Transfers, crypto staking and lending, Robinhood Wallet, and Robinhood Connect features could result in loss of customer assets, customer disputes, and other liabilities, which could harm our reputation and adversely impact trading volumes and transaction-based revenues.</w:t>
      </w:r>
    </w:p>
    <w:p>
      <w:pPr>
        <w:spacing w:after="0" w:line="18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 the U.S., we allow customers to deposit and withdraw cryptocurrencies to and from our RHC and Bitstamp platforms through our Crypto Transfers feature in the states in which RHC or Bitstamp operates. We also allow customers of RHEU to deposit and withdraw crypto to and from our RHEU platform. Bitstamp also allows its customers to deposit and withdraw crypto to and from the Bitstamp platform. Crypto Transfers are processed using Robinhood’s or Bitstamp’s general custodial infrastructure in which we hold some cryptocurrencies on behalf of customers; when transactions are completed, coins are allocated to and from individuals’ accounts in our customer records. Additionally, RHC U.S. customers have access to Robinhood Connect, allowing their customers to use their RHC accounts to buy and transfer crypto, and fund their self-custody wallets.</w:t>
      </w:r>
    </w:p>
    <w:p>
      <w:pPr>
        <w:spacing w:after="0" w:line="212"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Crypto Transfers initiated by users are subject to a heightened risk of user error. Under blockchain protocol, recording a transfer of cryptocurrency on the blockchain involves both the private key of the sending wallet and the unique public key of the receiving wallet. Such</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keys are strings of alphanumeric characters. For a customer to receive cryptocurrency on our platforms, the customer needs to arrange for the owner of an external source wallet to “sign” a transaction with the private key of that external wallet, directing a transfer of the cryptocurrency to our receiving custodial wallet by inputting the public key (which we provide to the customer) of our custodial wallet. Similarly, in order to withdraw cryptocurrency from our platforms, the customer needs to provide us with the public key of the external wallet to which the cryptocurrency is to be transferred, and we “sign” the transaction using the private key of our wallet. Some crypto networks might require additional information to be provided in connection with any transfer of cryptocurrency to or from our platforms. A number of errors could occur in the process of depositing or withdrawing cryptocurrencies to or from our platforms, such as typos, mistakes, or the failure to include information required by the blockchain network. For instance, a user might include typos when entering our custodial wallet’s public key or the desired recipient’s public key when depositing to and withdrawing from our platforms, respectively. Alternatively, a user could mistakenly transfer cryptocurrencies to a wallet address that he or she does not own or control, or for which the user has lost the private key. In addition, each wallet address is compatible only with the underlying blockchain network on which it is created. For instance, a</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Bitcoin wallet address can be used to send and receive Bitcoin only. If any Ethereum, Dogecoin, or other cryptocurrency is sent to a Bitcoin wallet address, for example, or if any of the other foregoing errors occur, such cryptocurrencies could be permanently and irretrievably lost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with no means of recovery.</w:t>
      </w:r>
    </w:p>
    <w:p>
      <w:pPr>
        <w:spacing w:after="0" w:line="221"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We also provide crypto staking services through our RHC, RHEU and Bitstamp platforms in which eligible customers of RHC, RHEU and Bitstamp are given the option to “stake” eligible crypto-assets. Staking allows customers to earn rewards by locking up the cryptocurrencies, subject to the network and cryptocurrency’s requirements and bonding periods, and so limits customers’ access to their funds during such time. Once a customer chooses to opt in to our staking services, we delegate the amount of crypto-assets identified by such customer for staking to a validator operated by either (i) RHC, RHEU or Bitstamp, as applicable, or (ii) a third -party service provider we engage in connection with such services. Some networks may further require customer assets to be transferred into smart contracts on the underlying blockchain networks not under our or anyone’s control. If our third-party service provider or any such smart contracts fail to behave as expected, suffer cybersecurity attacks, experience security issues, or encounter other problems, customers’ assets may be irretrievably lost. In addition, certain blockchain networks dictate requirements for participation in the relevant decentralized governance activity, and may impose penalties, or “slashing,” if the relevant activities are not performed correctly, such as if the staker, delegator, or baker acts maliciously</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on the network, “double signs” any transactions, or experiences extended downtimes. If we or our third-party service provider is slashed by the underlying blockchain network, customers’ assets may be confiscated, withdrawn, or burnt by the network, resulting in losses for which</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may be responsible. Furthermore, certain types of staking require the payment of transaction fees on the underlying blockchain network, and such fees can become significant as the amount and complexity of the transaction grows, depending on the degree of network congestion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price of the network token. If we experience a high volume of such staking requests from customers on an ongoing basis, we could incur significant costs.</w:t>
      </w:r>
    </w:p>
    <w:p>
      <w:pPr>
        <w:spacing w:after="0" w:line="181"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Bitstamp Europe S.A., Bitstamp Limited and Bitstamp Global Limited market crypto-asset lending services which are provided directly to customers by a third-party service provider. Customers lend their crypto-assets directly to a third party and the third party then on-lends to borrowers. Customer crypto-assets leave the custody of Bitstamp when customers access these services. There is a risk that borrowers may default on loans by the third-party service provider causing a financial loss to customers and in a worst case scenario the insolvency of the third-party service provider or its related group companies. Any of these risks could negatively impact our reputation, business, financial condition, and results of operations and discourage existing and future customers from utilizing our products and services.</w:t>
      </w:r>
    </w:p>
    <w:p>
      <w:pPr>
        <w:spacing w:after="0" w:line="206"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With Robinhood Wallet, our self-custody, web3 wallet, users have sole access and control over their cryptocurrencies on certain networks and personally hold and maintain their private keys. Although we do not custody cryptocurrencies held in a user’s Robinhood Wallet</w:t>
      </w:r>
    </w:p>
    <w:p>
      <w:pPr>
        <w:jc w:val="both"/>
        <w:spacing w:after="0" w:line="226" w:lineRule="auto"/>
        <w:rPr>
          <w:sz w:val="20"/>
          <w:szCs w:val="20"/>
          <w:color w:val="auto"/>
        </w:rPr>
      </w:pPr>
      <w:r>
        <w:rPr>
          <w:rFonts w:ascii="Arial" w:cs="Arial" w:eastAsia="Arial" w:hAnsi="Arial"/>
          <w:sz w:val="18"/>
          <w:szCs w:val="18"/>
          <w:color w:val="auto"/>
        </w:rPr>
        <w:t>and do not have access to users’ private keys, users who lose their private keys, and thus access to their Robinhood Wallet balances, may react negatively. Although our account agreements for Crypto Transfers and licensing agreements for Robinhood Wallet disclaim</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responsibility for losses caused by user errors, such incidents could result in user disputes, damage to our brand and reputation, legal claims against us, and financial liabilities.</w:t>
      </w:r>
    </w:p>
    <w:p>
      <w:pPr>
        <w:spacing w:after="0" w:line="19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Additionally, allowing customers to deposit and withdraw cryptocurrencies to and from our platforms increases the risk that our platforms might be exploited to facilitate illegal activity such as fraud, gambling, money laundering, tax evasion, and scams. Crypto Transfers, Robinhood Wallet, and Robinhood Connect also expose us to heightened risks related to potential violations of trade sanctions, including OFAC regulations, and AML and counter-terrorist financing laws, which among other things impose strict liability for transacting with prohibited persons. We engage blockchain analytics vendors to help determine whether the external wallets involved in Crypto Transfers are controlled by persons on prohibited lists or involved in fraudulent or illegal activity. However, fraudulent and illegal transactions and prohibited status could be difficult or impossible for us and our vendors to detect in some circumstances. The use of our platforms for illegal or improper purposes could subject us to claims, individual and class action lawsuits, and government and regulatory investigations, prosecutions, enforcement actions, inquiries, or requests that could result in significant liabilities and reputational harm for us and could cause cryptocurrency trading volumes and transaction-based revenues to decline.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temporary or permanent blockchain “fork” could adversely affect our business.</w:t>
      </w:r>
    </w:p>
    <w:p>
      <w:pPr>
        <w:spacing w:after="0" w:line="237"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Most blockchain protocols, including Bitcoin and Ethereum, are open source. Any user can download the software, modify it and then propose that users and miners of Bitcoin, Ethereum or other blockchain protocols adopt the modification. When a modification is introduced and a substantial majority of miners consent to the modification, the change is implemented and the Bitcoin, Ethereum or other blockchain protocol networks, as applicable, remain uninterrupted, although such modifications might cause certain cryptocurrencies to fail our Crypto Listing Frameworks. However, if less than a substantial majority of users and miners consent to the proposed modification, and the modification is not compatible with the software prior to its modification, the consequence would be what is known as a “fork” (i.e., “split”) of impacted blockchain protocol network and respective blockchain with one prong running the pre-modified software and the other running the modified software. The effect of such a fork would be the existence of two versions of the Bitcoin, Ethereum or other blockchain protocol network, as applicable, running simultaneously, but with each split network’s cryptocurrency lacking interchangeability.</w:t>
      </w:r>
    </w:p>
    <w:p>
      <w:pPr>
        <w:spacing w:after="0" w:line="210"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Both Bitcoin and Ethereum protocols have been subject to “forks” that resulted in the creation of new networks, including, among others, Bitcoin Cash, BSV, Bitcoin Diamond, Bitcoin Gold, Ethereum Classic, and Ethereum Proof-of-Work. Some of these forks have caused</w:t>
      </w:r>
    </w:p>
    <w:p>
      <w:pPr>
        <w:jc w:val="both"/>
        <w:spacing w:after="0" w:line="226" w:lineRule="auto"/>
        <w:rPr>
          <w:sz w:val="20"/>
          <w:szCs w:val="20"/>
          <w:color w:val="auto"/>
        </w:rPr>
      </w:pPr>
      <w:r>
        <w:rPr>
          <w:rFonts w:ascii="Arial" w:cs="Arial" w:eastAsia="Arial" w:hAnsi="Arial"/>
          <w:sz w:val="18"/>
          <w:szCs w:val="18"/>
          <w:color w:val="auto"/>
        </w:rPr>
        <w:t>fragmentation among platforms as to the correct naming convention for forked cryptocurrencies. Due to the lack of a central registry or rulemaking body in the cryptocurrency market, no single entity has the ability to dictate the nomenclature of forked cryptocurrencies, causing</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disagreements and a lack of uniformity among platforms on the nomenclature of forked cryptocurrencies, and which results in further confusion to customers as to the nature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cryptocurrencies they hold on platforms. In addition, several of these forks were contentious and as a result, participants in certain communities might harbor ill will towards other communities. As a result, certain community members might take actions that adversely impact the use, adoption and price of Bitcoin, Ethereum or any of their forked alternatives.</w:t>
      </w:r>
    </w:p>
    <w:p>
      <w:pPr>
        <w:spacing w:after="0" w:line="19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Furthermore, forks can lead to disruptions of networks and our information technology systems, cybersecurity attacks, replay attacks, or security weaknesses, any of which can further lead to temporary or even permanent loss of customer cryptocurrencies. For instance, when the Ethereum and Ethereum Classic networks split in July 2016, replay attacks, in which transactions from one network were rebroadcast on the other network to achieve “double-spending,” plagued platforms that traded Ethereum through at least October 2016, resulting in significant losses to some cryptocurrency platforms. Another possible result of a fork is an inherent decrease in the level of security due to the splitting of some mining power across networks, making it easier for a malicious actor to gain the majority of the mining power of that network. Such disruption and loss could cause our company to be exposed to liability, even in circumstances where we have no intention of supporting a cryptocurrency compromised by a fork.</w:t>
      </w:r>
    </w:p>
    <w:p>
      <w:pPr>
        <w:spacing w:after="0" w:line="19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Moreover, we might decide not to or not be able to support a cryptocurrency resulting from the fork of a network which might cause our customers to lose confidence in us or reduce their engagement on our platforms. In assessing whether we will support a cryptocurrency resulting from the fork of a network, among our top priorities is to safeguard our customers’ assets, and we spend extensive time designing, building, testing, reviewing and auditing our systems to check whether the cryptocurrencies we support remain safe and secure. There are several considerations that we consider as part of our Crypto Listing Frameworks (including security or infrastructure concerns that might arise with the integration of any new cryptocurrency into the technical infrastructure that allows us to secure customer cryptocurrencies and to transact securely in corresponding blockchains), which might operate to limit our ability to support forks. Further, we generally do not support a forked cryptocurrency that does not have support from a majority of the affiliated third-party miner and developer community. To the extent that we decide not to support, or to cease support of, certain forked cryptocurrencies, it could negatively impact customer sentiment and our business, operating results, and financial condition, especially to the extent that our competitors continue to support such forked cryptocurrencies on their platforms.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Whether we are obligated to provide services for a new and previously unsupported cryptocurrency is a question of contract, as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recognized in recent published rulings of the California appellate courts and federal district courts. The user agreement each customer enters into in order to trade cryptocurrencies on our platforms clearly indicates that we have the sole discretion to determine whether we will support</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forked network and the approach to such forked cryptocurrencies and that we may temporarily suspend trading for a cryptocurrency whose network is undergoing a fork without advance notice to the customer. Regardless of the foregoing, we might in the future be subject to claims by customers arguing that they are entitled to receive certain forked cryptocurrencies by virtue of cryptocurrencies that they hold with us. If any customers succeed on a claim that they are entitled to receive the benefits of a forked cryptocurrency that we do not or are unable to support, we might be required to pay significant damages, fines or other fees to compensate customers for their losses.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Any inability to maintain adequate relationships with third-party banks, Liquidity Providers, and cryptocurrency exchanges with respect to, and any inability to settle customer trades related to, our cryptocurrency offerings, would disrupt our ability to offer cryptocurrency trading to customers.</w:t>
      </w:r>
    </w:p>
    <w:p>
      <w:pPr>
        <w:spacing w:after="0" w:line="18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We rely heavily on third-party banks, Liquidity Providers, and cryptocurrency exchanges in connection with our provision of cryptocurrency products and services to our customers, with the exception of a cryptocurrency exchange operated by Bitstamp and acquired by Robinhood in June 2025. The cryptocurrency market operates 24 hours a day, seven days a week. The cryptocurrency market does not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have a centralized clearinghouse, and the transactions in cryptocurrencies on our platforms rely on direct settlements between us and our customers and direct settlements between us and our Liquidity Providers or cryptocurrency exchanges after customer trades are executed.</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Accordingly, we rely on third-party banks to facilitate cash settlements with customers’ brokerage accounts, and we rely on the ability of Liquidity Providers and Bitstamp, where applicable, to complete cryptocurrency settlements with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obtain cryptocurrency for customer accounts. In addition, we must maintain cash assets in our bank accounts sufficient to meet the working capital needs of our business, which includes deploying available working capital to facilitate cash settlements with our customers, Liquidity Providers and cryptocurrency exchanges (as well as maintaining the minimum capital required by regulators). If we, third-party banks, Liquidity Providers, or cryptocurrency exchanges have operational failures and cannot perform and facilitate our routine cash and cryptocurrency settlement transactions, we will be unable to support normal trading operations on our cryptocurrency trading platforms, and these disruptions could have an adverse impact on our business, financial condition and results of operations. Similarly, if we fail to maintain cash assets in our bank accounts sufficient to meet the working capital needs of our business and necessary to complete routine cash settlements related to customer trading activity, such failure could impair our ability to support normal trading operations on our cryptocurrency platforms, which could cause cryptocurrency trading volumes and transaction-based revenues to decline significantly.</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might also be harmed by the loss of any of our banking partners and Liquidity Providers. As a result of the risks of cryptocurrencies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generally, many financial institutions have decided, and other financial institutions might in the future decide, not to provide bank accounts (or access to bank accounts), payments services, or other financial services to companies providing cryptocurrency products, including us. For</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instance, in May 2023, two prominent Liquidity Providers announced their respective decisions to limit their offerings in cryptocurrency trading within the U.S. If we, our cryptocurrency exchanges or our Liquidity Providers cannot maintain sufficient relationships with the banks that provide these services, if banking regulators restrict or prohibit banking of cryptocurrency businesses, if these banks impose significant operational restrictions, or if these banks were to fail or be taken over by the FDIC, such as occurred in the 2023 Banking Events, it could be difficult for us to find alternative business partners for our cryptocurrency offerings, which would disrupt our business and could cause cryptocurrency trading volumes and transaction-based revenues to decline significantly.</w:t>
      </w:r>
    </w:p>
    <w:p>
      <w:pPr>
        <w:spacing w:after="0" w:line="20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might also be harmed by the loss of any of our liquidity partners. Unlike our customers’ orders for other cryptocurrencies, which are currently fulfilled by Liquidity Providers, our RHC customers’ orders for USDC, a stablecoin backed by dollar denominated assets held by the issuer in segregated accounts with U.S. regulated financial institutions, are fulfilled directly from Circle, the original issuer and main liquidity provider of USDC. If in the future we decide to offer other stablecoins, which are cryptocurrencies designed to minimize price volatility, we may also work directly with other liquidity partners to fulfill those orders. If we cannot maintain sufficient relationships with Circle or any other</w:t>
      </w:r>
    </w:p>
    <w:p>
      <w:pPr>
        <w:spacing w:after="0" w:line="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Liquidity Providers, it could be difficult for us to find alternative liquidity partners for our stablecoin offerings, which would disrupt our business and could cause cryptocurrency trading volumes and transaction-based revenues to decline significantly.</w:t>
      </w:r>
    </w:p>
    <w:p>
      <w:pPr>
        <w:spacing w:after="0" w:line="21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From time to time, we might encounter technical issues in connection with changes and upgrades to the underlying networks of supported cryptocurrencies, which could cause revenues to decline and expose us to potential liability for customer losses.</w:t>
      </w:r>
    </w:p>
    <w:p>
      <w:pPr>
        <w:spacing w:after="0" w:line="16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Any number of technical changes, software upgrades, soft or hard forks, cybersecurity incidents or other changes to the underlying blockchain networks might occur from time to time, causing incompatibility, technical issues, disruptions or security weaknesses to our platforms. If we are unable to identify, troubleshoot and resolve any such issues successfully, we might no longer be able to support such cryptocurrency, our customers’ assets might be frozen or lost, the security of our hot or cold wallets might be compromised and our platforms and technical infrastructure might be affected, all of which could cause trading volumes and transaction-based revenue to decline and expose us to potential liability for customer losses.</w:t>
      </w:r>
    </w:p>
    <w:p>
      <w:pPr>
        <w:spacing w:after="0" w:line="2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introduction of Robinhood Stock Tokens and crypto-asset perpetual trading in the EEA may expose us to significant regulatory, litigation, contractual, operational, and reputational risks.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June 2025, we launched Robinhood Stock Tokens for eligible customers in certain EEA jurisdictions. These products are designed to</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provide economic exposure to the price performance of certain U.S. stocks issued by publicly-listed U.S. companies and certain U.S. ETPs, without conveying legal ownership or shareholder rights, such as voting rights, related to such underlying stocks and ETPs.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From time to time, we have offered, and may offer, token products that reference privately-held U.S. companies in connection with certain limited promotional initiatives in certain EEA jurisdictions (the “Private Company Stock Token Promotion”). Such tokens and Robinhood Stock Tokens do not represent, or entitle the holder to receive or convert into, actual securities of the referenced companies, and the value of the tokens is based on a defined reference price such as the market price of those securities or the price of those securities upon a liquidity event.</w:t>
      </w:r>
    </w:p>
    <w:p>
      <w:pPr>
        <w:spacing w:after="0" w:line="20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cryptocurrency industry is rapidly evolving, and the tokenization of real-world assets is a nascent development in the industry. Accordingly, there remains considerable regulatory uncertainty regarding how transactions, products, services or offerings involving tokenized real-world assets, including tokenized financial instruments, are or should be regulated. While certain lawmakers, regulators and other public officials in the U.S. and in foreign jurisdictions have previously made statements or issued guidance relating to the legal and regulatory framework applicable to tokenized real-world assets, the legal and regulatory framework is still in the early stages, is continuing to</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evolve rapidly and remains uncertain and fragmented across jurisdictions. For example, in July 2025, SEC Commissioner Hester M. Peirce issued a statement noting that tokenized securities are still securities, and therefore transactions involving tokenized securities are subject to</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federal securities laws. Advisory committees and staff of the CFTC have also discussed exploring a potential regulatory framework for tokenization of assets, including tokenized collateral.</w:t>
      </w:r>
    </w:p>
    <w:p>
      <w:pPr>
        <w:spacing w:after="0" w:line="199"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Regulatory approaches to tokenized real-world assets outside of the U.S. are similarly in the early stages and vary by jurisdiction. For example, in the EU, MiCA and MiFID operate as complementary regimes within the EU’s financial regulatory framework, with MiCA governing crypto-assets that do not qualify as financial instruments and MiFID continuing to apply to crypto-assets that meet the definition of financial instruments. Accordingly, the application of MiCA or MiFID depends on the characteristics of the specific tokenized real -world asset. In Singapore, the MAS has issued guidance stating that a crypto-asset may constitute, among other things, a “share” where it confers or represents ownership interest in a corporation or a “securities-based derivatives contract” where the underlying asset is a share, debenture or unit in a business, which would require transactions in such crypto-assets to be conducted in compliance with applicable law and the applicable licenses.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offered Robinhood Stock Tokens and the Private Company Stock Token Promotion to eligible customers of RHEU in certain</w:t>
      </w:r>
    </w:p>
    <w:p>
      <w:pPr>
        <w:spacing w:after="0" w:line="14"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jurisdictions in the EEA and may offer similar tokens or promotions in the same or different jurisdictions in the future, and while we believe that such operations are, were, and will be in compliance with MiFID requirements applicable to derivatives (or other applicable requirements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to the extent we offer similar tokens or promotions in different jurisdictions in the future), we cannot ensure that regulators would agree with our conclusions. For example, we have received requests for clarifications from the Bank of Lithuania, which has issued RHEU licenses under MiCA and MiFID, regarding our Robinhood Stock Tokens and the Private Company Stock Token Promotion in connection with the launch of that offering. Responding to such requests may divert management attention and require us to expend additional resources. If the Bank of Lithuania determines that our Robinhood Stock Token offering or the Private Company Stock Token Promotion is not being conducted in compliance with applicable laws or regulations, such determination could result in financial penalties or other non-monetary penalties, limitation of certain of our business activities (including with respect to our Robinhood Stock Token offering), loss or non-renewal of existing licenses or authorizations, increased scrutiny from other regulators, loss of our customers and reputational harm. In addition, any change in applicable laws or regulations, or change in interpretations of existing laws or regulations, could have a materially adverse impact on our ability to operate our Robinhood Stock Token offering as currently intended. In addition, because the assets underlying our Robinhood Stock Tokens and the Private Company Stock Token Promotion are certain U.S. securities, the SEC or other U.S. regulators, including the</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CFTC, could assert jurisdiction over our Robinhood Stock Token offering or the Private Company Stock Token Promotion and claim that transactions in related tokens must be conducted in compliance with applicable U.S. laws and regulations. Such a determination could result</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lawsuits, regulatory action and enforcement proceedings that result in injunctions, fines, penalties and other monetary damages, and could require us to obtain additional registrations or licenses in the future and cause us to incur significant expenses in order to ensure compliance with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may also face contractual or legal challenges from the issuers of the referenced securities. Some companies, particularly private companies with transfer restrictions, may object to the creation of synthetic instruments such as tokens which reference the companies’ securities and are facilitated by Robinhood or one of its affiliates holding an interest in a SPV that holds the referenced securities or instruments representing a contingent interest in the referenced securities. In such cases, the issuer may assert that our interest in the SPV is invalid, void or otherwise unenforceable, or that we have violated or induced or assisted in the violation of, applicable transfer restrictions, which could result in a loss or impairment of the SPV’s rights to the underlying securities, which could in turn prevent us from effectively hedging our exposure to the associated tokens held by our customers. For example, OpenAI has publicly stated that OpenAI tokens issued in connection with the Private Company Stock Token Promotion are not OpenAI equity, that they did not partner with us and did not endorse the OpenAI tokens, and that any transfer of OpenAI equity requires OpenAI’s approval and OpenAI did not approve such transfer. Accordingly, Robinhood or our affiliates may be exposed to risks relating to litigation, reputational harm, or the need to suspend or revise affected offerings.</w:t>
      </w:r>
    </w:p>
    <w:p>
      <w:pPr>
        <w:spacing w:after="0" w:line="199"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The Robinhood Stock Token offering and the Private Company Stock Token Promotion also involved, and could involve, operational risks, in addition to existing cryptocurrency risks. They have relied on, and could rely on, accurate and timely price data, functioning systems for custody and valuation, and clear communication to customers about how the tokens work. If these systems fail, or if customers misunderstand that the tokens don’t represent actual securities, we could face regulatory action, legal exposure, or reputational harm.</w:t>
      </w:r>
    </w:p>
    <w:p>
      <w:pPr>
        <w:spacing w:after="0" w:line="20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If we are unable to adequately manage these risks, or if regulators, issuers, or other counterparties take adverse action, our Robinhood Stock Token or similar initiatives in the future could be curtailed or terminated, which could adversely affect our crypto and international business operations, expose us to significant liability and harm our brand.</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Spending and Payments Products and Services</w:t>
      </w:r>
    </w:p>
    <w:p>
      <w:pPr>
        <w:spacing w:after="0" w:line="24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spending, payments and banking products and services subject us to risks related to bank partnerships, FDIC pass-through insurance and other regulatory obligations.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We offered a Spending Account (in connection with a partnership with J.P. Morgan Chase Bank, N.A.), and partnered, on a non-exclusive basis, with Sutton Bank (“Sutton”), an Ohio-chartered bank, pursuant to a license from Mastercard International Incorporated, to offer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Robinhood Cash Card. Under the terms of our program agreement with Sutton, Robinhood Cash Card accounts for our users were opened and maintained by Sutton. We act as the service provider to, among other things, facilitate communication between our users and Sutton for</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which we receive compensation from Sutton. We began winding down the Spending Account product in 2025 by closing inactive, unfunded accounts. The product is expected to be fully wound down by the third quarter of 2026. We recently began (on an invite-only basis) offering external customers the Robinhood Banking product, which offers depository accounts and related banking services through our partner bank, Coastal Bank. Similar to the structure of the Spending Account program, we act as the service provider for Robinhood Banking to, among other things, facilitate communication between our users and Coastal Bank for which we receive compensation. Additionally, Robinhood branded credit cards are issued by Coastal Bank, a Washington-chartered bank, pursuant to a partnership with Visa U.S.A. Inc. Our partner banks are members of the FDIC.</w:t>
      </w:r>
    </w:p>
    <w:p>
      <w:pPr>
        <w:spacing w:after="0" w:line="21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believe our record keeping for our users’ funds held in Robinhood Cash Card accounts at Sutton, held in a Spending Account at our other partner bank, and held in Robinhood Banking branded deposit accounts at Coastal Bank complies with all applicable requirements for each participating user’s deposits to be eligible for FDIC pass-through insurance coverage, up to the applicable maximum deposit insurance amount. However, if the FDIC were to disagree, the FDIC might not recognize users’ claims as covered by deposit insurance in the event of</w:t>
      </w:r>
    </w:p>
    <w:p>
      <w:pPr>
        <w:jc w:val="both"/>
        <w:spacing w:after="0" w:line="226" w:lineRule="auto"/>
        <w:rPr>
          <w:sz w:val="20"/>
          <w:szCs w:val="20"/>
          <w:color w:val="auto"/>
        </w:rPr>
      </w:pPr>
      <w:r>
        <w:rPr>
          <w:rFonts w:ascii="Arial" w:cs="Arial" w:eastAsia="Arial" w:hAnsi="Arial"/>
          <w:sz w:val="18"/>
          <w:szCs w:val="18"/>
          <w:color w:val="auto"/>
        </w:rPr>
        <w:t>bank failure and bank receivership proceedings under the Federal Deposit Insurance Act. If the FDIC were to determine that our users’ funds held at our partner banks are not covered by deposit insurance, participating users might decide to withdraw their funds, which could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 our brand and our business. Due to the fact that we are deemed a service-provider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partner banks, we are subject to audit standards for third-party vendors in accordance with bank regulatory guidance and examinations by federal bank regulatory authorities and the CFPB.</w:t>
      </w:r>
    </w:p>
    <w:p>
      <w:pPr>
        <w:spacing w:after="0" w:line="181"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As a result of the stored value Spending Account program, the Robinhood Cash Card and the Robinhood Banking program, we are subject to federal and state consumer protection laws and regulations, including the Electronic Fund Transfer Act and Regulation E as implemented by the CFPB. As a result of Robinhood Credit, we are also subject to a number of state licensing and other regulatory requirements and to payment card association operating rules, including data security rules and certification requirements, which could change or be reinterpreted to make it difficult or impossible for us to comply. Robinhood Credit is in the process of acquiring licenses in all states where required to do so. Failure to obtain or maintain these licenses, failure to comply with these rules or requirements, or conducting such activity without a license, as well as any breach, compromise, or failure to otherwise detect or prevent fraudulent activity involving our data security systems, could result in our being liable for card issuing banks’ costs, and subject to regulatory fines, penalties, or criminal</w:t>
      </w:r>
    </w:p>
    <w:p>
      <w:pPr>
        <w:spacing w:after="0" w:line="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charges. For example, in December 2024, Robinhood Credit paid a penalty of $200,000 to the Massachusetts Division of Banks for previously engaging in the business of a third party loan servicer in Massachusetts without the appropriate registration. Violations of any of</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these requirements could result in the assessment of significant actual damages or statutory damages or penalties (including treble damages in some instances) and plaintiffs’ attorneys’ fees.</w:t>
      </w:r>
    </w:p>
    <w:p>
      <w:pPr>
        <w:spacing w:after="0" w:line="20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offering of consumer credit cards through Robinhood Credit increases our exposure to customer defaults and credit risk and could result in losses.</w:t>
      </w:r>
    </w:p>
    <w:p>
      <w:pPr>
        <w:spacing w:after="0" w:line="16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We market consumer credit cards, such as the Robinhood Gold Card, originated by our partner bank, Coastal Bank, pursuant to the Program Agreement, and indemnify Coastal Bank for certain losses under the Program Agreement. We partner with Coastal Bank to develop proprietary scoring models and other analytical techniques that are designed to set terms and credit limits to appropriately compensate for credit risk in connection with selecting customers, managing accounts and establishing terms and credit limits. The revenue generated from the Program Agreement and the extent of credit losses incurred, as well as our ability to offer competitive features such as the Robinhood Gold Card Rewards Program, depends in part on managing credit risk while attracting new customers with profitable usage patterns. The models and approaches used to manage credit risk may not accurately predict future charge-offs and our ability to avoid high charge-off</w:t>
      </w:r>
    </w:p>
    <w:p>
      <w:pPr>
        <w:spacing w:after="0" w:line="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rates also may be adversely affected by general economic conditions including unemployment, the availability of consumer credit and the competitive environment, as well as events that may be difficult to predict, such as a general downturn in economic conditions (like the one</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that occurred in 2022), public health threats (like the COVID-19 pandemic), or political developments and legislative proposals targeting interest rate caps and fee and revenue restrictions. Additionally, if any of these factors make it economically unfeasible for us to continue to offer the Robinhood Gold Card Rewards Program and we cease to offer such rewards, it might make Robinhood Credit products less desirable to customers. Any material increases in credit losses and defaults or inability to retain existing or attract new Robinhood Credit customers could have adverse effects on our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our spending, payments, banking and other services for illegal activities or improper purposes could harm our business</w:t>
      </w:r>
      <w:r>
        <w:rPr>
          <w:rFonts w:ascii="Arial" w:cs="Arial" w:eastAsia="Arial" w:hAnsi="Arial"/>
          <w:sz w:val="18"/>
          <w:szCs w:val="18"/>
          <w:i w:val="1"/>
          <w:iCs w:val="1"/>
          <w:color w:val="auto"/>
        </w:rPr>
        <w:t>.</w:t>
      </w:r>
    </w:p>
    <w:p>
      <w:pPr>
        <w:spacing w:after="0" w:line="23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highly automated nature of, and liquidity offered by, our spending, payments and other services to move money make us and our customers a target for illegal or improper uses, including scams and fraud directed at our stored value Spending Account, Robinhood Cash Card, Robinhood Banking accounts (including the cash delivery feature, which allows customers in supported jurisdictions to order cash directly to their residences), and Robinhood Credit customers, fraud in connection with the services we provide to the U.S. government, money laundering, terrorist financing, sanctions evasion, illegal online gambling, fraudulent sales of goods or services, illegal telemarketing</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activities, illegal sales of prescription medications or controlled substances, piracy of software, movies, music, and other copyrighted or trademarked goods (in particular, digital goods), bank fraud, child pornography, human trafficking, prohibited sales of alcoholic beverages or</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tobacco products, securities fraud, pyramid or ponzi schemes, or the facilitation of other illegal or improper activity. Moreover, certain activity that is legal in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jurisdiction might be illegal in another jurisdiction, and a customer might be found responsible for intentionally or inadvertently importing or exporting illegal goods, resulting in liability for us. Owners of intellectual property rights or government authorities might seek to bring legal action against providers of payments solutions, including Robinhood, that are peripherally involved in the sale of infringing or allegedly infringing items. While we invest in measures intended to prevent and detect illegal activities with respect to our spending, payments, and other services, these measures require continuous improvement and might not be effective in detecting and preventing illegal activity or improper uses.</w:t>
      </w:r>
    </w:p>
    <w:p>
      <w:pPr>
        <w:spacing w:after="0" w:line="20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Any illegal or improper uses of our spending, payments, and other services by our users might subject us to claims, individual and class action lawsuits, and government and regulatory requests, inquiries, or investigations that could result in liability, restrict our operations, require us to change our business practices, harm our reputation, increase our costs, and negatively impact our business. For example, government enforcement or regulatory authorities could seek to impose additional restrictions or liability on us arising from the use of our</w:t>
      </w:r>
    </w:p>
    <w:p>
      <w:pPr>
        <w:jc w:val="both"/>
        <w:spacing w:after="0" w:line="226" w:lineRule="auto"/>
        <w:rPr>
          <w:sz w:val="20"/>
          <w:szCs w:val="20"/>
          <w:color w:val="auto"/>
        </w:rPr>
      </w:pPr>
      <w:r>
        <w:rPr>
          <w:rFonts w:ascii="Arial" w:cs="Arial" w:eastAsia="Arial" w:hAnsi="Arial"/>
          <w:sz w:val="18"/>
          <w:szCs w:val="18"/>
          <w:color w:val="auto"/>
        </w:rPr>
        <w:t>spending, payments, and other services for illegal or improper activity, and our failure to detect or prevent such use. Illegitimate transactions can also prevent us from satisfying our contractual obligations to our third-party partners, which might cause us to be in breach of our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Intellectual Property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obtain, maintain, protect, defend or enforce our intellectual property rights could adversely affect our business.</w:t>
      </w:r>
    </w:p>
    <w:p>
      <w:pPr>
        <w:spacing w:after="0" w:line="237"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Our success and ability to compete depend in part upon our ability to obtain, maintain, protect, defend and enforce our intellectual property rights and technology. The steps we take to protect our intellectual property rights might not be sufficient to effectively prevent third parties from infringing, misappropriating, diluting, or otherwise violating our intellectual property rights or to prevent unauthorized disclosure or unauthorized use of our trade secrets or other confidential information. We make business decisions about when to seek patent protection for a particular technology, obtain trademark or copyright protection and when to rely upon trade secret protection, and the approach we select might ultimately prove to be inadequate. We will not be able to protect our intellectual property rights, however, if we do not detect unauthorized use of our intellectual property rights. We also might fail to maintain or be unable to obtain adequate protections for some of our intellectual property rights in the U.S. and some non-U.S. countries, and our intellectual property rights might not receive the same degree of</w:t>
      </w:r>
    </w:p>
    <w:p>
      <w:pPr>
        <w:spacing w:after="0" w:line="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protection in non-U.S. countries as they would in the U.S. because of the differences in non-U.S. patent, trademark, copyright, and other laws concerning intellectual property and proprietary rights. In addition, if we do not adequately protect our rights in our trademarks from</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infringement and unauthorized use, any goodwill that we have developed in those trademarks could be lost or impaired, which could harm our brand and our business. Our trademarks might also be opposed, contested, circumvented or found to be unenforceable, weak or invalid, and we might not be able to prevent third parties from infringing or otherwise violating them or using similar marks in a manner that causes confusion or dilutes the value or strength of our brand.</w:t>
      </w:r>
    </w:p>
    <w:p>
      <w:pPr>
        <w:spacing w:after="0" w:line="207"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In addition to registered intellectual property rights, we rely on non-registered proprietary information and technology, such as trade secrets, confidential information and know-how. We attempt to protect our intellectual property, technology, and confidential information by requiring our employees, contractors, consultants, corporate collaborators, advisors and other third parties who develop intellectual property on our behalf to enter into agreements relating to confidentiality and invention assignments, and third parties we share information with to enter into nondisclosure and confidentiality agreements. However, we might not have any such agreements in place with some of the parties who have developed intellectual property on our behalf and/or with some of the parties that have or might have had access to our confidential information, know-how, and trade secrets. Even where these agreements are in place, they might be insufficient or breached, or</w:t>
      </w:r>
    </w:p>
    <w:p>
      <w:pPr>
        <w:spacing w:after="0" w:line="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might not effectively prevent unauthorized access to or unauthorized use, disclosure, misappropriation, or reverse engineering of our confidential information, intellectual property, or technology. Moreover, these agreements might not provide an adequate remedy for</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breaches or in the event of unauthorized use or disclosure of our confidential information or technology, or infringement of our intellectual property. If any of our trade secrets were to be lawfully obtained or independently developed by a competitor or other third party, we would have no right to prevent them from using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technology or information to compete with us, and our competitive position could be materially and adversely harmed.</w:t>
      </w:r>
    </w:p>
    <w:p>
      <w:pPr>
        <w:spacing w:after="0" w:line="23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The loss of trade secret protection could make it easier for third parties to compete with our products and services by copying functionality. Additionally, individuals not subject to invention assignment agreements might make adverse ownership claims to our current and future intellectual property, and, to the extent that our employees, independent contractors, or other third parties with whom we do business use intellectual property owned by others in their work for us, disputes might arise as to the rights in related or resulting know-how and inventions.</w:t>
      </w:r>
    </w:p>
    <w:p>
      <w:pPr>
        <w:spacing w:after="0" w:line="203"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In addition, we might need to expend significant resources to apply for, maintain, enforce and monitor our intellectual property rights and such efforts might be ineffective and could result in substantial costs and diversion of resources. An adverse outcome in any such litigation or proceedings might expose us to a loss of our competitive position, significant liabilities, and damage to our brand, or require us to seek licenses that might not be available on commercially acceptable terms, if at all.</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auto"/>
        </w:rPr>
        <w:t>We have been, currently are, and might in the future be, subject to claims that we violated third-party intellectual property rights, which, even where meritless, can be costly to defend and could materially adversely affect our business, results of operations, and</w:t>
      </w:r>
    </w:p>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221"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Our success depends, in part, on our ability to develop and commercialize our products and services without infringing, misappropriating or otherwise violating the intellectual property rights of third parties. However, we might not be aware that our products, services, or marketing materials are infringing, misappropriating or otherwise violating third-party intellectual property rights and such third parties might bring claims alleging such infringement, misappropriation or violation. As we face increasing competition and become increasingly high profile, the possibility of receiving a larger number of intellectual property claims against us grows. In addition, various “non-practicing entities,” and other intellectual property rights holders have in the past and might in the future attempt to assert intellectual property claims against us or seek to monetize the intellectual property rights they own to extract value through licensing or other settlements.</w:t>
      </w:r>
    </w:p>
    <w:p>
      <w:pPr>
        <w:spacing w:after="0" w:line="21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use of third-party software and other intellectual property rights might be subject to claims of infringement or misappropriation. The vendors who provide us with technology that we incorporate in our product offerings also could become subject to various infringement claims.</w:t>
      </w:r>
    </w:p>
    <w:p>
      <w:pPr>
        <w:spacing w:after="0" w:line="19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From time to time, our competitors or other third parties have in the past claimed, currently claim, and might in the future claim, that we are infringing upon, misappropriating or otherwise violating their intellectual property rights. We cannot predict the outcome of lawsuits and</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cannot ensure that the results of any such actions will not have an adverse effect on our business, financial condition, results of operations, cash flows or prospects. Any claims or litigation, even those without merit and regardless of the outcome, could cause us to incur significant expenses and, if successfully asserted against us, could require that we pay substantial costs or damages, obtain a license, which might not be available on commercially reasonable terms or at all, pay significant ongoing royalty payments, settlements or licensing fees, satisfy indemnification obligations, prevent us from offering our products or services or using certain technologies, force us to implement expensive and time-consuming work-arounds or re-designs, distract management from our business or impose other unfavorable terms.</w:t>
      </w:r>
    </w:p>
    <w:p>
      <w:pPr>
        <w:spacing w:after="0" w:line="208"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We expect that the occurrence of infringement claims is likely to grow as the market for financial services grows and as we introduce new and updated products and services, and the outcome of any allegation is often uncertain. Accordingly, our exposure to damages resulting from infringement claims could increase and this could further exhaust our financial and management resources. Even if intellectual property claims do not result in litigation or are resolved in our favor, these claims, and the time and resources necessary to resolve them, could divert the resources of our management and require significant expenditures.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Some of our products and services contain open source software, which could pose particular risks to our proprietary software, products, and services in a manner that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We use open source software in our products and services (as well as in some of our internally developed systems) and we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might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proprietary software source code freely available, purchase a costly license, or cease offering the implicated products or services unless and until we can offer a different</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solution, which might be a costly and time-consuming process. While we monitor our use of open source software and try to ensure that none is used in a manner that would require us to disclose our proprietary source code or that would otherwise breach the terms of an open source</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agreement, such use could inadvertently occur, or could be claimed to have occurred, in part because open source license terms can be ambiguous, vague, or subject to various interpretations, especially given the absence of controlling case law in the U.S. or other courts. Additionally, we may open source some of our own proprietary source code and/or may make contributions to open source software. There is a risk that our proprietary software or contributions may be used in such a manner that we may need to enforce our rights to ownership of such open source software, including seeking proper usage, compliance with our license terms, or through litigation. Any actual or claimed requirement to disclose our proprietary source code or pay damages for breach of license terms, or failure to enforce our ownership rights over the use of our proprietary source code could harm our business and could help third parties, including our competitors, develop products and services that are similar to or better than ours.</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Finance, Accounting and Tax Matters</w:t>
      </w:r>
    </w:p>
    <w:p>
      <w:pPr>
        <w:spacing w:after="0" w:line="24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Covenants in our credit agreements could restrict our operations and if we do not effectively manage our business to comply with these covenants, our financial condition could be adversely impacted.</w:t>
      </w:r>
    </w:p>
    <w:p>
      <w:pPr>
        <w:spacing w:after="0" w:line="16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We have entered into certain credit agreements and might enter into additional agreements for other borrowing in the future. These agreements contain various restrictive covenants, including, among other things, minimum liquidity and tangible net worth requirements,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restrictions on our ability to dispose of assets, make acquisitions or investments, incur debt or liens, make distributions to our stockholders, or enter into certain types of related person transactions. These agreements also contain financial covenants, including obligations to maintain certain capitalization amounts and other financial ratios. These restrictions might restrict our current and future operations, including our ability to incur debt to increase our liquidity position.</w:t>
      </w:r>
    </w:p>
    <w:p>
      <w:pPr>
        <w:spacing w:after="0" w:line="207"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Our ability to meet these restrictive covenants can be impacted by events beyond our control that could cause us to be unable to comply. The credit agreements provide that our breach or failure to satisfy some of these covenants constitutes an event of default. Upon the occurrence of an event of default, our lenders could elect to declare all amounts outstanding under our debt agreements to be immediately due and payable. In addition, our lenders might have the right to proceed against the assets we provided as collateral pursuant to the agreements. If the debt under the credit agreements were to be accelerated, and if we did not have sufficient cash on hand or be able to sell sufficient collateral to repay it, it would have an immediate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might be inadequate or expensive.</w:t>
      </w:r>
    </w:p>
    <w:p>
      <w:pPr>
        <w:spacing w:after="0" w:line="23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use a combination of third-party insurance and self-insurance mechanisms, including a wholly owned captive insurance subsidiary. We are subject to claims in the ordinary course of business.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claims can involve substantial amounts of money and involve significant defense costs. It is not possible to prevent or detect all activities giving rise to claims and the precautions we take might not be effective in all cases. We maintain voluntary and required insurance coverage, including, among others, general liability, property, director and officer, excess-SIPC, cyber and data breach, crime, and fidelity bond insurance. Our insurance coverage is expensive and maintaining or expanding our insurance coverage might have an adverse effect on our results of operations and financial condition.</w:t>
      </w:r>
    </w:p>
    <w:p>
      <w:pPr>
        <w:spacing w:after="0" w:line="203"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Our insurance coverage is subject to terms such as deductibles, coinsurance, limits and policy exclusions, as well as risk of counterparty denial of coverage, default or insolvency, and might be insufficient to protect us against all losses and costs stemming from processing, operational, and technological failures. Furthermore, for certain lines of coverage, continued insurance coverage might not be available to us in the future on economically reasonable terms, or at all. The successful assertion of one or more large claims against us that exceed available insurance coverage, or the occurrence of material changes in our insurance policies, including premium increases or the imposition of large deductible or co-insurance requirements, could have an adverse effect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and foreign tax laws and policies could adversely impact our tax liabilities.</w:t>
      </w:r>
    </w:p>
    <w:p>
      <w:pPr>
        <w:spacing w:after="0" w:line="23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and may in the future become, subject to complex and evolving U.S. and foreign tax laws and regulations, which might in the future make changes to corporate income tax rates, the treatment of foreign earnings, or other income tax laws that could have an adverse impact on our business, result of operations, financial condition and cash flows.</w:t>
      </w:r>
    </w:p>
    <w:p>
      <w:pPr>
        <w:spacing w:after="0" w:line="19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Our determination of our tax liability is subject to review by applicable tax authorities. The determination of our tax liabilities requires significant judgment, and, in the ordinary course of business, there are transactions and calculations where the ultimate tax determination is complex and uncertain. Although we believe our determinations are reasonable, the ultimate amount of our tax obligations owed might differ from the amounts recorded in our financial statements in the event of a review by applicable tax authorities and any such difference could have an adverse effect on our results of operations. Tax authorities might also disagree with certain positions we have taken or might take in the future, which could subject us to additional tax liabilities.</w:t>
      </w:r>
    </w:p>
    <w:p>
      <w:pPr>
        <w:spacing w:after="0" w:line="206"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Our corporate structure and associated transfer pricing policies also contemplate future growth in international markets, and consider the functions, risks, and assets of various entities involved in intercompany transactions. The taxing authorities of the jurisdictions in which we</w:t>
      </w:r>
    </w:p>
    <w:p>
      <w:pPr>
        <w:jc w:val="both"/>
        <w:ind w:right="20"/>
        <w:spacing w:after="0" w:line="237" w:lineRule="auto"/>
        <w:rPr>
          <w:sz w:val="20"/>
          <w:szCs w:val="20"/>
          <w:color w:val="auto"/>
        </w:rPr>
      </w:pPr>
      <w:r>
        <w:rPr>
          <w:rFonts w:ascii="Arial" w:cs="Arial" w:eastAsia="Arial" w:hAnsi="Arial"/>
          <w:sz w:val="18"/>
          <w:szCs w:val="18"/>
          <w:color w:val="auto"/>
        </w:rPr>
        <w:t>operate may challenge our methodologies for valuing intercompany transactions pursuant to our intercompany arrangements or disagree with our determinations as to the income and expenses attributable to specific jurisdictions.</w:t>
      </w:r>
    </w:p>
    <w:p>
      <w:pPr>
        <w:spacing w:after="0" w:line="208"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 addition, from time to time, proposals are introduced in the U.S. Congress and state legislatures, as well as by foreign governments, to impose new taxes on a broad range of financial transactions, including transactions that occur on our platforms, such as the buying and selling of stocks, derivative transactions, and cryptocurrencies. If enacted, such financial transaction taxes could increase the cost to customers of investing or trading on our platforms and reduce or adversely affect U.S. market conditions and liquidity, general levels of interest in investing, and the volume of trades and other transactions from which we derive transaction-based revenues. Any financial transaction tax implemented in any jurisdiction in which we operate could materially and adversely affect our business, financial condition, or results of operations, and as a retail brokerage we could be impacted to a greater degree than other market participants.</w:t>
      </w:r>
    </w:p>
    <w:p>
      <w:pPr>
        <w:spacing w:after="0" w:line="212"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We also are subject to non-income taxes, such as payroll, sales, use, value-added, net worth, excise, goods and services, and property taxes in the U.S. and various foreign jurisdictions. Specifically, we might be subject to “digital service taxes” or new allocations of tax as a result of increasing efforts by certain jurisdictions to tax cross border activities that might not have been subject to tax under existing international tax principles. Companies such as ours could be adversely impacted by such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could be subject to certain limitations.</w:t>
      </w:r>
    </w:p>
    <w:p>
      <w:pPr>
        <w:spacing w:after="0" w:line="237"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As of March 31, 2026, we have U.S. federal, state and non-U.S. NOLs available to reduce future taxable income subject to certain limitations. Under Sections 382 and 383 of the Code, a corporation that undergoes an “ownership change” (as defined by the Code) may be subject to limitations on its ability to utilize its pre-change NOLs and other tax attributes such as research tax credits to offset future taxable income. If it is determined that we have in the past experienced an ownership change, or if we undergo one or more ownership changes as a result of future transactions in our stock, then our ability to utilize NOLs and other pre-change tax attributes could be limited by Sections 382 and 383 of the Code, and similar state provisions. Future changes in our stock ownership, many of which are outside of our control, could result in an ownership change under Section 382 or 383 of the Code. Furthermore, our ability to utilize NOLs of any companies that we acquire in the future may be subject to limitations. In addition, there may be periods during which the use of NOLs is suspended or otherwise limited. For instance, for state income tax purposes, a California franchise tax law change limits the usability of California state NOLs to offset</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California taxable income in taxable years beginning on or after January 1, 2024, and before January 1, 2027. For these reasons, we might not be able to utilize our NOLs, even if we maintain profitability.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information reporting obligations are subject to change.</w:t>
      </w:r>
    </w:p>
    <w:p>
      <w:pPr>
        <w:spacing w:after="0" w:line="237"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Although we believe we are compliant with the tax reporting and withholding requirements with respect to our customers’ transactions in the jurisdictions in which we operate, various U.S., state or foreign tax authorities might significantly change applicable tax reporting requirements or disagree with the exact application of new or existing requirements. If the taxing authorities determine that we are not in compliance with our tax reporting or withholding requirements with respect to customer asset transactions, we may be exposed to additional withholding obligations, which could increase our compliance costs and result in penalties.</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track certain operational metrics, which are subject to inherent challenges in measurement, and real or perceived inaccuracies in such metrics could harm our reputation, adversely affect our stock price, and result in litigation.</w:t>
      </w:r>
    </w:p>
    <w:p>
      <w:pPr>
        <w:spacing w:after="0" w:line="16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We track certain operational metrics using internal company data gathered on an analytics platform that we developed and operate, including metrics such as Funded Customers, Total Platform Assets, Net Deposits, and Robinhood Gold Subscribers, as well as cohorts of our customers, which have not been validated by any independent third party and which might differ from estimates or similar metrics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published by other parties due to differences in sources, methodologies, or the assumptions on which we rely. Our internal systems and tools are subject to a number of limitations and our methodologies for tracking these metrics have changed in the past and might change further</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over time, which could result in unexpected changes to our metrics or otherwise cause the comparability of such metrics from period to period to suffer, including the metrics we publicly disclose. In addition, if the internal systems and tools we use to track these metrics undercount or overcount performance or contain algorithmic or other technical errors, the data we report might not be accurate. While these numbers are based on what we believe to be reasonable estimates of our metrics for the applicable period of measurement, there are inherent challenges in measuring how our platforms are used across large populations globally. Further, with our acquisition of TradePMR in February 2025, we are clearing through a third party for TradePMR related accounts and using data collected by that third party to compute certain metrics. So, for TradePMR-related accounts only, if the third-party systems and tools we use to track this data undercount or overcount performance or contain algorithmic or other technical errors, the relevant metrics we report that rely on such data might not be accurate. You should not place undue reliance on such operational metrics when evaluating an investment in our Class A common stock. See “Management’s Discussion and Analysis of Financial Condition and Results of Operations-Key Performance Metrics” for definitions of our key operational metrics.</w:t>
      </w:r>
    </w:p>
    <w:p>
      <w:pPr>
        <w:spacing w:after="0" w:line="21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our operational metrics are not accurate representations of our business, or if investors do not perceive these metrics to be accurate, or if we discover material inaccuracies with respect to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figures, our reputation could be significantly harmed, the trading price of our Class A common stock could decline and we might be subject to stockholder litigation, which could be costly.</w:t>
      </w:r>
    </w:p>
    <w:p>
      <w:pPr>
        <w:spacing w:after="0" w:line="18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as well as required disclosure controls and procedures, our ability to produce timely and accurate consolidated financial statements or comply with applicable regulations could be impaired.</w:t>
      </w:r>
    </w:p>
    <w:p>
      <w:pPr>
        <w:spacing w:after="0" w:line="166"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The Sarbanes-Oxley Act of 2002 and related rules of the SEC require, among other things, that we maintain effective disclosure controls and procedures and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01"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Our current controls and any new controls that we develop could become inadequate because of changes in conditions in our business. In addition, changes in accounting principles or interpretations could also challenge our internal controls and require that we establish new</w:t>
      </w:r>
    </w:p>
    <w:p>
      <w:pPr>
        <w:jc w:val="both"/>
        <w:spacing w:after="0"/>
        <w:rPr>
          <w:sz w:val="20"/>
          <w:szCs w:val="20"/>
          <w:color w:val="auto"/>
        </w:rPr>
      </w:pPr>
      <w:r>
        <w:rPr>
          <w:rFonts w:ascii="Arial" w:cs="Arial" w:eastAsia="Arial" w:hAnsi="Arial"/>
          <w:sz w:val="17"/>
          <w:szCs w:val="17"/>
          <w:color w:val="auto"/>
        </w:rPr>
        <w:t>business processes, systems and controls to accommodate such changes. We have limited experience with implementing the systems and controls that are necessary to operate as a public company, as well as adopting changes in accounting principles or interpretations mandated</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our internal control over financial reporting. Moreover, our business might be harmed if we experience problems with any new systems and controls that result in delays in their implementation or increased costs to correct any post-implementation issues that might arise. Further, weaknesses in our disclosure controls and internal control over financial reporting could be discovered in the future. Any failure to develop or maintain effective controls or any difficulties encountered in their implementation or improvement could harm our business or cause us to fail to meet our reporting obligations and could result in a restatement of our consolidated financial statements for prior periods.</w:t>
      </w:r>
    </w:p>
    <w:p>
      <w:pPr>
        <w:spacing w:after="0" w:line="210"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are required in our periodic reports filed with the SEC. Ineffective disclosure controls and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procedures or internal control over financial reporting could harm our business, cause investors to lose confidence in the accuracy and completeness of our reported financial and other information, and result in us becoming subject to investigations by the stock exchange on</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which our securities are listed, the SEC or other regulatory authorities, any of which would likely have a negative effect on the trading price of our Class A common stock and have a material and adverse effect on our business, results of operations, financial condition and prospects. In addition, if we are unable to continue to meet these requirements, we might not be able to remain listed on the Nasdaq.</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Class A Common Stock</w:t>
      </w:r>
    </w:p>
    <w:p>
      <w:pPr>
        <w:spacing w:after="0" w:line="24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trading price for our Class A common stock has been and might continue to be volatile, and you could lose all or part of your investment.</w:t>
      </w:r>
    </w:p>
    <w:p>
      <w:pPr>
        <w:spacing w:after="0" w:line="16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The trading price of our Class A common stock has been and might continue to be highly volatile and could continue to be subject to fluctuations in response to one or more of the risk factors described in this report, many of which are beyond our control. For example, on March 10, 2025 (amid a significant downturn in the equity markets driven by recession concerns and macroeconomic uncertainty), the intra-day trading price of our Class A common stock declined by as much as 20%. These fluctuations could cause you to lose all or part of your investment in our Class A common stock since you might be unable to sell your shares at or above the price you paid. Additional factors that could have a significant effect on the trading price of our Class A common stock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660" w:hanging="328"/>
        <w:spacing w:after="0" w:line="252"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announcements by us or our competitors of new offerings or platform features;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the public’s perception of the quality and accuracy of our key metrics on our customer base and engagement;</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the public’s reaction to our media statements, other public announcements and filings with the SEC;</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rumors and market speculation involving us or other companies in our industry;</w:t>
      </w:r>
    </w:p>
    <w:p>
      <w:pPr>
        <w:spacing w:after="0" w:line="238" w:lineRule="exact"/>
        <w:rPr>
          <w:rFonts w:ascii="Arial" w:cs="Arial" w:eastAsia="Arial" w:hAnsi="Arial"/>
          <w:sz w:val="18"/>
          <w:szCs w:val="18"/>
          <w:color w:val="auto"/>
        </w:rPr>
      </w:pPr>
    </w:p>
    <w:p>
      <w:pPr>
        <w:ind w:left="660" w:right="20" w:hanging="328"/>
        <w:spacing w:after="0" w:line="269"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the extent to which retail and other individual investors (as distinguished from institutional investors), including our customers, invest in our Class A common stock, which might result in increased volatility; and</w:t>
      </w:r>
    </w:p>
    <w:p>
      <w:pPr>
        <w:spacing w:after="0" w:line="184" w:lineRule="exact"/>
        <w:rPr>
          <w:rFonts w:ascii="Arial" w:cs="Arial" w:eastAsia="Arial" w:hAnsi="Arial"/>
          <w:sz w:val="18"/>
          <w:szCs w:val="18"/>
          <w:color w:val="auto"/>
        </w:rPr>
      </w:pPr>
    </w:p>
    <w:p>
      <w:pPr>
        <w:ind w:left="660" w:hanging="328"/>
        <w:spacing w:after="0" w:line="269"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media coverage related to certain individuals and entities identified as having owned our stock, and any speculation related to plans to dispose of their holdings.</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in the past, following periods of volatility in the overall market and the trading price of a particular company’s securities, securities class action litigation has often been instituted against these companies. Class action litigation has in the past and could in the future result in substantial costs and a diversion of our management’s attention and resources.</w:t>
      </w:r>
    </w:p>
    <w:p>
      <w:pPr>
        <w:spacing w:after="0" w:line="196"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Further, if the market price of our Class A common stock is above the level that investors determine is reasonable for our Class A common stock, some investors might attempt to short our Class A common stock, which would create additional downward pressure on the trading price of our Class A common stock.</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Substantial future issuances or sales of shares of our Class A common stock in the public market could result in significant dilution to our stockholders and such issuances or sales, or the perception that they may occur, could cause the trading price of our Class A common stock to fall.</w:t>
      </w:r>
    </w:p>
    <w:p>
      <w:pPr>
        <w:spacing w:after="0" w:line="186"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As of March 31, 2026, our founders and their related entities hold approximately 12% of our outstanding common stock (and, as described below, over 50% of the voting power of our outstanding capital stock). If our founders or other significant stockholders sell, or indicate an intent to sell, large amounts of stock in the public market, such sales, or the perception that these sales might occur, could cause the trading price of our Class A common stock to decline substantially.</w:t>
      </w:r>
    </w:p>
    <w:p>
      <w:pPr>
        <w:spacing w:after="0" w:line="187"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Similarly, significant numbers of shares are subject to future issuance including under outstanding warrants held by pre-IPO investors, and under outstanding stock options and RSUs held by employees and other service providers, and significant numbers of additional shares are available for award grant purposes under our 2021 Plan (as defined in Note 11 - Common Stock and Stockholders’ Equity to our unaudited condensed consolidated financial statements in this Quarterly Report) and for issuance under our ESPP. All of these shares will become eligible for sale in the public market upon exercise, vesting, or settlement, as applicable (and to the extent granted in the discretion of our board of directors, in the case of shares available for grant) or may be sold to satisfy applicable tax withholding requirements. These and any future issuances of shares of our capital stock, or of securities convertible into or exercisable for our capital stock could depress the market price of our Class A common stock and result in a significant dilution for stockholders.</w:t>
      </w:r>
    </w:p>
    <w:p>
      <w:pPr>
        <w:spacing w:after="0" w:line="2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authorized more capital stock in recent years to provide additional stock options and RSUs to our employees and to permit for the consummation of equity and equity-linked financings and might continue to do so in the future. Our employee headcount has increased in the past few years, so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amount of dilution due to awards of equity-based compensation to our employees could be substantial. Further, any sales of our Class A common stock (including shares of Class A common stock issuable upon conversion of our Class B common stock, as stock options are exercised, or as RSUs are settled) might make it more difficult for us to sell equity securities in the future at a time and at a price that we deem appropriate. These sales could also cause the trading price of our Class A common stock to fall and make it more difficult for you to sell shares of our Class A common stock.</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There are no guarantees that we will repurchase shares under the Repurchase Program or that the Repurchase Program will result in increased shareholder value.</w:t>
      </w:r>
    </w:p>
    <w:p>
      <w:pPr>
        <w:spacing w:after="0" w:line="16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On March 24, 2026, Robinhood announced that its board of directors approved the Repurchase Program authorizing the Company to repurchase up to $1.5 billion of its outstanding Class A common stock to return value to shareholders. The Repurchase Program replaced the Company’s Prior Repurchase Program and is inclusive of amounts that remained available for repurchase under the Prior Repurchase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Program which were rolled over into the Repurchase Program, and represented more than $1.1 billion of incremental capacity. As of March 31, 2026, Robinhood has made share repurchases of $2 million under the Repurchase Program. While the Repurchase Program does not</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have an expiration date, the Company’s management currently expects to conduct the Repurchase Program over a period of approximately three years, beginning in the first quarter of 2026. The timing and amount of repurchase transactions will be determined by the Company from time to time at its discretion based on its evaluation of market conditions, share price, and other factors, and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the Company to acquire any particular amount of Class A common stock, and the Repurchase Program may be suspended or discontinued at any time at the Company’s discretion. As a result, there is no guarantee with respect to the timing or amount of any future share repurchases, or that we will repurchase the full amount authorized under the Repurchase Program. Other factors, including changes in tax or securities laws, such as the U.S. Inflation Reduction Act of 2022 which imposes a corporate excise tax of 1% on net stock repurchases, could also impact our stock repurchases.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a number of ways in which the Repurchase Program could fail to result in enhanced shareholder value. For example, any</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failure to repurchase stock after we have announced our intention to do so may negatively impact the trading price of our Class A common stock. The existence of the Repurchase Program could also cause our stock price to trade higher than it otherwise would and could</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potentially reduce the market liquidity for our stock. The trading price of our Class A common stock could decline below the levels at which we repurchased shares and short-term stock price fluctuations could reduce the effectiveness of the Repurchase Program. Any announcement of a pause in, or termination of, the Repurchase Program may also result in a decrease in the trading price of our Class A common stock. Furthermore, there is no guarantee that our stock repurchases will be able to successfully mitigate the dilutive effect of the equity awards we grant to our employees.</w:t>
      </w:r>
    </w:p>
    <w:p>
      <w:pPr>
        <w:spacing w:after="0" w:line="207"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Additionally, repurchasing our Class A common stock will reduce the amount of cash, cash equivalents and marketable securities we have available to fund working capital, capital expenditures, capital preserving investments, strategic acquisitions or business opportunities, and other general corporate purposes, and there are no guarantees that the Repurchase Program will result in increased shareholder value. Furthermore, the timing and amount of repurchases, if any, will be subject to liquidity, market and economic conditions, compliance with applicable legal requirements and other relevant factors. If we are unable to, or choose not to, repurchase shares under the Repurchase Program, this may have a negative impact on the perception of the Company as an investment opportunity by shareholders or investment analysts, which may in turn negatively impact the trading price of our Class A common stock.</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multi-class structure of our common stock has the effect of concentrating voting power with our founders, which limits your ability to influence the outcome of matters submitted to our stockholders for approval. In addition, the Founders’ Voting Agreement and any future issuances of our Class C common stock could prolong the duration of our founders’ voting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Our Class A common stock has one vote per share, our Class B common stock has 10 votes per share, and our Class C common stock has no voting rights, except as otherwise required by law. Our founders and Founder Affiliates together hold all of the issued and outstanding shares of our Class B common stock. Accordingly, Mr. Tenev, who is also our CEO, President and Chair of our board of directors, and Mr. Bhatt, who is a director, collectively with their related entities hold over 50% of the voting power of our outstanding capital stock. As a result, our founders have the ability to determine or significantly influence any action requiring the approval of our stockholders, including the election of our board of directors, the adoption of amendments to our Charter and our Bylaws and the approval of any merger, consolidation, sale of all or substantially all of our assets or other major corporate transaction.</w:t>
      </w:r>
    </w:p>
    <w:p>
      <w:pPr>
        <w:spacing w:after="0" w:line="21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In addition, our founders and Founder Affiliates have entered into the Founders’ Voting Agreement in which they have agreed, among other things, (i) to vote all of the shares of our common stock held by such founder or Founder Affiliate for the election of each founder to, and against the removal of each founder from, our board of directors, (ii) to vote together in the election of other directors generally, subject to deferring to the decision of the nominating and corporate governance committee in the event of any disagreement between the founders,</w:t>
      </w:r>
    </w:p>
    <w:p>
      <w:pPr>
        <w:jc w:val="both"/>
        <w:ind w:firstLine="8"/>
        <w:spacing w:after="0" w:line="239" w:lineRule="auto"/>
        <w:tabs>
          <w:tab w:leader="none" w:pos="291"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effective upon a founder’s death or disability, to grant a voting proxy to the other founder with respect to shares of our common stock held by the deceased or disabled founder or over which he was entitled to vote (or direct the voting) immediately prior to his death or disability, and (iv) to grant each other rights of first offer in the event of proposed transfers that would otherwise cause Class B shares to convert into Class A shares under our Charter. The Founders’ Voting Agreement has the effect of concentrating voting power in our founders (or either one of them).</w:t>
      </w:r>
    </w:p>
    <w:p>
      <w:pPr>
        <w:spacing w:after="0" w:line="2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Further pursuant to the equity exchange right agreements entered into between us and each of our founders in connection with our IPO, each of our founders has Equity Exchange Rights. Any exercise by our founders of these Equity Exchange Rights will dilute the voting power of holders of our Class A common stock.</w:t>
      </w:r>
    </w:p>
    <w:p>
      <w:pPr>
        <w:spacing w:after="0" w:line="19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Our founders might have interests that differ from yours and might vote in a way with which you disagree and which may be adverse to your interests. Therefore, the founders’ concentrated voting control might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Further, the separation between voting power and</w:t>
      </w:r>
    </w:p>
    <w:p>
      <w:pPr>
        <w:jc w:val="both"/>
        <w:spacing w:after="0" w:line="226" w:lineRule="auto"/>
        <w:rPr>
          <w:sz w:val="20"/>
          <w:szCs w:val="20"/>
          <w:color w:val="auto"/>
        </w:rPr>
      </w:pPr>
      <w:r>
        <w:rPr>
          <w:rFonts w:ascii="Arial" w:cs="Arial" w:eastAsia="Arial" w:hAnsi="Arial"/>
          <w:sz w:val="18"/>
          <w:szCs w:val="18"/>
          <w:color w:val="auto"/>
        </w:rPr>
        <w:t>economic interests could cause conflicts of interest between our founders and our other stockholders, which might result in our founders undertaking, or causing us to undertake, actions that would be desirable for our founders but would not be desirable for our other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stockholders.</w:t>
      </w:r>
    </w:p>
    <w:p>
      <w:pPr>
        <w:spacing w:after="0" w:line="2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no current plans to issue shares of our Class C common stock. Because the shares of our Class C common stock have no voting rights, except as required by law, if we issue Class C common stock in the future, the voting control of our founders could be maintained for a longer period of time than would be the case if we issued Class A common stock rather than Class C common stock.</w:t>
      </w:r>
    </w:p>
    <w:p>
      <w:pPr>
        <w:spacing w:after="0" w:line="19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Certain provisions in our Charter and our Bylaws and of Delaware law as well as certain FINRA rules might prevent or delay an acquisition of Robinhood, which could decrease the trading price of our Class A common stock.</w:t>
      </w:r>
    </w:p>
    <w:p>
      <w:pPr>
        <w:spacing w:after="0" w:line="16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Our Charter and our Bylaws contain, and Delaware law contains, provisions that might have the effect of deterring takeovers by making such takeovers more expensive to the bidder and by encouraging prospective acquirers to negotiate with our board of directors rather than to attempt a hostile takeover, such as a classified board, limitations on the ability of stockholders to take action by written consent, and the ability of our board of directors to designate the terms of preferred stock and authorize its issuance without stockholder approval. We believe these provisions will protect our stockholders from coercive or otherwise unfair takeover tactics by requiring potential acquirers to negotiate</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with our board of directors and by providing our board of directors with more time to assess any acquisition proposal. These provisions are not intended to make Robinhood immune from takeovers. However, these provisions will apply even if the offer might be considered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beneficial by some stockholders and could delay or prevent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acquisition that our board of directors determines is not in the best interests of Robinhood and our stockholders. Accordingly, if our board of directors determines that a potential acquisition is not in the best interests of Robinhood and our stockholders, but certain stockholders believe that such a transaction would be beneficial to Robinhood and our stockholders, such stockholders might elect to sell their shares in Robinhood, and the trading price of our Class A common stock could decrease. These and other provisions of our Charter, our Bylaws and the Delaware General Corporation Law could have the effect of delaying or deterring a change in control, which might limit the opportunity for our stockholders to receive a premium for their shares of our Class A common stock and might also affect the price that some investors are willing to pay for our Class A common stock.</w:t>
      </w:r>
    </w:p>
    <w:p>
      <w:pPr>
        <w:spacing w:after="0" w:line="212"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In addition, a third party attempting to acquire us or a substantial position in our Class A common stock might be delayed or ultimately prevented from doing so by change in ownership or control regulations to which certain of our regulated subsidiaries are subject. For example, FINRA Rule 1017 generally provides that FINRA approval must be obtained in connection with any transaction resulting in a single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person or entity owning, directly or indirectly, 25% or more of a FINRA member firm’s equity and would include a change in control of a parent company and similar approval from the FCA, which regulates our U.K. authorized broker-dealer subsidiary, must be obtained in</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connection with any transaction resulting in a person or entity holding, directly or indirectly, 10% or more of the equity or voting power of a U.K. authorized person or the parent of a U.K. authorized person. These and any other applicable regulations relating to changes in control of us or our regulated subsidiaries could further have the effect of delaying or deterring a change in control of us.</w:t>
      </w:r>
    </w:p>
    <w:p>
      <w:pPr>
        <w:spacing w:after="0" w:line="2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exclusive forum provisions of our Charter could limit our stockholders’ ability to choose the judicial forum for some types of lawsuits against us or our directors, officers, or employees.</w:t>
      </w:r>
    </w:p>
    <w:p>
      <w:pPr>
        <w:spacing w:after="0" w:line="16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Our Charter provides that, unless we consent in writing to the selection of an alternative forum, to the fullest extent permitted by law, the sole and exclusive forum for a number of types of actions or proceedings shall be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Our Charter also provides that the federal district courts of the U.S. will be the exclusive forum for resolving any complaint asserting a cause of action under the Securities Act. Nothing in our Charter precludes stockholders that assert claims under the Exchange Act from bringing such claims in any court, subject to applicable law.</w:t>
      </w:r>
    </w:p>
    <w:p>
      <w:pPr>
        <w:spacing w:after="0" w:line="198"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these provisions. These exclusive forum provisions might limit a stockholder’s ability to bring a claim in a judicial forum of its choosing for disputes with us or our directors, officers, or other employees, which might discourage lawsuits against us and our directors, officers, and other employees. The enforceability of similar choice of forum provisions in other companies’ charter documents has been challenged in legal proceedings, and it is possible that a court could find these types of provisions to be inapplicable or unenforceable. If a court were to find the exclusive forum provisions in our Charter to be inapplicable or unenforceable in an action, we might incur additional costs associated with resolving the dispute in other jurisdictions, which could adversely affect our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color w:val="auto"/>
        </w:rPr>
        <w:t>ITEM 2. UNREGISTERED SALES OF EQUITY SECURITIES AND USE OF PROCEEDS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Unregistered Securities</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From January 1, 2026 through March 31, 2026, the Company did not sell any shares of Class A common stock (or other equity securities of RHM) that were not registered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repurchases of shares of our Class A common stock during the three months ended March 31, 2026:</w:t>
      </w:r>
    </w:p>
    <w:p>
      <w:pPr>
        <w:sectPr>
          <w:pgSz w:w="11900" w:h="16838" w:orient="portrait"/>
          <w:cols w:equalWidth="0" w:num="1">
            <w:col w:w="11240"/>
          </w:cols>
          <w:pgMar w:left="320" w:top="121" w:right="339" w:bottom="1440" w:gutter="0" w:footer="0" w:header="0"/>
        </w:sect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240" w:type="dxa"/>
            <w:vAlign w:val="bottom"/>
          </w:tcPr>
          <w:p>
            <w:pPr>
              <w:jc w:val="center"/>
              <w:ind w:left="1688"/>
              <w:spacing w:after="0"/>
              <w:rPr>
                <w:sz w:val="20"/>
                <w:szCs w:val="20"/>
                <w:color w:val="auto"/>
              </w:rPr>
            </w:pPr>
            <w:r>
              <w:rPr>
                <w:rFonts w:ascii="Arial" w:cs="Arial" w:eastAsia="Arial" w:hAnsi="Arial"/>
                <w:sz w:val="14"/>
                <w:szCs w:val="14"/>
                <w:b w:val="1"/>
                <w:bCs w:val="1"/>
                <w:color w:val="auto"/>
              </w:rPr>
              <w:t>Total Number of</w:t>
            </w:r>
          </w:p>
        </w:tc>
        <w:tc>
          <w:tcPr>
            <w:tcW w:w="1400" w:type="dxa"/>
            <w:vAlign w:val="bottom"/>
          </w:tcPr>
          <w:p>
            <w:pPr>
              <w:jc w:val="center"/>
              <w:ind w:left="28"/>
              <w:spacing w:after="0"/>
              <w:rPr>
                <w:sz w:val="20"/>
                <w:szCs w:val="20"/>
                <w:color w:val="auto"/>
              </w:rPr>
            </w:pPr>
            <w:r>
              <w:rPr>
                <w:rFonts w:ascii="Arial" w:cs="Arial" w:eastAsia="Arial" w:hAnsi="Arial"/>
                <w:sz w:val="14"/>
                <w:szCs w:val="14"/>
                <w:b w:val="1"/>
                <w:bCs w:val="1"/>
                <w:color w:val="auto"/>
              </w:rPr>
              <w:t>Average Price Paid</w:t>
            </w:r>
          </w:p>
        </w:tc>
        <w:tc>
          <w:tcPr>
            <w:tcW w:w="0" w:type="dxa"/>
            <w:vAlign w:val="bottom"/>
          </w:tcPr>
          <w:p>
            <w:pPr>
              <w:spacing w:after="0"/>
              <w:rPr>
                <w:sz w:val="1"/>
                <w:szCs w:val="1"/>
                <w:color w:val="auto"/>
              </w:rPr>
            </w:pPr>
          </w:p>
        </w:tc>
      </w:tr>
      <w:tr>
        <w:trPr>
          <w:trHeight w:val="254"/>
        </w:trPr>
        <w:tc>
          <w:tcPr>
            <w:tcW w:w="2340" w:type="dxa"/>
            <w:vAlign w:val="bottom"/>
            <w:vMerge w:val="continue"/>
          </w:tcPr>
          <w:p>
            <w:pPr>
              <w:spacing w:after="0"/>
              <w:rPr>
                <w:sz w:val="22"/>
                <w:szCs w:val="22"/>
                <w:color w:val="auto"/>
              </w:rPr>
            </w:pPr>
          </w:p>
        </w:tc>
        <w:tc>
          <w:tcPr>
            <w:tcW w:w="3240" w:type="dxa"/>
            <w:vAlign w:val="bottom"/>
          </w:tcPr>
          <w:p>
            <w:pPr>
              <w:jc w:val="center"/>
              <w:ind w:left="1688"/>
              <w:spacing w:after="0"/>
              <w:rPr>
                <w:sz w:val="20"/>
                <w:szCs w:val="20"/>
                <w:color w:val="auto"/>
              </w:rPr>
            </w:pPr>
            <w:r>
              <w:rPr>
                <w:rFonts w:ascii="Arial" w:cs="Arial" w:eastAsia="Arial" w:hAnsi="Arial"/>
                <w:sz w:val="14"/>
                <w:szCs w:val="14"/>
                <w:b w:val="1"/>
                <w:bCs w:val="1"/>
                <w:color w:val="auto"/>
              </w:rPr>
              <w:t>Shares Purchased</w:t>
            </w:r>
          </w:p>
        </w:tc>
        <w:tc>
          <w:tcPr>
            <w:tcW w:w="1400" w:type="dxa"/>
            <w:vAlign w:val="bottom"/>
          </w:tcPr>
          <w:p>
            <w:pPr>
              <w:jc w:val="center"/>
              <w:ind w:left="28"/>
              <w:spacing w:after="0"/>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8"/>
                <w:szCs w:val="18"/>
                <w:b w:val="1"/>
                <w:bCs w:val="1"/>
                <w:color w:val="auto"/>
                <w:w w:val="98"/>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jc w:val="center"/>
              <w:ind w:right="48"/>
              <w:spacing w:after="0"/>
              <w:rPr>
                <w:sz w:val="20"/>
                <w:szCs w:val="20"/>
                <w:color w:val="auto"/>
              </w:rPr>
            </w:pPr>
            <w:r>
              <w:rPr>
                <w:rFonts w:ascii="Arial" w:cs="Arial" w:eastAsia="Arial" w:hAnsi="Arial"/>
                <w:sz w:val="14"/>
                <w:szCs w:val="14"/>
                <w:b w:val="1"/>
                <w:bCs w:val="1"/>
                <w:color w:val="auto"/>
              </w:rPr>
              <w:t>Total Number of Shares</w:t>
            </w:r>
          </w:p>
        </w:tc>
        <w:tc>
          <w:tcPr>
            <w:tcW w:w="1880" w:type="dxa"/>
            <w:vAlign w:val="bottom"/>
          </w:tcPr>
          <w:p>
            <w:pPr>
              <w:jc w:val="center"/>
              <w:ind w:left="28"/>
              <w:spacing w:after="0"/>
              <w:rPr>
                <w:sz w:val="20"/>
                <w:szCs w:val="20"/>
                <w:color w:val="auto"/>
              </w:rPr>
            </w:pPr>
            <w:r>
              <w:rPr>
                <w:rFonts w:ascii="Arial" w:cs="Arial" w:eastAsia="Arial" w:hAnsi="Arial"/>
                <w:sz w:val="14"/>
                <w:szCs w:val="14"/>
                <w:b w:val="1"/>
                <w:bCs w:val="1"/>
                <w:color w:val="auto"/>
              </w:rPr>
              <w:t>Approximate Dollar Value</w:t>
            </w:r>
          </w:p>
        </w:tc>
      </w:tr>
      <w:tr>
        <w:trPr>
          <w:trHeight w:val="148"/>
        </w:trPr>
        <w:tc>
          <w:tcPr>
            <w:tcW w:w="17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Purchased as Part of</w:t>
            </w:r>
          </w:p>
        </w:tc>
        <w:tc>
          <w:tcPr>
            <w:tcW w:w="18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rPr>
              <w:t>of Shares that May Yet Be</w:t>
            </w:r>
          </w:p>
        </w:tc>
      </w:tr>
      <w:tr>
        <w:trPr>
          <w:trHeight w:val="144"/>
        </w:trPr>
        <w:tc>
          <w:tcPr>
            <w:tcW w:w="174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Publicly Announced</w:t>
            </w:r>
          </w:p>
        </w:tc>
        <w:tc>
          <w:tcPr>
            <w:tcW w:w="1880" w:type="dxa"/>
            <w:vAlign w:val="bottom"/>
          </w:tcPr>
          <w:p>
            <w:pPr>
              <w:jc w:val="center"/>
              <w:ind w:left="48"/>
              <w:spacing w:after="0" w:line="145" w:lineRule="exact"/>
              <w:rPr>
                <w:sz w:val="20"/>
                <w:szCs w:val="20"/>
                <w:color w:val="auto"/>
              </w:rPr>
            </w:pPr>
            <w:r>
              <w:rPr>
                <w:rFonts w:ascii="Arial" w:cs="Arial" w:eastAsia="Arial" w:hAnsi="Arial"/>
                <w:sz w:val="14"/>
                <w:szCs w:val="14"/>
                <w:b w:val="1"/>
                <w:bCs w:val="1"/>
                <w:color w:val="auto"/>
              </w:rPr>
              <w:t>Purchased Under the</w:t>
            </w:r>
          </w:p>
        </w:tc>
      </w:tr>
      <w:tr>
        <w:trPr>
          <w:trHeight w:val="195"/>
        </w:trPr>
        <w:tc>
          <w:tcPr>
            <w:tcW w:w="1740" w:type="dxa"/>
            <w:vAlign w:val="bottom"/>
          </w:tcPr>
          <w:p>
            <w:pPr>
              <w:jc w:val="center"/>
              <w:ind w:right="28"/>
              <w:spacing w:after="0"/>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9"/>
                <w:szCs w:val="9"/>
                <w:b w:val="1"/>
                <w:bCs w:val="1"/>
                <w:color w:val="auto"/>
              </w:rPr>
              <w:t>(2)</w:t>
            </w:r>
          </w:p>
        </w:tc>
        <w:tc>
          <w:tcPr>
            <w:tcW w:w="1880" w:type="dxa"/>
            <w:vAlign w:val="bottom"/>
          </w:tcPr>
          <w:p>
            <w:pPr>
              <w:jc w:val="center"/>
              <w:ind w:left="28"/>
              <w:spacing w:after="0"/>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9"/>
                <w:szCs w:val="9"/>
                <w:b w:val="1"/>
                <w:bCs w:val="1"/>
                <w:color w:val="auto"/>
              </w:rPr>
              <w:t>(2)</w:t>
            </w:r>
          </w:p>
        </w:tc>
      </w:tr>
      <w:tr>
        <w:trPr>
          <w:trHeight w:val="188"/>
        </w:trPr>
        <w:tc>
          <w:tcPr>
            <w:tcW w:w="1740" w:type="dxa"/>
            <w:vAlign w:val="bottom"/>
          </w:tcPr>
          <w:p>
            <w:pPr>
              <w:spacing w:after="0"/>
              <w:rPr>
                <w:sz w:val="16"/>
                <w:szCs w:val="16"/>
                <w:color w:val="auto"/>
              </w:rPr>
            </w:pPr>
          </w:p>
        </w:tc>
        <w:tc>
          <w:tcPr>
            <w:tcW w:w="1880" w:type="dxa"/>
            <w:vAlign w:val="bottom"/>
          </w:tcPr>
          <w:p>
            <w:pPr>
              <w:jc w:val="center"/>
              <w:ind w:left="48"/>
              <w:spacing w:after="0"/>
              <w:rPr>
                <w:sz w:val="20"/>
                <w:szCs w:val="20"/>
                <w:color w:val="auto"/>
              </w:rPr>
            </w:pPr>
            <w:r>
              <w:rPr>
                <w:rFonts w:ascii="Arial" w:cs="Arial" w:eastAsia="Arial" w:hAnsi="Arial"/>
                <w:sz w:val="14"/>
                <w:szCs w:val="14"/>
                <w:i w:val="1"/>
                <w:iCs w:val="1"/>
                <w:color w:val="auto"/>
              </w:rPr>
              <w:t>(in millions)</w:t>
            </w:r>
          </w:p>
        </w:tc>
      </w:tr>
    </w:tbl>
    <w:p>
      <w:pPr>
        <w:spacing w:after="0" w:line="20" w:lineRule="exact"/>
        <w:rPr>
          <w:sz w:val="20"/>
          <w:szCs w:val="20"/>
          <w:color w:val="auto"/>
        </w:rPr>
      </w:pPr>
    </w:p>
    <w:p>
      <w:pPr>
        <w:sectPr>
          <w:pgSz w:w="11900" w:h="16838" w:orient="portrait"/>
          <w:cols w:equalWidth="0" w:num="2">
            <w:col w:w="7000" w:space="220"/>
            <w:col w:w="40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2026 - January 31, 2026</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286,555</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105.17</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286,555</w:t>
            </w:r>
          </w:p>
        </w:tc>
        <w:tc>
          <w:tcPr>
            <w:tcW w:w="8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380" w:type="dxa"/>
            <w:vAlign w:val="bottom"/>
            <w:shd w:val="clear" w:color="auto" w:fill="CCEEFF"/>
          </w:tcPr>
          <w:p>
            <w:pPr>
              <w:spacing w:after="0"/>
              <w:rPr>
                <w:sz w:val="18"/>
                <w:szCs w:val="18"/>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February 1, 2026 - February 28, 2026</w:t>
            </w:r>
          </w:p>
        </w:tc>
        <w:tc>
          <w:tcPr>
            <w:tcW w:w="1400" w:type="dxa"/>
            <w:vAlign w:val="bottom"/>
          </w:tcPr>
          <w:p>
            <w:pPr>
              <w:jc w:val="right"/>
              <w:spacing w:after="0"/>
              <w:rPr>
                <w:sz w:val="20"/>
                <w:szCs w:val="20"/>
                <w:color w:val="auto"/>
              </w:rPr>
            </w:pPr>
            <w:r>
              <w:rPr>
                <w:rFonts w:ascii="Arial" w:cs="Arial" w:eastAsia="Arial" w:hAnsi="Arial"/>
                <w:sz w:val="18"/>
                <w:szCs w:val="18"/>
                <w:color w:val="auto"/>
              </w:rPr>
              <w:t>2,485,372</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78.81</w:t>
            </w:r>
          </w:p>
        </w:tc>
        <w:tc>
          <w:tcPr>
            <w:tcW w:w="1800" w:type="dxa"/>
            <w:vAlign w:val="bottom"/>
          </w:tcPr>
          <w:p>
            <w:pPr>
              <w:jc w:val="right"/>
              <w:spacing w:after="0"/>
              <w:rPr>
                <w:sz w:val="20"/>
                <w:szCs w:val="20"/>
                <w:color w:val="auto"/>
              </w:rPr>
            </w:pPr>
            <w:r>
              <w:rPr>
                <w:rFonts w:ascii="Arial" w:cs="Arial" w:eastAsia="Arial" w:hAnsi="Arial"/>
                <w:sz w:val="18"/>
                <w:szCs w:val="18"/>
                <w:color w:val="auto"/>
              </w:rPr>
              <w:t>2,485,372</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365</w:t>
            </w:r>
          </w:p>
        </w:tc>
        <w:tc>
          <w:tcPr>
            <w:tcW w:w="380" w:type="dxa"/>
            <w:vAlign w:val="bottom"/>
          </w:tcPr>
          <w:p>
            <w:pPr>
              <w:spacing w:after="0"/>
              <w:rPr>
                <w:sz w:val="19"/>
                <w:szCs w:val="19"/>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2026 - March 31, 2026</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315,611</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76.12</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315,611</w:t>
            </w:r>
          </w:p>
        </w:tc>
        <w:tc>
          <w:tcPr>
            <w:tcW w:w="8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38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(2)</w:t>
            </w:r>
          </w:p>
        </w:tc>
      </w:tr>
      <w:tr>
        <w:trPr>
          <w:trHeight w:val="232"/>
        </w:trPr>
        <w:tc>
          <w:tcPr>
            <w:tcW w:w="4160" w:type="dxa"/>
            <w:vAlign w:val="bottom"/>
          </w:tcPr>
          <w:p>
            <w:pPr>
              <w:ind w:left="260"/>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color w:val="auto"/>
              </w:rPr>
              <w:t>3,087,538</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80.98</w:t>
            </w:r>
          </w:p>
        </w:tc>
        <w:tc>
          <w:tcPr>
            <w:tcW w:w="1800" w:type="dxa"/>
            <w:vAlign w:val="bottom"/>
          </w:tcPr>
          <w:p>
            <w:pPr>
              <w:jc w:val="right"/>
              <w:spacing w:after="0"/>
              <w:rPr>
                <w:sz w:val="20"/>
                <w:szCs w:val="20"/>
                <w:color w:val="auto"/>
              </w:rPr>
            </w:pPr>
            <w:r>
              <w:rPr>
                <w:rFonts w:ascii="Arial" w:cs="Arial" w:eastAsia="Arial" w:hAnsi="Arial"/>
                <w:sz w:val="18"/>
                <w:szCs w:val="18"/>
                <w:color w:val="auto"/>
              </w:rPr>
              <w:t>3,087,538</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1,498</w:t>
            </w:r>
          </w:p>
        </w:tc>
        <w:tc>
          <w:tcPr>
            <w:tcW w:w="380" w:type="dxa"/>
            <w:vAlign w:val="bottom"/>
          </w:tcPr>
          <w:p>
            <w:pPr>
              <w:spacing w:after="0"/>
              <w:rPr>
                <w:sz w:val="20"/>
                <w:szCs w:val="20"/>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160" w:hanging="152"/>
        <w:spacing w:after="0" w:line="236" w:lineRule="auto"/>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The average cost per share excludes the 1% excise tax on net share repurchase and commissions.</w:t>
      </w:r>
    </w:p>
    <w:p>
      <w:pPr>
        <w:jc w:val="both"/>
        <w:ind w:left="180" w:hanging="172"/>
        <w:spacing w:after="0" w:line="282" w:lineRule="auto"/>
        <w:tabs>
          <w:tab w:leader="none" w:pos="158"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On March 24, 2026, we announced that the board of directors approved the Repurchase Program authorizing the Company to repurchase up to $1.5 billion of its outstanding Class A common stock. The Repurchase Program replaces the Company’s Prior Repurchase Program and is inclusive of amounts that remained available for repurchase under the Prior Repurchase Program which were rolled over into the Repurchase Program, and represents more than $1.1 billion of incremental capacity. While the Repurchase Program does not have an expiration date, management currently expects to conduct the Repurchase Program over a period of approximately three years, beginning in the first quarter of 2026. The timing and amount of repurchase transactions will be determined by us from time to time at its discretion based on its evaluation of market conditions, share price, and other factors, and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us to acquire any particular amount of Class A common stock, and the Repurchase Program may be suspended or discontinued at any time at our discretion.Refer to Note 11 - Common Stock and Stockholders’ Equity of our unaudited condensed consolidated financial statements in this Quarterly Report for more information about the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5"/>
          <w:szCs w:val="25"/>
          <w:color w:val="auto"/>
        </w:rPr>
        <w:t>ITEM 3. DEFAULTS UPON SENIOR SECURITIES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color w:val="auto"/>
        </w:rPr>
        <w:t>ITEM 4. MINE SAFETY DISCLOSURES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color w:val="auto"/>
        </w:rPr>
        <w:t>ITEM 5. OTHER INFORMATION</w:t>
      </w:r>
    </w:p>
    <w:p>
      <w:pPr>
        <w:spacing w:after="0" w:line="2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March 12, 2026, Jeffrey Pinner, our Chief Technology Officer, adopted a “Rule 10b5-1 trading arrangement” (as defined in Item 408(a) of Regulation S-K) intended to satisfy the affirmative defense of Rule 10b5-1(c) under the Exchange Act pursuant to which he may sell shares of our Class A common stock resulting from the settlement of up to 214,461 unvested RSUs (less any shares withheld for applicable taxes), on or prior to July 1, 2027. RSUs convert into Class A common stock on a one-for-one basis upon vesting and settlement.</w:t>
      </w:r>
    </w:p>
    <w:p>
      <w:pPr>
        <w:spacing w:after="0" w:line="13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certain of our officers may, from time to time, make elections to participate in our ESPP and to have shares withheld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ITEM 6. EXHIBIT INDEX</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documents listed below are filed (or furnished, as noted) as exhibits to this Quarterly Report on Form 10-Q:</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Incorporated by Reference</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180" w:type="dxa"/>
            <w:vAlign w:val="bottom"/>
            <w:gridSpan w:val="2"/>
          </w:tcPr>
          <w:p>
            <w:pPr>
              <w:ind w:left="300"/>
              <w:spacing w:after="0" w:line="135"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900" w:type="dxa"/>
            <w:vAlign w:val="bottom"/>
            <w:gridSpan w:val="16"/>
            <w:vMerge w:val="restart"/>
          </w:tcPr>
          <w:p>
            <w:pPr>
              <w:ind w:left="680"/>
              <w:spacing w:after="0"/>
              <w:rPr>
                <w:sz w:val="20"/>
                <w:szCs w:val="20"/>
                <w:color w:val="auto"/>
              </w:rPr>
            </w:pPr>
            <w:r>
              <w:rPr>
                <w:rFonts w:ascii="Arial" w:cs="Arial" w:eastAsia="Arial" w:hAnsi="Arial"/>
                <w:sz w:val="14"/>
                <w:szCs w:val="14"/>
                <w:b w:val="1"/>
                <w:bCs w:val="1"/>
                <w:color w:val="auto"/>
              </w:rPr>
              <w:t>Description</w:t>
            </w:r>
          </w:p>
        </w:tc>
        <w:tc>
          <w:tcPr>
            <w:tcW w:w="68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Filing Date</w:t>
            </w: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85"/>
        </w:trPr>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00" w:type="dxa"/>
            <w:vAlign w:val="bottom"/>
            <w:gridSpan w:val="16"/>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8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400" w:type="dxa"/>
            <w:vAlign w:val="bottom"/>
            <w:tcBorders>
              <w:top w:val="single" w:sz="8" w:color="auto"/>
            </w:tcBorders>
            <w:gridSpan w:val="20"/>
            <w:shd w:val="clear" w:color="auto" w:fill="CCEEFF"/>
          </w:tcPr>
          <w:p>
            <w:pPr>
              <w:spacing w:after="0" w:line="182" w:lineRule="exact"/>
              <w:rPr>
                <w:rFonts w:ascii="Arial" w:cs="Arial" w:eastAsia="Arial" w:hAnsi="Arial"/>
                <w:sz w:val="18"/>
                <w:szCs w:val="18"/>
                <w:color w:val="0000FF"/>
              </w:rPr>
            </w:pPr>
            <w:hyperlink r:id="rId163">
              <w:r>
                <w:rPr>
                  <w:rFonts w:ascii="Arial" w:cs="Arial" w:eastAsia="Arial" w:hAnsi="Arial"/>
                  <w:sz w:val="18"/>
                  <w:szCs w:val="18"/>
                  <w:color w:val="0000FF"/>
                </w:rPr>
                <w:t>Amended and Restated Certificate of Incorporation of Robinhood</w:t>
              </w:r>
            </w:hyperlink>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center"/>
              <w:ind w:left="33"/>
              <w:spacing w:after="0" w:line="182" w:lineRule="exact"/>
              <w:rPr>
                <w:sz w:val="20"/>
                <w:szCs w:val="20"/>
                <w:color w:val="auto"/>
              </w:rPr>
            </w:pPr>
            <w:r>
              <w:rPr>
                <w:rFonts w:ascii="Arial" w:cs="Arial" w:eastAsia="Arial" w:hAnsi="Arial"/>
                <w:sz w:val="18"/>
                <w:szCs w:val="18"/>
                <w:color w:val="auto"/>
                <w:w w:val="99"/>
              </w:rPr>
              <w:t>8-K</w:t>
            </w: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2021-08-02</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5"/>
              </w:rPr>
              <w:t>3.1</w:t>
            </w:r>
          </w:p>
        </w:tc>
        <w:tc>
          <w:tcPr>
            <w:tcW w:w="1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0" w:type="dxa"/>
            <w:vAlign w:val="bottom"/>
            <w:tcBorders>
              <w:top w:val="single" w:sz="8" w:color="0000FF"/>
            </w:tcBorders>
            <w:gridSpan w:val="14"/>
            <w:shd w:val="clear" w:color="auto" w:fill="CCEEFF"/>
          </w:tcPr>
          <w:p>
            <w:pPr>
              <w:spacing w:after="0" w:line="169" w:lineRule="exact"/>
              <w:rPr>
                <w:rFonts w:ascii="Arial" w:cs="Arial" w:eastAsia="Arial" w:hAnsi="Arial"/>
                <w:sz w:val="18"/>
                <w:szCs w:val="18"/>
                <w:color w:val="0000FF"/>
              </w:rPr>
            </w:pPr>
            <w:hyperlink r:id="rId163">
              <w:r>
                <w:rPr>
                  <w:rFonts w:ascii="Arial" w:cs="Arial" w:eastAsia="Arial" w:hAnsi="Arial"/>
                  <w:sz w:val="18"/>
                  <w:szCs w:val="18"/>
                  <w:color w:val="0000FF"/>
                </w:rPr>
                <w:t>Markets, Inc., dated August 2, 2021</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2"/>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gridSpan w:val="21"/>
          </w:tcPr>
          <w:p>
            <w:pPr>
              <w:spacing w:after="0" w:line="189" w:lineRule="exact"/>
              <w:rPr>
                <w:rFonts w:ascii="Arial" w:cs="Arial" w:eastAsia="Arial" w:hAnsi="Arial"/>
                <w:sz w:val="18"/>
                <w:szCs w:val="18"/>
                <w:color w:val="0000FF"/>
              </w:rPr>
            </w:pPr>
            <w:hyperlink r:id="rId164">
              <w:r>
                <w:rPr>
                  <w:rFonts w:ascii="Arial" w:cs="Arial" w:eastAsia="Arial" w:hAnsi="Arial"/>
                  <w:sz w:val="18"/>
                  <w:szCs w:val="18"/>
                  <w:color w:val="0000FF"/>
                </w:rPr>
                <w:t>Amended and Restated Bylaws of Robinhood Markets, Inc., dated</w:t>
              </w:r>
            </w:hyperlink>
          </w:p>
        </w:tc>
        <w:tc>
          <w:tcPr>
            <w:tcW w:w="680" w:type="dxa"/>
            <w:vAlign w:val="bottom"/>
          </w:tcPr>
          <w:p>
            <w:pPr>
              <w:jc w:val="center"/>
              <w:ind w:left="33"/>
              <w:spacing w:after="0" w:line="189" w:lineRule="exact"/>
              <w:rPr>
                <w:sz w:val="20"/>
                <w:szCs w:val="20"/>
                <w:color w:val="auto"/>
              </w:rPr>
            </w:pPr>
            <w:r>
              <w:rPr>
                <w:rFonts w:ascii="Arial" w:cs="Arial" w:eastAsia="Arial" w:hAnsi="Arial"/>
                <w:sz w:val="18"/>
                <w:szCs w:val="18"/>
                <w:color w:val="auto"/>
                <w:w w:val="99"/>
              </w:rPr>
              <w:t>8-K</w:t>
            </w:r>
          </w:p>
        </w:tc>
        <w:tc>
          <w:tcPr>
            <w:tcW w:w="1460" w:type="dxa"/>
            <w:vAlign w:val="bottom"/>
            <w:gridSpan w:val="3"/>
          </w:tcPr>
          <w:p>
            <w:pPr>
              <w:jc w:val="center"/>
              <w:ind w:left="133"/>
              <w:spacing w:after="0" w:line="189" w:lineRule="exact"/>
              <w:rPr>
                <w:sz w:val="20"/>
                <w:szCs w:val="20"/>
                <w:color w:val="auto"/>
              </w:rPr>
            </w:pPr>
            <w:r>
              <w:rPr>
                <w:rFonts w:ascii="Arial" w:cs="Arial" w:eastAsia="Arial" w:hAnsi="Arial"/>
                <w:sz w:val="18"/>
                <w:szCs w:val="18"/>
                <w:color w:val="auto"/>
                <w:w w:val="99"/>
              </w:rPr>
              <w:t>2022-12-16</w:t>
            </w:r>
          </w:p>
        </w:tc>
        <w:tc>
          <w:tcPr>
            <w:tcW w:w="120" w:type="dxa"/>
            <w:vAlign w:val="bottom"/>
          </w:tcPr>
          <w:p>
            <w:pPr>
              <w:spacing w:after="0"/>
              <w:rPr>
                <w:sz w:val="16"/>
                <w:szCs w:val="16"/>
                <w:color w:val="auto"/>
              </w:rPr>
            </w:pPr>
          </w:p>
        </w:tc>
        <w:tc>
          <w:tcPr>
            <w:tcW w:w="960" w:type="dxa"/>
            <w:vAlign w:val="bottom"/>
          </w:tcPr>
          <w:p>
            <w:pPr>
              <w:jc w:val="center"/>
              <w:spacing w:after="0" w:line="189" w:lineRule="exact"/>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6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64">
              <w:r>
                <w:rPr>
                  <w:rFonts w:ascii="Arial" w:cs="Arial" w:eastAsia="Arial" w:hAnsi="Arial"/>
                  <w:sz w:val="18"/>
                  <w:szCs w:val="18"/>
                  <w:color w:val="0000FF"/>
                </w:rPr>
                <w:t>December 14, 2022</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520" w:type="dxa"/>
            <w:vAlign w:val="bottom"/>
            <w:gridSpan w:val="21"/>
            <w:shd w:val="clear" w:color="auto" w:fill="CCEEFF"/>
          </w:tcPr>
          <w:p>
            <w:pPr>
              <w:spacing w:after="0" w:line="189" w:lineRule="exact"/>
              <w:rPr>
                <w:rFonts w:ascii="Arial" w:cs="Arial" w:eastAsia="Arial" w:hAnsi="Arial"/>
                <w:sz w:val="18"/>
                <w:szCs w:val="18"/>
                <w:color w:val="0000FF"/>
              </w:rPr>
            </w:pPr>
            <w:hyperlink r:id="rId165">
              <w:r>
                <w:rPr>
                  <w:rFonts w:ascii="Arial" w:cs="Arial" w:eastAsia="Arial" w:hAnsi="Arial"/>
                  <w:sz w:val="18"/>
                  <w:szCs w:val="18"/>
                  <w:color w:val="0000FF"/>
                </w:rPr>
                <w:t>Form of Class A Common Stock Certificate of Robinhood Markets,</w:t>
              </w:r>
            </w:hyperlink>
          </w:p>
        </w:tc>
        <w:tc>
          <w:tcPr>
            <w:tcW w:w="680" w:type="dxa"/>
            <w:vAlign w:val="bottom"/>
            <w:shd w:val="clear" w:color="auto" w:fill="CCEEFF"/>
          </w:tcPr>
          <w:p>
            <w:pPr>
              <w:jc w:val="center"/>
              <w:ind w:left="33"/>
              <w:spacing w:after="0" w:line="189" w:lineRule="exact"/>
              <w:rPr>
                <w:sz w:val="20"/>
                <w:szCs w:val="20"/>
                <w:color w:val="auto"/>
              </w:rPr>
            </w:pPr>
            <w:r>
              <w:rPr>
                <w:rFonts w:ascii="Arial" w:cs="Arial" w:eastAsia="Arial" w:hAnsi="Arial"/>
                <w:sz w:val="18"/>
                <w:szCs w:val="18"/>
                <w:color w:val="auto"/>
                <w:w w:val="97"/>
              </w:rPr>
              <w:t>S-1/A</w:t>
            </w:r>
          </w:p>
        </w:tc>
        <w:tc>
          <w:tcPr>
            <w:tcW w:w="1460" w:type="dxa"/>
            <w:vAlign w:val="bottom"/>
            <w:gridSpan w:val="3"/>
            <w:shd w:val="clear" w:color="auto" w:fill="CCEEFF"/>
          </w:tcPr>
          <w:p>
            <w:pPr>
              <w:jc w:val="center"/>
              <w:ind w:left="133"/>
              <w:spacing w:after="0" w:line="189" w:lineRule="exact"/>
              <w:rPr>
                <w:sz w:val="20"/>
                <w:szCs w:val="20"/>
                <w:color w:val="auto"/>
              </w:rPr>
            </w:pPr>
            <w:r>
              <w:rPr>
                <w:rFonts w:ascii="Arial" w:cs="Arial" w:eastAsia="Arial" w:hAnsi="Arial"/>
                <w:sz w:val="18"/>
                <w:szCs w:val="18"/>
                <w:color w:val="auto"/>
                <w:w w:val="99"/>
              </w:rPr>
              <w:t>2021-07-19</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4.1</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0000FF"/>
              <w:bottom w:val="single" w:sz="8" w:color="0000FF"/>
            </w:tcBorders>
            <w:gridSpan w:val="2"/>
            <w:shd w:val="clear" w:color="auto" w:fill="CCEEFF"/>
          </w:tcPr>
          <w:p>
            <w:pPr>
              <w:spacing w:after="0" w:line="169" w:lineRule="exact"/>
              <w:rPr>
                <w:rFonts w:ascii="Arial" w:cs="Arial" w:eastAsia="Arial" w:hAnsi="Arial"/>
                <w:sz w:val="18"/>
                <w:szCs w:val="18"/>
                <w:color w:val="0000FF"/>
                <w:w w:val="96"/>
              </w:rPr>
            </w:pPr>
            <w:hyperlink r:id="rId165">
              <w:r>
                <w:rPr>
                  <w:rFonts w:ascii="Arial" w:cs="Arial" w:eastAsia="Arial" w:hAnsi="Arial"/>
                  <w:sz w:val="18"/>
                  <w:szCs w:val="18"/>
                  <w:color w:val="0000FF"/>
                  <w:w w:val="96"/>
                </w:rPr>
                <w:t>Inc.</w:t>
              </w:r>
            </w:hyperlink>
          </w:p>
        </w:tc>
        <w:tc>
          <w:tcPr>
            <w:tcW w:w="500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gridSpan w:val="21"/>
          </w:tcPr>
          <w:p>
            <w:pPr>
              <w:spacing w:after="0" w:line="189" w:lineRule="exact"/>
              <w:rPr>
                <w:rFonts w:ascii="Arial" w:cs="Arial" w:eastAsia="Arial" w:hAnsi="Arial"/>
                <w:sz w:val="18"/>
                <w:szCs w:val="18"/>
                <w:color w:val="0000FF"/>
              </w:rPr>
            </w:pPr>
            <w:hyperlink r:id="rId166">
              <w:r>
                <w:rPr>
                  <w:rFonts w:ascii="Arial" w:cs="Arial" w:eastAsia="Arial" w:hAnsi="Arial"/>
                  <w:sz w:val="18"/>
                  <w:szCs w:val="18"/>
                  <w:color w:val="0000FF"/>
                </w:rPr>
                <w:t>Form of ten-year Warrant to Purchase Stock of Robinhood Markets,</w:t>
              </w:r>
            </w:hyperlink>
          </w:p>
        </w:tc>
        <w:tc>
          <w:tcPr>
            <w:tcW w:w="680" w:type="dxa"/>
            <w:vAlign w:val="bottom"/>
          </w:tcPr>
          <w:p>
            <w:pPr>
              <w:jc w:val="center"/>
              <w:ind w:left="33"/>
              <w:spacing w:after="0" w:line="189" w:lineRule="exact"/>
              <w:rPr>
                <w:sz w:val="20"/>
                <w:szCs w:val="20"/>
                <w:color w:val="auto"/>
              </w:rPr>
            </w:pPr>
            <w:r>
              <w:rPr>
                <w:rFonts w:ascii="Arial" w:cs="Arial" w:eastAsia="Arial" w:hAnsi="Arial"/>
                <w:sz w:val="18"/>
                <w:szCs w:val="18"/>
                <w:color w:val="auto"/>
                <w:w w:val="99"/>
              </w:rPr>
              <w:t>S-1</w:t>
            </w:r>
          </w:p>
        </w:tc>
        <w:tc>
          <w:tcPr>
            <w:tcW w:w="1460" w:type="dxa"/>
            <w:vAlign w:val="bottom"/>
            <w:gridSpan w:val="3"/>
          </w:tcPr>
          <w:p>
            <w:pPr>
              <w:jc w:val="center"/>
              <w:ind w:left="133"/>
              <w:spacing w:after="0" w:line="189" w:lineRule="exact"/>
              <w:rPr>
                <w:sz w:val="20"/>
                <w:szCs w:val="20"/>
                <w:color w:val="auto"/>
              </w:rPr>
            </w:pPr>
            <w:r>
              <w:rPr>
                <w:rFonts w:ascii="Arial" w:cs="Arial" w:eastAsia="Arial" w:hAnsi="Arial"/>
                <w:sz w:val="18"/>
                <w:szCs w:val="18"/>
                <w:color w:val="auto"/>
                <w:w w:val="99"/>
              </w:rPr>
              <w:t>2021-07-01</w:t>
            </w:r>
          </w:p>
        </w:tc>
        <w:tc>
          <w:tcPr>
            <w:tcW w:w="120" w:type="dxa"/>
            <w:vAlign w:val="bottom"/>
          </w:tcPr>
          <w:p>
            <w:pPr>
              <w:spacing w:after="0"/>
              <w:rPr>
                <w:sz w:val="16"/>
                <w:szCs w:val="16"/>
                <w:color w:val="auto"/>
              </w:rPr>
            </w:pPr>
          </w:p>
        </w:tc>
        <w:tc>
          <w:tcPr>
            <w:tcW w:w="960" w:type="dxa"/>
            <w:vAlign w:val="bottom"/>
          </w:tcPr>
          <w:p>
            <w:pPr>
              <w:jc w:val="center"/>
              <w:spacing w:after="0" w:line="189" w:lineRule="exact"/>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8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r:id="rId166">
              <w:r>
                <w:rPr>
                  <w:rFonts w:ascii="Arial" w:cs="Arial" w:eastAsia="Arial" w:hAnsi="Arial"/>
                  <w:sz w:val="18"/>
                  <w:szCs w:val="18"/>
                  <w:color w:val="0000FF"/>
                </w:rPr>
                <w:t>Inc., issued to multiple investors on February 12, 2021</w:t>
              </w:r>
            </w:hyperlink>
          </w:p>
        </w:tc>
        <w:tc>
          <w:tcPr>
            <w:tcW w:w="14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520" w:type="dxa"/>
            <w:vAlign w:val="bottom"/>
            <w:gridSpan w:val="21"/>
            <w:shd w:val="clear" w:color="auto" w:fill="CCEEFF"/>
          </w:tcPr>
          <w:p>
            <w:pPr>
              <w:spacing w:after="0" w:line="189" w:lineRule="exact"/>
              <w:rPr>
                <w:rFonts w:ascii="Arial" w:cs="Arial" w:eastAsia="Arial" w:hAnsi="Arial"/>
                <w:sz w:val="18"/>
                <w:szCs w:val="18"/>
                <w:color w:val="0000FF"/>
              </w:rPr>
            </w:pPr>
            <w:hyperlink r:id="rId167">
              <w:r>
                <w:rPr>
                  <w:rFonts w:ascii="Arial" w:cs="Arial" w:eastAsia="Arial" w:hAnsi="Arial"/>
                  <w:sz w:val="18"/>
                  <w:szCs w:val="18"/>
                  <w:color w:val="0000FF"/>
                </w:rPr>
                <w:t>Transition Letter between Robinhood Markets, Inc. and Jason</w:t>
              </w:r>
            </w:hyperlink>
          </w:p>
        </w:tc>
        <w:tc>
          <w:tcPr>
            <w:tcW w:w="680" w:type="dxa"/>
            <w:vAlign w:val="bottom"/>
            <w:shd w:val="clear" w:color="auto" w:fill="CCEEFF"/>
          </w:tcPr>
          <w:p>
            <w:pPr>
              <w:jc w:val="center"/>
              <w:ind w:left="33"/>
              <w:spacing w:after="0" w:line="189" w:lineRule="exact"/>
              <w:rPr>
                <w:sz w:val="20"/>
                <w:szCs w:val="20"/>
                <w:color w:val="auto"/>
              </w:rPr>
            </w:pPr>
            <w:r>
              <w:rPr>
                <w:rFonts w:ascii="Arial" w:cs="Arial" w:eastAsia="Arial" w:hAnsi="Arial"/>
                <w:sz w:val="18"/>
                <w:szCs w:val="18"/>
                <w:color w:val="auto"/>
              </w:rPr>
              <w:t>10-K/A</w:t>
            </w:r>
          </w:p>
        </w:tc>
        <w:tc>
          <w:tcPr>
            <w:tcW w:w="1460" w:type="dxa"/>
            <w:vAlign w:val="bottom"/>
            <w:gridSpan w:val="3"/>
            <w:shd w:val="clear" w:color="auto" w:fill="CCEEFF"/>
          </w:tcPr>
          <w:p>
            <w:pPr>
              <w:jc w:val="center"/>
              <w:ind w:left="133"/>
              <w:spacing w:after="0" w:line="189" w:lineRule="exact"/>
              <w:rPr>
                <w:sz w:val="20"/>
                <w:szCs w:val="20"/>
                <w:color w:val="auto"/>
              </w:rPr>
            </w:pPr>
            <w:r>
              <w:rPr>
                <w:rFonts w:ascii="Arial" w:cs="Arial" w:eastAsia="Arial" w:hAnsi="Arial"/>
                <w:sz w:val="18"/>
                <w:szCs w:val="18"/>
                <w:color w:val="auto"/>
                <w:w w:val="99"/>
              </w:rPr>
              <w:t>2026-02-20</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10.27</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620" w:type="dxa"/>
            <w:vAlign w:val="bottom"/>
            <w:tcBorders>
              <w:top w:val="single" w:sz="8" w:color="0000FF"/>
              <w:bottom w:val="single" w:sz="8" w:color="0000FF"/>
            </w:tcBorders>
            <w:gridSpan w:val="6"/>
            <w:shd w:val="clear" w:color="auto" w:fill="CCEEFF"/>
          </w:tcPr>
          <w:p>
            <w:pPr>
              <w:spacing w:after="0" w:line="169" w:lineRule="exact"/>
              <w:rPr>
                <w:rFonts w:ascii="Arial" w:cs="Arial" w:eastAsia="Arial" w:hAnsi="Arial"/>
                <w:sz w:val="18"/>
                <w:szCs w:val="18"/>
                <w:color w:val="0000FF"/>
                <w:w w:val="99"/>
              </w:rPr>
            </w:pPr>
            <w:hyperlink r:id="rId167">
              <w:r>
                <w:rPr>
                  <w:rFonts w:ascii="Arial" w:cs="Arial" w:eastAsia="Arial" w:hAnsi="Arial"/>
                  <w:sz w:val="18"/>
                  <w:szCs w:val="18"/>
                  <w:color w:val="0000FF"/>
                  <w:w w:val="99"/>
                </w:rPr>
                <w:t>Warnick, dated February 2, 2026</w:t>
              </w:r>
            </w:hyperlink>
          </w:p>
        </w:tc>
        <w:tc>
          <w:tcPr>
            <w:tcW w:w="228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gridSpan w:val="21"/>
          </w:tcPr>
          <w:p>
            <w:pPr>
              <w:spacing w:after="0" w:line="189" w:lineRule="exact"/>
              <w:rPr>
                <w:rFonts w:ascii="Arial" w:cs="Arial" w:eastAsia="Arial" w:hAnsi="Arial"/>
                <w:sz w:val="18"/>
                <w:szCs w:val="18"/>
                <w:color w:val="0000FF"/>
              </w:rPr>
            </w:pPr>
            <w:hyperlink r:id="rId168">
              <w:r>
                <w:rPr>
                  <w:rFonts w:ascii="Arial" w:cs="Arial" w:eastAsia="Arial" w:hAnsi="Arial"/>
                  <w:sz w:val="18"/>
                  <w:szCs w:val="18"/>
                  <w:color w:val="0000FF"/>
                </w:rPr>
                <w:t>Fifth Amended and Restated Credit Agreement, dated as of March</w:t>
              </w:r>
            </w:hyperlink>
          </w:p>
        </w:tc>
        <w:tc>
          <w:tcPr>
            <w:tcW w:w="680" w:type="dxa"/>
            <w:vAlign w:val="bottom"/>
          </w:tcPr>
          <w:p>
            <w:pPr>
              <w:jc w:val="center"/>
              <w:ind w:left="33"/>
              <w:spacing w:after="0" w:line="189" w:lineRule="exact"/>
              <w:rPr>
                <w:sz w:val="20"/>
                <w:szCs w:val="20"/>
                <w:color w:val="auto"/>
              </w:rPr>
            </w:pPr>
            <w:r>
              <w:rPr>
                <w:rFonts w:ascii="Arial" w:cs="Arial" w:eastAsia="Arial" w:hAnsi="Arial"/>
                <w:sz w:val="18"/>
                <w:szCs w:val="18"/>
                <w:color w:val="auto"/>
                <w:w w:val="99"/>
              </w:rPr>
              <w:t>8-K</w:t>
            </w:r>
          </w:p>
        </w:tc>
        <w:tc>
          <w:tcPr>
            <w:tcW w:w="1460" w:type="dxa"/>
            <w:vAlign w:val="bottom"/>
            <w:gridSpan w:val="3"/>
          </w:tcPr>
          <w:p>
            <w:pPr>
              <w:jc w:val="center"/>
              <w:ind w:left="133"/>
              <w:spacing w:after="0" w:line="189" w:lineRule="exact"/>
              <w:rPr>
                <w:sz w:val="20"/>
                <w:szCs w:val="20"/>
                <w:color w:val="auto"/>
              </w:rPr>
            </w:pPr>
            <w:r>
              <w:rPr>
                <w:rFonts w:ascii="Arial" w:cs="Arial" w:eastAsia="Arial" w:hAnsi="Arial"/>
                <w:sz w:val="18"/>
                <w:szCs w:val="18"/>
                <w:color w:val="auto"/>
                <w:w w:val="99"/>
              </w:rPr>
              <w:t>2026-03-24</w:t>
            </w:r>
          </w:p>
        </w:tc>
        <w:tc>
          <w:tcPr>
            <w:tcW w:w="120" w:type="dxa"/>
            <w:vAlign w:val="bottom"/>
          </w:tcPr>
          <w:p>
            <w:pPr>
              <w:spacing w:after="0"/>
              <w:rPr>
                <w:sz w:val="16"/>
                <w:szCs w:val="16"/>
                <w:color w:val="auto"/>
              </w:rPr>
            </w:pPr>
          </w:p>
        </w:tc>
        <w:tc>
          <w:tcPr>
            <w:tcW w:w="960" w:type="dxa"/>
            <w:vAlign w:val="bottom"/>
          </w:tcPr>
          <w:p>
            <w:pPr>
              <w:jc w:val="center"/>
              <w:spacing w:after="0" w:line="189"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168">
              <w:r>
                <w:rPr>
                  <w:rFonts w:ascii="Arial" w:cs="Arial" w:eastAsia="Arial" w:hAnsi="Arial"/>
                  <w:sz w:val="18"/>
                  <w:szCs w:val="18"/>
                  <w:color w:val="0000FF"/>
                </w:rPr>
                <w:t>20, 2026, among Robinhood Securities, LLC, as borrower, the</w:t>
              </w:r>
            </w:hyperlink>
          </w:p>
        </w:tc>
        <w:tc>
          <w:tcPr>
            <w:tcW w:w="200" w:type="dxa"/>
            <w:vAlign w:val="bottom"/>
            <w:gridSpan w:val="3"/>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lenders party thereto, and JPMorgan Chase Bank, N.A. as</w:t>
              </w:r>
            </w:hyperlink>
          </w:p>
        </w:tc>
        <w:tc>
          <w:tcPr>
            <w:tcW w:w="2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00" w:type="dxa"/>
            <w:vAlign w:val="bottom"/>
            <w:gridSpan w:val="6"/>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top w:val="single" w:sz="8" w:color="0000FF"/>
            </w:tcBorders>
            <w:gridSpan w:val="3"/>
          </w:tcPr>
          <w:p>
            <w:pPr>
              <w:spacing w:after="0" w:line="136" w:lineRule="exact"/>
              <w:rPr>
                <w:rFonts w:ascii="Arial" w:cs="Arial" w:eastAsia="Arial" w:hAnsi="Arial"/>
                <w:sz w:val="15"/>
                <w:szCs w:val="15"/>
                <w:color w:val="0000FF"/>
              </w:rPr>
            </w:pPr>
            <w:hyperlink r:id="rId168">
              <w:r>
                <w:rPr>
                  <w:rFonts w:ascii="Arial" w:cs="Arial" w:eastAsia="Arial" w:hAnsi="Arial"/>
                  <w:sz w:val="15"/>
                  <w:szCs w:val="15"/>
                  <w:color w:val="0000FF"/>
                </w:rPr>
                <w:t>administrative</w:t>
              </w:r>
            </w:hyperlink>
          </w:p>
        </w:tc>
        <w:tc>
          <w:tcPr>
            <w:tcW w:w="3500" w:type="dxa"/>
            <w:vAlign w:val="bottom"/>
            <w:tcBorders>
              <w:top w:val="single" w:sz="8" w:color="0000FF"/>
            </w:tcBorders>
            <w:gridSpan w:val="7"/>
          </w:tcPr>
          <w:p>
            <w:pPr>
              <w:ind w:left="20"/>
              <w:spacing w:after="0" w:line="136" w:lineRule="exact"/>
              <w:rPr>
                <w:rFonts w:ascii="Arial" w:cs="Arial" w:eastAsia="Arial" w:hAnsi="Arial"/>
                <w:sz w:val="15"/>
                <w:szCs w:val="15"/>
                <w:color w:val="0000FF"/>
              </w:rPr>
            </w:pPr>
            <w:hyperlink r:id="rId168">
              <w:r>
                <w:rPr>
                  <w:rFonts w:ascii="Arial" w:cs="Arial" w:eastAsia="Arial" w:hAnsi="Arial"/>
                  <w:sz w:val="15"/>
                  <w:szCs w:val="15"/>
                  <w:color w:val="0000FF"/>
                </w:rPr>
                <w:t>agent</w:t>
              </w:r>
            </w:hyperlink>
          </w:p>
        </w:tc>
        <w:tc>
          <w:tcPr>
            <w:tcW w:w="54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300" w:type="dxa"/>
            <w:vAlign w:val="bottom"/>
            <w:gridSpan w:val="6"/>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52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Non-Employee Director Compensation Program</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gridSpan w:val="21"/>
          </w:tcPr>
          <w:p>
            <w:pPr>
              <w:spacing w:after="0" w:line="189" w:lineRule="exact"/>
              <w:rPr>
                <w:sz w:val="20"/>
                <w:szCs w:val="20"/>
                <w:color w:val="auto"/>
              </w:rPr>
            </w:pPr>
            <w:r>
              <w:rPr>
                <w:rFonts w:ascii="Arial" w:cs="Arial" w:eastAsia="Arial" w:hAnsi="Arial"/>
                <w:sz w:val="18"/>
                <w:szCs w:val="18"/>
                <w:color w:val="0000FF"/>
              </w:rPr>
              <w:t>CEO Certification pursuant to Section 302 of the Sarbanes-Oxley</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8"/>
                <w:szCs w:val="18"/>
                <w:color w:val="0000FF"/>
              </w:rPr>
              <w:t>Act</w:t>
            </w:r>
          </w:p>
        </w:tc>
        <w:tc>
          <w:tcPr>
            <w:tcW w:w="300" w:type="dxa"/>
            <w:vAlign w:val="bottom"/>
            <w:gridSpan w:val="6"/>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52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CFO Certification pursuant to Section 302 of the Sarbanes-Oxley</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180" w:type="dxa"/>
            <w:vAlign w:val="bottom"/>
            <w:tcBorders>
              <w:top w:val="single" w:sz="8" w:color="0000FF"/>
            </w:tcBorders>
            <w:gridSpan w:val="13"/>
            <w:shd w:val="clear" w:color="auto" w:fill="CCEEFF"/>
          </w:tcPr>
          <w:p>
            <w:pPr>
              <w:spacing w:after="0" w:line="169" w:lineRule="exact"/>
              <w:rPr>
                <w:sz w:val="20"/>
                <w:szCs w:val="20"/>
                <w:color w:val="auto"/>
              </w:rPr>
            </w:pPr>
            <w:r>
              <w:rPr>
                <w:rFonts w:ascii="Arial" w:cs="Arial" w:eastAsia="Arial" w:hAnsi="Arial"/>
                <w:sz w:val="18"/>
                <w:szCs w:val="18"/>
                <w:color w:val="0000FF"/>
              </w:rPr>
              <w:t>Act</w:t>
            </w:r>
          </w:p>
        </w:tc>
        <w:tc>
          <w:tcPr>
            <w:tcW w:w="340" w:type="dxa"/>
            <w:vAlign w:val="bottom"/>
            <w:tcBorders>
              <w:top w:val="single" w:sz="8" w:color="CCEEFF"/>
            </w:tcBorders>
            <w:gridSpan w:val="8"/>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32.1‡</w:t>
            </w:r>
          </w:p>
        </w:tc>
        <w:tc>
          <w:tcPr>
            <w:tcW w:w="20" w:type="dxa"/>
            <w:vAlign w:val="bottom"/>
          </w:tcPr>
          <w:p>
            <w:pPr>
              <w:spacing w:after="0"/>
              <w:rPr>
                <w:sz w:val="16"/>
                <w:szCs w:val="16"/>
                <w:color w:val="auto"/>
              </w:rPr>
            </w:pPr>
          </w:p>
        </w:tc>
        <w:tc>
          <w:tcPr>
            <w:tcW w:w="5520" w:type="dxa"/>
            <w:vAlign w:val="bottom"/>
            <w:gridSpan w:val="21"/>
          </w:tcPr>
          <w:p>
            <w:pPr>
              <w:spacing w:after="0" w:line="189" w:lineRule="exact"/>
              <w:rPr>
                <w:sz w:val="20"/>
                <w:szCs w:val="20"/>
                <w:color w:val="auto"/>
              </w:rPr>
            </w:pPr>
            <w:r>
              <w:rPr>
                <w:rFonts w:ascii="Arial" w:cs="Arial" w:eastAsia="Arial" w:hAnsi="Arial"/>
                <w:sz w:val="18"/>
                <w:szCs w:val="18"/>
                <w:color w:val="0000FF"/>
              </w:rPr>
              <w:t>CEO Certification pursuant to Section 906 of the Sarbanes-Oxley</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8"/>
                <w:szCs w:val="18"/>
                <w:color w:val="0000FF"/>
              </w:rPr>
              <w:t>Act</w:t>
            </w:r>
          </w:p>
        </w:tc>
        <w:tc>
          <w:tcPr>
            <w:tcW w:w="300" w:type="dxa"/>
            <w:vAlign w:val="bottom"/>
            <w:gridSpan w:val="6"/>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32.2‡</w:t>
            </w:r>
          </w:p>
        </w:tc>
        <w:tc>
          <w:tcPr>
            <w:tcW w:w="20" w:type="dxa"/>
            <w:vAlign w:val="bottom"/>
            <w:shd w:val="clear" w:color="auto" w:fill="CCEEFF"/>
          </w:tcPr>
          <w:p>
            <w:pPr>
              <w:spacing w:after="0"/>
              <w:rPr>
                <w:sz w:val="16"/>
                <w:szCs w:val="16"/>
                <w:color w:val="auto"/>
              </w:rPr>
            </w:pPr>
          </w:p>
        </w:tc>
        <w:tc>
          <w:tcPr>
            <w:tcW w:w="552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CFO Certification pursuant to Section 906 of the Sarbanes-Oxley</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180" w:type="dxa"/>
            <w:vAlign w:val="bottom"/>
            <w:tcBorders>
              <w:top w:val="single" w:sz="8" w:color="0000FF"/>
            </w:tcBorders>
            <w:gridSpan w:val="13"/>
            <w:shd w:val="clear" w:color="auto" w:fill="CCEEFF"/>
          </w:tcPr>
          <w:p>
            <w:pPr>
              <w:spacing w:after="0" w:line="169" w:lineRule="exact"/>
              <w:rPr>
                <w:sz w:val="20"/>
                <w:szCs w:val="20"/>
                <w:color w:val="auto"/>
              </w:rPr>
            </w:pPr>
            <w:r>
              <w:rPr>
                <w:rFonts w:ascii="Arial" w:cs="Arial" w:eastAsia="Arial" w:hAnsi="Arial"/>
                <w:sz w:val="18"/>
                <w:szCs w:val="18"/>
                <w:color w:val="0000FF"/>
              </w:rPr>
              <w:t>Act</w:t>
            </w:r>
          </w:p>
        </w:tc>
        <w:tc>
          <w:tcPr>
            <w:tcW w:w="340" w:type="dxa"/>
            <w:vAlign w:val="bottom"/>
            <w:tcBorders>
              <w:top w:val="single" w:sz="8" w:color="CCEEFF"/>
            </w:tcBorders>
            <w:gridSpan w:val="8"/>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18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101.INS</w:t>
            </w:r>
          </w:p>
        </w:tc>
        <w:tc>
          <w:tcPr>
            <w:tcW w:w="20" w:type="dxa"/>
            <w:vAlign w:val="bottom"/>
          </w:tcPr>
          <w:p>
            <w:pPr>
              <w:spacing w:after="0"/>
              <w:rPr>
                <w:sz w:val="15"/>
                <w:szCs w:val="15"/>
                <w:color w:val="auto"/>
              </w:rPr>
            </w:pPr>
          </w:p>
        </w:tc>
        <w:tc>
          <w:tcPr>
            <w:tcW w:w="5520" w:type="dxa"/>
            <w:vAlign w:val="bottom"/>
            <w:gridSpan w:val="21"/>
          </w:tcPr>
          <w:p>
            <w:pPr>
              <w:spacing w:after="0" w:line="183" w:lineRule="exact"/>
              <w:rPr>
                <w:sz w:val="20"/>
                <w:szCs w:val="20"/>
                <w:color w:val="auto"/>
              </w:rPr>
            </w:pPr>
            <w:r>
              <w:rPr>
                <w:rFonts w:ascii="Arial" w:cs="Arial" w:eastAsia="Arial" w:hAnsi="Arial"/>
                <w:sz w:val="18"/>
                <w:szCs w:val="18"/>
                <w:color w:val="auto"/>
              </w:rPr>
              <w:t>iXBRL (Inline eXtensible Business Reporting Language) Instance</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spacing w:after="0" w:line="183"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1"/>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20" w:type="dxa"/>
            <w:vAlign w:val="bottom"/>
            <w:gridSpan w:val="21"/>
          </w:tcPr>
          <w:p>
            <w:pPr>
              <w:spacing w:after="0" w:line="181" w:lineRule="exact"/>
              <w:rPr>
                <w:sz w:val="20"/>
                <w:szCs w:val="20"/>
                <w:color w:val="auto"/>
              </w:rPr>
            </w:pPr>
            <w:r>
              <w:rPr>
                <w:rFonts w:ascii="Arial" w:cs="Arial" w:eastAsia="Arial" w:hAnsi="Arial"/>
                <w:sz w:val="18"/>
                <w:szCs w:val="18"/>
                <w:color w:val="auto"/>
              </w:rPr>
              <w:t>Document - the instance document does not appear in the</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20" w:type="dxa"/>
            <w:vAlign w:val="bottom"/>
            <w:gridSpan w:val="21"/>
          </w:tcPr>
          <w:p>
            <w:pPr>
              <w:spacing w:after="0" w:line="176" w:lineRule="exact"/>
              <w:rPr>
                <w:sz w:val="20"/>
                <w:szCs w:val="20"/>
                <w:color w:val="auto"/>
              </w:rPr>
            </w:pPr>
            <w:r>
              <w:rPr>
                <w:rFonts w:ascii="Arial" w:cs="Arial" w:eastAsia="Arial" w:hAnsi="Arial"/>
                <w:sz w:val="18"/>
                <w:szCs w:val="18"/>
                <w:color w:val="auto"/>
              </w:rPr>
              <w:t>Interactive Data File because its XBRL tags are embedded within</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20" w:type="dxa"/>
            <w:vAlign w:val="bottom"/>
            <w:gridSpan w:val="21"/>
          </w:tcPr>
          <w:p>
            <w:pPr>
              <w:spacing w:after="0"/>
              <w:rPr>
                <w:sz w:val="20"/>
                <w:szCs w:val="20"/>
                <w:color w:val="auto"/>
              </w:rPr>
            </w:pPr>
            <w:r>
              <w:rPr>
                <w:rFonts w:ascii="Arial" w:cs="Arial" w:eastAsia="Arial" w:hAnsi="Arial"/>
                <w:sz w:val="18"/>
                <w:szCs w:val="18"/>
                <w:color w:val="auto"/>
              </w:rPr>
              <w:t>the Inline XBRL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20" w:type="dxa"/>
            <w:vAlign w:val="bottom"/>
            <w:shd w:val="clear" w:color="auto" w:fill="CCEEFF"/>
          </w:tcPr>
          <w:p>
            <w:pPr>
              <w:spacing w:after="0"/>
              <w:rPr>
                <w:sz w:val="19"/>
                <w:szCs w:val="19"/>
                <w:color w:val="auto"/>
              </w:rPr>
            </w:pPr>
          </w:p>
        </w:tc>
        <w:tc>
          <w:tcPr>
            <w:tcW w:w="552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iXBRL Taxonomy Extension Schema Document</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5520" w:type="dxa"/>
            <w:vAlign w:val="bottom"/>
            <w:gridSpan w:val="21"/>
          </w:tcPr>
          <w:p>
            <w:pPr>
              <w:spacing w:after="0"/>
              <w:rPr>
                <w:sz w:val="20"/>
                <w:szCs w:val="20"/>
                <w:color w:val="auto"/>
              </w:rPr>
            </w:pPr>
            <w:r>
              <w:rPr>
                <w:rFonts w:ascii="Arial" w:cs="Arial" w:eastAsia="Arial" w:hAnsi="Arial"/>
                <w:sz w:val="18"/>
                <w:szCs w:val="18"/>
                <w:color w:val="auto"/>
              </w:rPr>
              <w:t>iXBRL Taxonomy Extension Calculation Linkbase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20" w:type="dxa"/>
            <w:vAlign w:val="bottom"/>
            <w:shd w:val="clear" w:color="auto" w:fill="CCEEFF"/>
          </w:tcPr>
          <w:p>
            <w:pPr>
              <w:spacing w:after="0"/>
              <w:rPr>
                <w:sz w:val="19"/>
                <w:szCs w:val="19"/>
                <w:color w:val="auto"/>
              </w:rPr>
            </w:pPr>
          </w:p>
        </w:tc>
        <w:tc>
          <w:tcPr>
            <w:tcW w:w="552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iXBRL Taxonomy Extension Definition Linkbase Document</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5520" w:type="dxa"/>
            <w:vAlign w:val="bottom"/>
            <w:gridSpan w:val="21"/>
          </w:tcPr>
          <w:p>
            <w:pPr>
              <w:spacing w:after="0"/>
              <w:rPr>
                <w:sz w:val="20"/>
                <w:szCs w:val="20"/>
                <w:color w:val="auto"/>
              </w:rPr>
            </w:pPr>
            <w:r>
              <w:rPr>
                <w:rFonts w:ascii="Arial" w:cs="Arial" w:eastAsia="Arial" w:hAnsi="Arial"/>
                <w:sz w:val="18"/>
                <w:szCs w:val="18"/>
                <w:color w:val="auto"/>
              </w:rPr>
              <w:t>iXBRL Taxonomy Extension Label Linkbase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20" w:type="dxa"/>
            <w:vAlign w:val="bottom"/>
            <w:shd w:val="clear" w:color="auto" w:fill="CCEEFF"/>
          </w:tcPr>
          <w:p>
            <w:pPr>
              <w:spacing w:after="0"/>
              <w:rPr>
                <w:sz w:val="19"/>
                <w:szCs w:val="19"/>
                <w:color w:val="auto"/>
              </w:rPr>
            </w:pPr>
          </w:p>
        </w:tc>
        <w:tc>
          <w:tcPr>
            <w:tcW w:w="552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iXBRL Taxonomy Extension Presentation Linkbase Document.</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108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20" w:type="dxa"/>
            <w:vAlign w:val="bottom"/>
            <w:gridSpan w:val="21"/>
          </w:tcPr>
          <w:p>
            <w:pPr>
              <w:spacing w:after="0"/>
              <w:rPr>
                <w:sz w:val="20"/>
                <w:szCs w:val="20"/>
                <w:color w:val="auto"/>
              </w:rPr>
            </w:pPr>
            <w:r>
              <w:rPr>
                <w:rFonts w:ascii="Arial" w:cs="Arial" w:eastAsia="Arial" w:hAnsi="Arial"/>
                <w:sz w:val="18"/>
                <w:szCs w:val="18"/>
                <w:color w:val="auto"/>
              </w:rPr>
              <w:t>Cover Page Interactive Data File (contained in Exhibit 101)</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90" w:lineRule="exact"/>
        <w:rPr>
          <w:sz w:val="20"/>
          <w:szCs w:val="20"/>
          <w:color w:val="auto"/>
        </w:rPr>
      </w:pPr>
    </w:p>
    <w:p>
      <w:pPr>
        <w:ind w:right="5620" w:firstLine="8"/>
        <w:spacing w:after="0" w:line="342" w:lineRule="auto"/>
        <w:tabs>
          <w:tab w:leader="none" w:pos="216" w:val="left"/>
        </w:tabs>
        <w:numPr>
          <w:ilvl w:val="0"/>
          <w:numId w:val="38"/>
        </w:numPr>
        <w:rPr>
          <w:rFonts w:ascii="Arial" w:cs="Arial" w:eastAsia="Arial" w:hAnsi="Arial"/>
          <w:sz w:val="14"/>
          <w:szCs w:val="14"/>
          <w:color w:val="auto"/>
        </w:rPr>
      </w:pPr>
      <w:r>
        <w:rPr>
          <w:rFonts w:ascii="Arial" w:cs="Arial" w:eastAsia="Arial" w:hAnsi="Arial"/>
          <w:sz w:val="14"/>
          <w:szCs w:val="14"/>
          <w:color w:val="auto"/>
        </w:rPr>
        <w:t>File number is 001-40691 except that the S-1 (and S-1/A) file number is 333-257602. + Indicates a management contract or compensatory plan.</w:t>
      </w:r>
    </w:p>
    <w:p>
      <w:pPr>
        <w:jc w:val="both"/>
        <w:ind w:left="180" w:hanging="172"/>
        <w:spacing w:after="0" w:line="273" w:lineRule="auto"/>
        <w:tabs>
          <w:tab w:leader="none" w:pos="345"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of Robinhood Markets, Inc.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SIGNATURES</w:t>
      </w:r>
    </w:p>
    <w:p>
      <w:pPr>
        <w:spacing w:after="0" w:line="226"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signed this report to be signed on its behalf by the undersigned, thereunto duly authorized, in Menlo Park, California, on April 28, 2026.</w:t>
      </w:r>
    </w:p>
    <w:p>
      <w:pPr>
        <w:spacing w:after="0" w:line="15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Robinhood Markets, Inc.</w:t>
      </w:r>
    </w:p>
    <w:p>
      <w:pPr>
        <w:spacing w:after="0" w:line="293" w:lineRule="exact"/>
        <w:rPr>
          <w:sz w:val="20"/>
          <w:szCs w:val="20"/>
          <w:color w:val="auto"/>
        </w:rPr>
      </w:pPr>
    </w:p>
    <w:tbl>
      <w:tblPr>
        <w:tblLayout w:type="fixed"/>
        <w:tblInd w:w="6540" w:type="dxa"/>
        <w:tblCellMar>
          <w:top w:w="0" w:type="dxa"/>
          <w:left w:w="0" w:type="dxa"/>
          <w:bottom w:w="0" w:type="dxa"/>
          <w:right w:w="0" w:type="dxa"/>
        </w:tblCellMar>
      </w:tblPr>
      <w:tr>
        <w:trPr>
          <w:trHeight w:val="235"/>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Vladimir Tenev</w:t>
            </w:r>
          </w:p>
        </w:tc>
      </w:tr>
      <w:tr>
        <w:trPr>
          <w:trHeight w:val="218"/>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20"/>
              <w:spacing w:after="0"/>
              <w:rPr>
                <w:sz w:val="20"/>
                <w:szCs w:val="20"/>
                <w:color w:val="auto"/>
              </w:rPr>
            </w:pPr>
            <w:r>
              <w:rPr>
                <w:rFonts w:ascii="Arial" w:cs="Arial" w:eastAsia="Arial" w:hAnsi="Arial"/>
                <w:sz w:val="18"/>
                <w:szCs w:val="18"/>
                <w:color w:val="auto"/>
              </w:rPr>
              <w:t>Vladimir Tenev</w:t>
            </w:r>
          </w:p>
        </w:tc>
      </w:tr>
      <w:tr>
        <w:trPr>
          <w:trHeight w:val="239"/>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657"/>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Shiv Verma</w:t>
            </w:r>
          </w:p>
        </w:tc>
      </w:tr>
      <w:tr>
        <w:trPr>
          <w:trHeight w:val="218"/>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20"/>
              <w:spacing w:after="0"/>
              <w:rPr>
                <w:sz w:val="20"/>
                <w:szCs w:val="20"/>
                <w:color w:val="auto"/>
              </w:rPr>
            </w:pPr>
            <w:r>
              <w:rPr>
                <w:rFonts w:ascii="Arial" w:cs="Arial" w:eastAsia="Arial" w:hAnsi="Arial"/>
                <w:sz w:val="18"/>
                <w:szCs w:val="18"/>
                <w:color w:val="auto"/>
              </w:rPr>
              <w:t>Shiv Verma</w:t>
            </w:r>
          </w:p>
        </w:tc>
      </w:tr>
      <w:tr>
        <w:trPr>
          <w:trHeight w:val="191"/>
        </w:trPr>
        <w:tc>
          <w:tcPr>
            <w:tcW w:w="820" w:type="dxa"/>
            <w:vAlign w:val="bottom"/>
          </w:tcPr>
          <w:p>
            <w:pPr>
              <w:spacing w:after="0" w:line="191" w:lineRule="exact"/>
              <w:rPr>
                <w:sz w:val="20"/>
                <w:szCs w:val="20"/>
                <w:color w:val="auto"/>
              </w:rPr>
            </w:pPr>
            <w:r>
              <w:rPr>
                <w:rFonts w:ascii="Arial" w:cs="Arial" w:eastAsia="Arial" w:hAnsi="Arial"/>
                <w:sz w:val="18"/>
                <w:szCs w:val="18"/>
                <w:color w:val="auto"/>
              </w:rPr>
              <w:t>Title:</w:t>
            </w:r>
          </w:p>
        </w:tc>
        <w:tc>
          <w:tcPr>
            <w:tcW w:w="3880" w:type="dxa"/>
            <w:vAlign w:val="bottom"/>
          </w:tcPr>
          <w:p>
            <w:pPr>
              <w:ind w:left="20"/>
              <w:spacing w:after="0" w:line="191" w:lineRule="exact"/>
              <w:rPr>
                <w:sz w:val="20"/>
                <w:szCs w:val="20"/>
                <w:color w:val="auto"/>
              </w:rPr>
            </w:pPr>
            <w:r>
              <w:rPr>
                <w:rFonts w:ascii="Arial" w:cs="Arial" w:eastAsia="Arial" w:hAnsi="Arial"/>
                <w:sz w:val="18"/>
                <w:szCs w:val="18"/>
                <w:color w:val="auto"/>
              </w:rPr>
              <w:t>Chief Financial Officer</w:t>
            </w:r>
          </w:p>
        </w:tc>
      </w:tr>
      <w:tr>
        <w:trPr>
          <w:trHeight w:val="179"/>
        </w:trPr>
        <w:tc>
          <w:tcPr>
            <w:tcW w:w="820" w:type="dxa"/>
            <w:vAlign w:val="bottom"/>
          </w:tcPr>
          <w:p>
            <w:pPr>
              <w:spacing w:after="0"/>
              <w:rPr>
                <w:sz w:val="15"/>
                <w:szCs w:val="15"/>
                <w:color w:val="auto"/>
              </w:rPr>
            </w:pPr>
          </w:p>
        </w:tc>
        <w:tc>
          <w:tcPr>
            <w:tcW w:w="3880" w:type="dxa"/>
            <w:vAlign w:val="bottom"/>
          </w:tcPr>
          <w:p>
            <w:pPr>
              <w:ind w:left="20"/>
              <w:spacing w:after="0" w:line="179" w:lineRule="exact"/>
              <w:rPr>
                <w:sz w:val="20"/>
                <w:szCs w:val="20"/>
                <w:color w:val="auto"/>
              </w:rPr>
            </w:pPr>
            <w:r>
              <w:rPr>
                <w:rFonts w:ascii="Arial" w:cs="Arial" w:eastAsia="Arial" w:hAnsi="Arial"/>
                <w:sz w:val="18"/>
                <w:szCs w:val="18"/>
                <w:i w:val="1"/>
                <w:iCs w:val="1"/>
                <w:color w:val="auto"/>
              </w:rPr>
              <w:t>(Principal Financial Officer and Principal</w:t>
            </w:r>
          </w:p>
        </w:tc>
      </w:tr>
      <w:tr>
        <w:trPr>
          <w:trHeight w:val="237"/>
        </w:trPr>
        <w:tc>
          <w:tcPr>
            <w:tcW w:w="82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21" w:right="339" w:bottom="1440" w:gutter="0" w:footer="0" w:header="0"/>
        </w:sectPr>
      </w:pPr>
    </w:p>
    <w:bookmarkStart w:id="135" w:name="page136"/>
    <w:bookmarkEnd w:id="135"/>
    <w:p>
      <w:pPr>
        <w:jc w:val="center"/>
        <w:ind w:right="-139"/>
        <w:spacing w:after="0"/>
        <w:rPr>
          <w:sz w:val="20"/>
          <w:szCs w:val="20"/>
          <w:color w:val="auto"/>
        </w:rPr>
      </w:pPr>
      <w:r>
        <w:rPr>
          <w:rFonts w:ascii="Arial" w:cs="Arial" w:eastAsia="Arial" w:hAnsi="Arial"/>
          <w:sz w:val="20"/>
          <w:szCs w:val="20"/>
          <w:b w:val="1"/>
          <w:bCs w:val="1"/>
          <w:color w:val="auto"/>
        </w:rPr>
        <w:t>Robinhood Markets, Inc.</w:t>
      </w: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NON-EMPLOYEE DIRECTOR COMPENSATION PROGRAM</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Adopted upon the closing of the Company’s initial public offering, as amended from time to time</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The purpose of this Non-Employee Director Compensation Program (the “</w:t>
      </w:r>
      <w:r>
        <w:rPr>
          <w:rFonts w:ascii="Arial" w:cs="Arial" w:eastAsia="Arial" w:hAnsi="Arial"/>
          <w:sz w:val="20"/>
          <w:szCs w:val="20"/>
          <w:b w:val="1"/>
          <w:bCs w:val="1"/>
          <w:color w:val="auto"/>
        </w:rPr>
        <w:t>Program</w:t>
      </w:r>
      <w:r>
        <w:rPr>
          <w:rFonts w:ascii="Arial" w:cs="Arial" w:eastAsia="Arial" w:hAnsi="Arial"/>
          <w:sz w:val="20"/>
          <w:szCs w:val="20"/>
          <w:color w:val="auto"/>
        </w:rPr>
        <w:t>”) of Robinhood Markets,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is to promote the interests of the Company’s stockholders by providing a total compensation package that attracts and retains, on a long-term basis, exceptional directors who are not employees of the Company or its subsidiaries (“</w:t>
      </w:r>
      <w:r>
        <w:rPr>
          <w:rFonts w:ascii="Arial" w:cs="Arial" w:eastAsia="Arial" w:hAnsi="Arial"/>
          <w:sz w:val="20"/>
          <w:szCs w:val="20"/>
          <w:b w:val="1"/>
          <w:bCs w:val="1"/>
          <w:color w:val="auto"/>
        </w:rPr>
        <w:t>Non-Employee Directors</w:t>
      </w:r>
      <w:r>
        <w:rPr>
          <w:rFonts w:ascii="Arial" w:cs="Arial" w:eastAsia="Arial" w:hAnsi="Arial"/>
          <w:sz w:val="20"/>
          <w:szCs w:val="20"/>
          <w:color w:val="auto"/>
        </w:rPr>
        <w:t>”). In furtherance of this purpose, all Non-Employee Directors on the Company’s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shall be compensated for services provided to the Company in such capacity as set forth below. This Program was approved by the Board on February 4, 2021 and amended on June 8, 2021, June 24, 2025, and March 19, 2026, respectively.</w:t>
      </w:r>
    </w:p>
    <w:p>
      <w:pPr>
        <w:spacing w:after="0" w:line="186" w:lineRule="exact"/>
        <w:rPr>
          <w:sz w:val="20"/>
          <w:szCs w:val="20"/>
          <w:color w:val="auto"/>
        </w:rPr>
      </w:pPr>
    </w:p>
    <w:p>
      <w:pPr>
        <w:ind w:left="640" w:hanging="632"/>
        <w:spacing w:after="0"/>
        <w:tabs>
          <w:tab w:leader="none" w:pos="64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Annual Cash Retainers</w:t>
      </w:r>
    </w:p>
    <w:p>
      <w:pPr>
        <w:spacing w:after="0" w:line="216" w:lineRule="exact"/>
        <w:rPr>
          <w:sz w:val="20"/>
          <w:szCs w:val="20"/>
          <w:color w:val="auto"/>
        </w:rPr>
      </w:pPr>
    </w:p>
    <w:p>
      <w:pPr>
        <w:ind w:right="200"/>
        <w:spacing w:after="0" w:line="288" w:lineRule="auto"/>
        <w:rPr>
          <w:sz w:val="20"/>
          <w:szCs w:val="20"/>
          <w:color w:val="auto"/>
        </w:rPr>
      </w:pPr>
      <w:r>
        <w:rPr>
          <w:rFonts w:ascii="Arial" w:cs="Arial" w:eastAsia="Arial" w:hAnsi="Arial"/>
          <w:sz w:val="20"/>
          <w:szCs w:val="20"/>
          <w:color w:val="auto"/>
        </w:rPr>
        <w:t>Subject to Section 3 hereof, effective as of April 1, 2026 (such date, the “</w:t>
      </w:r>
      <w:r>
        <w:rPr>
          <w:rFonts w:ascii="Arial" w:cs="Arial" w:eastAsia="Arial" w:hAnsi="Arial"/>
          <w:sz w:val="20"/>
          <w:szCs w:val="20"/>
          <w:b w:val="1"/>
          <w:bCs w:val="1"/>
          <w:color w:val="auto"/>
        </w:rPr>
        <w:t>Effective Date</w:t>
      </w:r>
      <w:r>
        <w:rPr>
          <w:rFonts w:ascii="Arial" w:cs="Arial" w:eastAsia="Arial" w:hAnsi="Arial"/>
          <w:sz w:val="20"/>
          <w:szCs w:val="20"/>
          <w:color w:val="auto"/>
        </w:rPr>
        <w:t>”), each Non-Employee Director shall receive annual cash retainers as follows.</w:t>
      </w:r>
    </w:p>
    <w:p>
      <w:pPr>
        <w:spacing w:after="0" w:line="137" w:lineRule="exact"/>
        <w:rPr>
          <w:sz w:val="20"/>
          <w:szCs w:val="20"/>
          <w:color w:val="auto"/>
        </w:rPr>
      </w:pPr>
    </w:p>
    <w:p>
      <w:pPr>
        <w:ind w:left="1320" w:hanging="664"/>
        <w:spacing w:after="0"/>
        <w:tabs>
          <w:tab w:leader="none" w:pos="132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Annual Cash Retainer for Board Membership: </w:t>
      </w:r>
      <w:r>
        <w:rPr>
          <w:rFonts w:ascii="Arial" w:cs="Arial" w:eastAsia="Arial" w:hAnsi="Arial"/>
          <w:sz w:val="20"/>
          <w:szCs w:val="20"/>
          <w:color w:val="auto"/>
        </w:rPr>
        <w:t>$50,000 per year for service as a member of the Board.</w:t>
      </w:r>
    </w:p>
    <w:p>
      <w:pPr>
        <w:spacing w:after="0" w:line="229" w:lineRule="exact"/>
        <w:rPr>
          <w:rFonts w:ascii="Arial" w:cs="Arial" w:eastAsia="Arial" w:hAnsi="Arial"/>
          <w:sz w:val="20"/>
          <w:szCs w:val="20"/>
          <w:b w:val="1"/>
          <w:bCs w:val="1"/>
          <w:color w:val="auto"/>
        </w:rPr>
      </w:pPr>
    </w:p>
    <w:p>
      <w:pPr>
        <w:ind w:left="1300" w:right="20" w:hanging="644"/>
        <w:spacing w:after="0" w:line="288" w:lineRule="auto"/>
        <w:tabs>
          <w:tab w:leader="none" w:pos="1322"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Additional Annual Cash Retainer for Non-Executive Chair of the Board</w:t>
      </w:r>
      <w:r>
        <w:rPr>
          <w:rFonts w:ascii="Arial" w:cs="Arial" w:eastAsia="Arial" w:hAnsi="Arial"/>
          <w:sz w:val="20"/>
          <w:szCs w:val="20"/>
          <w:color w:val="auto"/>
        </w:rPr>
        <w:t>: $50,000 per year for service as the</w:t>
      </w:r>
      <w:r>
        <w:rPr>
          <w:rFonts w:ascii="Arial" w:cs="Arial" w:eastAsia="Arial" w:hAnsi="Arial"/>
          <w:sz w:val="20"/>
          <w:szCs w:val="20"/>
          <w:b w:val="1"/>
          <w:bCs w:val="1"/>
          <w:color w:val="auto"/>
        </w:rPr>
        <w:t xml:space="preserve"> </w:t>
      </w:r>
      <w:r>
        <w:rPr>
          <w:rFonts w:ascii="Arial" w:cs="Arial" w:eastAsia="Arial" w:hAnsi="Arial"/>
          <w:sz w:val="20"/>
          <w:szCs w:val="20"/>
          <w:color w:val="auto"/>
        </w:rPr>
        <w:t>Non-Executive Chair of the Board.</w:t>
      </w:r>
    </w:p>
    <w:p>
      <w:pPr>
        <w:spacing w:after="0" w:line="136" w:lineRule="exact"/>
        <w:rPr>
          <w:rFonts w:ascii="Arial" w:cs="Arial" w:eastAsia="Arial" w:hAnsi="Arial"/>
          <w:sz w:val="20"/>
          <w:szCs w:val="20"/>
          <w:b w:val="1"/>
          <w:bCs w:val="1"/>
          <w:color w:val="auto"/>
        </w:rPr>
      </w:pPr>
    </w:p>
    <w:p>
      <w:pPr>
        <w:ind w:left="1300" w:right="160" w:hanging="644"/>
        <w:spacing w:after="0" w:line="288" w:lineRule="auto"/>
        <w:tabs>
          <w:tab w:leader="none" w:pos="1336"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Additional Annual Cash Retainer for Lead Independent Director</w:t>
      </w:r>
      <w:r>
        <w:rPr>
          <w:rFonts w:ascii="Arial" w:cs="Arial" w:eastAsia="Arial" w:hAnsi="Arial"/>
          <w:sz w:val="20"/>
          <w:szCs w:val="20"/>
          <w:color w:val="auto"/>
        </w:rPr>
        <w:t>: $50,000 per year for service as the Lead</w:t>
      </w:r>
      <w:r>
        <w:rPr>
          <w:rFonts w:ascii="Arial" w:cs="Arial" w:eastAsia="Arial" w:hAnsi="Arial"/>
          <w:sz w:val="20"/>
          <w:szCs w:val="20"/>
          <w:b w:val="1"/>
          <w:bCs w:val="1"/>
          <w:color w:val="auto"/>
        </w:rPr>
        <w:t xml:space="preserve"> </w:t>
      </w:r>
      <w:r>
        <w:rPr>
          <w:rFonts w:ascii="Arial" w:cs="Arial" w:eastAsia="Arial" w:hAnsi="Arial"/>
          <w:sz w:val="20"/>
          <w:szCs w:val="20"/>
          <w:color w:val="auto"/>
        </w:rPr>
        <w:t>Independent Director of the Board.</w:t>
      </w:r>
    </w:p>
    <w:p>
      <w:pPr>
        <w:spacing w:after="0" w:line="136" w:lineRule="exact"/>
        <w:rPr>
          <w:rFonts w:ascii="Arial" w:cs="Arial" w:eastAsia="Arial" w:hAnsi="Arial"/>
          <w:sz w:val="20"/>
          <w:szCs w:val="20"/>
          <w:b w:val="1"/>
          <w:bCs w:val="1"/>
          <w:color w:val="auto"/>
        </w:rPr>
      </w:pPr>
    </w:p>
    <w:p>
      <w:pPr>
        <w:ind w:left="1320" w:hanging="664"/>
        <w:spacing w:after="0"/>
        <w:tabs>
          <w:tab w:leader="none" w:pos="132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Additional Annualized Cash Retainers for Committee Membership</w:t>
      </w:r>
      <w:r>
        <w:rPr>
          <w:rFonts w:ascii="Arial" w:cs="Arial" w:eastAsia="Arial" w:hAnsi="Arial"/>
          <w:sz w:val="20"/>
          <w:szCs w:val="20"/>
          <w:color w:val="auto"/>
        </w:rPr>
        <w:t>:</w:t>
      </w:r>
    </w:p>
    <w:p>
      <w:pPr>
        <w:spacing w:after="0" w:line="285" w:lineRule="exact"/>
        <w:rPr>
          <w:sz w:val="20"/>
          <w:szCs w:val="20"/>
          <w:color w:val="auto"/>
        </w:rPr>
      </w:pPr>
    </w:p>
    <w:tbl>
      <w:tblPr>
        <w:tblLayout w:type="fixed"/>
        <w:tblInd w:w="1840" w:type="dxa"/>
        <w:tblCellMar>
          <w:top w:w="0" w:type="dxa"/>
          <w:left w:w="0" w:type="dxa"/>
          <w:bottom w:w="0" w:type="dxa"/>
          <w:right w:w="0" w:type="dxa"/>
        </w:tblCellMar>
      </w:tblPr>
      <w:tr>
        <w:trPr>
          <w:trHeight w:val="261"/>
        </w:trPr>
        <w:tc>
          <w:tcPr>
            <w:tcW w:w="4180" w:type="dxa"/>
            <w:vAlign w:val="bottom"/>
          </w:tcPr>
          <w:p>
            <w:pPr>
              <w:ind w:left="140"/>
              <w:spacing w:after="0"/>
              <w:rPr>
                <w:sz w:val="20"/>
                <w:szCs w:val="20"/>
                <w:color w:val="auto"/>
              </w:rPr>
            </w:pPr>
            <w:r>
              <w:rPr>
                <w:rFonts w:ascii="Arial" w:cs="Arial" w:eastAsia="Arial" w:hAnsi="Arial"/>
                <w:sz w:val="20"/>
                <w:szCs w:val="20"/>
                <w:i w:val="1"/>
                <w:iCs w:val="1"/>
                <w:color w:val="auto"/>
              </w:rPr>
              <w:t>Audit Committee</w:t>
            </w: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324"/>
        </w:trPr>
        <w:tc>
          <w:tcPr>
            <w:tcW w:w="4180" w:type="dxa"/>
            <w:vAlign w:val="bottom"/>
          </w:tcPr>
          <w:p>
            <w:pPr>
              <w:ind w:left="340"/>
              <w:spacing w:after="0"/>
              <w:rPr>
                <w:sz w:val="20"/>
                <w:szCs w:val="20"/>
                <w:color w:val="auto"/>
              </w:rPr>
            </w:pPr>
            <w:r>
              <w:rPr>
                <w:rFonts w:ascii="Arial" w:cs="Arial" w:eastAsia="Arial" w:hAnsi="Arial"/>
                <w:sz w:val="20"/>
                <w:szCs w:val="20"/>
                <w:color w:val="auto"/>
              </w:rPr>
              <w:t>Chair</w:t>
            </w:r>
          </w:p>
        </w:tc>
        <w:tc>
          <w:tcPr>
            <w:tcW w:w="8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35,000</w:t>
            </w:r>
          </w:p>
        </w:tc>
      </w:tr>
      <w:tr>
        <w:trPr>
          <w:trHeight w:val="297"/>
        </w:trPr>
        <w:tc>
          <w:tcPr>
            <w:tcW w:w="4180" w:type="dxa"/>
            <w:vAlign w:val="bottom"/>
          </w:tcPr>
          <w:p>
            <w:pPr>
              <w:ind w:left="340"/>
              <w:spacing w:after="0"/>
              <w:rPr>
                <w:sz w:val="20"/>
                <w:szCs w:val="20"/>
                <w:color w:val="auto"/>
              </w:rPr>
            </w:pPr>
            <w:r>
              <w:rPr>
                <w:rFonts w:ascii="Arial" w:cs="Arial" w:eastAsia="Arial" w:hAnsi="Arial"/>
                <w:sz w:val="20"/>
                <w:szCs w:val="20"/>
                <w:color w:val="auto"/>
              </w:rPr>
              <w:t>Member (Other than Chair)</w:t>
            </w:r>
          </w:p>
        </w:tc>
        <w:tc>
          <w:tcPr>
            <w:tcW w:w="8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17,500</w:t>
            </w:r>
          </w:p>
        </w:tc>
      </w:tr>
      <w:tr>
        <w:trPr>
          <w:trHeight w:val="495"/>
        </w:trPr>
        <w:tc>
          <w:tcPr>
            <w:tcW w:w="4180" w:type="dxa"/>
            <w:vAlign w:val="bottom"/>
          </w:tcPr>
          <w:p>
            <w:pPr>
              <w:ind w:left="140"/>
              <w:spacing w:after="0"/>
              <w:rPr>
                <w:sz w:val="20"/>
                <w:szCs w:val="20"/>
                <w:color w:val="auto"/>
              </w:rPr>
            </w:pPr>
            <w:r>
              <w:rPr>
                <w:rFonts w:ascii="Arial" w:cs="Arial" w:eastAsia="Arial" w:hAnsi="Arial"/>
                <w:sz w:val="20"/>
                <w:szCs w:val="20"/>
                <w:i w:val="1"/>
                <w:iCs w:val="1"/>
                <w:color w:val="auto"/>
              </w:rPr>
              <w:t>Nominating and Corporate Governance</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1"/>
        </w:trPr>
        <w:tc>
          <w:tcPr>
            <w:tcW w:w="4180" w:type="dxa"/>
            <w:vAlign w:val="bottom"/>
          </w:tcPr>
          <w:p>
            <w:pPr>
              <w:ind w:left="140"/>
              <w:spacing w:after="0"/>
              <w:rPr>
                <w:sz w:val="20"/>
                <w:szCs w:val="20"/>
                <w:color w:val="auto"/>
              </w:rPr>
            </w:pPr>
            <w:r>
              <w:rPr>
                <w:rFonts w:ascii="Arial" w:cs="Arial" w:eastAsia="Arial" w:hAnsi="Arial"/>
                <w:sz w:val="20"/>
                <w:szCs w:val="20"/>
                <w:i w:val="1"/>
                <w:iCs w:val="1"/>
                <w:color w:val="auto"/>
              </w:rPr>
              <w:t>Committee</w:t>
            </w: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306"/>
        </w:trPr>
        <w:tc>
          <w:tcPr>
            <w:tcW w:w="4180" w:type="dxa"/>
            <w:vAlign w:val="bottom"/>
          </w:tcPr>
          <w:p>
            <w:pPr>
              <w:ind w:left="340"/>
              <w:spacing w:after="0"/>
              <w:rPr>
                <w:sz w:val="20"/>
                <w:szCs w:val="20"/>
                <w:color w:val="auto"/>
              </w:rPr>
            </w:pPr>
            <w:r>
              <w:rPr>
                <w:rFonts w:ascii="Arial" w:cs="Arial" w:eastAsia="Arial" w:hAnsi="Arial"/>
                <w:sz w:val="20"/>
                <w:szCs w:val="20"/>
                <w:color w:val="auto"/>
              </w:rPr>
              <w:t>Chair</w:t>
            </w:r>
          </w:p>
        </w:tc>
        <w:tc>
          <w:tcPr>
            <w:tcW w:w="8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25,000</w:t>
            </w:r>
          </w:p>
        </w:tc>
      </w:tr>
      <w:tr>
        <w:trPr>
          <w:trHeight w:val="275"/>
        </w:trPr>
        <w:tc>
          <w:tcPr>
            <w:tcW w:w="4180" w:type="dxa"/>
            <w:vAlign w:val="bottom"/>
          </w:tcPr>
          <w:p>
            <w:pPr>
              <w:ind w:left="340"/>
              <w:spacing w:after="0"/>
              <w:rPr>
                <w:sz w:val="20"/>
                <w:szCs w:val="20"/>
                <w:color w:val="auto"/>
              </w:rPr>
            </w:pPr>
            <w:r>
              <w:rPr>
                <w:rFonts w:ascii="Arial" w:cs="Arial" w:eastAsia="Arial" w:hAnsi="Arial"/>
                <w:sz w:val="20"/>
                <w:szCs w:val="20"/>
                <w:color w:val="auto"/>
              </w:rPr>
              <w:t>Member (Other than Chair)</w:t>
            </w:r>
          </w:p>
        </w:tc>
        <w:tc>
          <w:tcPr>
            <w:tcW w:w="8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12,500</w:t>
            </w:r>
          </w:p>
        </w:tc>
      </w:tr>
      <w:tr>
        <w:trPr>
          <w:trHeight w:val="540"/>
        </w:trPr>
        <w:tc>
          <w:tcPr>
            <w:tcW w:w="4180" w:type="dxa"/>
            <w:vAlign w:val="bottom"/>
          </w:tcPr>
          <w:p>
            <w:pPr>
              <w:ind w:left="140"/>
              <w:spacing w:after="0"/>
              <w:rPr>
                <w:sz w:val="20"/>
                <w:szCs w:val="20"/>
                <w:color w:val="auto"/>
              </w:rPr>
            </w:pPr>
            <w:r>
              <w:rPr>
                <w:rFonts w:ascii="Arial" w:cs="Arial" w:eastAsia="Arial" w:hAnsi="Arial"/>
                <w:sz w:val="20"/>
                <w:szCs w:val="20"/>
                <w:i w:val="1"/>
                <w:iCs w:val="1"/>
                <w:color w:val="auto"/>
              </w:rPr>
              <w:t>People and Compensation Committee</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4180" w:type="dxa"/>
            <w:vAlign w:val="bottom"/>
          </w:tcPr>
          <w:p>
            <w:pPr>
              <w:ind w:left="340"/>
              <w:spacing w:after="0"/>
              <w:rPr>
                <w:sz w:val="20"/>
                <w:szCs w:val="20"/>
                <w:color w:val="auto"/>
              </w:rPr>
            </w:pPr>
            <w:r>
              <w:rPr>
                <w:rFonts w:ascii="Arial" w:cs="Arial" w:eastAsia="Arial" w:hAnsi="Arial"/>
                <w:sz w:val="20"/>
                <w:szCs w:val="20"/>
                <w:color w:val="auto"/>
              </w:rPr>
              <w:t>Chair</w:t>
            </w:r>
          </w:p>
        </w:tc>
        <w:tc>
          <w:tcPr>
            <w:tcW w:w="8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30,000</w:t>
            </w:r>
          </w:p>
        </w:tc>
      </w:tr>
      <w:tr>
        <w:trPr>
          <w:trHeight w:val="297"/>
        </w:trPr>
        <w:tc>
          <w:tcPr>
            <w:tcW w:w="4180" w:type="dxa"/>
            <w:vAlign w:val="bottom"/>
          </w:tcPr>
          <w:p>
            <w:pPr>
              <w:ind w:left="340"/>
              <w:spacing w:after="0"/>
              <w:rPr>
                <w:sz w:val="20"/>
                <w:szCs w:val="20"/>
                <w:color w:val="auto"/>
              </w:rPr>
            </w:pPr>
            <w:r>
              <w:rPr>
                <w:rFonts w:ascii="Arial" w:cs="Arial" w:eastAsia="Arial" w:hAnsi="Arial"/>
                <w:sz w:val="20"/>
                <w:szCs w:val="20"/>
                <w:color w:val="auto"/>
              </w:rPr>
              <w:t>Member (Other than Chair)</w:t>
            </w:r>
          </w:p>
        </w:tc>
        <w:tc>
          <w:tcPr>
            <w:tcW w:w="8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15,000</w:t>
            </w:r>
          </w:p>
        </w:tc>
      </w:tr>
      <w:tr>
        <w:trPr>
          <w:trHeight w:val="513"/>
        </w:trPr>
        <w:tc>
          <w:tcPr>
            <w:tcW w:w="4180" w:type="dxa"/>
            <w:vAlign w:val="bottom"/>
          </w:tcPr>
          <w:p>
            <w:pPr>
              <w:spacing w:after="0"/>
              <w:rPr>
                <w:sz w:val="20"/>
                <w:szCs w:val="20"/>
                <w:color w:val="auto"/>
              </w:rPr>
            </w:pPr>
            <w:r>
              <w:rPr>
                <w:rFonts w:ascii="Arial" w:cs="Arial" w:eastAsia="Arial" w:hAnsi="Arial"/>
                <w:sz w:val="20"/>
                <w:szCs w:val="20"/>
                <w:i w:val="1"/>
                <w:iCs w:val="1"/>
                <w:color w:val="auto"/>
              </w:rPr>
              <w:t>Safety, Risk and Regulatory Committee</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19"/>
        </w:trPr>
        <w:tc>
          <w:tcPr>
            <w:tcW w:w="4180" w:type="dxa"/>
            <w:vAlign w:val="bottom"/>
          </w:tcPr>
          <w:p>
            <w:pPr>
              <w:ind w:left="340"/>
              <w:spacing w:after="0"/>
              <w:rPr>
                <w:sz w:val="20"/>
                <w:szCs w:val="20"/>
                <w:color w:val="auto"/>
              </w:rPr>
            </w:pPr>
            <w:r>
              <w:rPr>
                <w:rFonts w:ascii="Arial" w:cs="Arial" w:eastAsia="Arial" w:hAnsi="Arial"/>
                <w:sz w:val="20"/>
                <w:szCs w:val="20"/>
                <w:color w:val="auto"/>
              </w:rPr>
              <w:t>Chair</w:t>
            </w:r>
          </w:p>
        </w:tc>
        <w:tc>
          <w:tcPr>
            <w:tcW w:w="8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30,000</w:t>
            </w:r>
          </w:p>
        </w:tc>
      </w:tr>
      <w:tr>
        <w:trPr>
          <w:trHeight w:val="275"/>
        </w:trPr>
        <w:tc>
          <w:tcPr>
            <w:tcW w:w="4180" w:type="dxa"/>
            <w:vAlign w:val="bottom"/>
          </w:tcPr>
          <w:p>
            <w:pPr>
              <w:ind w:left="340"/>
              <w:spacing w:after="0"/>
              <w:rPr>
                <w:sz w:val="20"/>
                <w:szCs w:val="20"/>
                <w:color w:val="auto"/>
              </w:rPr>
            </w:pPr>
            <w:r>
              <w:rPr>
                <w:rFonts w:ascii="Arial" w:cs="Arial" w:eastAsia="Arial" w:hAnsi="Arial"/>
                <w:sz w:val="20"/>
                <w:szCs w:val="20"/>
                <w:color w:val="auto"/>
              </w:rPr>
              <w:t>Member (Other than Chair)</w:t>
            </w:r>
          </w:p>
        </w:tc>
        <w:tc>
          <w:tcPr>
            <w:tcW w:w="8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15,000</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120"/>
          </w:cols>
          <w:pgMar w:left="320" w:top="1169" w:right="459" w:bottom="1440" w:gutter="0" w:footer="0" w:header="0"/>
        </w:sectPr>
      </w:pPr>
    </w:p>
    <w:p>
      <w:pPr>
        <w:spacing w:after="0" w:line="31" w:lineRule="exact"/>
        <w:rPr>
          <w:sz w:val="20"/>
          <w:szCs w:val="20"/>
          <w:color w:val="auto"/>
        </w:rPr>
      </w:pPr>
    </w:p>
    <w:p>
      <w:pPr>
        <w:spacing w:after="0"/>
        <w:tabs>
          <w:tab w:leader="none" w:pos="3200" w:val="left"/>
        </w:tabs>
        <w:rPr>
          <w:sz w:val="20"/>
          <w:szCs w:val="20"/>
          <w:color w:val="auto"/>
        </w:rPr>
      </w:pPr>
      <w:r>
        <w:rPr>
          <w:rFonts w:ascii="Arial" w:cs="Arial" w:eastAsia="Arial" w:hAnsi="Arial"/>
          <w:sz w:val="14"/>
          <w:szCs w:val="14"/>
          <w:color w:val="auto"/>
        </w:rPr>
        <w:t>Non-Employee Director Compensation Program</w:t>
        <w:tab/>
        <w:t>(Updated as of March 19, 2026)</w:t>
      </w:r>
    </w:p>
    <w:p>
      <w:pPr>
        <w:sectPr>
          <w:pgSz w:w="11900" w:h="16838" w:orient="portrait"/>
          <w:cols w:equalWidth="0" w:num="1">
            <w:col w:w="11120"/>
          </w:cols>
          <w:pgMar w:left="320" w:top="1169" w:right="459" w:bottom="1440" w:gutter="0" w:footer="0" w:header="0"/>
          <w:type w:val="continuous"/>
        </w:sectPr>
      </w:pPr>
    </w:p>
    <w:bookmarkStart w:id="136" w:name="page137"/>
    <w:bookmarkEnd w:id="136"/>
    <w:p>
      <w:pPr>
        <w:ind w:left="660" w:right="180" w:hanging="4"/>
        <w:spacing w:after="0" w:line="255" w:lineRule="auto"/>
        <w:tabs>
          <w:tab w:leader="none" w:pos="1122" w:val="left"/>
        </w:tabs>
        <w:numPr>
          <w:ilvl w:val="1"/>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Payment of Annual Retainers; Pro-Ration. </w:t>
      </w:r>
      <w:r>
        <w:rPr>
          <w:rFonts w:ascii="Arial" w:cs="Arial" w:eastAsia="Arial" w:hAnsi="Arial"/>
          <w:sz w:val="20"/>
          <w:szCs w:val="20"/>
          <w:color w:val="auto"/>
        </w:rPr>
        <w:t>The annual cash retainers listed above shall be paid in four equal</w:t>
      </w:r>
      <w:r>
        <w:rPr>
          <w:rFonts w:ascii="Arial" w:cs="Arial" w:eastAsia="Arial" w:hAnsi="Arial"/>
          <w:sz w:val="20"/>
          <w:szCs w:val="20"/>
          <w:b w:val="1"/>
          <w:bCs w:val="1"/>
          <w:color w:val="auto"/>
        </w:rPr>
        <w:t xml:space="preserve"> </w:t>
      </w:r>
      <w:r>
        <w:rPr>
          <w:rFonts w:ascii="Arial" w:cs="Arial" w:eastAsia="Arial" w:hAnsi="Arial"/>
          <w:sz w:val="20"/>
          <w:szCs w:val="20"/>
          <w:color w:val="auto"/>
        </w:rPr>
        <w:t>quarterly installments in arrears. Each installment shall be paid as soon as practicable on or following the final calendar day of each fiscal quarter (or, if earlier, a director’s final day of Board service). Cash retainers shall be pro-rated for any Non-Employee Director who assumes or vacates a position on the Board or any committee thereof during a fiscal quarter.</w:t>
      </w:r>
    </w:p>
    <w:p>
      <w:pPr>
        <w:spacing w:after="0" w:line="182" w:lineRule="exact"/>
        <w:rPr>
          <w:rFonts w:ascii="Arial" w:cs="Arial" w:eastAsia="Arial" w:hAnsi="Arial"/>
          <w:sz w:val="20"/>
          <w:szCs w:val="20"/>
          <w:b w:val="1"/>
          <w:bCs w:val="1"/>
          <w:color w:val="auto"/>
        </w:rPr>
      </w:pPr>
    </w:p>
    <w:p>
      <w:pPr>
        <w:ind w:left="660" w:hanging="4"/>
        <w:spacing w:after="0" w:line="250" w:lineRule="auto"/>
        <w:tabs>
          <w:tab w:leader="none" w:pos="1089" w:val="left"/>
        </w:tabs>
        <w:numPr>
          <w:ilvl w:val="1"/>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Election to Receive Equity Grants in Lieu of Cash Retainers. </w:t>
      </w:r>
      <w:r>
        <w:rPr>
          <w:rFonts w:ascii="Arial" w:cs="Arial" w:eastAsia="Arial" w:hAnsi="Arial"/>
          <w:sz w:val="20"/>
          <w:szCs w:val="20"/>
          <w:color w:val="auto"/>
        </w:rPr>
        <w:t>Each Non-Employee Director may elect to receive</w:t>
      </w:r>
      <w:r>
        <w:rPr>
          <w:rFonts w:ascii="Arial" w:cs="Arial" w:eastAsia="Arial" w:hAnsi="Arial"/>
          <w:sz w:val="20"/>
          <w:szCs w:val="20"/>
          <w:b w:val="1"/>
          <w:bCs w:val="1"/>
          <w:color w:val="auto"/>
        </w:rPr>
        <w:t xml:space="preserve"> </w:t>
      </w:r>
      <w:r>
        <w:rPr>
          <w:rFonts w:ascii="Arial" w:cs="Arial" w:eastAsia="Arial" w:hAnsi="Arial"/>
          <w:sz w:val="20"/>
          <w:szCs w:val="20"/>
          <w:color w:val="auto"/>
        </w:rPr>
        <w:t>all or a portion of his or her cash retainers in the form of restricted stock units (“</w:t>
      </w:r>
      <w:r>
        <w:rPr>
          <w:rFonts w:ascii="Arial" w:cs="Arial" w:eastAsia="Arial" w:hAnsi="Arial"/>
          <w:sz w:val="20"/>
          <w:szCs w:val="20"/>
          <w:b w:val="1"/>
          <w:bCs w:val="1"/>
          <w:color w:val="auto"/>
        </w:rPr>
        <w:t>RSUs</w:t>
      </w:r>
      <w:r>
        <w:rPr>
          <w:rFonts w:ascii="Arial" w:cs="Arial" w:eastAsia="Arial" w:hAnsi="Arial"/>
          <w:sz w:val="20"/>
          <w:szCs w:val="20"/>
          <w:color w:val="auto"/>
        </w:rPr>
        <w:t>”), which shall be fully vested upon grant, shall be issued under the Company’s 2021 Omnibus Incentive Plan (or any successor plan) (the “</w:t>
      </w:r>
      <w:r>
        <w:rPr>
          <w:rFonts w:ascii="Arial" w:cs="Arial" w:eastAsia="Arial" w:hAnsi="Arial"/>
          <w:sz w:val="20"/>
          <w:szCs w:val="20"/>
          <w:b w:val="1"/>
          <w:bCs w:val="1"/>
          <w:color w:val="auto"/>
        </w:rPr>
        <w:t>Plan</w:t>
      </w:r>
      <w:r>
        <w:rPr>
          <w:rFonts w:ascii="Arial" w:cs="Arial" w:eastAsia="Arial" w:hAnsi="Arial"/>
          <w:sz w:val="20"/>
          <w:szCs w:val="20"/>
          <w:color w:val="auto"/>
        </w:rPr>
        <w:t>”), shall be evidenced by an award agreement in the standard form approved by the Board prior to such grant, and shall cover the number of shares of the Company’s Class A common stock (“</w:t>
      </w:r>
      <w:r>
        <w:rPr>
          <w:rFonts w:ascii="Arial" w:cs="Arial" w:eastAsia="Arial" w:hAnsi="Arial"/>
          <w:sz w:val="20"/>
          <w:szCs w:val="20"/>
          <w:b w:val="1"/>
          <w:bCs w:val="1"/>
          <w:color w:val="auto"/>
        </w:rPr>
        <w:t>Common Stock</w:t>
      </w:r>
      <w:r>
        <w:rPr>
          <w:rFonts w:ascii="Arial" w:cs="Arial" w:eastAsia="Arial" w:hAnsi="Arial"/>
          <w:sz w:val="20"/>
          <w:szCs w:val="20"/>
          <w:color w:val="auto"/>
        </w:rPr>
        <w:t xml:space="preserve">”) having an aggregate Fair Market Value (as defined in the Plan) on the grant date equal to the amount (or applicable portion) of the cash retainer otherwise payable to him or her on such date, rounded down to the nearest whole share;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no Deferral Election (as defined below) is in effect by the Deferral Election Deadline (as defined below), such Grant in Lieu shall be granted under the Plan in the form of fully vested Common Stock, rather than as an RSU (whether granted as an RSU or as Common Stock, “</w:t>
      </w:r>
      <w:r>
        <w:rPr>
          <w:rFonts w:ascii="Arial" w:cs="Arial" w:eastAsia="Arial" w:hAnsi="Arial"/>
          <w:sz w:val="20"/>
          <w:szCs w:val="20"/>
          <w:b w:val="1"/>
          <w:bCs w:val="1"/>
          <w:color w:val="auto"/>
        </w:rPr>
        <w:t>Grants in Lieu</w:t>
      </w:r>
      <w:r>
        <w:rPr>
          <w:rFonts w:ascii="Arial" w:cs="Arial" w:eastAsia="Arial" w:hAnsi="Arial"/>
          <w:sz w:val="20"/>
          <w:szCs w:val="20"/>
          <w:color w:val="auto"/>
        </w:rPr>
        <w:t>”). Grants in Lieu shall occur automatically on the final calendar day of each fiscal quarter (or, if earlier, on the director’s final day of Board service) with respect to which a cash retainer would otherwise be payable. Any such election shall be made pursuant to a form of election (reasonably satisfactory to the Board) specifying the percentage of the Non-Employee Director’s cash retainers that he or she wishes to receive in the form of Grants in Lieu. Any such election must be received by the Corporate Secretary at least two weeks prior to the applicable grant date and shall remain in effect until revoked in writing by the Non-Employee Director; provided, however, that if a Deferral Election is in effect, any revocation of an election to receive Grants in Lieu shall not become effective until the following calendar year.</w:t>
      </w:r>
    </w:p>
    <w:p>
      <w:pPr>
        <w:spacing w:after="0" w:line="179" w:lineRule="exact"/>
        <w:rPr>
          <w:rFonts w:ascii="Arial" w:cs="Arial" w:eastAsia="Arial" w:hAnsi="Arial"/>
          <w:sz w:val="20"/>
          <w:szCs w:val="20"/>
          <w:b w:val="1"/>
          <w:bCs w:val="1"/>
          <w:color w:val="auto"/>
        </w:rPr>
      </w:pPr>
    </w:p>
    <w:p>
      <w:pPr>
        <w:ind w:left="640" w:hanging="632"/>
        <w:spacing w:after="0"/>
        <w:tabs>
          <w:tab w:leader="none" w:pos="64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Equity Awards</w:t>
      </w:r>
    </w:p>
    <w:p>
      <w:pPr>
        <w:spacing w:after="0" w:line="231" w:lineRule="exact"/>
        <w:rPr>
          <w:sz w:val="20"/>
          <w:szCs w:val="20"/>
          <w:color w:val="auto"/>
        </w:rPr>
      </w:pPr>
    </w:p>
    <w:p>
      <w:pPr>
        <w:jc w:val="both"/>
        <w:ind w:right="200"/>
        <w:spacing w:after="0" w:line="262" w:lineRule="auto"/>
        <w:rPr>
          <w:sz w:val="20"/>
          <w:szCs w:val="20"/>
          <w:color w:val="auto"/>
        </w:rPr>
      </w:pPr>
      <w:r>
        <w:rPr>
          <w:rFonts w:ascii="Arial" w:cs="Arial" w:eastAsia="Arial" w:hAnsi="Arial"/>
          <w:sz w:val="20"/>
          <w:szCs w:val="20"/>
          <w:color w:val="auto"/>
        </w:rPr>
        <w:t>Grants of equity awards to Non-Employee Directors pursuant to this Program shall be automatic and nondiscretionary (without the need for any additional corporate action by the Board or the People and Compensation Committee of the Board) and shall be made in accordance with Section 1.F above and the following provisions:</w:t>
      </w:r>
    </w:p>
    <w:p>
      <w:pPr>
        <w:spacing w:after="0" w:line="176" w:lineRule="exact"/>
        <w:rPr>
          <w:sz w:val="20"/>
          <w:szCs w:val="20"/>
          <w:color w:val="auto"/>
        </w:rPr>
      </w:pPr>
    </w:p>
    <w:p>
      <w:pPr>
        <w:ind w:left="660" w:right="160" w:hanging="4"/>
        <w:spacing w:after="0" w:line="250" w:lineRule="auto"/>
        <w:tabs>
          <w:tab w:leader="none" w:pos="1133"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Initial Equity Grant. </w:t>
      </w:r>
      <w:r>
        <w:rPr>
          <w:rFonts w:ascii="Arial" w:cs="Arial" w:eastAsia="Arial" w:hAnsi="Arial"/>
          <w:sz w:val="20"/>
          <w:szCs w:val="20"/>
          <w:color w:val="auto"/>
        </w:rPr>
        <w:t>Subject to Section 3 hereof, each Non-Employee Director who is first elected or appointed to</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shall automatically be granted, on the effective date of his or her election or appointment to the Board, an initial award of RSUs under the Plan in respect of a number of shares of Common Stock determined by dividing $290,000 by the Fair Market Value (as defined in the Plan) of a share of Common Stock on the date of grant, rounded down to the nearest whole share, and evidenced by an award agreement in the standard form approved by the Board prior to such grant (the “</w:t>
      </w:r>
      <w:r>
        <w:rPr>
          <w:rFonts w:ascii="Arial" w:cs="Arial" w:eastAsia="Arial" w:hAnsi="Arial"/>
          <w:sz w:val="20"/>
          <w:szCs w:val="20"/>
          <w:b w:val="1"/>
          <w:bCs w:val="1"/>
          <w:color w:val="auto"/>
        </w:rPr>
        <w:t>Initial Equity Grant</w:t>
      </w:r>
      <w:r>
        <w:rPr>
          <w:rFonts w:ascii="Arial" w:cs="Arial" w:eastAsia="Arial" w:hAnsi="Arial"/>
          <w:sz w:val="20"/>
          <w:szCs w:val="20"/>
          <w:color w:val="auto"/>
        </w:rPr>
        <w:t>”). The RSUs subject to the Initial Equity Grant shall vest in equal quarterly installments over approximately three years on each three-month anniversary of the first day of the first calendar month that commences on or after the applicable grant date, subject to such Non-Employee Director’s continued service as a Non-Employee Director through each such vesting date.</w:t>
      </w:r>
    </w:p>
    <w:p>
      <w:pPr>
        <w:spacing w:after="0" w:line="192" w:lineRule="exact"/>
        <w:rPr>
          <w:rFonts w:ascii="Arial" w:cs="Arial" w:eastAsia="Arial" w:hAnsi="Arial"/>
          <w:sz w:val="20"/>
          <w:szCs w:val="20"/>
          <w:b w:val="1"/>
          <w:bCs w:val="1"/>
          <w:color w:val="auto"/>
        </w:rPr>
      </w:pPr>
    </w:p>
    <w:p>
      <w:pPr>
        <w:ind w:left="660" w:right="320" w:hanging="4"/>
        <w:spacing w:after="0" w:line="263" w:lineRule="auto"/>
        <w:tabs>
          <w:tab w:leader="none" w:pos="1125"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Annual Equity Grant. </w:t>
      </w:r>
      <w:r>
        <w:rPr>
          <w:rFonts w:ascii="Arial" w:cs="Arial" w:eastAsia="Arial" w:hAnsi="Arial"/>
          <w:sz w:val="20"/>
          <w:szCs w:val="20"/>
          <w:color w:val="auto"/>
        </w:rPr>
        <w:t>Subject to Section 3 hereof, on the day of each regular annual meeting of the Company’s</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stockholders (each, an “</w:t>
      </w:r>
      <w:r>
        <w:rPr>
          <w:rFonts w:ascii="Arial" w:cs="Arial" w:eastAsia="Arial" w:hAnsi="Arial"/>
          <w:sz w:val="20"/>
          <w:szCs w:val="20"/>
          <w:b w:val="1"/>
          <w:bCs w:val="1"/>
          <w:color w:val="auto"/>
        </w:rPr>
        <w:t>Annual Meeting</w:t>
      </w:r>
      <w:r>
        <w:rPr>
          <w:rFonts w:ascii="Arial" w:cs="Arial" w:eastAsia="Arial" w:hAnsi="Arial"/>
          <w:sz w:val="20"/>
          <w:szCs w:val="20"/>
          <w:color w:val="auto"/>
        </w:rPr>
        <w:t>”), each Non-Employee Director who is continuing in service after the shareholder vote shall automatically be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31" w:lineRule="exact"/>
        <w:rPr>
          <w:sz w:val="20"/>
          <w:szCs w:val="20"/>
          <w:color w:val="auto"/>
        </w:rPr>
      </w:pPr>
    </w:p>
    <w:p>
      <w:pPr>
        <w:spacing w:after="0"/>
        <w:tabs>
          <w:tab w:leader="none" w:pos="3200" w:val="left"/>
        </w:tabs>
        <w:rPr>
          <w:sz w:val="20"/>
          <w:szCs w:val="20"/>
          <w:color w:val="auto"/>
        </w:rPr>
      </w:pPr>
      <w:r>
        <w:rPr>
          <w:rFonts w:ascii="Arial" w:cs="Arial" w:eastAsia="Arial" w:hAnsi="Arial"/>
          <w:sz w:val="14"/>
          <w:szCs w:val="14"/>
          <w:color w:val="auto"/>
        </w:rPr>
        <w:t>Non-Employee Director Compensation Program</w:t>
        <w:tab/>
        <w:t>(Updated as of March 19, 2026)</w:t>
      </w:r>
    </w:p>
    <w:p>
      <w:pPr>
        <w:sectPr>
          <w:pgSz w:w="11900" w:h="16838" w:orient="portrait"/>
          <w:cols w:equalWidth="0" w:num="1">
            <w:col w:w="11240"/>
          </w:cols>
          <w:pgMar w:left="320" w:top="1344" w:right="339" w:bottom="1440" w:gutter="0" w:footer="0" w:header="0"/>
        </w:sectPr>
      </w:pPr>
    </w:p>
    <w:bookmarkStart w:id="137" w:name="page138"/>
    <w:bookmarkEnd w:id="137"/>
    <w:p>
      <w:pPr>
        <w:ind w:left="660" w:right="60"/>
        <w:spacing w:after="0" w:line="267" w:lineRule="auto"/>
        <w:rPr>
          <w:sz w:val="20"/>
          <w:szCs w:val="20"/>
          <w:color w:val="auto"/>
        </w:rPr>
      </w:pPr>
      <w:r>
        <w:rPr>
          <w:rFonts w:ascii="Arial" w:cs="Arial" w:eastAsia="Arial" w:hAnsi="Arial"/>
          <w:sz w:val="19"/>
          <w:szCs w:val="19"/>
          <w:color w:val="auto"/>
        </w:rPr>
        <w:t>an annual award of RSUs under the Plan in respect of a number of shares of Common Stock determined by dividing $290,000 by the Fair Market Value (as defined in the Plan) of a share of Common Stock on the date of grant, rounded down to the nearest whole share, and evidenced by an award agreement in the standard form approved by the Board prior to such grant (the “</w:t>
      </w:r>
      <w:r>
        <w:rPr>
          <w:rFonts w:ascii="Arial" w:cs="Arial" w:eastAsia="Arial" w:hAnsi="Arial"/>
          <w:sz w:val="19"/>
          <w:szCs w:val="19"/>
          <w:b w:val="1"/>
          <w:bCs w:val="1"/>
          <w:color w:val="auto"/>
        </w:rPr>
        <w:t>Annual Equity Grant</w:t>
      </w:r>
      <w:r>
        <w:rPr>
          <w:rFonts w:ascii="Arial" w:cs="Arial" w:eastAsia="Arial" w:hAnsi="Arial"/>
          <w:sz w:val="19"/>
          <w:szCs w:val="19"/>
          <w:color w:val="auto"/>
        </w:rPr>
        <w:t>,” which term shall also encompass the pro-rated awards described in the paragraph immediately below). The RSUs subject to these full year Annual Equity Grants shall vest in four equal quarterly installments on each three-month anniversary of the first day of the first calendar month that commences on or after the applicable grant date, except that the fourth vesting date of each such Annual Equity Grant shall occur no later than the day prior to the date of the next Annual Meeting following the applicable grant date, in each case, subject to such Non-Employee Director’s continued service as a Non-Employee Director through each such vesting date.</w:t>
      </w:r>
    </w:p>
    <w:p>
      <w:pPr>
        <w:spacing w:after="0" w:line="161" w:lineRule="exact"/>
        <w:rPr>
          <w:sz w:val="20"/>
          <w:szCs w:val="20"/>
          <w:color w:val="auto"/>
        </w:rPr>
      </w:pPr>
    </w:p>
    <w:p>
      <w:pPr>
        <w:ind w:left="660" w:right="40" w:firstLine="648"/>
        <w:spacing w:after="0" w:line="264" w:lineRule="auto"/>
        <w:rPr>
          <w:sz w:val="20"/>
          <w:szCs w:val="20"/>
          <w:color w:val="auto"/>
        </w:rPr>
      </w:pPr>
      <w:r>
        <w:rPr>
          <w:rFonts w:ascii="Arial" w:cs="Arial" w:eastAsia="Arial" w:hAnsi="Arial"/>
          <w:sz w:val="19"/>
          <w:szCs w:val="19"/>
          <w:color w:val="auto"/>
        </w:rPr>
        <w:t>Subject to Section 3 hereof, any Non-Employee Director who joins the Board after the Effective Date other than on an Annual Meeting date shall (in addition to the Initial Equity Grant) automatically be granted on the date he or she joins the Board an award of RSUs under the Plan in respect of a number of shares of Common Stock with a target value determined by multiplying $ 290,000 by a fraction, the numerator of which is the number of days (the “</w:t>
      </w:r>
      <w:r>
        <w:rPr>
          <w:rFonts w:ascii="Arial" w:cs="Arial" w:eastAsia="Arial" w:hAnsi="Arial"/>
          <w:sz w:val="19"/>
          <w:szCs w:val="19"/>
          <w:b w:val="1"/>
          <w:bCs w:val="1"/>
          <w:color w:val="auto"/>
        </w:rPr>
        <w:t>Remaining Days</w:t>
      </w:r>
      <w:r>
        <w:rPr>
          <w:rFonts w:ascii="Arial" w:cs="Arial" w:eastAsia="Arial" w:hAnsi="Arial"/>
          <w:sz w:val="19"/>
          <w:szCs w:val="19"/>
          <w:color w:val="auto"/>
        </w:rPr>
        <w:t>”) from and including the date of grant to but excluding the one-year anniversary of the immediately preceding Annual Meeting date and the denominator of which is 365. The total number of RSUs granted shall be determined by dividing such target value by the Fair Market Value (as defined in the Plan) of a share of Common Stock on the date of grant, rounded down to the nearest whole share. Such RSUs shall vest in tandem with the remaining quarterly vesting dates applicable to a full-year award granted on the Annual Meeting date immediately preceding the date of grant (with the number of RSUs allocated to each vesting date determined so that the ratio of such number compared to the total number of RSUs is approximately equal to the ratio of the number of days of service in such vesting period compared to the total number of days from the date of grant to the final vesting date), subject to such Non-Employee Director’s continued service as a Non-Employee Director through each such vesting date.</w:t>
      </w:r>
    </w:p>
    <w:p>
      <w:pPr>
        <w:spacing w:after="0" w:line="181" w:lineRule="exact"/>
        <w:rPr>
          <w:sz w:val="20"/>
          <w:szCs w:val="20"/>
          <w:color w:val="auto"/>
        </w:rPr>
      </w:pPr>
    </w:p>
    <w:p>
      <w:pPr>
        <w:ind w:left="660" w:hanging="4"/>
        <w:spacing w:after="0" w:line="264" w:lineRule="auto"/>
        <w:tabs>
          <w:tab w:leader="none" w:pos="1133" w:val="left"/>
        </w:tabs>
        <w:numPr>
          <w:ilvl w:val="0"/>
          <w:numId w:val="4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Deferral of Equity Award Settlement. </w:t>
      </w:r>
      <w:r>
        <w:rPr>
          <w:rFonts w:ascii="Arial" w:cs="Arial" w:eastAsia="Arial" w:hAnsi="Arial"/>
          <w:sz w:val="19"/>
          <w:szCs w:val="19"/>
          <w:color w:val="auto"/>
        </w:rPr>
        <w:t>Each Non-Employee Director may elect to defer the settlement of any Initial</w:t>
      </w:r>
      <w:r>
        <w:rPr>
          <w:rFonts w:ascii="Arial" w:cs="Arial" w:eastAsia="Arial" w:hAnsi="Arial"/>
          <w:sz w:val="19"/>
          <w:szCs w:val="19"/>
          <w:b w:val="1"/>
          <w:bCs w:val="1"/>
          <w:color w:val="auto"/>
        </w:rPr>
        <w:t xml:space="preserve"> </w:t>
      </w:r>
      <w:r>
        <w:rPr>
          <w:rFonts w:ascii="Arial" w:cs="Arial" w:eastAsia="Arial" w:hAnsi="Arial"/>
          <w:sz w:val="19"/>
          <w:szCs w:val="19"/>
          <w:color w:val="auto"/>
        </w:rPr>
        <w:t>Equity Grant, Annual Equity Grant, or Grant in Lieu that would otherwise be settled on or following the date such grant vests pursuant to the terms of Sections 2.A, 2.B, and 1.F above (the “</w:t>
      </w:r>
      <w:r>
        <w:rPr>
          <w:rFonts w:ascii="Arial" w:cs="Arial" w:eastAsia="Arial" w:hAnsi="Arial"/>
          <w:sz w:val="19"/>
          <w:szCs w:val="19"/>
          <w:b w:val="1"/>
          <w:bCs w:val="1"/>
          <w:color w:val="auto"/>
        </w:rPr>
        <w:t>Deferral Election</w:t>
      </w:r>
      <w:r>
        <w:rPr>
          <w:rFonts w:ascii="Arial" w:cs="Arial" w:eastAsia="Arial" w:hAnsi="Arial"/>
          <w:sz w:val="19"/>
          <w:szCs w:val="19"/>
          <w:color w:val="auto"/>
        </w:rPr>
        <w:t xml:space="preserve">”). Unless otherwise determined by the Board, for any such Deferral Election to be effective, it must be submitted on or prior to December 31 of the year preceding the calendar year in which the applicable grant will be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any individual who first becomes a Non-Employee Director following the Effective Date, such Deferral Election must be submitted within 30 days after the individual first becomes a Non-Employee Director (such date, the “</w:t>
      </w:r>
      <w:r>
        <w:rPr>
          <w:rFonts w:ascii="Arial" w:cs="Arial" w:eastAsia="Arial" w:hAnsi="Arial"/>
          <w:sz w:val="19"/>
          <w:szCs w:val="19"/>
          <w:b w:val="1"/>
          <w:bCs w:val="1"/>
          <w:color w:val="auto"/>
        </w:rPr>
        <w:t>Deferral Election</w:t>
      </w:r>
      <w:r>
        <w:rPr>
          <w:rFonts w:ascii="Arial" w:cs="Arial" w:eastAsia="Arial" w:hAnsi="Arial"/>
          <w:sz w:val="19"/>
          <w:szCs w:val="19"/>
          <w:color w:val="auto"/>
        </w:rPr>
        <w:t xml:space="preserve"> </w:t>
      </w:r>
      <w:r>
        <w:rPr>
          <w:rFonts w:ascii="Arial" w:cs="Arial" w:eastAsia="Arial" w:hAnsi="Arial"/>
          <w:sz w:val="19"/>
          <w:szCs w:val="19"/>
          <w:b w:val="1"/>
          <w:bCs w:val="1"/>
          <w:color w:val="auto"/>
        </w:rPr>
        <w:t>Deadline</w:t>
      </w:r>
      <w:r>
        <w:rPr>
          <w:rFonts w:ascii="Arial" w:cs="Arial" w:eastAsia="Arial" w:hAnsi="Arial"/>
          <w:sz w:val="19"/>
          <w:szCs w:val="19"/>
          <w:color w:val="auto"/>
        </w:rPr>
        <w:t>”). Any Deferral Election shall be irrevocable with respect to the following calendar year and subject to such</w:t>
      </w:r>
      <w:r>
        <w:rPr>
          <w:rFonts w:ascii="Arial" w:cs="Arial" w:eastAsia="Arial" w:hAnsi="Arial"/>
          <w:sz w:val="19"/>
          <w:szCs w:val="19"/>
          <w:b w:val="1"/>
          <w:bCs w:val="1"/>
          <w:color w:val="auto"/>
        </w:rPr>
        <w:t xml:space="preserve"> </w:t>
      </w:r>
      <w:r>
        <w:rPr>
          <w:rFonts w:ascii="Arial" w:cs="Arial" w:eastAsia="Arial" w:hAnsi="Arial"/>
          <w:sz w:val="19"/>
          <w:szCs w:val="19"/>
          <w:color w:val="auto"/>
        </w:rPr>
        <w:t>rules, conditions and procedures as shall be determined by (or under the oversight of) the Board, in its sole discretion, which rules, conditions and procedures shall at all times comply with the requirements of Section 409A (as defined below), unless otherwise specifically determined by the Board. Deferral Elections shall be made pursuant to a form of deferral election reasonably satisfactory to the Board. Any Deferral Election shall remain in effect from year to year until revoked in writing by the Non-Employee Director, but any revocation shall become effective only with respect to RSUs that are granted in calendar years beginning after receipt and acceptance by the Company of a written revocation</w:t>
      </w:r>
      <w:r>
        <w:rPr>
          <w:rFonts w:ascii="Arial" w:cs="Arial" w:eastAsia="Arial" w:hAnsi="Arial"/>
          <w:sz w:val="19"/>
          <w:szCs w:val="19"/>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pacing w:after="0" w:line="31" w:lineRule="exact"/>
        <w:rPr>
          <w:sz w:val="20"/>
          <w:szCs w:val="20"/>
          <w:color w:val="auto"/>
        </w:rPr>
      </w:pPr>
    </w:p>
    <w:p>
      <w:pPr>
        <w:spacing w:after="0"/>
        <w:tabs>
          <w:tab w:leader="none" w:pos="3200" w:val="left"/>
        </w:tabs>
        <w:rPr>
          <w:sz w:val="20"/>
          <w:szCs w:val="20"/>
          <w:color w:val="auto"/>
        </w:rPr>
      </w:pPr>
      <w:r>
        <w:rPr>
          <w:rFonts w:ascii="Arial" w:cs="Arial" w:eastAsia="Arial" w:hAnsi="Arial"/>
          <w:sz w:val="14"/>
          <w:szCs w:val="14"/>
          <w:color w:val="auto"/>
        </w:rPr>
        <w:t>Non-Employee Director Compensation Program</w:t>
        <w:tab/>
        <w:t>(Updated as of March 19, 2026)</w:t>
      </w:r>
    </w:p>
    <w:p>
      <w:pPr>
        <w:sectPr>
          <w:pgSz w:w="11900" w:h="16838" w:orient="portrait"/>
          <w:cols w:equalWidth="0" w:num="1">
            <w:col w:w="11200"/>
          </w:cols>
          <w:pgMar w:left="320" w:top="1171" w:right="379" w:bottom="1440" w:gutter="0" w:footer="0" w:header="0"/>
        </w:sectPr>
      </w:pPr>
    </w:p>
    <w:bookmarkStart w:id="138" w:name="page139"/>
    <w:bookmarkEnd w:id="138"/>
    <w:p>
      <w:pPr>
        <w:ind w:left="660" w:hanging="4"/>
        <w:spacing w:after="0" w:line="263" w:lineRule="auto"/>
        <w:tabs>
          <w:tab w:leader="none" w:pos="1133" w:val="left"/>
        </w:tabs>
        <w:numPr>
          <w:ilvl w:val="1"/>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Change in Control Acceleration. </w:t>
      </w:r>
      <w:r>
        <w:rPr>
          <w:rFonts w:ascii="Arial" w:cs="Arial" w:eastAsia="Arial" w:hAnsi="Arial"/>
          <w:sz w:val="20"/>
          <w:szCs w:val="20"/>
          <w:color w:val="auto"/>
        </w:rPr>
        <w:t>In the event of a Change in Control (as defined in the Plan), all RSUs granted to</w:t>
      </w:r>
      <w:r>
        <w:rPr>
          <w:rFonts w:ascii="Arial" w:cs="Arial" w:eastAsia="Arial" w:hAnsi="Arial"/>
          <w:sz w:val="20"/>
          <w:szCs w:val="20"/>
          <w:b w:val="1"/>
          <w:bCs w:val="1"/>
          <w:color w:val="auto"/>
        </w:rPr>
        <w:t xml:space="preserve"> </w:t>
      </w:r>
      <w:r>
        <w:rPr>
          <w:rFonts w:ascii="Arial" w:cs="Arial" w:eastAsia="Arial" w:hAnsi="Arial"/>
          <w:sz w:val="20"/>
          <w:szCs w:val="20"/>
          <w:color w:val="auto"/>
        </w:rPr>
        <w:t>Non-Employee Directors pursuant to this Program shall, to the extent then outstanding and unvested, vest in full upon the Change of Control.</w:t>
      </w:r>
    </w:p>
    <w:p>
      <w:pPr>
        <w:spacing w:after="0" w:line="175" w:lineRule="exact"/>
        <w:rPr>
          <w:rFonts w:ascii="Arial" w:cs="Arial" w:eastAsia="Arial" w:hAnsi="Arial"/>
          <w:sz w:val="20"/>
          <w:szCs w:val="20"/>
          <w:b w:val="1"/>
          <w:bCs w:val="1"/>
          <w:color w:val="auto"/>
        </w:rPr>
      </w:pPr>
    </w:p>
    <w:p>
      <w:pPr>
        <w:ind w:left="640" w:hanging="632"/>
        <w:spacing w:after="0"/>
        <w:tabs>
          <w:tab w:leader="none" w:pos="64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Annual Compensation Limit</w:t>
      </w:r>
    </w:p>
    <w:p>
      <w:pPr>
        <w:spacing w:after="0" w:line="218"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No Non-Employee Director may be paid, issued or granted, in any calendar year, cash compensation and equity awards with an aggregate value greater than $1,000,000 (with the value of each equity award based on its grant date fair value (determined in accordance with U.S. generally accepted accounting principles) and counted toward this limit for the year in which it is granted). Any cash compensation paid or equity awards granted to an individual for his or her services as an employee or a consultant to the Company (other than as an Non-Employee Director) or any cash compensation paid or equity awards granted to an individual prior to the closing of the Company’s initial public offering, in each case, will not count for purposes of the limitation under this Program. Any cash compensation that is deferred will be counted toward this limit for the calendar year in which it was first earned, and not when paid or settled if later.</w:t>
      </w:r>
    </w:p>
    <w:p>
      <w:pPr>
        <w:spacing w:after="0" w:line="186"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Expenses.</w:t>
      </w:r>
    </w:p>
    <w:p>
      <w:pPr>
        <w:spacing w:after="0" w:line="218" w:lineRule="exact"/>
        <w:rPr>
          <w:sz w:val="20"/>
          <w:szCs w:val="20"/>
          <w:color w:val="auto"/>
        </w:rPr>
      </w:pPr>
    </w:p>
    <w:p>
      <w:pPr>
        <w:ind w:right="660"/>
        <w:spacing w:after="0" w:line="269" w:lineRule="auto"/>
        <w:rPr>
          <w:sz w:val="20"/>
          <w:szCs w:val="20"/>
          <w:color w:val="auto"/>
        </w:rPr>
      </w:pPr>
      <w:r>
        <w:rPr>
          <w:rFonts w:ascii="Arial" w:cs="Arial" w:eastAsia="Arial" w:hAnsi="Arial"/>
          <w:sz w:val="20"/>
          <w:szCs w:val="20"/>
          <w:color w:val="auto"/>
        </w:rPr>
        <w:t>The Company shall reimburse each Non-Employee Director for reasonable out-of-pocket expenses incurred in attending meetings of the Board or any committee thereof within a reasonable amount of time following submission by such Non-Employee Director of reasonable written substantiation for such expenses.</w:t>
      </w:r>
    </w:p>
    <w:p>
      <w:pPr>
        <w:spacing w:after="0" w:line="156" w:lineRule="exact"/>
        <w:rPr>
          <w:sz w:val="20"/>
          <w:szCs w:val="20"/>
          <w:color w:val="auto"/>
        </w:rPr>
      </w:pPr>
    </w:p>
    <w:p>
      <w:pPr>
        <w:ind w:left="640" w:hanging="632"/>
        <w:spacing w:after="0"/>
        <w:tabs>
          <w:tab w:leader="none" w:pos="64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Section 409A</w:t>
      </w:r>
      <w:r>
        <w:rPr>
          <w:rFonts w:ascii="Arial" w:cs="Arial" w:eastAsia="Arial" w:hAnsi="Arial"/>
          <w:sz w:val="20"/>
          <w:szCs w:val="20"/>
          <w:color w:val="auto"/>
        </w:rPr>
        <w:t>.</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This Program and all cash compensation and equity awards paid or granted pursuant to this Program are intended to meet the requirements of Section 409A of the Internal Revenue Code of 1986, as amended, including the rules and regulations promulgated thereunder, or any state law equivalent (“</w:t>
      </w:r>
      <w:r>
        <w:rPr>
          <w:rFonts w:ascii="Arial" w:cs="Arial" w:eastAsia="Arial" w:hAnsi="Arial"/>
          <w:sz w:val="20"/>
          <w:szCs w:val="20"/>
          <w:b w:val="1"/>
          <w:bCs w:val="1"/>
          <w:color w:val="auto"/>
        </w:rPr>
        <w:t>Section 409A</w:t>
      </w:r>
      <w:r>
        <w:rPr>
          <w:rFonts w:ascii="Arial" w:cs="Arial" w:eastAsia="Arial" w:hAnsi="Arial"/>
          <w:sz w:val="20"/>
          <w:szCs w:val="20"/>
          <w:color w:val="auto"/>
        </w:rPr>
        <w:t>”) and will be construed and interpreted in accordance with such intent, except as otherwise determined in the sole discretion of the Administrator. To the extent that an equity award or payment, or the settlement or deferral thereof, is subject to Section 409A, the equity award will be granted, paid, settled or deferred in a manner that will meet the requirements of Section 409A in order to avoid taxes or penalties under Section 409A. Each payment made pursuant to this Program shall be considered a separate payment for purposes of Section 409A. In no event will the Company reimburse a Non-Employee Director for any taxes imposed or other costs incurred as a result of Section 409A.</w:t>
      </w:r>
    </w:p>
    <w:p>
      <w:pPr>
        <w:spacing w:after="0" w:line="174" w:lineRule="exact"/>
        <w:rPr>
          <w:sz w:val="20"/>
          <w:szCs w:val="20"/>
          <w:color w:val="auto"/>
        </w:rPr>
      </w:pPr>
    </w:p>
    <w:p>
      <w:pPr>
        <w:ind w:left="640" w:hanging="632"/>
        <w:spacing w:after="0"/>
        <w:tabs>
          <w:tab w:leader="none" w:pos="64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Revisions</w:t>
      </w:r>
      <w:r>
        <w:rPr>
          <w:rFonts w:ascii="Arial" w:cs="Arial" w:eastAsia="Arial" w:hAnsi="Arial"/>
          <w:sz w:val="20"/>
          <w:szCs w:val="20"/>
          <w:color w:val="auto"/>
        </w:rPr>
        <w:t>.</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20"/>
          <w:szCs w:val="20"/>
          <w:color w:val="auto"/>
        </w:rPr>
        <w:t>The Board may amend, alter, suspend or terminate this Program at any time and for any reason. No amendment, alteration, suspension or termination of this Program shall materially impair the rights of a Non-Employee Director with respect to compensation that already has been paid or awarded, unless otherwise mutually agreed in writing between the Non-Employee Director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w:t>
      </w:r>
    </w:p>
    <w:p>
      <w:pPr>
        <w:spacing w:after="0" w:line="31" w:lineRule="exact"/>
        <w:rPr>
          <w:sz w:val="20"/>
          <w:szCs w:val="20"/>
          <w:color w:val="auto"/>
        </w:rPr>
      </w:pPr>
    </w:p>
    <w:p>
      <w:pPr>
        <w:spacing w:after="0"/>
        <w:tabs>
          <w:tab w:leader="none" w:pos="3200" w:val="left"/>
        </w:tabs>
        <w:rPr>
          <w:sz w:val="20"/>
          <w:szCs w:val="20"/>
          <w:color w:val="auto"/>
        </w:rPr>
      </w:pPr>
      <w:r>
        <w:rPr>
          <w:rFonts w:ascii="Arial" w:cs="Arial" w:eastAsia="Arial" w:hAnsi="Arial"/>
          <w:sz w:val="14"/>
          <w:szCs w:val="14"/>
          <w:color w:val="auto"/>
        </w:rPr>
        <w:t>Non-Employee Director Compensation Program</w:t>
        <w:tab/>
        <w:t>(Updated as of March 19, 2026)</w:t>
      </w:r>
    </w:p>
    <w:p>
      <w:pPr>
        <w:sectPr>
          <w:pgSz w:w="11900" w:h="16838" w:orient="portrait"/>
          <w:cols w:equalWidth="0" w:num="1">
            <w:col w:w="11180"/>
          </w:cols>
          <w:pgMar w:left="320" w:top="1169" w:right="39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line="283" w:lineRule="auto"/>
        <w:rPr>
          <w:sz w:val="20"/>
          <w:szCs w:val="20"/>
          <w:color w:val="auto"/>
        </w:rPr>
      </w:pPr>
      <w:r>
        <w:rPr>
          <w:rFonts w:ascii="Arial" w:cs="Arial" w:eastAsia="Arial" w:hAnsi="Arial"/>
          <w:sz w:val="18"/>
          <w:szCs w:val="18"/>
          <w:b w:val="1"/>
          <w:bCs w:val="1"/>
          <w:color w:val="auto"/>
        </w:rPr>
        <w:t>CERTIFICATION PURSUANT TO RULE 13a-14(a) AND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Vladimir Tenev, certify that:</w:t>
      </w:r>
    </w:p>
    <w:p>
      <w:pPr>
        <w:spacing w:after="0" w:line="19"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Robinhood Markets, Inc.;</w:t>
      </w:r>
    </w:p>
    <w:p>
      <w:pPr>
        <w:spacing w:after="0" w:line="36" w:lineRule="exact"/>
        <w:rPr>
          <w:rFonts w:ascii="Arial" w:cs="Arial" w:eastAsia="Arial" w:hAnsi="Arial"/>
          <w:sz w:val="18"/>
          <w:szCs w:val="18"/>
          <w:color w:val="auto"/>
        </w:rPr>
      </w:pPr>
    </w:p>
    <w:p>
      <w:pPr>
        <w:ind w:right="200" w:firstLine="8"/>
        <w:spacing w:after="0" w:line="276" w:lineRule="auto"/>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right="380" w:firstLine="8"/>
        <w:spacing w:after="0" w:line="295" w:lineRule="auto"/>
        <w:tabs>
          <w:tab w:leader="none" w:pos="4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40" w:firstLine="8"/>
        <w:spacing w:after="0" w:line="278" w:lineRule="auto"/>
        <w:tabs>
          <w:tab w:leader="none" w:pos="39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right="380" w:firstLine="200"/>
        <w:spacing w:after="0" w:line="276"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right="260"/>
        <w:spacing w:after="0" w:line="276" w:lineRule="auto"/>
        <w:rPr>
          <w:rFonts w:ascii="Arial" w:cs="Arial" w:eastAsia="Arial" w:hAnsi="Arial"/>
          <w:sz w:val="18"/>
          <w:szCs w:val="18"/>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jc w:val="both"/>
        <w:ind w:right="80" w:firstLine="208"/>
        <w:spacing w:after="0" w:line="279" w:lineRule="auto"/>
        <w:tabs>
          <w:tab w:leader="none" w:pos="5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right="220" w:firstLine="208"/>
        <w:spacing w:after="0" w:line="278" w:lineRule="auto"/>
        <w:tabs>
          <w:tab w:leader="none" w:pos="6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right="420" w:firstLine="8"/>
        <w:spacing w:after="0" w:line="276" w:lineRule="auto"/>
        <w:tabs>
          <w:tab w:leader="none" w:pos="39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8"/>
          <w:szCs w:val="18"/>
          <w:color w:val="auto"/>
        </w:rPr>
      </w:pPr>
    </w:p>
    <w:p>
      <w:pPr>
        <w:ind w:right="320" w:firstLine="208"/>
        <w:spacing w:after="0" w:line="273" w:lineRule="auto"/>
        <w:tabs>
          <w:tab w:leader="none" w:pos="59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right="560" w:firstLine="208"/>
        <w:spacing w:after="0" w:line="318" w:lineRule="auto"/>
        <w:tabs>
          <w:tab w:leader="none" w:pos="59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1D1C1D"/>
        </w:rPr>
        <w:t>Date: April 28, 2026</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1D1C1D"/>
        </w:rPr>
        <w:t>/s/</w:t>
      </w:r>
      <w:r>
        <w:rPr>
          <w:rFonts w:ascii="Arial" w:cs="Arial" w:eastAsia="Arial" w:hAnsi="Arial"/>
          <w:sz w:val="18"/>
          <w:szCs w:val="18"/>
          <w:color w:val="000000"/>
        </w:rPr>
        <w:t>Vladimir Tenev</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Vladimir Tenev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139"/>
          </w:cols>
          <w:pgMar w:left="320" w:top="1430"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line="283" w:lineRule="auto"/>
        <w:rPr>
          <w:sz w:val="20"/>
          <w:szCs w:val="20"/>
          <w:color w:val="auto"/>
        </w:rPr>
      </w:pPr>
      <w:r>
        <w:rPr>
          <w:rFonts w:ascii="Arial" w:cs="Arial" w:eastAsia="Arial" w:hAnsi="Arial"/>
          <w:sz w:val="18"/>
          <w:szCs w:val="18"/>
          <w:b w:val="1"/>
          <w:bCs w:val="1"/>
          <w:color w:val="auto"/>
        </w:rPr>
        <w:t>CERTIFICATION PURSUANT TO RULE 13a-14(a) AND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Shiv Verma, certify that:</w:t>
      </w:r>
    </w:p>
    <w:p>
      <w:pPr>
        <w:spacing w:after="0" w:line="19" w:lineRule="exact"/>
        <w:rPr>
          <w:sz w:val="20"/>
          <w:szCs w:val="20"/>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Robinhood Markets, Inc.;</w:t>
      </w:r>
    </w:p>
    <w:p>
      <w:pPr>
        <w:spacing w:after="0" w:line="36" w:lineRule="exact"/>
        <w:rPr>
          <w:rFonts w:ascii="Arial" w:cs="Arial" w:eastAsia="Arial" w:hAnsi="Arial"/>
          <w:sz w:val="18"/>
          <w:szCs w:val="18"/>
          <w:color w:val="auto"/>
        </w:rPr>
      </w:pPr>
    </w:p>
    <w:p>
      <w:pPr>
        <w:ind w:right="200" w:firstLine="8"/>
        <w:spacing w:after="0" w:line="276" w:lineRule="auto"/>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right="380" w:firstLine="8"/>
        <w:spacing w:after="0" w:line="295" w:lineRule="auto"/>
        <w:tabs>
          <w:tab w:leader="none" w:pos="4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40" w:firstLine="8"/>
        <w:spacing w:after="0" w:line="278" w:lineRule="auto"/>
        <w:tabs>
          <w:tab w:leader="none" w:pos="39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right="380" w:firstLine="200"/>
        <w:spacing w:after="0" w:line="276"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right="260"/>
        <w:spacing w:after="0" w:line="276" w:lineRule="auto"/>
        <w:rPr>
          <w:rFonts w:ascii="Arial" w:cs="Arial" w:eastAsia="Arial" w:hAnsi="Arial"/>
          <w:sz w:val="18"/>
          <w:szCs w:val="18"/>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jc w:val="both"/>
        <w:ind w:right="80" w:firstLine="208"/>
        <w:spacing w:after="0" w:line="279" w:lineRule="auto"/>
        <w:tabs>
          <w:tab w:leader="none" w:pos="59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right="220" w:firstLine="208"/>
        <w:spacing w:after="0" w:line="278" w:lineRule="auto"/>
        <w:tabs>
          <w:tab w:leader="none" w:pos="6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right="420" w:firstLine="8"/>
        <w:spacing w:after="0" w:line="276" w:lineRule="auto"/>
        <w:tabs>
          <w:tab w:leader="none" w:pos="39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8"/>
          <w:szCs w:val="18"/>
          <w:color w:val="auto"/>
        </w:rPr>
      </w:pPr>
    </w:p>
    <w:p>
      <w:pPr>
        <w:ind w:right="320" w:firstLine="208"/>
        <w:spacing w:after="0" w:line="273" w:lineRule="auto"/>
        <w:tabs>
          <w:tab w:leader="none" w:pos="59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right="560" w:firstLine="208"/>
        <w:spacing w:after="0" w:line="318" w:lineRule="auto"/>
        <w:tabs>
          <w:tab w:leader="none" w:pos="59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1D1C1D"/>
        </w:rPr>
        <w:t>Date: April 28, 2026</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1D1C1D"/>
        </w:rPr>
        <w:t>/s/Shiv Verma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1D1C1D"/>
        </w:rPr>
        <w:t>Shiv Verma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D1C1D"/>
        </w:rPr>
        <w:t>Chief Financial Officer</w:t>
      </w:r>
    </w:p>
    <w:p>
      <w:pPr>
        <w:sectPr>
          <w:pgSz w:w="11900" w:h="16838" w:orient="portrait"/>
          <w:cols w:equalWidth="0" w:num="1">
            <w:col w:w="10139"/>
          </w:cols>
          <w:pgMar w:left="320" w:top="1430" w:right="1440"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line="273" w:lineRule="auto"/>
        <w:rPr>
          <w:sz w:val="20"/>
          <w:szCs w:val="20"/>
          <w:color w:val="auto"/>
        </w:rPr>
      </w:pPr>
      <w:r>
        <w:rPr>
          <w:rFonts w:ascii="Arial" w:cs="Arial" w:eastAsia="Arial" w:hAnsi="Arial"/>
          <w:sz w:val="18"/>
          <w:szCs w:val="18"/>
          <w:b w:val="1"/>
          <w:bCs w:val="1"/>
          <w:color w:val="1D1C1D"/>
        </w:rPr>
        <w:t>CERTIFICATION BY THE CHIEF EXECUTIVE OFFICER PURSUANT TO 18 U.S.C. SECTION 1350, AS ADOPTED PURSUANT TO SECTION 906 OF THE SARBANES-OXLEY ACT OF 2002</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Pursuant to 18 U.S.C. Section 1350, I, Vladimir Tenev, hereby certify that, to the best of my knowledge, Robinhood Markets, Inc.’s Quarterly Report on Form 10-Q for the quarterly period ended </w:t>
      </w:r>
      <w:r>
        <w:rPr>
          <w:rFonts w:ascii="Arial" w:cs="Arial" w:eastAsia="Arial" w:hAnsi="Arial"/>
          <w:sz w:val="18"/>
          <w:szCs w:val="18"/>
          <w:color w:val="1D1C1D"/>
        </w:rPr>
        <w:t>March 31, 2026</w:t>
      </w:r>
      <w:r>
        <w:rPr>
          <w:rFonts w:ascii="Arial" w:cs="Arial" w:eastAsia="Arial" w:hAnsi="Arial"/>
          <w:sz w:val="18"/>
          <w:szCs w:val="18"/>
          <w:color w:val="auto"/>
        </w:rPr>
        <w:t xml:space="preserve"> (the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1D1C1D"/>
        </w:rPr>
        <w:t>Date: April 28, 2026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/s/Vladimir Tenev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D1C1D"/>
        </w:rPr>
        <w:t>Vladimir Tenev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D1C1D"/>
        </w:rPr>
        <w:t>Chief Executive Officer</w:t>
      </w:r>
    </w:p>
    <w:p>
      <w:pPr>
        <w:sectPr>
          <w:pgSz w:w="11900" w:h="16838" w:orient="portrait"/>
          <w:cols w:equalWidth="0" w:num="1">
            <w:col w:w="11240"/>
          </w:cols>
          <w:pgMar w:left="320" w:top="121"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1D1C1D"/>
        </w:rPr>
        <w:t>CERTIFICATION BY THE CHIEF FINANCIAL OFFICER PURSUANT TO 18 U.S.C. SECTION 1350, AS ADOPTED PURSUANT TO SECTION 906 OF THE SARBANES-OXLEY ACT OF 2002</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Pursuant to 18 U.S.C. Section 1350, I, Shiv Verma, hereby certify that, to the best of my knowledge, Robinhood Markets, Inc.’s Quarterly Report on Form 10-Q for the quarterly period ended </w:t>
      </w:r>
      <w:r>
        <w:rPr>
          <w:rFonts w:ascii="Arial" w:cs="Arial" w:eastAsia="Arial" w:hAnsi="Arial"/>
          <w:sz w:val="18"/>
          <w:szCs w:val="18"/>
          <w:color w:val="1D1C1D"/>
        </w:rPr>
        <w:t>March 31, 2026</w:t>
      </w:r>
      <w:r>
        <w:rPr>
          <w:rFonts w:ascii="Arial" w:cs="Arial" w:eastAsia="Arial" w:hAnsi="Arial"/>
          <w:sz w:val="18"/>
          <w:szCs w:val="18"/>
          <w:color w:val="auto"/>
        </w:rPr>
        <w:t xml:space="preserve"> (the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1D1C1D"/>
        </w:rPr>
        <w:t>Date: April 28, 2026</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1D1C1D"/>
        </w:rPr>
        <w:t>/s/Shiv Verma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1D1C1D"/>
        </w:rPr>
        <w:t>Shiv Verma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D1C1D"/>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decimal"/>
      <w:start w:val="40"/>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lowerRoman"/>
      <w:start w:val="3"/>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upperLetter"/>
      <w:start w:val="1"/>
    </w:lvl>
  </w:abstractNum>
  <w:abstractNum w:abstractNumId="41">
    <w:nsid w:val="684A481A"/>
    <w:multiLevelType w:val="hybridMultilevel"/>
    <w:lvl w:ilvl="0">
      <w:lvlJc w:val="left"/>
      <w:lvlText w:val="%1"/>
      <w:numFmt w:val="decimal"/>
      <w:start w:val="1"/>
    </w:lvl>
    <w:lvl w:ilvl="1">
      <w:lvlJc w:val="left"/>
      <w:lvlText w:val="%2."/>
      <w:numFmt w:val="upperLetter"/>
      <w:start w:val="5"/>
    </w:lvl>
  </w:abstractNum>
  <w:abstractNum w:abstractNumId="42">
    <w:nsid w:val="579478FE"/>
    <w:multiLevelType w:val="hybridMultilevel"/>
    <w:lvl w:ilvl="0">
      <w:lvlJc w:val="left"/>
      <w:lvlText w:val="%1."/>
      <w:numFmt w:val="decimal"/>
      <w:start w:val="2"/>
    </w:lvl>
    <w:lvl w:ilvl="1">
      <w:lvlJc w:val="left"/>
      <w:lvlText w:val="%2"/>
      <w:numFmt w:val="upperLetter"/>
      <w:start w:val="1"/>
    </w:lvl>
  </w:abstractNum>
  <w:abstractNum w:abstractNumId="43">
    <w:nsid w:val="749ABB43"/>
    <w:multiLevelType w:val="hybridMultilevel"/>
    <w:lvl w:ilvl="0">
      <w:lvlJc w:val="left"/>
      <w:lvlText w:val="%1."/>
      <w:numFmt w:val="upperLetter"/>
      <w:start w:val="1"/>
    </w:lvl>
  </w:abstractNum>
  <w:abstractNum w:abstractNumId="44">
    <w:nsid w:val="3DC240FB"/>
    <w:multiLevelType w:val="hybridMultilevel"/>
    <w:lvl w:ilvl="0">
      <w:lvlJc w:val="left"/>
      <w:lvlText w:val="%1."/>
      <w:numFmt w:val="upperLetter"/>
      <w:start w:val="3"/>
    </w:lvl>
  </w:abstractNum>
  <w:abstractNum w:abstractNumId="45">
    <w:nsid w:val="1BA026FA"/>
    <w:multiLevelType w:val="hybridMultilevel"/>
    <w:lvl w:ilvl="0">
      <w:lvlJc w:val="left"/>
      <w:lvlText w:val="%1"/>
      <w:numFmt w:val="decimal"/>
      <w:start w:val="1"/>
    </w:lvl>
    <w:lvl w:ilvl="1">
      <w:lvlJc w:val="left"/>
      <w:lvlText w:val="%2."/>
      <w:numFmt w:val="upperLetter"/>
      <w:start w:val="4"/>
    </w:lvl>
  </w:abstractNum>
  <w:abstractNum w:abstractNumId="46">
    <w:nsid w:val="79A1DEAA"/>
    <w:multiLevelType w:val="hybridMultilevel"/>
    <w:lvl w:ilvl="0">
      <w:lvlJc w:val="left"/>
      <w:lvlText w:val="%1."/>
      <w:numFmt w:val="decimal"/>
      <w:start w:val="3"/>
    </w:lvl>
    <w:lvl w:ilvl="1">
      <w:lvlJc w:val="left"/>
      <w:lvlText w:val="%2"/>
      <w:numFmt w:val="upperLetter"/>
      <w:start w:val="1"/>
    </w:lvl>
  </w:abstractNum>
  <w:abstractNum w:abstractNumId="47">
    <w:nsid w:val="75C6C33A"/>
    <w:multiLevelType w:val="hybridMultilevel"/>
    <w:lvl w:ilvl="0">
      <w:lvlJc w:val="left"/>
      <w:lvlText w:val="%1."/>
      <w:numFmt w:val="decimal"/>
      <w:start w:val="4"/>
    </w:lvl>
  </w:abstractNum>
  <w:abstractNum w:abstractNumId="48">
    <w:nsid w:val="12E685FB"/>
    <w:multiLevelType w:val="hybridMultilevel"/>
    <w:lvl w:ilvl="0">
      <w:lvlJc w:val="left"/>
      <w:lvlText w:val="%1."/>
      <w:numFmt w:val="decimal"/>
      <w:start w:val="5"/>
    </w:lvl>
  </w:abstractNum>
  <w:abstractNum w:abstractNumId="49">
    <w:nsid w:val="70C6A529"/>
    <w:multiLevelType w:val="hybridMultilevel"/>
    <w:lvl w:ilvl="0">
      <w:lvlJc w:val="left"/>
      <w:lvlText w:val="%1."/>
      <w:numFmt w:val="decimal"/>
      <w:start w:val="6"/>
    </w:lvl>
  </w:abstractNum>
  <w:abstractNum w:abstractNumId="50">
    <w:nsid w:val="520EEDD1"/>
    <w:multiLevelType w:val="hybridMultilevel"/>
    <w:lvl w:ilvl="0">
      <w:lvlJc w:val="left"/>
      <w:lvlText w:val="%1."/>
      <w:numFmt w:val="decimal"/>
      <w:start w:val="1"/>
    </w:lvl>
    <w:lvl w:ilvl="1">
      <w:lvlJc w:val="left"/>
      <w:lvlText w:val="%2"/>
      <w:numFmt w:val="lowerLetter"/>
      <w:start w:val="1"/>
    </w:lvl>
  </w:abstractNum>
  <w:abstractNum w:abstractNumId="51">
    <w:nsid w:val="374A3FE6"/>
    <w:multiLevelType w:val="hybridMultilevel"/>
    <w:lvl w:ilvl="0">
      <w:lvlJc w:val="left"/>
      <w:lvlText w:val="%1"/>
      <w:numFmt w:val="decimal"/>
      <w:start w:val="1"/>
    </w:lvl>
    <w:lvl w:ilvl="1">
      <w:lvlJc w:val="left"/>
      <w:lvlText w:val="%2."/>
      <w:numFmt w:val="lowerLetter"/>
      <w:start w:val="3"/>
    </w:lvl>
  </w:abstractNum>
  <w:abstractNum w:abstractNumId="52">
    <w:nsid w:val="4F4EF005"/>
    <w:multiLevelType w:val="hybridMultilevel"/>
    <w:lvl w:ilvl="0">
      <w:lvlJc w:val="left"/>
      <w:lvlText w:val="%1."/>
      <w:numFmt w:val="decimal"/>
      <w:start w:val="5"/>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3"/>
    </w:lvl>
  </w:abstractNum>
  <w:abstractNum w:abstractNumId="55">
    <w:nsid w:val="275AC794"/>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63" Type="http://schemas.openxmlformats.org/officeDocument/2006/relationships/hyperlink" Target="https://www.sec.gov/Archives/edgar/data/0001783879/000162828021015177/exhibit31-8xkx8221.htm" TargetMode="External"/><Relationship Id="rId164" Type="http://schemas.openxmlformats.org/officeDocument/2006/relationships/hyperlink" Target="https://www.sec.gov/Archives/edgar/data/1783879/000178387922000044/exhibit32.htm" TargetMode="External"/><Relationship Id="rId165" Type="http://schemas.openxmlformats.org/officeDocument/2006/relationships/hyperlink" Target="https://www.sec.gov/Archives/edgar/data/1783879/000162828021013986/exhibit41-sx1a1.htm" TargetMode="External"/><Relationship Id="rId166" Type="http://schemas.openxmlformats.org/officeDocument/2006/relationships/hyperlink" Target="https://www.sec.gov/Archives/edgar/data/1783879/000162828021013318/exhibit42-sx1.htm" TargetMode="External"/><Relationship Id="rId167" Type="http://schemas.openxmlformats.org/officeDocument/2006/relationships/hyperlink" Target="https://www.sec.gov/Archives/edgar/data/1783879/000178387926000029/exhibit1027.htm" TargetMode="External"/><Relationship Id="rId168" Type="http://schemas.openxmlformats.org/officeDocument/2006/relationships/hyperlink" Target="https://www.sec.gov/Archives/edgar/data/1783879/000178387926000045/ex101-rhsxfiftharcredit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2026-04-29T05:08:53Z</dcterms:created>
  <dcterms:modified xsi:type="dcterms:W3CDTF">2026-04-29T05:08:53Z</dcterms:modified>
</cp:coreProperties>
</file>