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Robinhood Markets,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770700102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Ventures VI (Jersey) L.P.</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63,019,872 (1)</w:t>
            </w: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9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63,019,872 (1)</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63,019,872 (1)</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8.3%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Ventures VI (Jersey) L.P. (“</w:t>
      </w:r>
      <w:r>
        <w:rPr>
          <w:rFonts w:ascii="Times New Roman" w:cs="Times New Roman" w:eastAsia="Times New Roman" w:hAnsi="Times New Roman"/>
          <w:sz w:val="18"/>
          <w:szCs w:val="18"/>
          <w:b w:val="1"/>
          <w:bCs w:val="1"/>
          <w:color w:val="auto"/>
        </w:rPr>
        <w:t>Index Ventures VI</w:t>
      </w:r>
      <w:r>
        <w:rPr>
          <w:rFonts w:ascii="Times New Roman" w:cs="Times New Roman" w:eastAsia="Times New Roman" w:hAnsi="Times New Roman"/>
          <w:sz w:val="18"/>
          <w:szCs w:val="18"/>
          <w:color w:val="auto"/>
        </w:rPr>
        <w:t>”) directly owns 63,019,872 shares of the Issuer’s 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04"/>
          </w:cols>
          <w:pgMar w:left="436" w:top="268" w:right="45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3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Ventures VI Parallel Entrepreneur Fund (Jersey) L.P.</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1,272,032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1,272,032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1,272,032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0.2%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60" w:hanging="424"/>
        <w:spacing w:after="0" w:line="26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Ventures VI Parallel Entrepreneur Fund (Jersey) L.P. (“</w:t>
      </w:r>
      <w:r>
        <w:rPr>
          <w:rFonts w:ascii="Times New Roman" w:cs="Times New Roman" w:eastAsia="Times New Roman" w:hAnsi="Times New Roman"/>
          <w:sz w:val="18"/>
          <w:szCs w:val="18"/>
          <w:b w:val="1"/>
          <w:bCs w:val="1"/>
          <w:color w:val="auto"/>
        </w:rPr>
        <w:t>Index Ventures VI Parallel</w:t>
      </w:r>
      <w:r>
        <w:rPr>
          <w:rFonts w:ascii="Times New Roman" w:cs="Times New Roman" w:eastAsia="Times New Roman" w:hAnsi="Times New Roman"/>
          <w:sz w:val="18"/>
          <w:szCs w:val="18"/>
          <w:color w:val="auto"/>
        </w:rPr>
        <w:t>” and together with Index Ventures VI, the “</w:t>
      </w:r>
      <w:r>
        <w:rPr>
          <w:rFonts w:ascii="Times New Roman" w:cs="Times New Roman" w:eastAsia="Times New Roman" w:hAnsi="Times New Roman"/>
          <w:sz w:val="18"/>
          <w:szCs w:val="18"/>
          <w:b w:val="1"/>
          <w:bCs w:val="1"/>
          <w:color w:val="auto"/>
        </w:rPr>
        <w:t>Index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directly owns 1,272,032 shares of the Issuer’s Class A Common Stock. The percent of class was calculated based on 758,805,255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4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 Associates VI Limited</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65,105,720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65,105,720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65,105,720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8.6%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 w:hanging="424"/>
        <w:spacing w:after="0" w:line="259"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 Associates VI Limited (“</w:t>
      </w:r>
      <w:r>
        <w:rPr>
          <w:rFonts w:ascii="Times New Roman" w:cs="Times New Roman" w:eastAsia="Times New Roman" w:hAnsi="Times New Roman"/>
          <w:sz w:val="18"/>
          <w:szCs w:val="18"/>
          <w:b w:val="1"/>
          <w:bCs w:val="1"/>
          <w:color w:val="auto"/>
        </w:rPr>
        <w:t>IVA VI</w:t>
      </w:r>
      <w:r>
        <w:rPr>
          <w:rFonts w:ascii="Times New Roman" w:cs="Times New Roman" w:eastAsia="Times New Roman" w:hAnsi="Times New Roman"/>
          <w:sz w:val="18"/>
          <w:szCs w:val="18"/>
          <w:color w:val="auto"/>
        </w:rPr>
        <w:t>”) may be deemed to beneficially own an aggregate of 65,105,720 shares of Class A Common Stock, consisting of (i) 64,291,904 shares of Class A Common Stock held directly by the Index VI Funds and (ii) 813,816 shares of Class A Common Stock held directly by Yucca.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5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Ventures Growth III (Jersey), L.P.</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9,266,868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9,266,868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9,266,868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80" w:hanging="424"/>
        <w:spacing w:after="0" w:line="26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Ventures Growth III (Jersey), L.P. (“</w:t>
      </w:r>
      <w:r>
        <w:rPr>
          <w:rFonts w:ascii="Times New Roman" w:cs="Times New Roman" w:eastAsia="Times New Roman" w:hAnsi="Times New Roman"/>
          <w:sz w:val="18"/>
          <w:szCs w:val="18"/>
          <w:b w:val="1"/>
          <w:bCs w:val="1"/>
          <w:color w:val="auto"/>
        </w:rPr>
        <w:t>Index Growth III</w:t>
      </w:r>
      <w:r>
        <w:rPr>
          <w:rFonts w:ascii="Times New Roman" w:cs="Times New Roman" w:eastAsia="Times New Roman" w:hAnsi="Times New Roman"/>
          <w:sz w:val="18"/>
          <w:szCs w:val="18"/>
          <w:color w:val="auto"/>
        </w:rPr>
        <w:t>”) directly owns 9,266,868 shares of the Issuer’s Class A Common Stock.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6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 Growth Associates III Limited</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9,407,970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9,407,970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9,407,970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 w:hanging="424"/>
        <w:spacing w:after="0" w:line="259"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 Growth Associates III Limited (“</w:t>
      </w:r>
      <w:r>
        <w:rPr>
          <w:rFonts w:ascii="Times New Roman" w:cs="Times New Roman" w:eastAsia="Times New Roman" w:hAnsi="Times New Roman"/>
          <w:sz w:val="18"/>
          <w:szCs w:val="18"/>
          <w:b w:val="1"/>
          <w:bCs w:val="1"/>
          <w:color w:val="auto"/>
        </w:rPr>
        <w:t>IVGA III</w:t>
      </w:r>
      <w:r>
        <w:rPr>
          <w:rFonts w:ascii="Times New Roman" w:cs="Times New Roman" w:eastAsia="Times New Roman" w:hAnsi="Times New Roman"/>
          <w:sz w:val="18"/>
          <w:szCs w:val="18"/>
          <w:color w:val="auto"/>
        </w:rPr>
        <w:t>”) may be deemed to beneficially own an aggregate of 9,407,970 shares of Class A Common Stock, consisting of (i) 9,266,868 shares of Class A Common Stock held directly by Index Growth III and (ii) 141,102 shares of Class A Common Stock held directly by Yucca.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7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Ventures Growth V (Jersey), L.P.</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2,148,312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2,148,312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2,148,312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0.3%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80" w:hanging="424"/>
        <w:spacing w:after="0" w:line="259"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Ventures Growth V (Jersey), L.P. (“</w:t>
      </w:r>
      <w:r>
        <w:rPr>
          <w:rFonts w:ascii="Times New Roman" w:cs="Times New Roman" w:eastAsia="Times New Roman" w:hAnsi="Times New Roman"/>
          <w:sz w:val="18"/>
          <w:szCs w:val="18"/>
          <w:b w:val="1"/>
          <w:bCs w:val="1"/>
          <w:color w:val="auto"/>
        </w:rPr>
        <w:t>Index Growth V</w:t>
      </w:r>
      <w:r>
        <w:rPr>
          <w:rFonts w:ascii="Times New Roman" w:cs="Times New Roman" w:eastAsia="Times New Roman" w:hAnsi="Times New Roman"/>
          <w:sz w:val="18"/>
          <w:szCs w:val="18"/>
          <w:color w:val="auto"/>
        </w:rPr>
        <w:t>” and together with the Index VI Funds and Index Growth III, the “</w:t>
      </w:r>
      <w:r>
        <w:rPr>
          <w:rFonts w:ascii="Times New Roman" w:cs="Times New Roman" w:eastAsia="Times New Roman" w:hAnsi="Times New Roman"/>
          <w:sz w:val="18"/>
          <w:szCs w:val="18"/>
          <w:b w:val="1"/>
          <w:bCs w:val="1"/>
          <w:color w:val="auto"/>
        </w:rPr>
        <w:t>Index Venture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directly owns (i) 1,874,816 shares of the Issuer’s Class A Common Stock and (ii) 273,496 shares of Class A Common Stock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exercisable within 60 days of December 31, 2022.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8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Index Venture Growth Associates V Limited</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2,214,754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2,214,754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2,214,754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0.3%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60"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 Growth Associates V Limited (“</w:t>
      </w:r>
      <w:r>
        <w:rPr>
          <w:rFonts w:ascii="Times New Roman" w:cs="Times New Roman" w:eastAsia="Times New Roman" w:hAnsi="Times New Roman"/>
          <w:sz w:val="18"/>
          <w:szCs w:val="18"/>
          <w:b w:val="1"/>
          <w:bCs w:val="1"/>
          <w:color w:val="auto"/>
        </w:rPr>
        <w:t>IVGA V</w:t>
      </w:r>
      <w:r>
        <w:rPr>
          <w:rFonts w:ascii="Times New Roman" w:cs="Times New Roman" w:eastAsia="Times New Roman" w:hAnsi="Times New Roman"/>
          <w:sz w:val="18"/>
          <w:szCs w:val="18"/>
          <w:color w:val="auto"/>
        </w:rPr>
        <w:t>”) may be deemed to beneficially own an aggregate of 2,214,754 shares of Class A Common, consisting of (i) 1,874,816 shares of Class A Common Stock held directly by Index Growth V, (ii) 273,496 shares of Class A Common Stock underlying Warrants held directly by Index Growth V, (iii) 57,984 shares of Class A Common Stock held directly by Yucca and (iv) 8,458 shares of Class A Common Stock underlying Warrants held directly by Yucca.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8" w:name="page9"/>
    <w:bookmarkEnd w:id="8"/>
    <w:tbl>
      <w:tblPr>
        <w:tblLayout w:type="fixed"/>
        <w:tblInd w:w="14" w:type="dxa"/>
        <w:tblCellMar>
          <w:top w:w="0" w:type="dxa"/>
          <w:left w:w="0" w:type="dxa"/>
          <w:bottom w:w="0" w:type="dxa"/>
          <w:right w:w="0" w:type="dxa"/>
        </w:tblCellMar>
      </w:tblPr>
      <w:tr>
        <w:trPr>
          <w:trHeight w:val="238"/>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770700102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Page 9 of 14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Yucca (Jersey) SLP</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Jersey, Channel Islands</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1,021,360 (1)</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1,021,360 (1)</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1,021,360 (1)</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0.1%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40" w:hanging="424"/>
        <w:spacing w:after="0" w:line="26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Yucca (Jersey) SLP (“</w:t>
      </w:r>
      <w:r>
        <w:rPr>
          <w:rFonts w:ascii="Times New Roman" w:cs="Times New Roman" w:eastAsia="Times New Roman" w:hAnsi="Times New Roman"/>
          <w:sz w:val="18"/>
          <w:szCs w:val="18"/>
          <w:b w:val="1"/>
          <w:bCs w:val="1"/>
          <w:color w:val="auto"/>
        </w:rPr>
        <w:t>Yucca</w:t>
      </w:r>
      <w:r>
        <w:rPr>
          <w:rFonts w:ascii="Times New Roman" w:cs="Times New Roman" w:eastAsia="Times New Roman" w:hAnsi="Times New Roman"/>
          <w:sz w:val="18"/>
          <w:szCs w:val="18"/>
          <w:color w:val="auto"/>
        </w:rPr>
        <w:t>”) directly owns (i) 1,012,902 shares of the Issuer’s Class A Common Stock and (ii) 8,458 shares of Class A Common Stock underlying Warrants exercisable within 60 days of December 31, 2022. The percent of class was calculated based on 758,805,255 shares of Class A Common Stock outstanding as of October 31, 2022, as set forth in the Issuer’s Quarterly Report on Form 10-Q filed with the Securities and Exchange Commission on November 3, 2022.</w:t>
      </w:r>
    </w:p>
    <w:p>
      <w:pPr>
        <w:sectPr>
          <w:pgSz w:w="11900" w:h="16838" w:orient="portrait"/>
          <w:cols w:equalWidth="0" w:num="1">
            <w:col w:w="11024"/>
          </w:cols>
          <w:pgMar w:left="436"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CUSIP No. 770700102</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-210820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10 of 14 Pages</w:t>
      </w:r>
    </w:p>
    <w:p>
      <w:pPr>
        <w:spacing w:after="0" w:line="169" w:lineRule="exact"/>
        <w:rPr>
          <w:sz w:val="20"/>
          <w:szCs w:val="20"/>
          <w:color w:val="auto"/>
        </w:rPr>
      </w:pPr>
    </w:p>
    <w:p>
      <w:pPr>
        <w:sectPr>
          <w:pgSz w:w="11900" w:h="16838" w:orient="portrait"/>
          <w:cols w:equalWidth="0" w:num="3">
            <w:col w:w="4340" w:space="720"/>
            <w:col w:w="3740" w:space="720"/>
            <w:col w:w="1500"/>
          </w:cols>
          <w:pgMar w:left="440" w:top="266" w:right="439" w:bottom="1440" w:gutter="0" w:footer="0" w:header="0"/>
        </w:sect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Issuer</w:t>
      </w:r>
    </w:p>
    <w:p>
      <w:pPr>
        <w:sectPr>
          <w:pgSz w:w="11900" w:h="16838" w:orient="portrait"/>
          <w:cols w:equalWidth="0" w:num="1">
            <w:col w:w="11020"/>
          </w:cols>
          <w:pgMar w:left="440" w:top="266" w:right="439" w:bottom="1440" w:gutter="0" w:footer="0" w:header="0"/>
          <w:type w:val="continuous"/>
        </w:sectPr>
      </w:pPr>
    </w:p>
    <w:p>
      <w:pPr>
        <w:spacing w:after="0" w:line="121" w:lineRule="exact"/>
        <w:rPr>
          <w:sz w:val="20"/>
          <w:szCs w:val="20"/>
          <w:color w:val="auto"/>
        </w:rPr>
      </w:pPr>
    </w:p>
    <w:p>
      <w:pPr>
        <w:ind w:left="1500" w:hanging="748"/>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Robinhood Markets,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500" w:hanging="748"/>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1500" w:right="78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85 Willow Street Menlo Park, CA 94025</w:t>
      </w:r>
    </w:p>
    <w:p>
      <w:pPr>
        <w:spacing w:after="0" w:line="4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Filing Person</w:t>
      </w:r>
    </w:p>
    <w:p>
      <w:pPr>
        <w:spacing w:after="0" w:line="12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color w:val="auto"/>
        </w:rPr>
        <w:t>(a) – (c)</w:t>
        <w:tab/>
        <w:t>Name of Persons Filing; Address; Citizenship:</w:t>
      </w:r>
    </w:p>
    <w:p>
      <w:pPr>
        <w:spacing w:after="0" w:line="1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Index Ventures VI, a Jersey, Channel Islands partnership.</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Index Ventures VI Parallel, a Jersey, Channel Islands partnership.</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IVA VI, a Jersey, Channel Islands corporation, the general partner of the Index VI Funds.</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Index Growth III, a Jersey, Channel Islands partnership.</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 IVGA III, a Jersey, Channel Islands corporation, the general partner of Index Growth III.</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Index Growth V, a Jersey, Channel Islands partnership.</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IVGA V, a Jersey, Channel Islands corporation, the general partner of Index Growth V.</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Yucca, a Jersey, Channel Islands separate partnership.</w:t>
      </w:r>
    </w:p>
    <w:p>
      <w:pPr>
        <w:spacing w:after="0" w:line="225" w:lineRule="exact"/>
        <w:rPr>
          <w:sz w:val="20"/>
          <w:szCs w:val="20"/>
          <w:color w:val="auto"/>
        </w:rPr>
      </w:pPr>
    </w:p>
    <w:p>
      <w:pPr>
        <w:ind w:left="1500" w:right="2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44 Esplanade, St. Helier, Jersey, Channel Islands JE4 9WG.</w:t>
      </w:r>
    </w:p>
    <w:p>
      <w:pPr>
        <w:spacing w:after="0" w:line="67" w:lineRule="exact"/>
        <w:rPr>
          <w:sz w:val="20"/>
          <w:szCs w:val="20"/>
          <w:color w:val="auto"/>
        </w:rPr>
      </w:pPr>
    </w:p>
    <w:p>
      <w:pPr>
        <w:ind w:left="1500" w:hanging="748"/>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$0.0001 par value per share</w:t>
      </w:r>
    </w:p>
    <w:p>
      <w:pPr>
        <w:spacing w:after="0" w:line="117" w:lineRule="exact"/>
        <w:rPr>
          <w:rFonts w:ascii="Times New Roman" w:cs="Times New Roman" w:eastAsia="Times New Roman" w:hAnsi="Times New Roman"/>
          <w:sz w:val="18"/>
          <w:szCs w:val="18"/>
          <w:color w:val="auto"/>
        </w:rPr>
      </w:pPr>
    </w:p>
    <w:p>
      <w:pPr>
        <w:ind w:left="1500" w:right="8320" w:hanging="748"/>
        <w:spacing w:after="0" w:line="389"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770700102</w:t>
      </w: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92" w:lineRule="exact"/>
        <w:rPr>
          <w:sz w:val="20"/>
          <w:szCs w:val="20"/>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2240" w:right="300" w:hanging="1488"/>
        <w:spacing w:after="0" w:line="226" w:lineRule="exact"/>
        <w:tabs>
          <w:tab w:leader="none" w:pos="1516"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89"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Rule 240.13d-1(b)(1)(ii)(J);</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Rule 240.13d-1(b)(1)(ii)(K). If filing as a non-U.S. institution in accordance with Rule</w:t>
      </w:r>
    </w:p>
    <w:p>
      <w:pPr>
        <w:spacing w:after="0" w:line="57" w:lineRule="exact"/>
        <w:rPr>
          <w:rFonts w:ascii="Times New Roman" w:cs="Times New Roman" w:eastAsia="Times New Roman" w:hAnsi="Times New Roman"/>
          <w:sz w:val="18"/>
          <w:szCs w:val="18"/>
          <w:color w:val="auto"/>
        </w:rPr>
      </w:pP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w:t>
      </w:r>
    </w:p>
    <w:p>
      <w:pPr>
        <w:spacing w:after="0" w:line="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ectPr>
          <w:pgSz w:w="11900" w:h="16838" w:orient="portrait"/>
          <w:cols w:equalWidth="0" w:num="1">
            <w:col w:w="11020"/>
          </w:cols>
          <w:pgMar w:left="440" w:top="266" w:right="439" w:bottom="1440" w:gutter="0" w:footer="0" w:header="0"/>
          <w:type w:val="continuous"/>
        </w:sectPr>
      </w:pPr>
    </w:p>
    <w:bookmarkStart w:id="10" w:name="page11"/>
    <w:bookmarkEnd w:id="10"/>
    <w:p>
      <w:pPr>
        <w:spacing w:after="0"/>
        <w:tabs>
          <w:tab w:leader="none" w:pos="504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11 of 14 Pages</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21" w:lineRule="exact"/>
        <w:rPr>
          <w:sz w:val="20"/>
          <w:szCs w:val="20"/>
          <w:color w:val="auto"/>
        </w:rPr>
      </w:pPr>
    </w:p>
    <w:p>
      <w:pPr>
        <w:ind w:left="1000" w:hanging="2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w:t>
      </w:r>
      <w:r>
        <w:rPr>
          <w:rFonts w:ascii="Times New Roman" w:cs="Times New Roman" w:eastAsia="Times New Roman" w:hAnsi="Times New Roman"/>
          <w:sz w:val="17"/>
          <w:szCs w:val="17"/>
          <w:color w:val="auto"/>
        </w:rPr>
        <w:t>Amount beneficially owned:</w:t>
      </w:r>
    </w:p>
    <w:p>
      <w:pPr>
        <w:spacing w:after="0" w:line="117" w:lineRule="exact"/>
        <w:rPr>
          <w:rFonts w:ascii="Times New Roman" w:cs="Times New Roman" w:eastAsia="Times New Roman" w:hAnsi="Times New Roman"/>
          <w:sz w:val="18"/>
          <w:szCs w:val="18"/>
          <w:color w:val="auto"/>
        </w:rPr>
      </w:pPr>
    </w:p>
    <w:p>
      <w:pPr>
        <w:ind w:left="2420" w:right="140" w:hanging="575"/>
        <w:spacing w:after="0" w:line="282"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Ventures VI directly owns 63,019,872 shares of Class A Common Stock, which represents approximately 8.3% of the outstanding Class A Common Stock.</w:t>
      </w:r>
    </w:p>
    <w:p>
      <w:pPr>
        <w:spacing w:after="0" w:line="53" w:lineRule="exact"/>
        <w:rPr>
          <w:rFonts w:ascii="Times New Roman" w:cs="Times New Roman" w:eastAsia="Times New Roman" w:hAnsi="Times New Roman"/>
          <w:sz w:val="18"/>
          <w:szCs w:val="18"/>
          <w:color w:val="auto"/>
        </w:rPr>
      </w:pPr>
    </w:p>
    <w:p>
      <w:pPr>
        <w:ind w:left="2420" w:right="40" w:hanging="575"/>
        <w:spacing w:after="0" w:line="282"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Ventures VI Parallel directly owns 1,272,032 shares of Class A Common Stock, which represents approximately 0.2% of the outstanding Class A Common Stock.</w:t>
      </w:r>
    </w:p>
    <w:p>
      <w:pPr>
        <w:spacing w:after="0" w:line="53" w:lineRule="exact"/>
        <w:rPr>
          <w:rFonts w:ascii="Times New Roman" w:cs="Times New Roman" w:eastAsia="Times New Roman" w:hAnsi="Times New Roman"/>
          <w:sz w:val="18"/>
          <w:szCs w:val="18"/>
          <w:color w:val="auto"/>
        </w:rPr>
      </w:pPr>
    </w:p>
    <w:p>
      <w:pPr>
        <w:ind w:left="2420" w:right="160" w:hanging="575"/>
        <w:spacing w:after="0" w:line="261"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IVA VI may be deemed to beneficially own an aggregate of 65,105,720 shares of Class A Common Stock, consisting of (i) 64,291,904 shares of Class A Common Stock held directly by the Index VI Funds and (ii) 813,816 shares of Class A Common Stock held directly by Yucca, which represents approximately 8.6% of the outstanding Class A Common Stock.</w:t>
      </w:r>
    </w:p>
    <w:p>
      <w:pPr>
        <w:spacing w:after="0" w:line="71" w:lineRule="exact"/>
        <w:rPr>
          <w:rFonts w:ascii="Times New Roman" w:cs="Times New Roman" w:eastAsia="Times New Roman" w:hAnsi="Times New Roman"/>
          <w:sz w:val="18"/>
          <w:szCs w:val="18"/>
          <w:color w:val="auto"/>
        </w:rPr>
      </w:pPr>
    </w:p>
    <w:p>
      <w:pPr>
        <w:ind w:left="2420" w:right="120" w:hanging="575"/>
        <w:spacing w:after="0" w:line="282"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Growth III directly owns 9,266,868 shares of Class A Common Stock, which represents approximately 1.2% of the outstanding Class A Common Stock.</w:t>
      </w:r>
    </w:p>
    <w:p>
      <w:pPr>
        <w:spacing w:after="0" w:line="53" w:lineRule="exact"/>
        <w:rPr>
          <w:rFonts w:ascii="Times New Roman" w:cs="Times New Roman" w:eastAsia="Times New Roman" w:hAnsi="Times New Roman"/>
          <w:sz w:val="18"/>
          <w:szCs w:val="18"/>
          <w:color w:val="auto"/>
        </w:rPr>
      </w:pPr>
    </w:p>
    <w:p>
      <w:pPr>
        <w:ind w:left="2420" w:right="60" w:hanging="575"/>
        <w:spacing w:after="0" w:line="261"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IVGA III may be deemed to beneficially own an aggregate of 9,407,970 shares of Class A Common Stock, consisting of (i) 9,266,868 shares of Class A Common Stock held directly by Index Growth III and (ii) 141,102 shares of Class A Common Stock held directly by Yucca, which represents approximately 1.2% of the outstanding Class A Common Stock.</w:t>
      </w:r>
    </w:p>
    <w:p>
      <w:pPr>
        <w:spacing w:after="0" w:line="71" w:lineRule="exact"/>
        <w:rPr>
          <w:rFonts w:ascii="Times New Roman" w:cs="Times New Roman" w:eastAsia="Times New Roman" w:hAnsi="Times New Roman"/>
          <w:sz w:val="18"/>
          <w:szCs w:val="18"/>
          <w:color w:val="auto"/>
        </w:rPr>
      </w:pPr>
    </w:p>
    <w:p>
      <w:pPr>
        <w:ind w:left="2420" w:right="460" w:hanging="575"/>
        <w:spacing w:after="0" w:line="266"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Growth V directly owns (i) 1,874,816 shares of Class A Common Stock and (ii) 273,496 shares of Class A Common Stock underlying Warrants exercisable within 60 days of December 31, 2022, which represents approximately 0.3% of the outstanding Class A Common Stock.</w:t>
      </w:r>
    </w:p>
    <w:p>
      <w:pPr>
        <w:spacing w:after="0" w:line="67" w:lineRule="exact"/>
        <w:rPr>
          <w:rFonts w:ascii="Times New Roman" w:cs="Times New Roman" w:eastAsia="Times New Roman" w:hAnsi="Times New Roman"/>
          <w:sz w:val="18"/>
          <w:szCs w:val="18"/>
          <w:color w:val="auto"/>
        </w:rPr>
      </w:pPr>
    </w:p>
    <w:p>
      <w:pPr>
        <w:ind w:left="2420" w:right="100" w:hanging="575"/>
        <w:spacing w:after="0" w:line="258"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IVGA V may be deemed to beneficially own an aggregate of 2,214,754 shares of Class A Common, consisting of (i) 1,874,816 shares of Class A Common Stock held directly by Index Growth V, (ii) 273,496 shares of Class A Common Stock underlying Warrants held directly by Index Growth V, (iii) 57,984 shares of Class A Common Stock held directly by Yucca and (iv) 8,458 shares of Class A Common Stock underlying Warrants held directly by Yucca, which represents approximately 0.3% of the outstanding Class A Common Stock.</w:t>
      </w:r>
    </w:p>
    <w:p>
      <w:pPr>
        <w:spacing w:after="0" w:line="75" w:lineRule="exact"/>
        <w:rPr>
          <w:rFonts w:ascii="Times New Roman" w:cs="Times New Roman" w:eastAsia="Times New Roman" w:hAnsi="Times New Roman"/>
          <w:sz w:val="18"/>
          <w:szCs w:val="18"/>
          <w:color w:val="auto"/>
        </w:rPr>
      </w:pPr>
    </w:p>
    <w:p>
      <w:pPr>
        <w:ind w:left="2420" w:right="80" w:hanging="575"/>
        <w:spacing w:after="0" w:line="255" w:lineRule="auto"/>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Yucca directly owns (i) 1,012,902 shares of the Issuer’s Class A Common Stock and (ii) 8,458 shares of Class A Common Stock underlying Warrants exercisable within 60 days of December 31, 2022, which represents approximately 0.1% of the outstanding Class A Common Stock. Yucca administers the co-investment vehicle that is contractually required to mirror the Index VI Funds, the Index Growth III (Jersey) and Index Growth V (Jersey) investments. As a result, each of IVGA III, IVGA V and IVA VI may be deemed to have dispositive and voting power over Yucca’s shares by virtue of their dispositive power over and voting power over the shares owned by the Index Venture Funds.</w:t>
      </w:r>
    </w:p>
    <w:p>
      <w:pPr>
        <w:spacing w:after="0" w:line="81" w:lineRule="exact"/>
        <w:rPr>
          <w:sz w:val="20"/>
          <w:szCs w:val="20"/>
          <w:color w:val="auto"/>
        </w:rPr>
      </w:pPr>
    </w:p>
    <w:p>
      <w:pPr>
        <w:ind w:left="1840" w:hanging="1088"/>
        <w:spacing w:after="0"/>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5020" w:type="dxa"/>
            <w:vAlign w:val="bottom"/>
            <w:vMerge w:val="restart"/>
          </w:tcPr>
          <w:p>
            <w:pPr>
              <w:spacing w:after="0"/>
              <w:rPr>
                <w:sz w:val="15"/>
                <w:szCs w:val="15"/>
                <w:color w:val="auto"/>
              </w:rPr>
            </w:pPr>
          </w:p>
        </w:tc>
        <w:tc>
          <w:tcPr>
            <w:tcW w:w="34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Number of Shares of Class A Common Stock</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5020" w:type="dxa"/>
            <w:vAlign w:val="bottom"/>
            <w:vMerge w:val="continue"/>
          </w:tcPr>
          <w:p>
            <w:pPr>
              <w:spacing w:after="0"/>
              <w:rPr>
                <w:sz w:val="12"/>
                <w:szCs w:val="12"/>
                <w:color w:val="auto"/>
              </w:rPr>
            </w:pPr>
          </w:p>
        </w:tc>
        <w:tc>
          <w:tcPr>
            <w:tcW w:w="1280" w:type="dxa"/>
            <w:vAlign w:val="bottom"/>
            <w:gridSpan w:val="2"/>
          </w:tcPr>
          <w:p>
            <w:pPr>
              <w:jc w:val="right"/>
              <w:ind w:right="780"/>
              <w:spacing w:after="0" w:line="129" w:lineRule="exact"/>
              <w:rPr>
                <w:sz w:val="20"/>
                <w:szCs w:val="20"/>
                <w:color w:val="auto"/>
              </w:rPr>
            </w:pPr>
            <w:r>
              <w:rPr>
                <w:rFonts w:ascii="Times New Roman" w:cs="Times New Roman" w:eastAsia="Times New Roman" w:hAnsi="Times New Roman"/>
                <w:sz w:val="14"/>
                <w:szCs w:val="14"/>
                <w:color w:val="auto"/>
              </w:rPr>
              <w:t>(i)</w:t>
            </w:r>
          </w:p>
        </w:tc>
        <w:tc>
          <w:tcPr>
            <w:tcW w:w="9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(ii)</w:t>
            </w:r>
          </w:p>
        </w:tc>
        <w:tc>
          <w:tcPr>
            <w:tcW w:w="128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(iii)</w:t>
            </w:r>
          </w:p>
        </w:tc>
        <w:tc>
          <w:tcPr>
            <w:tcW w:w="500" w:type="dxa"/>
            <w:vAlign w:val="bottom"/>
          </w:tcPr>
          <w:p>
            <w:pPr>
              <w:jc w:val="right"/>
              <w:ind w:right="79"/>
              <w:spacing w:after="0" w:line="129" w:lineRule="exact"/>
              <w:rPr>
                <w:sz w:val="20"/>
                <w:szCs w:val="20"/>
                <w:color w:val="auto"/>
              </w:rPr>
            </w:pPr>
            <w:r>
              <w:rPr>
                <w:rFonts w:ascii="Times New Roman" w:cs="Times New Roman" w:eastAsia="Times New Roman" w:hAnsi="Times New Roman"/>
                <w:sz w:val="14"/>
                <w:szCs w:val="14"/>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Index Ventures VI</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63,019,872</w:t>
            </w: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63,019,872</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Ventures VI Parallel</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1,272,032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1,272,032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IVA VI</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65,105,720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65,105,720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Growth III</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9,266,868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9,266,868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IVGA III</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9,407,970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9,407,970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Growth V</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2,148,312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2,148,312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IVGA V</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2,214,754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2,214,754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Yucca</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1,021,360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1,021,360</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     Sole power to vote or direct the vote</w:t>
      </w:r>
    </w:p>
    <w:p>
      <w:pPr>
        <w:spacing w:after="0" w:line="1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1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1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ectPr>
          <w:pgSz w:w="11900" w:h="16838" w:orient="portrait"/>
          <w:cols w:equalWidth="0" w:num="1">
            <w:col w:w="11020"/>
          </w:cols>
          <w:pgMar w:left="440" w:top="266" w:right="439" w:bottom="1440" w:gutter="0" w:footer="0" w:header="0"/>
        </w:sectPr>
      </w:pPr>
    </w:p>
    <w:bookmarkStart w:id="11" w:name="page12"/>
    <w:bookmarkEnd w:id="11"/>
    <w:p>
      <w:pPr>
        <w:spacing w:after="0"/>
        <w:tabs>
          <w:tab w:leader="none" w:pos="504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12 of 14 Pages</w:t>
      </w:r>
    </w:p>
    <w:p>
      <w:pPr>
        <w:spacing w:after="0" w:line="162" w:lineRule="exact"/>
        <w:rPr>
          <w:sz w:val="20"/>
          <w:szCs w:val="20"/>
          <w:color w:val="auto"/>
        </w:rPr>
      </w:pPr>
    </w:p>
    <w:p>
      <w:pPr>
        <w:ind w:left="880" w:right="60"/>
        <w:spacing w:after="0" w:line="282" w:lineRule="auto"/>
        <w:rPr>
          <w:sz w:val="20"/>
          <w:szCs w:val="20"/>
          <w:color w:val="auto"/>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35" w:lineRule="exact"/>
        <w:rPr>
          <w:sz w:val="20"/>
          <w:szCs w:val="20"/>
          <w:color w:val="auto"/>
        </w:rPr>
      </w:pPr>
    </w:p>
    <w:p>
      <w:pPr>
        <w:ind w:left="880" w:right="3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ind w:left="880" w:hanging="890"/>
        <w:spacing w:after="0" w:line="28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66" w:right="439" w:bottom="1440" w:gutter="0" w:footer="0" w:header="0"/>
        </w:sectPr>
      </w:pPr>
    </w:p>
    <w:bookmarkStart w:id="12" w:name="page13"/>
    <w:bookmarkEnd w:id="12"/>
    <w:p>
      <w:pPr>
        <w:spacing w:after="0"/>
        <w:tabs>
          <w:tab w:leader="none" w:pos="504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13 of 14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VENTURES VI (JERSEY)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Index Venture Associates VI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VENTURES VI PARALLEL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ENTREPRENEUR FUND (JERSEY) L.P.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Index Venture Associates VI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 ASSOCIATES VI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VENTURES GROWTH III (JERSEY)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Index Venture Growth Associates 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 GROWTH ASSOCIATES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III LIMITED</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11020"/>
          </w:cols>
          <w:pgMar w:left="440" w:top="266" w:right="439" w:bottom="1440" w:gutter="0" w:footer="0" w:header="0"/>
        </w:sectPr>
      </w:pPr>
    </w:p>
    <w:bookmarkStart w:id="13" w:name="page14"/>
    <w:bookmarkEnd w:id="13"/>
    <w:p>
      <w:pPr>
        <w:spacing w:after="0"/>
        <w:tabs>
          <w:tab w:leader="none" w:pos="504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14 of 14 Pages</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VENTURES GROWTH V (JERSEY)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Index Venture Growth Associates V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INDEX VENTURE GROWTH ASSOCIATES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 LIMITED</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jc w:val="center"/>
        <w:ind w:left="44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YUCCA (JERSEY) SLP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Intertrust Employee Benefit Services Limited as</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authorized signatory of Yucca (Jersey) SLP in its</w:t>
      </w:r>
    </w:p>
    <w:p>
      <w:pPr>
        <w:spacing w:after="0" w:line="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capacity as an Administrator of the Index Co-</w:t>
      </w:r>
    </w:p>
    <w:p>
      <w:pPr>
        <w:spacing w:after="0" w:line="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Investment Scheme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Lucy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Lucy Miller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Luke 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Luke Aubert</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YUCCA (JERSEY) SLP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EFG Fund Administration Limited as authorized</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7"/>
          <w:szCs w:val="17"/>
          <w:color w:val="auto"/>
        </w:rPr>
        <w:t>signatory of Yucca (Jersey) SLP in its capacity as an</w:t>
      </w:r>
    </w:p>
    <w:p>
      <w:pPr>
        <w:spacing w:after="0" w:line="2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Administrator of the Index Ventures Growth III Co-</w:t>
      </w:r>
    </w:p>
    <w:p>
      <w:pPr>
        <w:spacing w:after="0" w:line="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Investment Scheme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Nigel Greenwood</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sectPr>
      <w:pgSz w:w="11900" w:h="16838" w:orient="portrait"/>
      <w:cols w:equalWidth="0" w:num="1">
        <w:col w:w="1102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4"/>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2023-02-13T11:22:04Z</dcterms:created>
  <dcterms:modified xsi:type="dcterms:W3CDTF">2023-02-13T11:22:04Z</dcterms:modified>
</cp:coreProperties>
</file>