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FORM 8-K</w:t>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4, 2024</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Robinhood Markets, Inc.</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4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b w:val="1"/>
                <w:bCs w:val="1"/>
                <w:color w:val="auto"/>
                <w:w w:val="98"/>
              </w:rPr>
              <w:t>Delaware</w:t>
            </w:r>
          </w:p>
        </w:tc>
        <w:tc>
          <w:tcPr>
            <w:tcW w:w="460" w:type="dxa"/>
            <w:vAlign w:val="bottom"/>
            <w:tcBorders>
              <w:bottom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001-40691</w:t>
            </w:r>
          </w:p>
        </w:tc>
        <w:tc>
          <w:tcPr>
            <w:tcW w:w="4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jc w:val="center"/>
              <w:ind w:right="516"/>
              <w:spacing w:after="0"/>
              <w:rPr>
                <w:sz w:val="20"/>
                <w:szCs w:val="20"/>
                <w:color w:val="auto"/>
              </w:rPr>
            </w:pPr>
            <w:r>
              <w:rPr>
                <w:rFonts w:ascii="Arial" w:cs="Arial" w:eastAsia="Arial" w:hAnsi="Arial"/>
                <w:sz w:val="18"/>
                <w:szCs w:val="18"/>
                <w:b w:val="1"/>
                <w:bCs w:val="1"/>
                <w:color w:val="auto"/>
                <w:w w:val="99"/>
              </w:rPr>
              <w:t>46-4364776</w:t>
            </w:r>
          </w:p>
        </w:tc>
      </w:tr>
      <w:tr>
        <w:trPr>
          <w:trHeight w:val="526"/>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(State or other jurisdiction</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(Commission</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(IRS Employer</w:t>
            </w:r>
          </w:p>
        </w:tc>
      </w:tr>
      <w:tr>
        <w:trPr>
          <w:trHeight w:val="215"/>
        </w:trPr>
        <w:tc>
          <w:tcPr>
            <w:tcW w:w="3040" w:type="dxa"/>
            <w:vAlign w:val="bottom"/>
          </w:tcPr>
          <w:p>
            <w:pPr>
              <w:jc w:val="center"/>
              <w:ind w:left="376"/>
              <w:spacing w:after="0"/>
              <w:rPr>
                <w:sz w:val="20"/>
                <w:szCs w:val="20"/>
                <w:color w:val="auto"/>
              </w:rPr>
            </w:pPr>
            <w:r>
              <w:rPr>
                <w:rFonts w:ascii="Arial" w:cs="Arial" w:eastAsia="Arial" w:hAnsi="Arial"/>
                <w:sz w:val="16"/>
                <w:szCs w:val="16"/>
                <w:color w:val="auto"/>
              </w:rPr>
              <w:t>of incorporation)</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40" w:type="dxa"/>
            <w:vAlign w:val="bottom"/>
            <w:gridSpan w:val="3"/>
          </w:tcPr>
          <w:p>
            <w:pPr>
              <w:jc w:val="center"/>
              <w:ind w:right="1060"/>
              <w:spacing w:after="0"/>
              <w:rPr>
                <w:sz w:val="20"/>
                <w:szCs w:val="20"/>
                <w:color w:val="auto"/>
              </w:rPr>
            </w:pPr>
            <w:r>
              <w:rPr>
                <w:rFonts w:ascii="Arial" w:cs="Arial" w:eastAsia="Arial" w:hAnsi="Arial"/>
                <w:sz w:val="16"/>
                <w:szCs w:val="16"/>
                <w:color w:val="auto"/>
              </w:rPr>
              <w:t>File Number)</w:t>
            </w:r>
          </w:p>
        </w:tc>
        <w:tc>
          <w:tcPr>
            <w:tcW w:w="2880" w:type="dxa"/>
            <w:vAlign w:val="bottom"/>
          </w:tcPr>
          <w:p>
            <w:pPr>
              <w:jc w:val="center"/>
              <w:ind w:right="536"/>
              <w:spacing w:after="0"/>
              <w:rPr>
                <w:sz w:val="20"/>
                <w:szCs w:val="20"/>
                <w:color w:val="auto"/>
              </w:rPr>
            </w:pPr>
            <w:r>
              <w:rPr>
                <w:rFonts w:ascii="Arial" w:cs="Arial" w:eastAsia="Arial" w:hAnsi="Arial"/>
                <w:sz w:val="16"/>
                <w:szCs w:val="16"/>
                <w:color w:val="auto"/>
              </w:rPr>
              <w:t>Identification No.)</w:t>
            </w:r>
          </w:p>
        </w:tc>
      </w:tr>
      <w:tr>
        <w:trPr>
          <w:trHeight w:val="712"/>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85 Willow Road</w:t>
            </w:r>
          </w:p>
        </w:tc>
        <w:tc>
          <w:tcPr>
            <w:tcW w:w="2880" w:type="dxa"/>
            <w:vAlign w:val="bottom"/>
          </w:tcPr>
          <w:p>
            <w:pPr>
              <w:spacing w:after="0"/>
              <w:rPr>
                <w:sz w:val="24"/>
                <w:szCs w:val="24"/>
                <w:color w:val="auto"/>
              </w:rPr>
            </w:pPr>
          </w:p>
        </w:tc>
      </w:tr>
      <w:tr>
        <w:trPr>
          <w:trHeight w:val="221"/>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4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Menlo Park, CA 94025</w:t>
            </w:r>
          </w:p>
        </w:tc>
        <w:tc>
          <w:tcPr>
            <w:tcW w:w="2880" w:type="dxa"/>
            <w:vAlign w:val="bottom"/>
          </w:tcPr>
          <w:p>
            <w:pPr>
              <w:spacing w:after="0"/>
              <w:rPr>
                <w:sz w:val="19"/>
                <w:szCs w:val="19"/>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00"/>
              <w:spacing w:after="0"/>
              <w:rPr>
                <w:sz w:val="20"/>
                <w:szCs w:val="20"/>
                <w:color w:val="auto"/>
              </w:rPr>
            </w:pPr>
            <w:r>
              <w:rPr>
                <w:rFonts w:ascii="Arial" w:cs="Arial" w:eastAsia="Arial" w:hAnsi="Arial"/>
                <w:sz w:val="16"/>
                <w:szCs w:val="16"/>
                <w:color w:val="auto"/>
              </w:rPr>
              <w:t>(Address of principal executive offices) (Zip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280" w:type="dxa"/>
            <w:vAlign w:val="bottom"/>
            <w:gridSpan w:val="3"/>
          </w:tcPr>
          <w:p>
            <w:pPr>
              <w:jc w:val="center"/>
              <w:ind w:left="815"/>
              <w:spacing w:after="0"/>
              <w:rPr>
                <w:sz w:val="20"/>
                <w:szCs w:val="20"/>
                <w:color w:val="auto"/>
              </w:rPr>
            </w:pPr>
            <w:r>
              <w:rPr>
                <w:rFonts w:ascii="Arial" w:cs="Arial" w:eastAsia="Arial" w:hAnsi="Arial"/>
                <w:sz w:val="18"/>
                <w:szCs w:val="18"/>
                <w:b w:val="1"/>
                <w:bCs w:val="1"/>
                <w:color w:val="auto"/>
                <w:w w:val="99"/>
              </w:rPr>
              <w:t>(844) 428-5411</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4"/>
          </w:tcPr>
          <w:p>
            <w:pPr>
              <w:jc w:val="center"/>
              <w:ind w:right="620"/>
              <w:spacing w:after="0"/>
              <w:rPr>
                <w:sz w:val="20"/>
                <w:szCs w:val="20"/>
                <w:color w:val="auto"/>
              </w:rPr>
            </w:pPr>
            <w:r>
              <w:rPr>
                <w:rFonts w:ascii="Arial" w:cs="Arial" w:eastAsia="Arial" w:hAnsi="Arial"/>
                <w:sz w:val="16"/>
                <w:szCs w:val="16"/>
                <w:color w:val="auto"/>
              </w:rPr>
              <w:t>(Registrant’s telephone number, including area code)</w:t>
            </w:r>
          </w:p>
        </w:tc>
        <w:tc>
          <w:tcPr>
            <w:tcW w:w="2880" w:type="dxa"/>
            <w:vAlign w:val="bottom"/>
          </w:tcPr>
          <w:p>
            <w:pPr>
              <w:spacing w:after="0"/>
              <w:rPr>
                <w:sz w:val="18"/>
                <w:szCs w:val="18"/>
                <w:color w:val="auto"/>
              </w:rPr>
            </w:pPr>
          </w:p>
        </w:tc>
      </w:tr>
      <w:tr>
        <w:trPr>
          <w:trHeight w:val="433"/>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4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9"/>
              </w:rPr>
              <w:t>Not Applicable</w:t>
            </w:r>
          </w:p>
        </w:tc>
        <w:tc>
          <w:tcPr>
            <w:tcW w:w="2880" w:type="dxa"/>
            <w:vAlign w:val="bottom"/>
          </w:tcPr>
          <w:p>
            <w:pPr>
              <w:spacing w:after="0"/>
              <w:rPr>
                <w:sz w:val="24"/>
                <w:szCs w:val="24"/>
                <w:color w:val="auto"/>
              </w:rPr>
            </w:pPr>
          </w:p>
        </w:tc>
      </w:tr>
      <w:tr>
        <w:trPr>
          <w:trHeight w:val="215"/>
        </w:trPr>
        <w:tc>
          <w:tcPr>
            <w:tcW w:w="3040" w:type="dxa"/>
            <w:vAlign w:val="bottom"/>
          </w:tcPr>
          <w:p>
            <w:pPr>
              <w:spacing w:after="0"/>
              <w:rPr>
                <w:sz w:val="18"/>
                <w:szCs w:val="18"/>
                <w:color w:val="auto"/>
              </w:rPr>
            </w:pPr>
          </w:p>
        </w:tc>
        <w:tc>
          <w:tcPr>
            <w:tcW w:w="532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880" w:type="dxa"/>
            <w:vAlign w:val="bottom"/>
          </w:tcPr>
          <w:p>
            <w:pPr>
              <w:spacing w:after="0"/>
              <w:rPr>
                <w:sz w:val="18"/>
                <w:szCs w:val="18"/>
                <w:color w:val="auto"/>
              </w:rPr>
            </w:pPr>
          </w:p>
        </w:tc>
      </w:tr>
    </w:tbl>
    <w:p>
      <w:pPr>
        <w:spacing w:after="0" w:line="348" w:lineRule="exact"/>
        <w:rPr>
          <w:sz w:val="24"/>
          <w:szCs w:val="24"/>
          <w:color w:val="auto"/>
        </w:rPr>
      </w:pPr>
    </w:p>
    <w:p>
      <w:pPr>
        <w:ind w:right="160"/>
        <w:spacing w:after="0" w:line="31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92" w:lineRule="exact"/>
        <w:rPr>
          <w:rFonts w:ascii="MS PGothic" w:cs="MS PGothic" w:eastAsia="MS PGothic" w:hAnsi="MS PGothic"/>
          <w:sz w:val="18"/>
          <w:szCs w:val="18"/>
          <w:color w:val="auto"/>
        </w:rPr>
      </w:pPr>
    </w:p>
    <w:p>
      <w:pPr>
        <w:ind w:left="3340"/>
        <w:spacing w:after="0"/>
        <w:rPr>
          <w:rFonts w:ascii="MS PGothic" w:cs="MS PGothic" w:eastAsia="MS PGothic" w:hAnsi="MS PGothic"/>
          <w:sz w:val="18"/>
          <w:szCs w:val="18"/>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4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1"/>
        </w:trPr>
        <w:tc>
          <w:tcPr>
            <w:tcW w:w="46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4600" w:type="dxa"/>
            <w:vAlign w:val="bottom"/>
            <w:tcBorders>
              <w:bottom w:val="single" w:sz="8" w:color="auto"/>
              <w:right w:val="single" w:sz="8" w:color="auto"/>
            </w:tcBorders>
          </w:tcPr>
          <w:p>
            <w:pPr>
              <w:spacing w:after="0" w:line="20" w:lineRule="exact"/>
              <w:rPr>
                <w:sz w:val="1"/>
                <w:szCs w:val="1"/>
                <w:color w:val="auto"/>
              </w:rPr>
            </w:pPr>
          </w:p>
        </w:tc>
      </w:tr>
      <w:tr>
        <w:trPr>
          <w:trHeight w:val="216"/>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HOOD</w:t>
            </w: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391" w:lineRule="exact"/>
        <w:rPr>
          <w:sz w:val="24"/>
          <w:szCs w:val="24"/>
          <w:color w:val="auto"/>
        </w:rPr>
      </w:pPr>
    </w:p>
    <w:p>
      <w:pPr>
        <w:ind w:left="20" w:right="1040"/>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60"/>
          </w:cols>
          <w:pgMar w:left="320" w:top="993" w:right="319" w:bottom="1440" w:gutter="0" w:footer="0" w:header="0"/>
        </w:sectPr>
      </w:pPr>
    </w:p>
    <w:p>
      <w:pPr>
        <w:spacing w:after="0" w:line="250" w:lineRule="exact"/>
        <w:rPr>
          <w:sz w:val="24"/>
          <w:szCs w:val="24"/>
          <w:color w:val="auto"/>
        </w:rPr>
      </w:pPr>
    </w:p>
    <w:p>
      <w:pPr>
        <w:ind w:left="83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79" w:lineRule="exact"/>
        <w:rPr>
          <w:sz w:val="24"/>
          <w:szCs w:val="24"/>
          <w:color w:val="auto"/>
        </w:rPr>
      </w:pPr>
    </w:p>
    <w:p>
      <w:pPr>
        <w:sectPr>
          <w:pgSz w:w="11900" w:h="16838" w:orient="portrait"/>
          <w:cols w:equalWidth="0" w:num="2">
            <w:col w:w="10220" w:space="400"/>
            <w:col w:w="640"/>
          </w:cols>
          <w:pgMar w:left="320" w:top="993" w:right="319" w:bottom="1440" w:gutter="0" w:footer="0" w:header="0"/>
          <w:type w:val="continuous"/>
        </w:sectPr>
      </w:pPr>
    </w:p>
    <w:p>
      <w:pPr>
        <w:spacing w:after="0" w:line="102" w:lineRule="exact"/>
        <w:rPr>
          <w:sz w:val="24"/>
          <w:szCs w:val="24"/>
          <w:color w:val="auto"/>
        </w:rPr>
      </w:pPr>
    </w:p>
    <w:p>
      <w:pPr>
        <w:ind w:left="20"/>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220" w:space="400"/>
            <w:col w:w="640"/>
          </w:cols>
          <w:pgMar w:left="320" w:top="993" w:right="319" w:bottom="1440" w:gutter="0" w:footer="0" w:header="0"/>
          <w:type w:val="continuous"/>
        </w:sectPr>
      </w:pPr>
    </w:p>
    <w:bookmarkStart w:id="1" w:name="page2"/>
    <w:bookmarkEnd w:id="1"/>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Robinhood Provides Investor Updates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Ahead of its inaugural Investor Day, Robinhood Markets, Inc. (“Robinhood” or the “Company”) today provided early insight into certain November 2024 operating data and posted an Investor Day presentation on the Company’s investor relations website.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November 2024 Early Color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November, Funded Customers grew by over 400 thousand.</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Assets Under Custody grew to more than $190 billion (up over 15% from October 2024, up over 100% year-over-year), driven in part by customer Net Deposits of over $5 billion in November. Over the last twelve months through November, Net Deposits have totaled more than $47 billion.</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November, Equity Notional Trading Volumes were over $145 billion (up over 15% from October 2024, up over 170% year-over-year), Options Contracts Traded were over 150 million (down less than 5% from October 2024, up over 50% year-over-year), and Crypto Notional Trading Volumes were over $30 billion (up over 400% from October 2024, up over 600% year-over-year).</w:t>
      </w:r>
    </w:p>
    <w:p>
      <w:pPr>
        <w:spacing w:after="0" w:line="20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Additionally, November Margin balances were over $ 6.5 billion (up over 5% from October 2024, up over 80% year-over-year), and total Cash Sweep balances were over $26 billion (up over 2% from October 2024, up over 70% year-over-year).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plans to release its full November 2024 Operating Data next week.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Day Presentation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Company provided an Investor Day presentation, which investors can find on its website investors.robinhood.com.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of Key Performance Metrics</w:t>
      </w:r>
      <w:r>
        <w:rPr>
          <w:rFonts w:ascii="Arial" w:cs="Arial" w:eastAsia="Arial" w:hAnsi="Arial"/>
          <w:sz w:val="18"/>
          <w:szCs w:val="18"/>
          <w:color w:val="auto"/>
        </w:rPr>
        <w: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Assets Under Custody (“AUC”)</w:t>
      </w:r>
      <w:r>
        <w:rPr>
          <w:rFonts w:ascii="Arial" w:cs="Arial" w:eastAsia="Arial" w:hAnsi="Arial"/>
          <w:sz w:val="18"/>
          <w:szCs w:val="18"/>
          <w:color w:val="auto"/>
        </w:rPr>
        <w:t>: We define AUC as the sum of the fair value of all equities, options, cryptocurrency and cash held by users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their accounts, net of receivables from users, as of a stated date or period end on a trade date basis. Net Deposits and net market gains (losses) drive the change in AUC in any given period.</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Funded Customers</w:t>
      </w:r>
      <w:r>
        <w:rPr>
          <w:rFonts w:ascii="Arial" w:cs="Arial" w:eastAsia="Arial" w:hAnsi="Arial"/>
          <w:sz w:val="18"/>
          <w:szCs w:val="18"/>
          <w:color w:val="auto"/>
        </w:rPr>
        <w:t>: We define a Funded Customer as a unique person who has at least one account with a Robinhood entity and,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(which launched in July 2024) are each considered to be a Funded Customer.</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Net Deposits</w:t>
      </w:r>
      <w:r>
        <w:rPr>
          <w:rFonts w:ascii="Arial" w:cs="Arial" w:eastAsia="Arial" w:hAnsi="Arial"/>
          <w:sz w:val="18"/>
          <w:szCs w:val="18"/>
          <w:color w:val="auto"/>
        </w:rPr>
        <w:t>: We define Net Deposits as all cash deposits and asset transfers from customers, as well as dividends, interest, and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earned in connection with Company promotions (such as account transfer and retirement match incentives and free stock bonuses) received by customers, net of reversals, customer cash withdrawals, margin interest, Gold subscription fees, and other assets transferred out of our platforms (assets transferred in or out include debit card transactions, Automated Customer Account Transfer Service transfers, and custodial crypto wallet transfers) for a stated period. Prior to the second quarter of 2024, Net Deposits did not include inflows from cash and assets earned in connection with Company promotions and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Definitions of Additional Operating Metrics</w:t>
      </w:r>
      <w:r>
        <w:rPr>
          <w:rFonts w:ascii="Arial" w:cs="Arial" w:eastAsia="Arial" w:hAnsi="Arial"/>
          <w:sz w:val="18"/>
          <w:szCs w:val="18"/>
          <w:color w:val="auto"/>
        </w:rPr>
        <w:t>:</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Cash Sweep</w:t>
      </w:r>
      <w:r>
        <w:rPr>
          <w:rFonts w:ascii="Arial" w:cs="Arial" w:eastAsia="Arial" w:hAnsi="Arial"/>
          <w:sz w:val="18"/>
          <w:szCs w:val="18"/>
          <w:color w:val="auto"/>
        </w:rPr>
        <w:t>: We define Cash Sweep as the period-end aggregate balances in our brokerage sweep program (i.e., the period-end total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participating users’ uninvested brokerage cash that has been automatically “swept” or moved from their brokerage accounts into deposits for their benefit at a network of program banks). This is an off balance-sheet amount. Robinhood earns a net interest spread on Cash Sweep balances based on the interest rate offered by the banks less the interest rate given to users as stated in our program terms.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Margin Book</w:t>
      </w:r>
      <w:r>
        <w:rPr>
          <w:rFonts w:ascii="Arial" w:cs="Arial" w:eastAsia="Arial" w:hAnsi="Arial"/>
          <w:sz w:val="18"/>
          <w:szCs w:val="18"/>
          <w:color w:val="auto"/>
        </w:rPr>
        <w:t>: We define Margin Book as our period-end aggregate outstanding margin loan balances receivable (i.e., the period-end total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we are owed by customers on loans made for the purchase of securities, supported by a pledge of assets in their margin-enabled brokerage accounts).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Notional Trading Volume</w:t>
      </w:r>
      <w:r>
        <w:rPr>
          <w:rFonts w:ascii="Arial" w:cs="Arial" w:eastAsia="Arial" w:hAnsi="Arial"/>
          <w:sz w:val="18"/>
          <w:szCs w:val="18"/>
          <w:color w:val="auto"/>
        </w:rPr>
        <w:t>: We define Notional Trading Volume for any specified asset class as the aggregate dollar value (purchase price or</w:t>
      </w:r>
      <w:r>
        <w:rPr>
          <w:rFonts w:ascii="Arial" w:cs="Arial" w:eastAsia="Arial" w:hAnsi="Arial"/>
          <w:sz w:val="18"/>
          <w:szCs w:val="18"/>
          <w:b w:val="1"/>
          <w:bCs w:val="1"/>
          <w:color w:val="auto"/>
        </w:rPr>
        <w:t xml:space="preserve"> </w:t>
      </w:r>
      <w:r>
        <w:rPr>
          <w:rFonts w:ascii="Arial" w:cs="Arial" w:eastAsia="Arial" w:hAnsi="Arial"/>
          <w:sz w:val="18"/>
          <w:szCs w:val="18"/>
          <w:color w:val="auto"/>
        </w:rPr>
        <w:t>sale price as applicable) of trades executed in that asset class over a specified period of time.</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Options Contracts Traded</w:t>
      </w:r>
      <w:r>
        <w:rPr>
          <w:rFonts w:ascii="Arial" w:cs="Arial" w:eastAsia="Arial" w:hAnsi="Arial"/>
          <w:sz w:val="18"/>
          <w:szCs w:val="18"/>
          <w:color w:val="auto"/>
        </w:rPr>
        <w:t>: We define Options Contracts Traded as the total number of options contracts bought or sold over a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Each contract generally entitles the holder to trade 100 shares of the underlying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information in this Current Report is unaudited and preliminary, based on Robinhood’s estimates, and subject to completion of financial closing procedures. Final operating data for November 2024 and results for the most recent fiscal quarter, as reported in our upcoming monthly metrics release and in Robinhood’s quarterly and annual filings with the U.S. Securities and Exchange Commission (“SEC”), respectively, might vary from the information in this Current Report.</w:t>
      </w:r>
    </w:p>
    <w:p>
      <w:pPr>
        <w:spacing w:after="0" w:line="21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Robinhood uses the “Overview” tab of its Investor Relations website (accessible at investors.robinhood.com/overview) and its Newsroom (accessible at newsroom.aboutrobinhood.com), as means of disclosing information to the public in a broad, non-exclusionary manner for purposes of the SEC’s Regulation Fair Disclosure (Reg. FD). Investors should routinely monitor those web pages, in addition to Robinhood’s press releases, SEC filings, and public conference calls and webcasts, as information posted on them could be deemed to be material information.</w:t>
      </w:r>
    </w:p>
    <w:p>
      <w:pPr>
        <w:spacing w:after="0" w:line="2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information furnished with Item 7.01, including Exhibit 99.1, shall not be deemed “filed” for purposes of Section 18 of the Securities Exchange Act of 1934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This Current Report contains forward-looking statements, including with respect to certain preliminary November 2024 operating data. Our forward-looking statements are subject to a number of known and unknown risks, uncertainties, assumptions, and other factors that may cause our actual future results, performance, or achievements to differ materially from any future results expressed or implied in this Current Report. Factors that contribute to the uncertain nature of our forward-looking statements include, among others, the pending</w:t>
      </w:r>
    </w:p>
    <w:p>
      <w:pPr>
        <w:jc w:val="both"/>
        <w:spacing w:after="0" w:line="226" w:lineRule="auto"/>
        <w:rPr>
          <w:sz w:val="20"/>
          <w:szCs w:val="20"/>
          <w:color w:val="auto"/>
        </w:rPr>
      </w:pPr>
      <w:r>
        <w:rPr>
          <w:rFonts w:ascii="Arial" w:cs="Arial" w:eastAsia="Arial" w:hAnsi="Arial"/>
          <w:sz w:val="18"/>
          <w:szCs w:val="18"/>
          <w:color w:val="auto"/>
        </w:rPr>
        <w:t>completion of our financial closing procedures. Because some of these risks and uncertainties cannot be predicted or quantified and some are beyond our control, you should not rely on our forward-looking statements as predictions of future events. More information about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potential risks and uncertainties that could affect our business and financial results is included in Part II, Item 1A of our Quarterly Report on Form 10-Q for the quarter ended September 30, 2024 as well as our other filings with the SEC, which are available on the SEC’s web site at www.sec.gov. Except as otherwise noted, all forward-looking statements are made as of the filing date of this Current Report and are based on information and estimates available to us at this time. Except as required by law, we assume no obligation to update any of the statements in this Current Report whether as a result of any new information, future events, changed circumstances, or otherwise. You should read this Current Report with the understanding that our actual future results, performance, events, and circumstances might be materially different from what we expect.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40" w:lineRule="exact"/>
        <w:rPr>
          <w:sz w:val="20"/>
          <w:szCs w:val="20"/>
          <w:color w:val="auto"/>
        </w:rPr>
      </w:pPr>
    </w:p>
    <w:p>
      <w:pPr>
        <w:spacing w:after="0" w:line="31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Robinhood Markets, Inc.</w:t>
      </w:r>
    </w:p>
    <w:p>
      <w:pPr>
        <w:spacing w:after="0" w:line="333" w:lineRule="exact"/>
        <w:rPr>
          <w:sz w:val="20"/>
          <w:szCs w:val="20"/>
          <w:color w:val="auto"/>
        </w:rPr>
      </w:pPr>
    </w:p>
    <w:p>
      <w:pPr>
        <w:ind w:left="20"/>
        <w:spacing w:after="0"/>
        <w:tabs>
          <w:tab w:leader="none" w:pos="1000" w:val="left"/>
          <w:tab w:leader="none" w:pos="4240" w:val="left"/>
          <w:tab w:leader="none" w:pos="5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4,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Jason Warnick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Jason Warnick</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2024-12-04T07:37:55Z</dcterms:created>
  <dcterms:modified xsi:type="dcterms:W3CDTF">2024-12-04T07:37:55Z</dcterms:modified>
</cp:coreProperties>
</file>