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9"/>
          <w:szCs w:val="19"/>
          <w:b w:val="1"/>
          <w:bCs w:val="1"/>
          <w:color w:val="auto"/>
        </w:rPr>
        <w:t>______________________</w:t>
      </w:r>
    </w:p>
    <w:p>
      <w:pPr>
        <w:spacing w:after="0" w:line="173"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FORM 10-Q</w:t>
      </w:r>
    </w:p>
    <w:p>
      <w:pPr>
        <w:spacing w:after="0" w:line="22" w:lineRule="exact"/>
        <w:rPr>
          <w:sz w:val="24"/>
          <w:szCs w:val="24"/>
          <w:color w:val="auto"/>
        </w:rPr>
      </w:pPr>
    </w:p>
    <w:p>
      <w:pPr>
        <w:ind w:left="4280"/>
        <w:spacing w:after="0"/>
        <w:rPr>
          <w:sz w:val="20"/>
          <w:szCs w:val="20"/>
          <w:color w:val="auto"/>
        </w:rPr>
      </w:pPr>
      <w:r>
        <w:rPr>
          <w:rFonts w:ascii="Arial" w:cs="Arial" w:eastAsia="Arial" w:hAnsi="Arial"/>
          <w:sz w:val="19"/>
          <w:szCs w:val="19"/>
          <w:b w:val="1"/>
          <w:bCs w:val="1"/>
          <w:color w:val="auto"/>
        </w:rPr>
        <w:t>______________________</w:t>
      </w:r>
    </w:p>
    <w:p>
      <w:pPr>
        <w:jc w:val="center"/>
        <w:spacing w:after="0"/>
        <w:rPr>
          <w:sz w:val="20"/>
          <w:szCs w:val="20"/>
          <w:color w:val="auto"/>
        </w:rPr>
      </w:pPr>
      <w:r>
        <w:rPr>
          <w:rFonts w:ascii="Arial" w:cs="Arial" w:eastAsia="Arial" w:hAnsi="Arial"/>
          <w:sz w:val="13"/>
          <w:szCs w:val="13"/>
          <w:b w:val="1"/>
          <w:bCs w:val="1"/>
          <w:color w:val="auto"/>
        </w:rPr>
        <w:t>(Mark One)</w:t>
      </w:r>
    </w:p>
    <w:p>
      <w:pPr>
        <w:spacing w:after="0" w:line="95" w:lineRule="exact"/>
        <w:rPr>
          <w:sz w:val="24"/>
          <w:szCs w:val="24"/>
          <w:color w:val="auto"/>
        </w:rPr>
      </w:pPr>
    </w:p>
    <w:p>
      <w:pPr>
        <w:ind w:left="3680" w:right="1080" w:hanging="2516"/>
        <w:spacing w:after="0" w:line="409" w:lineRule="auto"/>
        <w:tabs>
          <w:tab w:leader="none" w:pos="226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For the quarterly period ended </w:t>
      </w:r>
      <w:r>
        <w:rPr>
          <w:rFonts w:ascii="Arial" w:cs="Arial" w:eastAsia="Arial" w:hAnsi="Arial"/>
          <w:sz w:val="15"/>
          <w:szCs w:val="15"/>
          <w:b w:val="1"/>
          <w:bCs w:val="1"/>
          <w:color w:val="auto"/>
        </w:rPr>
        <w:t>September 30, 2025</w:t>
      </w:r>
    </w:p>
    <w:p>
      <w:pPr>
        <w:spacing w:after="0" w:line="6"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108" w:lineRule="exact"/>
        <w:rPr>
          <w:sz w:val="24"/>
          <w:szCs w:val="24"/>
          <w:color w:val="auto"/>
        </w:rPr>
      </w:pPr>
    </w:p>
    <w:p>
      <w:pPr>
        <w:ind w:left="3700" w:right="1080" w:hanging="2536"/>
        <w:spacing w:after="0" w:line="414" w:lineRule="auto"/>
        <w:tabs>
          <w:tab w:leader="none" w:pos="228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4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color w:val="auto"/>
        </w:rPr>
        <w:t>001-40691</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9"/>
          <w:szCs w:val="19"/>
          <w:b w:val="1"/>
          <w:bCs w:val="1"/>
          <w:color w:val="auto"/>
        </w:rPr>
        <w:t>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3268345</wp:posOffset>
            </wp:positionH>
            <wp:positionV relativeFrom="paragraph">
              <wp:posOffset>-635</wp:posOffset>
            </wp:positionV>
            <wp:extent cx="35687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87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10" w:type="dxa"/>
        <w:tblCellMar>
          <w:top w:w="0" w:type="dxa"/>
          <w:left w:w="0" w:type="dxa"/>
          <w:bottom w:w="0" w:type="dxa"/>
          <w:right w:w="0" w:type="dxa"/>
        </w:tblCellMar>
      </w:tblPr>
      <w:tr>
        <w:trPr>
          <w:trHeight w:val="506"/>
        </w:trPr>
        <w:tc>
          <w:tcPr>
            <w:tcW w:w="10560" w:type="dxa"/>
            <w:vAlign w:val="bottom"/>
            <w:gridSpan w:val="5"/>
          </w:tcPr>
          <w:p>
            <w:pPr>
              <w:jc w:val="center"/>
              <w:ind w:left="197"/>
              <w:spacing w:after="0"/>
              <w:rPr>
                <w:sz w:val="20"/>
                <w:szCs w:val="20"/>
                <w:color w:val="auto"/>
              </w:rPr>
            </w:pPr>
            <w:r>
              <w:rPr>
                <w:rFonts w:ascii="Arial" w:cs="Arial" w:eastAsia="Arial" w:hAnsi="Arial"/>
                <w:sz w:val="37"/>
                <w:szCs w:val="37"/>
                <w:b w:val="1"/>
                <w:bCs w:val="1"/>
                <w:color w:val="auto"/>
              </w:rPr>
              <w:t>Robinhood Markets, Inc.</w:t>
            </w:r>
          </w:p>
        </w:tc>
      </w:tr>
      <w:tr>
        <w:trPr>
          <w:trHeight w:val="169"/>
        </w:trPr>
        <w:tc>
          <w:tcPr>
            <w:tcW w:w="3900" w:type="dxa"/>
            <w:vAlign w:val="bottom"/>
          </w:tcPr>
          <w:p>
            <w:pPr>
              <w:spacing w:after="0"/>
              <w:rPr>
                <w:sz w:val="14"/>
                <w:szCs w:val="14"/>
                <w:color w:val="auto"/>
              </w:rPr>
            </w:pPr>
          </w:p>
        </w:tc>
        <w:tc>
          <w:tcPr>
            <w:tcW w:w="3180" w:type="dxa"/>
            <w:vAlign w:val="bottom"/>
            <w:gridSpan w:val="3"/>
          </w:tcPr>
          <w:p>
            <w:pPr>
              <w:jc w:val="center"/>
              <w:ind w:right="120"/>
              <w:spacing w:after="0"/>
              <w:rPr>
                <w:sz w:val="20"/>
                <w:szCs w:val="20"/>
                <w:color w:val="auto"/>
              </w:rPr>
            </w:pPr>
            <w:r>
              <w:rPr>
                <w:rFonts w:ascii="Arial" w:cs="Arial" w:eastAsia="Arial" w:hAnsi="Arial"/>
                <w:sz w:val="13"/>
                <w:szCs w:val="13"/>
                <w:color w:val="auto"/>
                <w:w w:val="99"/>
              </w:rPr>
              <w:t>(Exact name of registrant as specified in its charter)</w:t>
            </w:r>
          </w:p>
        </w:tc>
        <w:tc>
          <w:tcPr>
            <w:tcW w:w="3480" w:type="dxa"/>
            <w:vAlign w:val="bottom"/>
          </w:tcPr>
          <w:p>
            <w:pPr>
              <w:spacing w:after="0"/>
              <w:rPr>
                <w:sz w:val="14"/>
                <w:szCs w:val="14"/>
                <w:color w:val="auto"/>
              </w:rPr>
            </w:pPr>
          </w:p>
        </w:tc>
      </w:tr>
      <w:tr>
        <w:trPr>
          <w:trHeight w:val="288"/>
        </w:trPr>
        <w:tc>
          <w:tcPr>
            <w:tcW w:w="390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Arial" w:cs="Arial" w:eastAsia="Arial" w:hAnsi="Arial"/>
                <w:sz w:val="19"/>
                <w:szCs w:val="19"/>
                <w:b w:val="1"/>
                <w:bCs w:val="1"/>
                <w:color w:val="auto"/>
              </w:rPr>
              <w:t>______________________</w:t>
            </w:r>
          </w:p>
        </w:tc>
        <w:tc>
          <w:tcPr>
            <w:tcW w:w="5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70"/>
        </w:trPr>
        <w:tc>
          <w:tcPr>
            <w:tcW w:w="3900" w:type="dxa"/>
            <w:vAlign w:val="bottom"/>
          </w:tcPr>
          <w:p>
            <w:pPr>
              <w:jc w:val="center"/>
              <w:ind w:left="777"/>
              <w:spacing w:after="0"/>
              <w:rPr>
                <w:sz w:val="20"/>
                <w:szCs w:val="20"/>
                <w:color w:val="auto"/>
              </w:rPr>
            </w:pPr>
            <w:r>
              <w:rPr>
                <w:rFonts w:ascii="Arial" w:cs="Arial" w:eastAsia="Arial" w:hAnsi="Arial"/>
                <w:sz w:val="15"/>
                <w:szCs w:val="15"/>
                <w:b w:val="1"/>
                <w:bCs w:val="1"/>
                <w:color w:val="auto"/>
              </w:rPr>
              <w:t>Delaware</w:t>
            </w:r>
          </w:p>
        </w:tc>
        <w:tc>
          <w:tcPr>
            <w:tcW w:w="3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80" w:type="dxa"/>
            <w:vAlign w:val="bottom"/>
          </w:tcPr>
          <w:p>
            <w:pPr>
              <w:ind w:left="860"/>
              <w:spacing w:after="0"/>
              <w:rPr>
                <w:sz w:val="20"/>
                <w:szCs w:val="20"/>
                <w:color w:val="auto"/>
              </w:rPr>
            </w:pPr>
            <w:r>
              <w:rPr>
                <w:rFonts w:ascii="Arial" w:cs="Arial" w:eastAsia="Arial" w:hAnsi="Arial"/>
                <w:sz w:val="15"/>
                <w:szCs w:val="15"/>
                <w:b w:val="1"/>
                <w:bCs w:val="1"/>
                <w:color w:val="auto"/>
              </w:rPr>
              <w:t>46-4364776</w:t>
            </w:r>
          </w:p>
        </w:tc>
      </w:tr>
      <w:tr>
        <w:trPr>
          <w:trHeight w:val="129"/>
        </w:trPr>
        <w:tc>
          <w:tcPr>
            <w:tcW w:w="3900" w:type="dxa"/>
            <w:vAlign w:val="bottom"/>
          </w:tcPr>
          <w:p>
            <w:pPr>
              <w:jc w:val="center"/>
              <w:ind w:left="777"/>
              <w:spacing w:after="0" w:line="129" w:lineRule="exact"/>
              <w:rPr>
                <w:sz w:val="20"/>
                <w:szCs w:val="20"/>
                <w:color w:val="auto"/>
              </w:rPr>
            </w:pPr>
            <w:r>
              <w:rPr>
                <w:rFonts w:ascii="Arial" w:cs="Arial" w:eastAsia="Arial" w:hAnsi="Arial"/>
                <w:sz w:val="13"/>
                <w:szCs w:val="13"/>
                <w:color w:val="auto"/>
                <w:w w:val="98"/>
              </w:rPr>
              <w:t>(State or other jurisdiction of</w:t>
            </w:r>
          </w:p>
        </w:tc>
        <w:tc>
          <w:tcPr>
            <w:tcW w:w="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80" w:type="dxa"/>
            <w:vAlign w:val="bottom"/>
          </w:tcPr>
          <w:p>
            <w:pPr>
              <w:ind w:left="860"/>
              <w:spacing w:after="0" w:line="129" w:lineRule="exact"/>
              <w:rPr>
                <w:sz w:val="20"/>
                <w:szCs w:val="20"/>
                <w:color w:val="auto"/>
              </w:rPr>
            </w:pPr>
            <w:r>
              <w:rPr>
                <w:rFonts w:ascii="Arial" w:cs="Arial" w:eastAsia="Arial" w:hAnsi="Arial"/>
                <w:sz w:val="13"/>
                <w:szCs w:val="13"/>
                <w:color w:val="auto"/>
              </w:rPr>
              <w:t>(IRS Employer</w:t>
            </w:r>
          </w:p>
        </w:tc>
      </w:tr>
      <w:tr>
        <w:trPr>
          <w:trHeight w:val="169"/>
        </w:trPr>
        <w:tc>
          <w:tcPr>
            <w:tcW w:w="3900" w:type="dxa"/>
            <w:vAlign w:val="bottom"/>
          </w:tcPr>
          <w:p>
            <w:pPr>
              <w:ind w:left="1400"/>
              <w:spacing w:after="0"/>
              <w:rPr>
                <w:sz w:val="20"/>
                <w:szCs w:val="20"/>
                <w:color w:val="auto"/>
              </w:rPr>
            </w:pPr>
            <w:r>
              <w:rPr>
                <w:rFonts w:ascii="Arial" w:cs="Arial" w:eastAsia="Arial" w:hAnsi="Arial"/>
                <w:sz w:val="13"/>
                <w:szCs w:val="13"/>
                <w:color w:val="auto"/>
              </w:rPr>
              <w:t>incorporation or organization)</w:t>
            </w: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80" w:type="dxa"/>
            <w:vAlign w:val="bottom"/>
          </w:tcPr>
          <w:p>
            <w:pPr>
              <w:ind w:left="620"/>
              <w:spacing w:after="0"/>
              <w:rPr>
                <w:sz w:val="20"/>
                <w:szCs w:val="20"/>
                <w:color w:val="auto"/>
              </w:rPr>
            </w:pPr>
            <w:r>
              <w:rPr>
                <w:rFonts w:ascii="Arial" w:cs="Arial" w:eastAsia="Arial" w:hAnsi="Arial"/>
                <w:sz w:val="13"/>
                <w:szCs w:val="13"/>
                <w:color w:val="auto"/>
              </w:rPr>
              <w:t>Identification No.)</w:t>
            </w:r>
          </w:p>
        </w:tc>
      </w:tr>
      <w:tr>
        <w:trPr>
          <w:trHeight w:val="242"/>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rPr>
              <w:t>85 Willow Rd</w:t>
            </w:r>
          </w:p>
        </w:tc>
        <w:tc>
          <w:tcPr>
            <w:tcW w:w="3480" w:type="dxa"/>
            <w:vAlign w:val="bottom"/>
          </w:tcPr>
          <w:p>
            <w:pPr>
              <w:spacing w:after="0"/>
              <w:rPr>
                <w:sz w:val="21"/>
                <w:szCs w:val="21"/>
                <w:color w:val="auto"/>
              </w:rPr>
            </w:pPr>
          </w:p>
        </w:tc>
      </w:tr>
      <w:tr>
        <w:trPr>
          <w:trHeight w:val="176"/>
        </w:trPr>
        <w:tc>
          <w:tcPr>
            <w:tcW w:w="3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rPr>
              <w:t>Menlo Park, CA 94025</w:t>
            </w:r>
          </w:p>
        </w:tc>
        <w:tc>
          <w:tcPr>
            <w:tcW w:w="3480" w:type="dxa"/>
            <w:vAlign w:val="bottom"/>
          </w:tcPr>
          <w:p>
            <w:pPr>
              <w:spacing w:after="0"/>
              <w:rPr>
                <w:sz w:val="15"/>
                <w:szCs w:val="15"/>
                <w:color w:val="auto"/>
              </w:rPr>
            </w:pPr>
          </w:p>
        </w:tc>
      </w:tr>
      <w:tr>
        <w:trPr>
          <w:trHeight w:val="169"/>
        </w:trPr>
        <w:tc>
          <w:tcPr>
            <w:tcW w:w="7080" w:type="dxa"/>
            <w:vAlign w:val="bottom"/>
            <w:gridSpan w:val="4"/>
          </w:tcPr>
          <w:p>
            <w:pPr>
              <w:jc w:val="center"/>
              <w:ind w:left="3697"/>
              <w:spacing w:after="0"/>
              <w:rPr>
                <w:sz w:val="20"/>
                <w:szCs w:val="20"/>
                <w:color w:val="auto"/>
              </w:rPr>
            </w:pPr>
            <w:r>
              <w:rPr>
                <w:rFonts w:ascii="Arial" w:cs="Arial" w:eastAsia="Arial" w:hAnsi="Arial"/>
                <w:sz w:val="13"/>
                <w:szCs w:val="13"/>
                <w:color w:val="auto"/>
                <w:w w:val="99"/>
              </w:rPr>
              <w:t>(Address of principal executive offices, including zip code)</w:t>
            </w:r>
          </w:p>
        </w:tc>
        <w:tc>
          <w:tcPr>
            <w:tcW w:w="3480" w:type="dxa"/>
            <w:vAlign w:val="bottom"/>
          </w:tcPr>
          <w:p>
            <w:pPr>
              <w:spacing w:after="0"/>
              <w:rPr>
                <w:sz w:val="14"/>
                <w:szCs w:val="14"/>
                <w:color w:val="auto"/>
              </w:rPr>
            </w:pPr>
          </w:p>
        </w:tc>
      </w:tr>
      <w:tr>
        <w:trPr>
          <w:trHeight w:val="253"/>
        </w:trPr>
        <w:tc>
          <w:tcPr>
            <w:tcW w:w="3900" w:type="dxa"/>
            <w:vAlign w:val="bottom"/>
          </w:tcPr>
          <w:p>
            <w:pPr>
              <w:spacing w:after="0"/>
              <w:rPr>
                <w:sz w:val="22"/>
                <w:szCs w:val="22"/>
                <w:color w:val="auto"/>
              </w:rPr>
            </w:pPr>
          </w:p>
        </w:tc>
        <w:tc>
          <w:tcPr>
            <w:tcW w:w="2680" w:type="dxa"/>
            <w:vAlign w:val="bottom"/>
            <w:gridSpan w:val="2"/>
          </w:tcPr>
          <w:p>
            <w:pPr>
              <w:jc w:val="right"/>
              <w:ind w:right="568"/>
              <w:spacing w:after="0"/>
              <w:rPr>
                <w:sz w:val="20"/>
                <w:szCs w:val="20"/>
                <w:color w:val="auto"/>
              </w:rPr>
            </w:pPr>
            <w:r>
              <w:rPr>
                <w:rFonts w:ascii="Arial" w:cs="Arial" w:eastAsia="Arial" w:hAnsi="Arial"/>
                <w:sz w:val="15"/>
                <w:szCs w:val="15"/>
                <w:b w:val="1"/>
                <w:bCs w:val="1"/>
                <w:color w:val="auto"/>
              </w:rPr>
              <w:t>(844) 428-5411</w:t>
            </w:r>
          </w:p>
        </w:tc>
        <w:tc>
          <w:tcPr>
            <w:tcW w:w="50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169"/>
        </w:trPr>
        <w:tc>
          <w:tcPr>
            <w:tcW w:w="3900" w:type="dxa"/>
            <w:vAlign w:val="bottom"/>
          </w:tcPr>
          <w:p>
            <w:pPr>
              <w:spacing w:after="0"/>
              <w:rPr>
                <w:sz w:val="14"/>
                <w:szCs w:val="14"/>
                <w:color w:val="auto"/>
              </w:rPr>
            </w:pPr>
          </w:p>
        </w:tc>
        <w:tc>
          <w:tcPr>
            <w:tcW w:w="3180" w:type="dxa"/>
            <w:vAlign w:val="bottom"/>
            <w:gridSpan w:val="3"/>
          </w:tcPr>
          <w:p>
            <w:pPr>
              <w:jc w:val="center"/>
              <w:ind w:right="120"/>
              <w:spacing w:after="0"/>
              <w:rPr>
                <w:sz w:val="20"/>
                <w:szCs w:val="20"/>
                <w:color w:val="auto"/>
              </w:rPr>
            </w:pPr>
            <w:r>
              <w:rPr>
                <w:rFonts w:ascii="Arial" w:cs="Arial" w:eastAsia="Arial" w:hAnsi="Arial"/>
                <w:sz w:val="13"/>
                <w:szCs w:val="13"/>
                <w:color w:val="auto"/>
                <w:w w:val="98"/>
              </w:rPr>
              <w:t>(Registrant’s telephone number, including area code)</w:t>
            </w:r>
          </w:p>
        </w:tc>
        <w:tc>
          <w:tcPr>
            <w:tcW w:w="3480" w:type="dxa"/>
            <w:vAlign w:val="bottom"/>
          </w:tcPr>
          <w:p>
            <w:pPr>
              <w:spacing w:after="0"/>
              <w:rPr>
                <w:sz w:val="14"/>
                <w:szCs w:val="14"/>
                <w:color w:val="auto"/>
              </w:rPr>
            </w:pPr>
          </w:p>
        </w:tc>
      </w:tr>
      <w:tr>
        <w:trPr>
          <w:trHeight w:val="399"/>
        </w:trPr>
        <w:tc>
          <w:tcPr>
            <w:tcW w:w="3900" w:type="dxa"/>
            <w:vAlign w:val="bottom"/>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00"/>
        </w:trPr>
        <w:tc>
          <w:tcPr>
            <w:tcW w:w="3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r>
      <w:tr>
        <w:trPr>
          <w:trHeight w:val="179"/>
        </w:trPr>
        <w:tc>
          <w:tcPr>
            <w:tcW w:w="3900" w:type="dxa"/>
            <w:vAlign w:val="bottom"/>
            <w:tcBorders>
              <w:left w:val="single" w:sz="8" w:color="auto"/>
              <w:bottom w:val="single" w:sz="8" w:color="auto"/>
            </w:tcBorders>
          </w:tcPr>
          <w:p>
            <w:pPr>
              <w:jc w:val="center"/>
              <w:ind w:left="297"/>
              <w:spacing w:after="0"/>
              <w:rPr>
                <w:sz w:val="20"/>
                <w:szCs w:val="20"/>
                <w:color w:val="auto"/>
              </w:rPr>
            </w:pPr>
            <w:r>
              <w:rPr>
                <w:rFonts w:ascii="Arial" w:cs="Arial" w:eastAsia="Arial" w:hAnsi="Arial"/>
                <w:sz w:val="14"/>
                <w:szCs w:val="14"/>
                <w:b w:val="1"/>
                <w:bCs w:val="1"/>
                <w:color w:val="auto"/>
                <w:w w:val="99"/>
              </w:rPr>
              <w:t>Title of each class</w:t>
            </w:r>
          </w:p>
        </w:tc>
        <w:tc>
          <w:tcPr>
            <w:tcW w:w="36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500" w:type="dxa"/>
            <w:vAlign w:val="bottom"/>
            <w:tcBorders>
              <w:bottom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67"/>
        </w:trPr>
        <w:tc>
          <w:tcPr>
            <w:tcW w:w="3900" w:type="dxa"/>
            <w:vAlign w:val="bottom"/>
            <w:tcBorders>
              <w:left w:val="single" w:sz="8" w:color="auto"/>
              <w:bottom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9"/>
              </w:rPr>
              <w:t>Class A Common Stock - $0.0001 par value per share</w:t>
            </w:r>
          </w:p>
        </w:tc>
        <w:tc>
          <w:tcPr>
            <w:tcW w:w="36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HOOD</w:t>
            </w:r>
          </w:p>
        </w:tc>
        <w:tc>
          <w:tcPr>
            <w:tcW w:w="500" w:type="dxa"/>
            <w:vAlign w:val="bottom"/>
            <w:tcBorders>
              <w:bottom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jc w:val="center"/>
              <w:ind w:right="452"/>
              <w:spacing w:after="0"/>
              <w:rPr>
                <w:sz w:val="20"/>
                <w:szCs w:val="20"/>
                <w:color w:val="auto"/>
              </w:rPr>
            </w:pPr>
            <w:r>
              <w:rPr>
                <w:rFonts w:ascii="Arial" w:cs="Arial" w:eastAsia="Arial" w:hAnsi="Arial"/>
                <w:sz w:val="13"/>
                <w:szCs w:val="13"/>
                <w:b w:val="1"/>
                <w:bCs w:val="1"/>
                <w:color w:val="auto"/>
                <w:w w:val="98"/>
              </w:rPr>
              <w:t>The Nasdaq Stock Market LLC</w:t>
            </w:r>
          </w:p>
        </w:tc>
      </w:tr>
    </w:tbl>
    <w:p>
      <w:pPr>
        <w:spacing w:after="0" w:line="210" w:lineRule="exact"/>
        <w:rPr>
          <w:sz w:val="24"/>
          <w:szCs w:val="24"/>
          <w:color w:val="auto"/>
        </w:rPr>
      </w:pPr>
    </w:p>
    <w:p>
      <w:pPr>
        <w:jc w:val="both"/>
        <w:spacing w:after="0" w:line="262"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Wingdings" w:cs="Wingdings" w:eastAsia="Wingdings" w:hAnsi="Wingdings"/>
          <w:sz w:val="14"/>
          <w:szCs w:val="14"/>
          <w:color w:val="auto"/>
        </w:rPr>
        <w:t>o</w:t>
      </w:r>
    </w:p>
    <w:p>
      <w:pPr>
        <w:spacing w:after="0" w:line="187" w:lineRule="exact"/>
        <w:rPr>
          <w:sz w:val="24"/>
          <w:szCs w:val="24"/>
          <w:color w:val="auto"/>
        </w:rPr>
      </w:pPr>
    </w:p>
    <w:p>
      <w:pPr>
        <w:jc w:val="both"/>
        <w:spacing w:after="0" w:line="280"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r>
        <w:rPr>
          <w:rFonts w:ascii="Wingdings" w:cs="Wingdings" w:eastAsia="Wingdings" w:hAnsi="Wingdings"/>
          <w:sz w:val="14"/>
          <w:szCs w:val="14"/>
          <w:color w:val="auto"/>
        </w:rPr>
        <w:t>o</w:t>
      </w:r>
    </w:p>
    <w:p>
      <w:pPr>
        <w:spacing w:after="0" w:line="175" w:lineRule="exact"/>
        <w:rPr>
          <w:sz w:val="24"/>
          <w:szCs w:val="24"/>
          <w:color w:val="auto"/>
        </w:rPr>
      </w:pPr>
    </w:p>
    <w:p>
      <w:pPr>
        <w:jc w:val="both"/>
        <w:ind w:right="60"/>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5" w:lineRule="exact"/>
        <w:rPr>
          <w:sz w:val="24"/>
          <w:szCs w:val="24"/>
          <w:color w:val="auto"/>
        </w:rPr>
      </w:pPr>
    </w:p>
    <w:p>
      <w:pPr>
        <w:spacing w:after="0"/>
        <w:tabs>
          <w:tab w:leader="none" w:pos="1680" w:val="left"/>
          <w:tab w:leader="none" w:pos="3000" w:val="left"/>
          <w:tab w:leader="none" w:pos="63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 xml:space="preserve">Accelerated filer </w:t>
      </w:r>
      <w:r>
        <w:rPr>
          <w:rFonts w:ascii="Wingdings" w:cs="Wingdings" w:eastAsia="Wingdings" w:hAnsi="Wingdings"/>
          <w:sz w:val="14"/>
          <w:szCs w:val="14"/>
          <w:color w:val="auto"/>
        </w:rPr>
        <w:t>o</w:t>
      </w:r>
      <w:r>
        <w:rPr>
          <w:rFonts w:ascii="Arial" w:cs="Arial" w:eastAsia="Arial" w:hAnsi="Arial"/>
          <w:sz w:val="14"/>
          <w:szCs w:val="14"/>
          <w:color w:val="auto"/>
        </w:rPr>
        <w:tab/>
        <w:t xml:space="preserve">Non-accelerated filer </w:t>
      </w:r>
      <w:r>
        <w:rPr>
          <w:rFonts w:ascii="Wingdings" w:cs="Wingdings" w:eastAsia="Wingdings" w:hAnsi="Wingdings"/>
          <w:sz w:val="14"/>
          <w:szCs w:val="14"/>
          <w:color w:val="auto"/>
        </w:rPr>
        <w:t>o</w:t>
      </w:r>
      <w:r>
        <w:rPr>
          <w:rFonts w:ascii="Arial" w:cs="Arial" w:eastAsia="Arial" w:hAnsi="Arial"/>
          <w:sz w:val="14"/>
          <w:szCs w:val="14"/>
          <w:color w:val="auto"/>
        </w:rPr>
        <w:t xml:space="preserve"> Smaller reporting company</w:t>
        <w:tab/>
        <w:t>Emerging growth company</w:t>
      </w:r>
    </w:p>
    <w:p>
      <w:pPr>
        <w:spacing w:after="0" w:line="226" w:lineRule="exact"/>
        <w:rPr>
          <w:sz w:val="24"/>
          <w:szCs w:val="24"/>
          <w:color w:val="auto"/>
        </w:rPr>
      </w:pPr>
    </w:p>
    <w:p>
      <w:pPr>
        <w:ind w:right="20"/>
        <w:spacing w:after="0" w:line="28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w:t>
      </w:r>
      <w:r>
        <w:rPr>
          <w:rFonts w:ascii="Wingdings" w:cs="Wingdings" w:eastAsia="Wingdings" w:hAnsi="Wingdings"/>
          <w:sz w:val="14"/>
          <w:szCs w:val="14"/>
          <w:color w:val="auto"/>
        </w:rPr>
        <w:t>o</w:t>
      </w:r>
      <w:r>
        <w:rPr>
          <w:rFonts w:ascii="Arial" w:cs="Arial" w:eastAsia="Arial" w:hAnsi="Arial"/>
          <w:sz w:val="14"/>
          <w:szCs w:val="14"/>
          <w:color w:val="auto"/>
        </w:rPr>
        <w:t xml:space="preserve"> No</w:t>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30, 2025, the numbers of shares of the issuer’s Class A and Class B common stock outstanding were 786,356,025 and 112,832,844.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73608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990" w:right="66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TABLE OF CONTENTS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7220" w:type="dxa"/>
            <w:vAlign w:val="bottom"/>
            <w:tcBorders>
              <w:left w:val="single" w:sz="8" w:color="CCEEFF"/>
            </w:tcBorders>
            <w:gridSpan w:val="26"/>
            <w:shd w:val="clear" w:color="auto" w:fill="CCEEFF"/>
          </w:tcPr>
          <w:p>
            <w:pPr>
              <w:ind w:left="20"/>
              <w:spacing w:after="0"/>
              <w:rPr>
                <w:sz w:val="20"/>
                <w:szCs w:val="20"/>
                <w:color w:val="auto"/>
              </w:rPr>
            </w:pPr>
            <w:r>
              <w:rPr>
                <w:rFonts w:ascii="Arial" w:cs="Arial" w:eastAsia="Arial" w:hAnsi="Arial"/>
                <w:sz w:val="15"/>
                <w:szCs w:val="15"/>
                <w:b w:val="1"/>
                <w:bCs w:val="1"/>
                <w:color w:val="auto"/>
              </w:rPr>
              <w:t>PART I - FINANCIAL INFORMATION</w:t>
            </w:r>
          </w:p>
        </w:tc>
        <w:tc>
          <w:tcPr>
            <w:tcW w:w="3360" w:type="dxa"/>
            <w:vAlign w:val="bottom"/>
            <w:gridSpan w:val="4"/>
            <w:shd w:val="clear" w:color="auto" w:fill="CCEEFF"/>
          </w:tcPr>
          <w:p>
            <w:pPr>
              <w:ind w:left="2440"/>
              <w:spacing w:after="0"/>
              <w:rPr>
                <w:sz w:val="20"/>
                <w:szCs w:val="20"/>
                <w:color w:val="auto"/>
              </w:rPr>
            </w:pPr>
            <w:r>
              <w:rPr>
                <w:rFonts w:ascii="Arial" w:cs="Arial" w:eastAsia="Arial" w:hAnsi="Arial"/>
                <w:sz w:val="15"/>
                <w:szCs w:val="15"/>
                <w:b w:val="1"/>
                <w:bCs w:val="1"/>
                <w:color w:val="auto"/>
              </w:rPr>
              <w:t>PAGE</w:t>
            </w:r>
          </w:p>
        </w:tc>
      </w:tr>
      <w:tr>
        <w:trPr>
          <w:trHeight w:val="164"/>
        </w:trPr>
        <w:tc>
          <w:tcPr>
            <w:tcW w:w="920" w:type="dxa"/>
            <w:vAlign w:val="bottom"/>
          </w:tcPr>
          <w:p>
            <w:pPr>
              <w:ind w:left="20"/>
              <w:spacing w:after="0" w:line="164" w:lineRule="exact"/>
              <w:rPr>
                <w:sz w:val="20"/>
                <w:szCs w:val="20"/>
                <w:color w:val="auto"/>
              </w:rPr>
            </w:pPr>
            <w:r>
              <w:rPr>
                <w:rFonts w:ascii="Arial" w:cs="Arial" w:eastAsia="Arial" w:hAnsi="Arial"/>
                <w:sz w:val="15"/>
                <w:szCs w:val="15"/>
                <w:color w:val="auto"/>
              </w:rPr>
              <w:t>ITEM 1.</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5">
              <w:r>
                <w:rPr>
                  <w:rFonts w:ascii="Arial" w:cs="Arial" w:eastAsia="Arial" w:hAnsi="Arial"/>
                  <w:sz w:val="15"/>
                  <w:szCs w:val="15"/>
                  <w:color w:val="0000FF"/>
                </w:rPr>
                <w:t>Unaudited Financial Statements</w:t>
              </w:r>
            </w:hyperlink>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5">
              <w:r>
                <w:rPr>
                  <w:rFonts w:ascii="Arial" w:cs="Arial" w:eastAsia="Arial" w:hAnsi="Arial"/>
                  <w:sz w:val="15"/>
                  <w:szCs w:val="15"/>
                  <w:color w:val="0000FF"/>
                </w:rPr>
                <w:t>Condensed Consolidated Balance Sheets</w:t>
              </w:r>
            </w:hyperlink>
          </w:p>
        </w:tc>
        <w:tc>
          <w:tcPr>
            <w:tcW w:w="2920" w:type="dxa"/>
            <w:vAlign w:val="bottom"/>
            <w:gridSpan w:val="2"/>
            <w:shd w:val="clear" w:color="auto" w:fill="CCEEFF"/>
          </w:tcPr>
          <w:p>
            <w:pPr>
              <w:jc w:val="center"/>
              <w:ind w:left="2744"/>
              <w:spacing w:after="0"/>
              <w:rPr>
                <w:rFonts w:ascii="Arial" w:cs="Arial" w:eastAsia="Arial" w:hAnsi="Arial"/>
                <w:sz w:val="15"/>
                <w:szCs w:val="15"/>
                <w:color w:val="0000FF"/>
              </w:rPr>
            </w:pPr>
            <w:hyperlink w:anchor="page5">
              <w:r>
                <w:rPr>
                  <w:rFonts w:ascii="Arial" w:cs="Arial" w:eastAsia="Arial" w:hAnsi="Arial"/>
                  <w:sz w:val="15"/>
                  <w:szCs w:val="15"/>
                  <w:color w:val="0000FF"/>
                </w:rPr>
                <w:t>5</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Statements of Operations</w:t>
              </w:r>
            </w:hyperlink>
          </w:p>
        </w:tc>
        <w:tc>
          <w:tcPr>
            <w:tcW w:w="2920" w:type="dxa"/>
            <w:vAlign w:val="bottom"/>
            <w:gridSpan w:val="2"/>
          </w:tcPr>
          <w:p>
            <w:pPr>
              <w:jc w:val="center"/>
              <w:ind w:left="2744"/>
              <w:spacing w:after="0" w:line="164" w:lineRule="exact"/>
              <w:rPr>
                <w:rFonts w:ascii="Arial" w:cs="Arial" w:eastAsia="Arial" w:hAnsi="Arial"/>
                <w:sz w:val="15"/>
                <w:szCs w:val="15"/>
                <w:color w:val="0000FF"/>
              </w:rPr>
            </w:pPr>
            <w:hyperlink w:anchor="page6">
              <w:r>
                <w:rPr>
                  <w:rFonts w:ascii="Arial" w:cs="Arial" w:eastAsia="Arial" w:hAnsi="Arial"/>
                  <w:sz w:val="15"/>
                  <w:szCs w:val="15"/>
                  <w:color w:val="0000FF"/>
                </w:rPr>
                <w:t>6</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7">
              <w:r>
                <w:rPr>
                  <w:rFonts w:ascii="Arial" w:cs="Arial" w:eastAsia="Arial" w:hAnsi="Arial"/>
                  <w:sz w:val="15"/>
                  <w:szCs w:val="15"/>
                  <w:color w:val="0000FF"/>
                </w:rPr>
                <w:t>Condensed Consolidated Statements of Comprehensive Income</w:t>
              </w:r>
            </w:hyperlink>
          </w:p>
        </w:tc>
        <w:tc>
          <w:tcPr>
            <w:tcW w:w="2920" w:type="dxa"/>
            <w:vAlign w:val="bottom"/>
            <w:gridSpan w:val="2"/>
            <w:shd w:val="clear" w:color="auto" w:fill="CCEEFF"/>
          </w:tcPr>
          <w:p>
            <w:pPr>
              <w:jc w:val="center"/>
              <w:ind w:left="2744"/>
              <w:spacing w:after="0"/>
              <w:rPr>
                <w:rFonts w:ascii="Arial" w:cs="Arial" w:eastAsia="Arial" w:hAnsi="Arial"/>
                <w:sz w:val="15"/>
                <w:szCs w:val="15"/>
                <w:color w:val="0000FF"/>
              </w:rPr>
            </w:pPr>
            <w:hyperlink w:anchor="page7">
              <w:r>
                <w:rPr>
                  <w:rFonts w:ascii="Arial" w:cs="Arial" w:eastAsia="Arial" w:hAnsi="Arial"/>
                  <w:sz w:val="15"/>
                  <w:szCs w:val="15"/>
                  <w:color w:val="0000FF"/>
                </w:rPr>
                <w:t>7</w:t>
              </w:r>
            </w:hyperlink>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8">
              <w:r>
                <w:rPr>
                  <w:rFonts w:ascii="Arial" w:cs="Arial" w:eastAsia="Arial" w:hAnsi="Arial"/>
                  <w:sz w:val="15"/>
                  <w:szCs w:val="15"/>
                  <w:color w:val="0000FF"/>
                </w:rPr>
                <w:t>Condensed Consolidated Statements of Cash Flows</w:t>
              </w:r>
            </w:hyperlink>
          </w:p>
        </w:tc>
        <w:tc>
          <w:tcPr>
            <w:tcW w:w="2920" w:type="dxa"/>
            <w:vAlign w:val="bottom"/>
            <w:gridSpan w:val="2"/>
          </w:tcPr>
          <w:p>
            <w:pPr>
              <w:jc w:val="center"/>
              <w:ind w:left="2744"/>
              <w:spacing w:after="0" w:line="164" w:lineRule="exact"/>
              <w:rPr>
                <w:rFonts w:ascii="Arial" w:cs="Arial" w:eastAsia="Arial" w:hAnsi="Arial"/>
                <w:sz w:val="15"/>
                <w:szCs w:val="15"/>
                <w:color w:val="0000FF"/>
              </w:rPr>
            </w:pPr>
            <w:hyperlink w:anchor="page8">
              <w:r>
                <w:rPr>
                  <w:rFonts w:ascii="Arial" w:cs="Arial" w:eastAsia="Arial" w:hAnsi="Arial"/>
                  <w:sz w:val="15"/>
                  <w:szCs w:val="15"/>
                  <w:color w:val="0000FF"/>
                </w:rPr>
                <w:t>8</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10">
              <w:r>
                <w:rPr>
                  <w:rFonts w:ascii="Arial" w:cs="Arial" w:eastAsia="Arial" w:hAnsi="Arial"/>
                  <w:sz w:val="15"/>
                  <w:szCs w:val="15"/>
                  <w:color w:val="0000FF"/>
                </w:rPr>
                <w:t>Condensed Consolidated Statements of Stockholders’ Equity</w:t>
              </w:r>
            </w:hyperlink>
          </w:p>
        </w:tc>
        <w:tc>
          <w:tcPr>
            <w:tcW w:w="3020" w:type="dxa"/>
            <w:vAlign w:val="bottom"/>
            <w:gridSpan w:val="3"/>
            <w:shd w:val="clear" w:color="auto" w:fill="CCEEFF"/>
          </w:tcPr>
          <w:p>
            <w:pPr>
              <w:jc w:val="center"/>
              <w:ind w:left="2684"/>
              <w:spacing w:after="0"/>
              <w:rPr>
                <w:rFonts w:ascii="Arial" w:cs="Arial" w:eastAsia="Arial" w:hAnsi="Arial"/>
                <w:sz w:val="15"/>
                <w:szCs w:val="15"/>
                <w:color w:val="0000FF"/>
              </w:rPr>
            </w:pPr>
            <w:hyperlink w:anchor="page10">
              <w:r>
                <w:rPr>
                  <w:rFonts w:ascii="Arial" w:cs="Arial" w:eastAsia="Arial" w:hAnsi="Arial"/>
                  <w:sz w:val="15"/>
                  <w:szCs w:val="15"/>
                  <w:color w:val="0000FF"/>
                </w:rPr>
                <w:t>10</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12">
              <w:r>
                <w:rPr>
                  <w:rFonts w:ascii="Arial" w:cs="Arial" w:eastAsia="Arial" w:hAnsi="Arial"/>
                  <w:sz w:val="15"/>
                  <w:szCs w:val="15"/>
                  <w:color w:val="0000FF"/>
                </w:rPr>
                <w:t>Notes to Unaudited Condensed Consolidated Financial Statements</w:t>
              </w:r>
            </w:hyperlink>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500" w:type="dxa"/>
            <w:vAlign w:val="bottom"/>
            <w:gridSpan w:val="22"/>
            <w:shd w:val="clear" w:color="auto" w:fill="CCEEFF"/>
          </w:tcPr>
          <w:p>
            <w:pPr>
              <w:spacing w:after="0"/>
              <w:rPr>
                <w:rFonts w:ascii="Arial" w:cs="Arial" w:eastAsia="Arial" w:hAnsi="Arial"/>
                <w:sz w:val="15"/>
                <w:szCs w:val="15"/>
                <w:color w:val="0000FF"/>
              </w:rPr>
            </w:pPr>
            <w:hyperlink w:anchor="page13">
              <w:r>
                <w:rPr>
                  <w:rFonts w:ascii="Arial" w:cs="Arial" w:eastAsia="Arial" w:hAnsi="Arial"/>
                  <w:sz w:val="15"/>
                  <w:szCs w:val="15"/>
                  <w:color w:val="0000FF"/>
                </w:rPr>
                <w:t>Note 1 - Description of Business and Summary of Significant Accounting Policies</w:t>
              </w:r>
            </w:hyperlink>
          </w:p>
        </w:tc>
        <w:tc>
          <w:tcPr>
            <w:tcW w:w="360" w:type="dxa"/>
            <w:vAlign w:val="bottom"/>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13">
              <w:r>
                <w:rPr>
                  <w:rFonts w:ascii="Arial" w:cs="Arial" w:eastAsia="Arial" w:hAnsi="Arial"/>
                  <w:sz w:val="15"/>
                  <w:szCs w:val="15"/>
                  <w:color w:val="0000FF"/>
                  <w:w w:val="83"/>
                </w:rPr>
                <w:t>12</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15"/>
          </w:tcPr>
          <w:p>
            <w:pPr>
              <w:spacing w:after="0" w:line="164" w:lineRule="exact"/>
              <w:rPr>
                <w:rFonts w:ascii="Arial" w:cs="Arial" w:eastAsia="Arial" w:hAnsi="Arial"/>
                <w:sz w:val="15"/>
                <w:szCs w:val="15"/>
                <w:color w:val="0000FF"/>
              </w:rPr>
            </w:pPr>
            <w:hyperlink w:anchor="page14">
              <w:r>
                <w:rPr>
                  <w:rFonts w:ascii="Arial" w:cs="Arial" w:eastAsia="Arial" w:hAnsi="Arial"/>
                  <w:sz w:val="15"/>
                  <w:szCs w:val="15"/>
                  <w:color w:val="0000FF"/>
                </w:rPr>
                <w:t>Note 2 - Recent Accounting Pronouncements</w:t>
              </w:r>
            </w:hyperlink>
          </w:p>
        </w:tc>
        <w:tc>
          <w:tcPr>
            <w:tcW w:w="244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14">
              <w:r>
                <w:rPr>
                  <w:rFonts w:ascii="Arial" w:cs="Arial" w:eastAsia="Arial" w:hAnsi="Arial"/>
                  <w:sz w:val="15"/>
                  <w:szCs w:val="15"/>
                  <w:color w:val="0000FF"/>
                  <w:w w:val="83"/>
                </w:rPr>
                <w:t>13</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80" w:type="dxa"/>
            <w:vAlign w:val="bottom"/>
            <w:gridSpan w:val="10"/>
            <w:shd w:val="clear" w:color="auto" w:fill="CCEEFF"/>
          </w:tcPr>
          <w:p>
            <w:pPr>
              <w:spacing w:after="0"/>
              <w:rPr>
                <w:rFonts w:ascii="Arial" w:cs="Arial" w:eastAsia="Arial" w:hAnsi="Arial"/>
                <w:sz w:val="15"/>
                <w:szCs w:val="15"/>
                <w:color w:val="0000FF"/>
              </w:rPr>
            </w:pPr>
            <w:hyperlink w:anchor="page16">
              <w:r>
                <w:rPr>
                  <w:rFonts w:ascii="Arial" w:cs="Arial" w:eastAsia="Arial" w:hAnsi="Arial"/>
                  <w:sz w:val="15"/>
                  <w:szCs w:val="15"/>
                  <w:color w:val="0000FF"/>
                </w:rPr>
                <w:t>Note 3 - Business Combinations</w:t>
              </w:r>
            </w:hyperlink>
          </w:p>
        </w:tc>
        <w:tc>
          <w:tcPr>
            <w:tcW w:w="880" w:type="dxa"/>
            <w:vAlign w:val="bottom"/>
            <w:gridSpan w:val="5"/>
            <w:shd w:val="clear" w:color="auto" w:fill="CCEEFF"/>
          </w:tcPr>
          <w:p>
            <w:pPr>
              <w:spacing w:after="0"/>
              <w:rPr>
                <w:sz w:val="14"/>
                <w:szCs w:val="14"/>
                <w:color w:val="auto"/>
              </w:rPr>
            </w:pPr>
          </w:p>
        </w:tc>
        <w:tc>
          <w:tcPr>
            <w:tcW w:w="2800" w:type="dxa"/>
            <w:vAlign w:val="bottom"/>
            <w:gridSpan w:val="8"/>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16">
              <w:r>
                <w:rPr>
                  <w:rFonts w:ascii="Arial" w:cs="Arial" w:eastAsia="Arial" w:hAnsi="Arial"/>
                  <w:sz w:val="15"/>
                  <w:szCs w:val="15"/>
                  <w:color w:val="0000FF"/>
                  <w:w w:val="83"/>
                </w:rPr>
                <w:t>15</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12"/>
          </w:tcPr>
          <w:p>
            <w:pPr>
              <w:spacing w:after="0" w:line="164" w:lineRule="exact"/>
              <w:rPr>
                <w:rFonts w:ascii="Arial" w:cs="Arial" w:eastAsia="Arial" w:hAnsi="Arial"/>
                <w:sz w:val="15"/>
                <w:szCs w:val="15"/>
                <w:color w:val="0000FF"/>
              </w:rPr>
            </w:pPr>
            <w:hyperlink w:anchor="page18">
              <w:r>
                <w:rPr>
                  <w:rFonts w:ascii="Arial" w:cs="Arial" w:eastAsia="Arial" w:hAnsi="Arial"/>
                  <w:sz w:val="15"/>
                  <w:szCs w:val="15"/>
                  <w:color w:val="0000FF"/>
                </w:rPr>
                <w:t>Note 4 - Goodwill and Intangible Assets</w:t>
              </w:r>
            </w:hyperlink>
          </w:p>
        </w:tc>
        <w:tc>
          <w:tcPr>
            <w:tcW w:w="3180" w:type="dxa"/>
            <w:vAlign w:val="bottom"/>
            <w:gridSpan w:val="11"/>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18">
              <w:r>
                <w:rPr>
                  <w:rFonts w:ascii="Arial" w:cs="Arial" w:eastAsia="Arial" w:hAnsi="Arial"/>
                  <w:sz w:val="15"/>
                  <w:szCs w:val="15"/>
                  <w:color w:val="0000FF"/>
                  <w:w w:val="83"/>
                </w:rPr>
                <w:t>17</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80" w:type="dxa"/>
            <w:vAlign w:val="bottom"/>
            <w:tcBorders>
              <w:right w:val="single" w:sz="8" w:color="CCEEFF"/>
            </w:tcBorders>
            <w:gridSpan w:val="12"/>
            <w:shd w:val="clear" w:color="auto" w:fill="CCEEFF"/>
          </w:tcPr>
          <w:p>
            <w:pPr>
              <w:spacing w:after="0"/>
              <w:rPr>
                <w:rFonts w:ascii="Arial" w:cs="Arial" w:eastAsia="Arial" w:hAnsi="Arial"/>
                <w:sz w:val="15"/>
                <w:szCs w:val="15"/>
                <w:color w:val="0000FF"/>
              </w:rPr>
            </w:pPr>
            <w:hyperlink w:anchor="page19">
              <w:r>
                <w:rPr>
                  <w:rFonts w:ascii="Arial" w:cs="Arial" w:eastAsia="Arial" w:hAnsi="Arial"/>
                  <w:sz w:val="15"/>
                  <w:szCs w:val="15"/>
                  <w:color w:val="0000FF"/>
                </w:rPr>
                <w:t>Note 5 - Revenues</w:t>
              </w:r>
            </w:hyperlink>
          </w:p>
        </w:tc>
        <w:tc>
          <w:tcPr>
            <w:tcW w:w="3180" w:type="dxa"/>
            <w:vAlign w:val="bottom"/>
            <w:gridSpan w:val="11"/>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19">
              <w:r>
                <w:rPr>
                  <w:rFonts w:ascii="Arial" w:cs="Arial" w:eastAsia="Arial" w:hAnsi="Arial"/>
                  <w:sz w:val="15"/>
                  <w:szCs w:val="15"/>
                  <w:color w:val="0000FF"/>
                  <w:w w:val="83"/>
                </w:rPr>
                <w:t>19</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11"/>
          </w:tcPr>
          <w:p>
            <w:pPr>
              <w:spacing w:after="0" w:line="164" w:lineRule="exact"/>
              <w:rPr>
                <w:rFonts w:ascii="Arial" w:cs="Arial" w:eastAsia="Arial" w:hAnsi="Arial"/>
                <w:sz w:val="15"/>
                <w:szCs w:val="15"/>
                <w:color w:val="0000FF"/>
              </w:rPr>
            </w:pPr>
            <w:hyperlink w:anchor="page21">
              <w:r>
                <w:rPr>
                  <w:rFonts w:ascii="Arial" w:cs="Arial" w:eastAsia="Arial" w:hAnsi="Arial"/>
                  <w:sz w:val="15"/>
                  <w:szCs w:val="15"/>
                  <w:color w:val="0000FF"/>
                </w:rPr>
                <w:t>Note 6 - Allowance for Credit Losses</w:t>
              </w:r>
            </w:hyperlink>
          </w:p>
        </w:tc>
        <w:tc>
          <w:tcPr>
            <w:tcW w:w="3380" w:type="dxa"/>
            <w:vAlign w:val="bottom"/>
            <w:gridSpan w:val="12"/>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21">
              <w:r>
                <w:rPr>
                  <w:rFonts w:ascii="Arial" w:cs="Arial" w:eastAsia="Arial" w:hAnsi="Arial"/>
                  <w:sz w:val="15"/>
                  <w:szCs w:val="15"/>
                  <w:color w:val="0000FF"/>
                  <w:w w:val="83"/>
                </w:rPr>
                <w:t>21</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40" w:type="dxa"/>
            <w:vAlign w:val="bottom"/>
            <w:tcBorders>
              <w:right w:val="single" w:sz="8" w:color="CCEEFF"/>
            </w:tcBorders>
            <w:gridSpan w:val="17"/>
            <w:shd w:val="clear" w:color="auto" w:fill="CCEEFF"/>
          </w:tcPr>
          <w:p>
            <w:pPr>
              <w:spacing w:after="0"/>
              <w:rPr>
                <w:rFonts w:ascii="Arial" w:cs="Arial" w:eastAsia="Arial" w:hAnsi="Arial"/>
                <w:sz w:val="15"/>
                <w:szCs w:val="15"/>
                <w:color w:val="0000FF"/>
              </w:rPr>
            </w:pPr>
            <w:hyperlink w:anchor="page23">
              <w:r>
                <w:rPr>
                  <w:rFonts w:ascii="Arial" w:cs="Arial" w:eastAsia="Arial" w:hAnsi="Arial"/>
                  <w:sz w:val="15"/>
                  <w:szCs w:val="15"/>
                  <w:color w:val="0000FF"/>
                </w:rPr>
                <w:t>Note 7 - Investments and Fair Value Measurement</w:t>
              </w:r>
            </w:hyperlink>
          </w:p>
        </w:tc>
        <w:tc>
          <w:tcPr>
            <w:tcW w:w="2420" w:type="dxa"/>
            <w:vAlign w:val="bottom"/>
            <w:gridSpan w:val="6"/>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23">
              <w:r>
                <w:rPr>
                  <w:rFonts w:ascii="Arial" w:cs="Arial" w:eastAsia="Arial" w:hAnsi="Arial"/>
                  <w:sz w:val="15"/>
                  <w:szCs w:val="15"/>
                  <w:color w:val="0000FF"/>
                  <w:w w:val="83"/>
                </w:rPr>
                <w:t>22</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CCEE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17"/>
          </w:tcPr>
          <w:p>
            <w:pPr>
              <w:spacing w:after="0" w:line="164" w:lineRule="exact"/>
              <w:rPr>
                <w:rFonts w:ascii="Arial" w:cs="Arial" w:eastAsia="Arial" w:hAnsi="Arial"/>
                <w:sz w:val="15"/>
                <w:szCs w:val="15"/>
                <w:color w:val="0000FF"/>
              </w:rPr>
            </w:pPr>
            <w:hyperlink w:anchor="page27">
              <w:r>
                <w:rPr>
                  <w:rFonts w:ascii="Arial" w:cs="Arial" w:eastAsia="Arial" w:hAnsi="Arial"/>
                  <w:sz w:val="15"/>
                  <w:szCs w:val="15"/>
                  <w:color w:val="0000FF"/>
                </w:rPr>
                <w:t>Note 8 - Income Taxes</w:t>
              </w:r>
            </w:hyperlink>
          </w:p>
        </w:tc>
        <w:tc>
          <w:tcPr>
            <w:tcW w:w="2420" w:type="dxa"/>
            <w:vAlign w:val="bottom"/>
            <w:gridSpan w:val="6"/>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27">
              <w:r>
                <w:rPr>
                  <w:rFonts w:ascii="Arial" w:cs="Arial" w:eastAsia="Arial" w:hAnsi="Arial"/>
                  <w:sz w:val="15"/>
                  <w:szCs w:val="15"/>
                  <w:color w:val="0000FF"/>
                  <w:w w:val="83"/>
                </w:rPr>
                <w:t>26</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80" w:type="dxa"/>
            <w:vAlign w:val="bottom"/>
            <w:gridSpan w:val="14"/>
            <w:shd w:val="clear" w:color="auto" w:fill="CCEEFF"/>
          </w:tcPr>
          <w:p>
            <w:pPr>
              <w:spacing w:after="0"/>
              <w:rPr>
                <w:rFonts w:ascii="Arial" w:cs="Arial" w:eastAsia="Arial" w:hAnsi="Arial"/>
                <w:sz w:val="15"/>
                <w:szCs w:val="15"/>
                <w:color w:val="0000FF"/>
              </w:rPr>
            </w:pPr>
            <w:hyperlink w:anchor="page27">
              <w:r>
                <w:rPr>
                  <w:rFonts w:ascii="Arial" w:cs="Arial" w:eastAsia="Arial" w:hAnsi="Arial"/>
                  <w:sz w:val="15"/>
                  <w:szCs w:val="15"/>
                  <w:color w:val="0000FF"/>
                </w:rPr>
                <w:t>Note 9 - Securities Borrowing and Lending</w:t>
              </w:r>
            </w:hyperlink>
          </w:p>
        </w:tc>
        <w:tc>
          <w:tcPr>
            <w:tcW w:w="2980" w:type="dxa"/>
            <w:vAlign w:val="bottom"/>
            <w:gridSpan w:val="9"/>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27">
              <w:r>
                <w:rPr>
                  <w:rFonts w:ascii="Arial" w:cs="Arial" w:eastAsia="Arial" w:hAnsi="Arial"/>
                  <w:sz w:val="15"/>
                  <w:szCs w:val="15"/>
                  <w:color w:val="0000FF"/>
                  <w:w w:val="83"/>
                </w:rPr>
                <w:t>26</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gridSpan w:val="19"/>
          </w:tcPr>
          <w:p>
            <w:pPr>
              <w:spacing w:after="0" w:line="164" w:lineRule="exact"/>
              <w:rPr>
                <w:rFonts w:ascii="Arial" w:cs="Arial" w:eastAsia="Arial" w:hAnsi="Arial"/>
                <w:sz w:val="15"/>
                <w:szCs w:val="15"/>
                <w:color w:val="0000FF"/>
              </w:rPr>
            </w:pPr>
            <w:hyperlink w:anchor="page28">
              <w:r>
                <w:rPr>
                  <w:rFonts w:ascii="Arial" w:cs="Arial" w:eastAsia="Arial" w:hAnsi="Arial"/>
                  <w:sz w:val="15"/>
                  <w:szCs w:val="15"/>
                  <w:color w:val="0000FF"/>
                </w:rPr>
                <w:t>Note 10 - Financing Activities and Off-Balance Sheet Risk</w:t>
              </w:r>
            </w:hyperlink>
          </w:p>
        </w:tc>
        <w:tc>
          <w:tcPr>
            <w:tcW w:w="1940" w:type="dxa"/>
            <w:vAlign w:val="bottom"/>
            <w:gridSpan w:val="4"/>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28">
              <w:r>
                <w:rPr>
                  <w:rFonts w:ascii="Arial" w:cs="Arial" w:eastAsia="Arial" w:hAnsi="Arial"/>
                  <w:sz w:val="15"/>
                  <w:szCs w:val="15"/>
                  <w:color w:val="0000FF"/>
                  <w:w w:val="83"/>
                </w:rPr>
                <w:t>27</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920" w:type="dxa"/>
            <w:vAlign w:val="bottom"/>
            <w:gridSpan w:val="19"/>
            <w:shd w:val="clear" w:color="auto" w:fill="CCEEFF"/>
          </w:tcPr>
          <w:p>
            <w:pPr>
              <w:spacing w:after="0"/>
              <w:rPr>
                <w:rFonts w:ascii="Arial" w:cs="Arial" w:eastAsia="Arial" w:hAnsi="Arial"/>
                <w:sz w:val="15"/>
                <w:szCs w:val="15"/>
                <w:color w:val="0000FF"/>
              </w:rPr>
            </w:pPr>
            <w:hyperlink w:anchor="page31">
              <w:r>
                <w:rPr>
                  <w:rFonts w:ascii="Arial" w:cs="Arial" w:eastAsia="Arial" w:hAnsi="Arial"/>
                  <w:sz w:val="15"/>
                  <w:szCs w:val="15"/>
                  <w:color w:val="0000FF"/>
                </w:rPr>
                <w:t xml:space="preserve">Note 11 - Common Stock and </w:t>
              </w:r>
            </w:hyperlink>
            <w:hyperlink w:anchor="page10">
              <w:r>
                <w:rPr>
                  <w:rFonts w:ascii="Arial" w:cs="Arial" w:eastAsia="Arial" w:hAnsi="Arial"/>
                  <w:sz w:val="15"/>
                  <w:szCs w:val="15"/>
                  <w:color w:val="0000FF"/>
                </w:rPr>
                <w:t xml:space="preserve">Stockholders’ </w:t>
              </w:r>
            </w:hyperlink>
            <w:hyperlink w:anchor="page31">
              <w:r>
                <w:rPr>
                  <w:rFonts w:ascii="Arial" w:cs="Arial" w:eastAsia="Arial" w:hAnsi="Arial"/>
                  <w:sz w:val="15"/>
                  <w:szCs w:val="15"/>
                  <w:color w:val="0000FF"/>
                </w:rPr>
                <w:t>Equity</w:t>
              </w:r>
            </w:hyperlink>
          </w:p>
        </w:tc>
        <w:tc>
          <w:tcPr>
            <w:tcW w:w="1940" w:type="dxa"/>
            <w:vAlign w:val="bottom"/>
            <w:tcBorders>
              <w:left w:val="single" w:sz="8" w:color="CCEEFF"/>
            </w:tcBorders>
            <w:gridSpan w:val="4"/>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31">
              <w:r>
                <w:rPr>
                  <w:rFonts w:ascii="Arial" w:cs="Arial" w:eastAsia="Arial" w:hAnsi="Arial"/>
                  <w:sz w:val="15"/>
                  <w:szCs w:val="15"/>
                  <w:color w:val="0000FF"/>
                  <w:w w:val="83"/>
                </w:rPr>
                <w:t>30</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10"/>
          </w:tcPr>
          <w:p>
            <w:pPr>
              <w:spacing w:after="0" w:line="164" w:lineRule="exact"/>
              <w:rPr>
                <w:rFonts w:ascii="Arial" w:cs="Arial" w:eastAsia="Arial" w:hAnsi="Arial"/>
                <w:sz w:val="15"/>
                <w:szCs w:val="15"/>
                <w:color w:val="0000FF"/>
              </w:rPr>
            </w:pPr>
            <w:hyperlink w:anchor="page34">
              <w:r>
                <w:rPr>
                  <w:rFonts w:ascii="Arial" w:cs="Arial" w:eastAsia="Arial" w:hAnsi="Arial"/>
                  <w:sz w:val="15"/>
                  <w:szCs w:val="15"/>
                  <w:color w:val="0000FF"/>
                </w:rPr>
                <w:t>Note 12 - Net Income per Share</w:t>
              </w:r>
            </w:hyperlink>
          </w:p>
        </w:tc>
        <w:tc>
          <w:tcPr>
            <w:tcW w:w="1260" w:type="dxa"/>
            <w:vAlign w:val="bottom"/>
            <w:gridSpan w:val="7"/>
          </w:tcPr>
          <w:p>
            <w:pPr>
              <w:spacing w:after="0"/>
              <w:rPr>
                <w:sz w:val="14"/>
                <w:szCs w:val="14"/>
                <w:color w:val="auto"/>
              </w:rPr>
            </w:pPr>
          </w:p>
        </w:tc>
        <w:tc>
          <w:tcPr>
            <w:tcW w:w="2420" w:type="dxa"/>
            <w:vAlign w:val="bottom"/>
            <w:gridSpan w:val="6"/>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34">
              <w:r>
                <w:rPr>
                  <w:rFonts w:ascii="Arial" w:cs="Arial" w:eastAsia="Arial" w:hAnsi="Arial"/>
                  <w:sz w:val="15"/>
                  <w:szCs w:val="15"/>
                  <w:color w:val="0000FF"/>
                  <w:w w:val="83"/>
                </w:rPr>
                <w:t>34</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80" w:type="dxa"/>
            <w:vAlign w:val="bottom"/>
            <w:gridSpan w:val="10"/>
            <w:shd w:val="clear" w:color="auto" w:fill="CCEEFF"/>
          </w:tcPr>
          <w:p>
            <w:pPr>
              <w:spacing w:after="0"/>
              <w:rPr>
                <w:rFonts w:ascii="Arial" w:cs="Arial" w:eastAsia="Arial" w:hAnsi="Arial"/>
                <w:sz w:val="15"/>
                <w:szCs w:val="15"/>
                <w:color w:val="0000FF"/>
              </w:rPr>
            </w:pPr>
            <w:hyperlink w:anchor="page35">
              <w:r>
                <w:rPr>
                  <w:rFonts w:ascii="Arial" w:cs="Arial" w:eastAsia="Arial" w:hAnsi="Arial"/>
                  <w:sz w:val="15"/>
                  <w:szCs w:val="15"/>
                  <w:color w:val="0000FF"/>
                </w:rPr>
                <w:t>Note 13 - Leases</w:t>
              </w:r>
            </w:hyperlink>
          </w:p>
        </w:tc>
        <w:tc>
          <w:tcPr>
            <w:tcW w:w="3680" w:type="dxa"/>
            <w:vAlign w:val="bottom"/>
            <w:gridSpan w:val="13"/>
            <w:shd w:val="clear" w:color="auto" w:fill="CCEEFF"/>
          </w:tcPr>
          <w:p>
            <w:pPr>
              <w:spacing w:after="0"/>
              <w:rPr>
                <w:sz w:val="14"/>
                <w:szCs w:val="14"/>
                <w:color w:val="auto"/>
              </w:rPr>
            </w:pPr>
          </w:p>
        </w:tc>
        <w:tc>
          <w:tcPr>
            <w:tcW w:w="28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center"/>
              <w:ind w:right="40"/>
              <w:spacing w:after="0"/>
              <w:rPr>
                <w:rFonts w:ascii="Arial" w:cs="Arial" w:eastAsia="Arial" w:hAnsi="Arial"/>
                <w:sz w:val="15"/>
                <w:szCs w:val="15"/>
                <w:color w:val="0000FF"/>
                <w:w w:val="83"/>
              </w:rPr>
            </w:pPr>
            <w:hyperlink w:anchor="page35">
              <w:r>
                <w:rPr>
                  <w:rFonts w:ascii="Arial" w:cs="Arial" w:eastAsia="Arial" w:hAnsi="Arial"/>
                  <w:sz w:val="15"/>
                  <w:szCs w:val="15"/>
                  <w:color w:val="0000FF"/>
                  <w:w w:val="83"/>
                </w:rPr>
                <w:t>35</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13"/>
          </w:tcPr>
          <w:p>
            <w:pPr>
              <w:spacing w:after="0" w:line="164" w:lineRule="exact"/>
              <w:rPr>
                <w:rFonts w:ascii="Arial" w:cs="Arial" w:eastAsia="Arial" w:hAnsi="Arial"/>
                <w:sz w:val="15"/>
                <w:szCs w:val="15"/>
                <w:color w:val="0000FF"/>
              </w:rPr>
            </w:pPr>
            <w:hyperlink w:anchor="page36">
              <w:r>
                <w:rPr>
                  <w:rFonts w:ascii="Arial" w:cs="Arial" w:eastAsia="Arial" w:hAnsi="Arial"/>
                  <w:sz w:val="15"/>
                  <w:szCs w:val="15"/>
                  <w:color w:val="0000FF"/>
                </w:rPr>
                <w:t>Note 14 - Commitments &amp; Contingencies</w:t>
              </w:r>
            </w:hyperlink>
          </w:p>
        </w:tc>
        <w:tc>
          <w:tcPr>
            <w:tcW w:w="3100" w:type="dxa"/>
            <w:vAlign w:val="bottom"/>
            <w:gridSpan w:val="10"/>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gridSpan w:val="2"/>
          </w:tcPr>
          <w:p>
            <w:pPr>
              <w:jc w:val="center"/>
              <w:ind w:right="40"/>
              <w:spacing w:after="0" w:line="164" w:lineRule="exact"/>
              <w:rPr>
                <w:rFonts w:ascii="Arial" w:cs="Arial" w:eastAsia="Arial" w:hAnsi="Arial"/>
                <w:sz w:val="15"/>
                <w:szCs w:val="15"/>
                <w:color w:val="0000FF"/>
                <w:w w:val="83"/>
              </w:rPr>
            </w:pPr>
            <w:hyperlink w:anchor="page36">
              <w:r>
                <w:rPr>
                  <w:rFonts w:ascii="Arial" w:cs="Arial" w:eastAsia="Arial" w:hAnsi="Arial"/>
                  <w:sz w:val="15"/>
                  <w:szCs w:val="15"/>
                  <w:color w:val="0000FF"/>
                  <w:w w:val="83"/>
                </w:rPr>
                <w:t>35</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ITEM 2.</w:t>
            </w: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40">
              <w:r>
                <w:rPr>
                  <w:rFonts w:ascii="Arial" w:cs="Arial" w:eastAsia="Arial" w:hAnsi="Arial"/>
                  <w:sz w:val="15"/>
                  <w:szCs w:val="15"/>
                  <w:color w:val="0000FF"/>
                </w:rPr>
                <w:t>Management’s Discussion and Analysis of Financial Condition and Results of Operations</w:t>
              </w:r>
            </w:hyperlink>
          </w:p>
        </w:tc>
        <w:tc>
          <w:tcPr>
            <w:tcW w:w="3020" w:type="dxa"/>
            <w:vAlign w:val="bottom"/>
            <w:gridSpan w:val="3"/>
            <w:shd w:val="clear" w:color="auto" w:fill="CCEEFF"/>
          </w:tcPr>
          <w:p>
            <w:pPr>
              <w:jc w:val="center"/>
              <w:ind w:left="2684"/>
              <w:spacing w:after="0"/>
              <w:rPr>
                <w:rFonts w:ascii="Arial" w:cs="Arial" w:eastAsia="Arial" w:hAnsi="Arial"/>
                <w:sz w:val="15"/>
                <w:szCs w:val="15"/>
                <w:color w:val="0000FF"/>
              </w:rPr>
            </w:pPr>
            <w:hyperlink w:anchor="page40">
              <w:r>
                <w:rPr>
                  <w:rFonts w:ascii="Arial" w:cs="Arial" w:eastAsia="Arial" w:hAnsi="Arial"/>
                  <w:sz w:val="15"/>
                  <w:szCs w:val="15"/>
                  <w:color w:val="0000FF"/>
                </w:rPr>
                <w:t>40</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20" w:type="dxa"/>
            <w:vAlign w:val="bottom"/>
            <w:tcBorders>
              <w:left w:val="single" w:sz="8" w:color="0000FF"/>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ind w:left="40"/>
              <w:spacing w:after="0" w:line="164" w:lineRule="exact"/>
              <w:rPr>
                <w:sz w:val="20"/>
                <w:szCs w:val="20"/>
                <w:color w:val="auto"/>
              </w:rPr>
            </w:pPr>
            <w:r>
              <w:rPr>
                <w:rFonts w:ascii="Arial" w:cs="Arial" w:eastAsia="Arial" w:hAnsi="Arial"/>
                <w:sz w:val="15"/>
                <w:szCs w:val="15"/>
                <w:color w:val="auto"/>
              </w:rPr>
              <w:t>ITEM 3.</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58">
              <w:r>
                <w:rPr>
                  <w:rFonts w:ascii="Arial" w:cs="Arial" w:eastAsia="Arial" w:hAnsi="Arial"/>
                  <w:sz w:val="15"/>
                  <w:szCs w:val="15"/>
                  <w:color w:val="0000FF"/>
                </w:rPr>
                <w:t>Quantitative and Qualitative Disclosures About Market Risk</w:t>
              </w:r>
            </w:hyperlink>
          </w:p>
        </w:tc>
        <w:tc>
          <w:tcPr>
            <w:tcW w:w="3020" w:type="dxa"/>
            <w:vAlign w:val="bottom"/>
            <w:gridSpan w:val="3"/>
          </w:tcPr>
          <w:p>
            <w:pPr>
              <w:jc w:val="center"/>
              <w:ind w:left="2684"/>
              <w:spacing w:after="0" w:line="164" w:lineRule="exact"/>
              <w:rPr>
                <w:rFonts w:ascii="Arial" w:cs="Arial" w:eastAsia="Arial" w:hAnsi="Arial"/>
                <w:sz w:val="15"/>
                <w:szCs w:val="15"/>
                <w:color w:val="0000FF"/>
              </w:rPr>
            </w:pPr>
            <w:hyperlink w:anchor="page58">
              <w:r>
                <w:rPr>
                  <w:rFonts w:ascii="Arial" w:cs="Arial" w:eastAsia="Arial" w:hAnsi="Arial"/>
                  <w:sz w:val="15"/>
                  <w:szCs w:val="15"/>
                  <w:color w:val="0000FF"/>
                </w:rPr>
                <w:t>57</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87"/>
        </w:trPr>
        <w:tc>
          <w:tcPr>
            <w:tcW w:w="9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ITEM 4.</w:t>
            </w: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59">
              <w:r>
                <w:rPr>
                  <w:rFonts w:ascii="Arial" w:cs="Arial" w:eastAsia="Arial" w:hAnsi="Arial"/>
                  <w:sz w:val="15"/>
                  <w:szCs w:val="15"/>
                  <w:color w:val="0000FF"/>
                </w:rPr>
                <w:t>Controls and Procedures</w:t>
              </w:r>
            </w:hyperlink>
          </w:p>
        </w:tc>
        <w:tc>
          <w:tcPr>
            <w:tcW w:w="3020" w:type="dxa"/>
            <w:vAlign w:val="bottom"/>
            <w:gridSpan w:val="3"/>
            <w:shd w:val="clear" w:color="auto" w:fill="CCEEFF"/>
          </w:tcPr>
          <w:p>
            <w:pPr>
              <w:jc w:val="center"/>
              <w:ind w:left="2684"/>
              <w:spacing w:after="0"/>
              <w:rPr>
                <w:rFonts w:ascii="Arial" w:cs="Arial" w:eastAsia="Arial" w:hAnsi="Arial"/>
                <w:sz w:val="15"/>
                <w:szCs w:val="15"/>
                <w:color w:val="0000FF"/>
              </w:rPr>
            </w:pPr>
            <w:hyperlink w:anchor="page59">
              <w:r>
                <w:rPr>
                  <w:rFonts w:ascii="Arial" w:cs="Arial" w:eastAsia="Arial" w:hAnsi="Arial"/>
                  <w:sz w:val="15"/>
                  <w:szCs w:val="15"/>
                  <w:color w:val="0000FF"/>
                </w:rPr>
                <w:t>58</w:t>
              </w:r>
            </w:hyperlink>
          </w:p>
        </w:tc>
        <w:tc>
          <w:tcPr>
            <w:tcW w:w="340" w:type="dxa"/>
            <w:vAlign w:val="bottom"/>
            <w:shd w:val="clear" w:color="auto" w:fill="CCEEFF"/>
          </w:tcPr>
          <w:p>
            <w:pPr>
              <w:spacing w:after="0"/>
              <w:rPr>
                <w:sz w:val="16"/>
                <w:szCs w:val="16"/>
                <w:color w:val="auto"/>
              </w:rPr>
            </w:pPr>
          </w:p>
        </w:tc>
      </w:tr>
      <w:tr>
        <w:trPr>
          <w:trHeight w:val="211"/>
        </w:trPr>
        <w:tc>
          <w:tcPr>
            <w:tcW w:w="11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64"/>
        </w:trPr>
        <w:tc>
          <w:tcPr>
            <w:tcW w:w="7220" w:type="dxa"/>
            <w:vAlign w:val="bottom"/>
            <w:tcBorders>
              <w:left w:val="single" w:sz="8" w:color="CCEEFF"/>
            </w:tcBorders>
            <w:gridSpan w:val="26"/>
            <w:shd w:val="clear" w:color="auto" w:fill="CCEEFF"/>
          </w:tcPr>
          <w:p>
            <w:pPr>
              <w:ind w:left="20"/>
              <w:spacing w:after="0" w:line="164" w:lineRule="exact"/>
              <w:rPr>
                <w:rFonts w:ascii="Arial" w:cs="Arial" w:eastAsia="Arial" w:hAnsi="Arial"/>
                <w:sz w:val="15"/>
                <w:szCs w:val="15"/>
                <w:b w:val="1"/>
                <w:bCs w:val="1"/>
                <w:color w:val="0000FF"/>
              </w:rPr>
            </w:pPr>
            <w:hyperlink w:anchor="page60">
              <w:r>
                <w:rPr>
                  <w:rFonts w:ascii="Arial" w:cs="Arial" w:eastAsia="Arial" w:hAnsi="Arial"/>
                  <w:sz w:val="15"/>
                  <w:szCs w:val="15"/>
                  <w:b w:val="1"/>
                  <w:bCs w:val="1"/>
                  <w:color w:val="0000FF"/>
                </w:rPr>
                <w:t>PART II - OTHER INFORMATION</w:t>
              </w:r>
            </w:hyperlink>
          </w:p>
        </w:tc>
        <w:tc>
          <w:tcPr>
            <w:tcW w:w="28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ind w:left="40"/>
              <w:spacing w:after="0" w:line="164" w:lineRule="exact"/>
              <w:rPr>
                <w:sz w:val="20"/>
                <w:szCs w:val="20"/>
                <w:color w:val="auto"/>
              </w:rPr>
            </w:pPr>
            <w:r>
              <w:rPr>
                <w:rFonts w:ascii="Arial" w:cs="Arial" w:eastAsia="Arial" w:hAnsi="Arial"/>
                <w:sz w:val="15"/>
                <w:szCs w:val="15"/>
                <w:color w:val="auto"/>
              </w:rPr>
              <w:t>ITEM 1.</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61">
              <w:r>
                <w:rPr>
                  <w:rFonts w:ascii="Arial" w:cs="Arial" w:eastAsia="Arial" w:hAnsi="Arial"/>
                  <w:sz w:val="15"/>
                  <w:szCs w:val="15"/>
                  <w:color w:val="0000FF"/>
                </w:rPr>
                <w:t>Legal Proceedings</w:t>
              </w:r>
            </w:hyperlink>
          </w:p>
        </w:tc>
        <w:tc>
          <w:tcPr>
            <w:tcW w:w="3020" w:type="dxa"/>
            <w:vAlign w:val="bottom"/>
            <w:gridSpan w:val="3"/>
          </w:tcPr>
          <w:p>
            <w:pPr>
              <w:jc w:val="center"/>
              <w:ind w:left="2684"/>
              <w:spacing w:after="0" w:line="164" w:lineRule="exact"/>
              <w:rPr>
                <w:rFonts w:ascii="Arial" w:cs="Arial" w:eastAsia="Arial" w:hAnsi="Arial"/>
                <w:sz w:val="15"/>
                <w:szCs w:val="15"/>
                <w:color w:val="0000FF"/>
              </w:rPr>
            </w:pPr>
            <w:hyperlink w:anchor="page61">
              <w:r>
                <w:rPr>
                  <w:rFonts w:ascii="Arial" w:cs="Arial" w:eastAsia="Arial" w:hAnsi="Arial"/>
                  <w:sz w:val="15"/>
                  <w:szCs w:val="15"/>
                  <w:color w:val="0000FF"/>
                </w:rPr>
                <w:t>60</w:t>
              </w:r>
            </w:hyperlink>
          </w:p>
        </w:tc>
        <w:tc>
          <w:tcPr>
            <w:tcW w:w="340" w:type="dxa"/>
            <w:vAlign w:val="bottom"/>
          </w:tcPr>
          <w:p>
            <w:pPr>
              <w:spacing w:after="0"/>
              <w:rPr>
                <w:sz w:val="14"/>
                <w:szCs w:val="14"/>
                <w:color w:val="auto"/>
              </w:rPr>
            </w:pPr>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ITEM 1A.</w:t>
            </w: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61">
              <w:r>
                <w:rPr>
                  <w:rFonts w:ascii="Arial" w:cs="Arial" w:eastAsia="Arial" w:hAnsi="Arial"/>
                  <w:sz w:val="15"/>
                  <w:szCs w:val="15"/>
                  <w:color w:val="0000FF"/>
                </w:rPr>
                <w:t>Risk Factors</w:t>
              </w:r>
            </w:hyperlink>
          </w:p>
        </w:tc>
        <w:tc>
          <w:tcPr>
            <w:tcW w:w="3020" w:type="dxa"/>
            <w:vAlign w:val="bottom"/>
            <w:gridSpan w:val="3"/>
            <w:shd w:val="clear" w:color="auto" w:fill="CCEEFF"/>
          </w:tcPr>
          <w:p>
            <w:pPr>
              <w:jc w:val="center"/>
              <w:ind w:left="2684"/>
              <w:spacing w:after="0"/>
              <w:rPr>
                <w:rFonts w:ascii="Arial" w:cs="Arial" w:eastAsia="Arial" w:hAnsi="Arial"/>
                <w:sz w:val="15"/>
                <w:szCs w:val="15"/>
                <w:color w:val="0000FF"/>
              </w:rPr>
            </w:pPr>
            <w:hyperlink w:anchor="page61">
              <w:r>
                <w:rPr>
                  <w:rFonts w:ascii="Arial" w:cs="Arial" w:eastAsia="Arial" w:hAnsi="Arial"/>
                  <w:sz w:val="15"/>
                  <w:szCs w:val="15"/>
                  <w:color w:val="0000FF"/>
                </w:rPr>
                <w:t>61</w:t>
              </w:r>
            </w:hyperlink>
          </w:p>
        </w:tc>
        <w:tc>
          <w:tcPr>
            <w:tcW w:w="340" w:type="dxa"/>
            <w:vAlign w:val="bottom"/>
            <w:shd w:val="clear" w:color="auto" w:fill="CCEEFF"/>
          </w:tcPr>
          <w:p>
            <w:pPr>
              <w:spacing w:after="0"/>
              <w:rPr>
                <w:sz w:val="14"/>
                <w:szCs w:val="14"/>
                <w:color w:val="auto"/>
              </w:rPr>
            </w:pPr>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ind w:left="40"/>
              <w:spacing w:after="0" w:line="164" w:lineRule="exact"/>
              <w:rPr>
                <w:sz w:val="20"/>
                <w:szCs w:val="20"/>
                <w:color w:val="auto"/>
              </w:rPr>
            </w:pPr>
            <w:r>
              <w:rPr>
                <w:rFonts w:ascii="Arial" w:cs="Arial" w:eastAsia="Arial" w:hAnsi="Arial"/>
                <w:sz w:val="15"/>
                <w:szCs w:val="15"/>
                <w:color w:val="auto"/>
              </w:rPr>
              <w:t>ITEM 2.</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125">
              <w:r>
                <w:rPr>
                  <w:rFonts w:ascii="Arial" w:cs="Arial" w:eastAsia="Arial" w:hAnsi="Arial"/>
                  <w:sz w:val="15"/>
                  <w:szCs w:val="15"/>
                  <w:color w:val="0000FF"/>
                </w:rPr>
                <w:t>Unregistered Sales of Equity Securities and Use of Proceeds</w:t>
              </w:r>
            </w:hyperlink>
          </w:p>
        </w:tc>
        <w:tc>
          <w:tcPr>
            <w:tcW w:w="3360" w:type="dxa"/>
            <w:vAlign w:val="bottom"/>
            <w:gridSpan w:val="4"/>
          </w:tcPr>
          <w:p>
            <w:pPr>
              <w:jc w:val="center"/>
              <w:ind w:left="2344"/>
              <w:spacing w:after="0" w:line="164" w:lineRule="exact"/>
              <w:rPr>
                <w:rFonts w:ascii="Arial" w:cs="Arial" w:eastAsia="Arial" w:hAnsi="Arial"/>
                <w:sz w:val="15"/>
                <w:szCs w:val="15"/>
                <w:color w:val="0000FF"/>
              </w:rPr>
            </w:pPr>
            <w:hyperlink w:anchor="page125">
              <w:r>
                <w:rPr>
                  <w:rFonts w:ascii="Arial" w:cs="Arial" w:eastAsia="Arial" w:hAnsi="Arial"/>
                  <w:sz w:val="15"/>
                  <w:szCs w:val="15"/>
                  <w:color w:val="0000FF"/>
                </w:rPr>
                <w:t>124</w:t>
              </w:r>
            </w:hyperlink>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Borders>
              <w:left w:val="single" w:sz="8" w:color="0000FF"/>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ITEM 3.</w:t>
            </w: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126">
              <w:r>
                <w:rPr>
                  <w:rFonts w:ascii="Arial" w:cs="Arial" w:eastAsia="Arial" w:hAnsi="Arial"/>
                  <w:sz w:val="15"/>
                  <w:szCs w:val="15"/>
                  <w:color w:val="0000FF"/>
                </w:rPr>
                <w:t>Defaults Upon Senior Securities</w:t>
              </w:r>
            </w:hyperlink>
          </w:p>
        </w:tc>
        <w:tc>
          <w:tcPr>
            <w:tcW w:w="3360" w:type="dxa"/>
            <w:vAlign w:val="bottom"/>
            <w:gridSpan w:val="4"/>
            <w:shd w:val="clear" w:color="auto" w:fill="CCEEFF"/>
          </w:tcPr>
          <w:p>
            <w:pPr>
              <w:jc w:val="center"/>
              <w:ind w:left="2344"/>
              <w:spacing w:after="0"/>
              <w:rPr>
                <w:rFonts w:ascii="Arial" w:cs="Arial" w:eastAsia="Arial" w:hAnsi="Arial"/>
                <w:sz w:val="15"/>
                <w:szCs w:val="15"/>
                <w:color w:val="0000FF"/>
              </w:rPr>
            </w:pPr>
            <w:hyperlink w:anchor="page126">
              <w:r>
                <w:rPr>
                  <w:rFonts w:ascii="Arial" w:cs="Arial" w:eastAsia="Arial" w:hAnsi="Arial"/>
                  <w:sz w:val="15"/>
                  <w:szCs w:val="15"/>
                  <w:color w:val="0000FF"/>
                </w:rPr>
                <w:t>126</w:t>
              </w:r>
            </w:hyperlink>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ind w:left="40"/>
              <w:spacing w:after="0" w:line="164" w:lineRule="exact"/>
              <w:rPr>
                <w:sz w:val="20"/>
                <w:szCs w:val="20"/>
                <w:color w:val="auto"/>
              </w:rPr>
            </w:pPr>
            <w:r>
              <w:rPr>
                <w:rFonts w:ascii="Arial" w:cs="Arial" w:eastAsia="Arial" w:hAnsi="Arial"/>
                <w:sz w:val="15"/>
                <w:szCs w:val="15"/>
                <w:color w:val="auto"/>
              </w:rPr>
              <w:t>ITEM 4.</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127">
              <w:r>
                <w:rPr>
                  <w:rFonts w:ascii="Arial" w:cs="Arial" w:eastAsia="Arial" w:hAnsi="Arial"/>
                  <w:sz w:val="15"/>
                  <w:szCs w:val="15"/>
                  <w:color w:val="0000FF"/>
                </w:rPr>
                <w:t>Mine Safety Disclosures</w:t>
              </w:r>
            </w:hyperlink>
          </w:p>
        </w:tc>
        <w:tc>
          <w:tcPr>
            <w:tcW w:w="3360" w:type="dxa"/>
            <w:vAlign w:val="bottom"/>
            <w:gridSpan w:val="4"/>
          </w:tcPr>
          <w:p>
            <w:pPr>
              <w:jc w:val="center"/>
              <w:ind w:left="2344"/>
              <w:spacing w:after="0" w:line="164" w:lineRule="exact"/>
              <w:rPr>
                <w:rFonts w:ascii="Arial" w:cs="Arial" w:eastAsia="Arial" w:hAnsi="Arial"/>
                <w:sz w:val="15"/>
                <w:szCs w:val="15"/>
                <w:color w:val="0000FF"/>
              </w:rPr>
            </w:pPr>
            <w:hyperlink w:anchor="page127">
              <w:r>
                <w:rPr>
                  <w:rFonts w:ascii="Arial" w:cs="Arial" w:eastAsia="Arial" w:hAnsi="Arial"/>
                  <w:sz w:val="15"/>
                  <w:szCs w:val="15"/>
                  <w:color w:val="0000FF"/>
                </w:rPr>
                <w:t>126</w:t>
              </w:r>
            </w:hyperlink>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ITEM 5.</w:t>
            </w: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127">
              <w:r>
                <w:rPr>
                  <w:rFonts w:ascii="Arial" w:cs="Arial" w:eastAsia="Arial" w:hAnsi="Arial"/>
                  <w:sz w:val="15"/>
                  <w:szCs w:val="15"/>
                  <w:color w:val="0000FF"/>
                </w:rPr>
                <w:t>Other Information</w:t>
              </w:r>
            </w:hyperlink>
          </w:p>
        </w:tc>
        <w:tc>
          <w:tcPr>
            <w:tcW w:w="3360" w:type="dxa"/>
            <w:vAlign w:val="bottom"/>
            <w:gridSpan w:val="4"/>
            <w:shd w:val="clear" w:color="auto" w:fill="CCEEFF"/>
          </w:tcPr>
          <w:p>
            <w:pPr>
              <w:jc w:val="center"/>
              <w:ind w:left="2344"/>
              <w:spacing w:after="0"/>
              <w:rPr>
                <w:rFonts w:ascii="Arial" w:cs="Arial" w:eastAsia="Arial" w:hAnsi="Arial"/>
                <w:sz w:val="15"/>
                <w:szCs w:val="15"/>
                <w:color w:val="0000FF"/>
              </w:rPr>
            </w:pPr>
            <w:hyperlink w:anchor="page127">
              <w:r>
                <w:rPr>
                  <w:rFonts w:ascii="Arial" w:cs="Arial" w:eastAsia="Arial" w:hAnsi="Arial"/>
                  <w:sz w:val="15"/>
                  <w:szCs w:val="15"/>
                  <w:color w:val="0000FF"/>
                </w:rPr>
                <w:t>126</w:t>
              </w:r>
            </w:hyperlink>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r>
        <w:trPr>
          <w:trHeight w:val="164"/>
        </w:trPr>
        <w:tc>
          <w:tcPr>
            <w:tcW w:w="920" w:type="dxa"/>
            <w:vAlign w:val="bottom"/>
          </w:tcPr>
          <w:p>
            <w:pPr>
              <w:ind w:left="40"/>
              <w:spacing w:after="0" w:line="164" w:lineRule="exact"/>
              <w:rPr>
                <w:sz w:val="20"/>
                <w:szCs w:val="20"/>
                <w:color w:val="auto"/>
              </w:rPr>
            </w:pPr>
            <w:r>
              <w:rPr>
                <w:rFonts w:ascii="Arial" w:cs="Arial" w:eastAsia="Arial" w:hAnsi="Arial"/>
                <w:sz w:val="15"/>
                <w:szCs w:val="15"/>
                <w:color w:val="auto"/>
              </w:rPr>
              <w:t>ITEM 6.</w:t>
            </w:r>
          </w:p>
        </w:tc>
        <w:tc>
          <w:tcPr>
            <w:tcW w:w="6300" w:type="dxa"/>
            <w:vAlign w:val="bottom"/>
            <w:gridSpan w:val="25"/>
          </w:tcPr>
          <w:p>
            <w:pPr>
              <w:ind w:left="260"/>
              <w:spacing w:after="0" w:line="164" w:lineRule="exact"/>
              <w:rPr>
                <w:rFonts w:ascii="Arial" w:cs="Arial" w:eastAsia="Arial" w:hAnsi="Arial"/>
                <w:sz w:val="15"/>
                <w:szCs w:val="15"/>
                <w:color w:val="0000FF"/>
              </w:rPr>
            </w:pPr>
            <w:hyperlink w:anchor="page127">
              <w:r>
                <w:rPr>
                  <w:rFonts w:ascii="Arial" w:cs="Arial" w:eastAsia="Arial" w:hAnsi="Arial"/>
                  <w:sz w:val="15"/>
                  <w:szCs w:val="15"/>
                  <w:color w:val="0000FF"/>
                </w:rPr>
                <w:t>Exhibit Index</w:t>
              </w:r>
            </w:hyperlink>
          </w:p>
        </w:tc>
        <w:tc>
          <w:tcPr>
            <w:tcW w:w="3360" w:type="dxa"/>
            <w:vAlign w:val="bottom"/>
            <w:gridSpan w:val="4"/>
          </w:tcPr>
          <w:p>
            <w:pPr>
              <w:jc w:val="center"/>
              <w:ind w:left="2344"/>
              <w:spacing w:after="0" w:line="164" w:lineRule="exact"/>
              <w:rPr>
                <w:rFonts w:ascii="Arial" w:cs="Arial" w:eastAsia="Arial" w:hAnsi="Arial"/>
                <w:sz w:val="15"/>
                <w:szCs w:val="15"/>
                <w:color w:val="0000FF"/>
              </w:rPr>
            </w:pPr>
            <w:hyperlink w:anchor="page127">
              <w:r>
                <w:rPr>
                  <w:rFonts w:ascii="Arial" w:cs="Arial" w:eastAsia="Arial" w:hAnsi="Arial"/>
                  <w:sz w:val="15"/>
                  <w:szCs w:val="15"/>
                  <w:color w:val="0000FF"/>
                </w:rPr>
                <w:t>127</w:t>
              </w:r>
            </w:hyperlink>
          </w:p>
        </w:tc>
      </w:tr>
      <w:tr>
        <w:trPr>
          <w:trHeight w:val="28"/>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2"/>
        </w:trPr>
        <w:tc>
          <w:tcPr>
            <w:tcW w:w="920" w:type="dxa"/>
            <w:vAlign w:val="bottom"/>
            <w:tcBorders>
              <w:left w:val="single" w:sz="8" w:color="CCEEFF"/>
            </w:tcBorders>
            <w:shd w:val="clear" w:color="auto" w:fill="CCEEFF"/>
          </w:tcPr>
          <w:p>
            <w:pPr>
              <w:spacing w:after="0"/>
              <w:rPr>
                <w:sz w:val="14"/>
                <w:szCs w:val="14"/>
                <w:color w:val="auto"/>
              </w:rPr>
            </w:pPr>
          </w:p>
        </w:tc>
        <w:tc>
          <w:tcPr>
            <w:tcW w:w="6300" w:type="dxa"/>
            <w:vAlign w:val="bottom"/>
            <w:gridSpan w:val="25"/>
            <w:shd w:val="clear" w:color="auto" w:fill="CCEEFF"/>
          </w:tcPr>
          <w:p>
            <w:pPr>
              <w:ind w:left="260"/>
              <w:spacing w:after="0"/>
              <w:rPr>
                <w:rFonts w:ascii="Arial" w:cs="Arial" w:eastAsia="Arial" w:hAnsi="Arial"/>
                <w:sz w:val="15"/>
                <w:szCs w:val="15"/>
                <w:color w:val="0000FF"/>
              </w:rPr>
            </w:pPr>
            <w:hyperlink w:anchor="page128">
              <w:r>
                <w:rPr>
                  <w:rFonts w:ascii="Arial" w:cs="Arial" w:eastAsia="Arial" w:hAnsi="Arial"/>
                  <w:sz w:val="15"/>
                  <w:szCs w:val="15"/>
                  <w:color w:val="0000FF"/>
                </w:rPr>
                <w:t>Signatures</w:t>
              </w:r>
            </w:hyperlink>
          </w:p>
        </w:tc>
        <w:tc>
          <w:tcPr>
            <w:tcW w:w="3360" w:type="dxa"/>
            <w:vAlign w:val="bottom"/>
            <w:gridSpan w:val="4"/>
            <w:shd w:val="clear" w:color="auto" w:fill="CCEEFF"/>
          </w:tcPr>
          <w:p>
            <w:pPr>
              <w:jc w:val="center"/>
              <w:ind w:left="2344"/>
              <w:spacing w:after="0"/>
              <w:rPr>
                <w:rFonts w:ascii="Arial" w:cs="Arial" w:eastAsia="Arial" w:hAnsi="Arial"/>
                <w:sz w:val="15"/>
                <w:szCs w:val="15"/>
                <w:color w:val="0000FF"/>
              </w:rPr>
            </w:pPr>
            <w:hyperlink w:anchor="page128">
              <w:r>
                <w:rPr>
                  <w:rFonts w:ascii="Arial" w:cs="Arial" w:eastAsia="Arial" w:hAnsi="Arial"/>
                  <w:sz w:val="15"/>
                  <w:szCs w:val="15"/>
                  <w:color w:val="0000FF"/>
                </w:rPr>
                <w:t>128</w:t>
              </w:r>
            </w:hyperlink>
          </w:p>
        </w:tc>
      </w:tr>
      <w:tr>
        <w:trPr>
          <w:trHeight w:val="35"/>
        </w:trPr>
        <w:tc>
          <w:tcPr>
            <w:tcW w:w="920" w:type="dxa"/>
            <w:vAlign w:val="bottom"/>
            <w:tcBorders>
              <w:lef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tcBorders>
              <w:left w:val="single" w:sz="8" w:color="CCEEFF"/>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 w:name="page3"/>
    <w:bookmarkEnd w:id="2"/>
    <w:p>
      <w:pPr>
        <w:spacing w:after="0" w:line="310" w:lineRule="exact"/>
        <w:rPr>
          <w:sz w:val="20"/>
          <w:szCs w:val="20"/>
          <w:color w:val="auto"/>
        </w:rPr>
      </w:pPr>
    </w:p>
    <w:p>
      <w:pPr>
        <w:ind w:left="20"/>
        <w:spacing w:after="0" w:line="357" w:lineRule="exact"/>
        <w:rPr>
          <w:sz w:val="20"/>
          <w:szCs w:val="20"/>
          <w:color w:val="auto"/>
        </w:rPr>
      </w:pPr>
      <w:r>
        <w:rPr>
          <w:rFonts w:ascii="Arial" w:cs="Arial" w:eastAsia="Arial" w:hAnsi="Arial"/>
          <w:sz w:val="31"/>
          <w:szCs w:val="31"/>
          <w:color w:val="auto"/>
        </w:rPr>
        <w:t>CAUTIONARY NOTE REGARDING FORWARD</w:t>
      </w:r>
      <w:r>
        <w:rPr>
          <w:rFonts w:ascii="MS PGothic" w:cs="MS PGothic" w:eastAsia="MS PGothic" w:hAnsi="MS PGothic"/>
          <w:sz w:val="31"/>
          <w:szCs w:val="31"/>
          <w:color w:val="auto"/>
        </w:rPr>
        <w:t>‑</w:t>
      </w:r>
      <w:r>
        <w:rPr>
          <w:rFonts w:ascii="Arial" w:cs="Arial" w:eastAsia="Arial" w:hAnsi="Arial"/>
          <w:sz w:val="31"/>
          <w:szCs w:val="31"/>
          <w:color w:val="auto"/>
        </w:rPr>
        <w:t>LOOKING STATEMENTS</w:t>
      </w:r>
    </w:p>
    <w:p>
      <w:pPr>
        <w:spacing w:after="0" w:line="268"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This Quarterly Report on Form 10-Q (this “Quarterly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spacing w:after="0" w:line="120" w:lineRule="exact"/>
        <w:rPr>
          <w:sz w:val="20"/>
          <w:szCs w:val="20"/>
          <w:color w:val="auto"/>
        </w:rPr>
      </w:pPr>
    </w:p>
    <w:p>
      <w:pPr>
        <w:ind w:left="560" w:hanging="275"/>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legal and regulatory proceedings and investigations;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intent to continue expanding our operations outside of the United States;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that we are continuously introducing new products and diversifying our services that further expand access to the financial system;</w:t>
      </w:r>
    </w:p>
    <w:p>
      <w:pPr>
        <w:spacing w:after="0" w:line="214"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legislative developments and their impact on us, including with respect to the Digital Asset Market Clarity Act of 2025 (the “CLARITY Act”), and the Guiding and Establishing National Innovation for U.S. Stablecoins Act (“GENIUS Act”);</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 that management will exclude Bitstamp Ltd. (“Bitstamp”) from its assessment of internal control over financial reporting for 2025;</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Repurchase Program (as defined below) and our current expectations with respect to timing;</w:t>
      </w:r>
    </w:p>
    <w:p>
      <w:pPr>
        <w:spacing w:after="0" w:line="214"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belief that, based on our current level of operations, our primary sources of liquidity will be adequate to meet our current liquidity needs for the next 12 months; and</w:t>
      </w:r>
    </w:p>
    <w:p>
      <w:pPr>
        <w:spacing w:after="0" w:line="98" w:lineRule="exact"/>
        <w:rPr>
          <w:rFonts w:ascii="Arial" w:cs="Arial" w:eastAsia="Arial" w:hAnsi="Arial"/>
          <w:sz w:val="15"/>
          <w:szCs w:val="15"/>
          <w:color w:val="auto"/>
        </w:rPr>
      </w:pPr>
    </w:p>
    <w:p>
      <w:pPr>
        <w:ind w:left="560" w:right="20" w:hanging="275"/>
        <w:spacing w:after="0" w:line="282" w:lineRule="auto"/>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applying for a license under the Digital Financial Assets Law (“DFAL”) in connection with our cryptocurrency trading operations in California.</w:t>
      </w:r>
    </w:p>
    <w:p>
      <w:pPr>
        <w:spacing w:after="0" w:line="98"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w:t>
      </w:r>
    </w:p>
    <w:p>
      <w:pPr>
        <w:spacing w:after="0" w:line="116" w:lineRule="exact"/>
        <w:rPr>
          <w:sz w:val="20"/>
          <w:szCs w:val="20"/>
          <w:color w:val="auto"/>
        </w:rPr>
      </w:pPr>
    </w:p>
    <w:p>
      <w:pPr>
        <w:ind w:left="560" w:hanging="275"/>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rapid and continuing expansion, including continuing to introduce new products and services on our platforms as well as geographic expansion;</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difficulty of managing our business effectively, including the size of our workforce, and the risk of declining or negative growth;</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fluctuations in our financial results and key metrics from quarter to quarter;</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reliance on transaction-based revenue, including payment for order flow (“PFOF”), the risk of new regulation or bans on PFOF and similar practices, and the addition of our new fee-based model for cryptocurrency;</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exposure to fluctuations in interest rates and rapidly changing interest rate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difficulty of raising additional capital (to provide liquidity needs and support business growth and objectives) on reasonable terms, if at all;</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need to maintain capital levels required by regulators and self-regulatory organizations (“SROs”);</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we might mishandle the cash, securities, and cryptocurrencies we hold on behalf of customers, and our exposure to liability for processing, operational, or technical errors in clearing functions;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impact of negative publicity on our brand and reputation;</w:t>
      </w:r>
    </w:p>
    <w:p>
      <w:pPr>
        <w:spacing w:after="0" w:line="155" w:lineRule="exact"/>
        <w:rPr>
          <w:rFonts w:ascii="Arial" w:cs="Arial" w:eastAsia="Arial" w:hAnsi="Arial"/>
          <w:sz w:val="15"/>
          <w:szCs w:val="15"/>
          <w:color w:val="auto"/>
        </w:rPr>
      </w:pPr>
    </w:p>
    <w:p>
      <w:pPr>
        <w:ind w:left="560" w:right="2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changes in business, economic, or political conditions that impact the global financial markets, or a systemic market event, might harm our business;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dependence on key employees and a skilled workforce;</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operational and regulatory risks and expenditures prior to and following closing of our acquisitions and investments;</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difficulty of complying with an extensive, complex, and changing regulatory environment, the risk of monetary and other penalties for noncompliance, and the need to adjust our business model in response to new or modified laws and regulations;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possibility of adverse developments in pending litigation and regulatory investigations;</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the outcome of currently ongoing and potential future regulatory enforcement actions and litigation, as well as potential changes in federal or state law, could immediately or subsequently prevent us from offering, or continuing to offer, event contracts;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effects of competition;</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need to innovate and acquire or invest in new products, services, technologies and geographies in order to attract and retain customers and deepen their engagement with us in order to maintain growth;</w:t>
      </w:r>
    </w:p>
    <w:p>
      <w:pPr>
        <w:spacing w:after="0" w:line="98"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reliance on third parties to perform some key functions and the risk that processing, operational or technological failures could impair the availability or stability of our platforms;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of cybersecurity incidents, theft, data breaches, and other online attacks;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difficulty of processing customer data in compliance with privacy laws;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need as a regulated financial services company to develop and maintain effective compliance and risk management infrastructures;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risks associated with incorporating artificial intelligence (“AI”) technologies into some of our products and processes;</w:t>
      </w:r>
    </w:p>
    <w:p>
      <w:pPr>
        <w:spacing w:after="0" w:line="155" w:lineRule="exact"/>
        <w:rPr>
          <w:rFonts w:ascii="Arial" w:cs="Arial" w:eastAsia="Arial" w:hAnsi="Arial"/>
          <w:sz w:val="15"/>
          <w:szCs w:val="15"/>
          <w:color w:val="auto"/>
        </w:rPr>
      </w:pPr>
    </w:p>
    <w:p>
      <w:pPr>
        <w:ind w:left="560" w:hanging="275"/>
        <w:spacing w:after="0" w:line="282" w:lineRule="auto"/>
        <w:tabs>
          <w:tab w:leader="none" w:pos="537" w:val="left"/>
        </w:tabs>
        <w:numPr>
          <w:ilvl w:val="0"/>
          <w:numId w:val="5"/>
        </w:numPr>
        <w:rPr>
          <w:rFonts w:ascii="Arial" w:cs="Arial" w:eastAsia="Arial" w:hAnsi="Arial"/>
          <w:sz w:val="15"/>
          <w:szCs w:val="15"/>
          <w:i w:val="1"/>
          <w:iCs w:val="1"/>
          <w:color w:val="auto"/>
        </w:rPr>
      </w:pPr>
      <w:r>
        <w:rPr>
          <w:rFonts w:ascii="Arial" w:cs="Arial" w:eastAsia="Arial" w:hAnsi="Arial"/>
          <w:sz w:val="15"/>
          <w:szCs w:val="15"/>
          <w:color w:val="auto"/>
        </w:rPr>
        <w:t>the regulation, litigation, contractual, operational, and reputational risks associated with our introduction of products such as Robinhood Stock Tokens in the European Economic Area (the “EEA”) and our staking services offered in the U.S.; and</w:t>
      </w:r>
    </w:p>
    <w:p>
      <w:pPr>
        <w:spacing w:after="0" w:line="98" w:lineRule="exact"/>
        <w:rPr>
          <w:rFonts w:ascii="Arial" w:cs="Arial" w:eastAsia="Arial" w:hAnsi="Arial"/>
          <w:sz w:val="15"/>
          <w:szCs w:val="15"/>
          <w:i w:val="1"/>
          <w:iCs w:val="1"/>
          <w:color w:val="auto"/>
        </w:rPr>
      </w:pPr>
    </w:p>
    <w:p>
      <w:pPr>
        <w:ind w:left="560" w:right="40" w:hanging="275"/>
        <w:spacing w:after="0" w:line="28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risk that substantial future sales of Class A common stock in the public market, or the perception that they may occur, could cause the price of our stock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 w:name="page5"/>
    <w:bookmarkEnd w:id="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48" w:lineRule="auto"/>
        <w:rPr>
          <w:sz w:val="20"/>
          <w:szCs w:val="20"/>
          <w:color w:val="auto"/>
        </w:rPr>
      </w:pPr>
      <w:r>
        <w:rPr>
          <w:rFonts w:ascii="Arial" w:cs="Arial" w:eastAsia="Arial" w:hAnsi="Arial"/>
          <w:sz w:val="15"/>
          <w:szCs w:val="15"/>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 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spacing w:after="0" w:line="125"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98"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35"/>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share and per share data)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5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4,332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Cash, cash equivalents, and securities segregated under federal and other regulations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4,724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8,443</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Receivables from brokers, dealers, and clearing organizations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Receivables from users, net</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8,239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14,390</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Securities borrowed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3,236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6,607</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Deposits with clearing organizations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489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1,440</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User-held fractional shares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2,530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3,618</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Held-to-maturity investments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Prepaid expenses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Deferred customer match incentives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current assets</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64"/>
        </w:trPr>
        <w:tc>
          <w:tcPr>
            <w:tcW w:w="77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current assets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25,103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39,979</w:t>
            </w:r>
          </w:p>
        </w:tc>
        <w:tc>
          <w:tcPr>
            <w:tcW w:w="0" w:type="dxa"/>
            <w:vAlign w:val="bottom"/>
          </w:tcPr>
          <w:p>
            <w:pPr>
              <w:spacing w:after="0"/>
              <w:rPr>
                <w:sz w:val="1"/>
                <w:szCs w:val="1"/>
                <w:color w:val="auto"/>
              </w:rPr>
            </w:pPr>
          </w:p>
        </w:tc>
      </w:tr>
      <w:tr>
        <w:trPr>
          <w:trHeight w:val="17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Property, software, and equipment, net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Goodwill</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 net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Non-current deferred customer match incentives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33"/>
        </w:trPr>
        <w:tc>
          <w:tcPr>
            <w:tcW w:w="7700" w:type="dxa"/>
            <w:vAlign w:val="bottom"/>
            <w:shd w:val="clear" w:color="auto" w:fill="CCEEFF"/>
          </w:tcPr>
          <w:p>
            <w:pPr>
              <w:ind w:left="200"/>
              <w:spacing w:after="0" w:line="133" w:lineRule="exact"/>
              <w:rPr>
                <w:sz w:val="20"/>
                <w:szCs w:val="20"/>
                <w:color w:val="auto"/>
              </w:rPr>
            </w:pPr>
            <w:r>
              <w:rPr>
                <w:rFonts w:ascii="Arial" w:cs="Arial" w:eastAsia="Arial" w:hAnsi="Arial"/>
                <w:sz w:val="13"/>
                <w:szCs w:val="13"/>
                <w:color w:val="auto"/>
              </w:rPr>
              <w:t>Other non-current assets, including non-current prepaid expenses of $17 as of December 31, 2024 and $13 as of September 30,</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72"/>
        </w:trPr>
        <w:tc>
          <w:tcPr>
            <w:tcW w:w="7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2025</w:t>
            </w: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00" w:type="dxa"/>
            <w:vAlign w:val="bottom"/>
          </w:tcPr>
          <w:p>
            <w:pPr>
              <w:ind w:left="58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26,187</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41,452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0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Payables to users</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7,448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12,317</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Securities loaned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7,463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15,666</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Fractional shares repurchase obligation</w:t>
            </w:r>
          </w:p>
        </w:tc>
        <w:tc>
          <w:tcPr>
            <w:tcW w:w="140" w:type="dxa"/>
            <w:vAlign w:val="bottom"/>
          </w:tcPr>
          <w:p>
            <w:pPr>
              <w:spacing w:after="0"/>
              <w:rPr>
                <w:sz w:val="14"/>
                <w:szCs w:val="14"/>
                <w:color w:val="auto"/>
              </w:rPr>
            </w:pPr>
          </w:p>
        </w:tc>
        <w:tc>
          <w:tcPr>
            <w:tcW w:w="1100" w:type="dxa"/>
            <w:vAlign w:val="bottom"/>
          </w:tcPr>
          <w:p>
            <w:pPr>
              <w:jc w:val="right"/>
              <w:ind w:right="15"/>
              <w:spacing w:after="0"/>
              <w:rPr>
                <w:sz w:val="20"/>
                <w:szCs w:val="20"/>
                <w:color w:val="auto"/>
              </w:rPr>
            </w:pPr>
            <w:r>
              <w:rPr>
                <w:rFonts w:ascii="Arial" w:cs="Arial" w:eastAsia="Arial" w:hAnsi="Arial"/>
                <w:sz w:val="13"/>
                <w:szCs w:val="13"/>
                <w:color w:val="auto"/>
              </w:rPr>
              <w:t>2,530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3,618</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current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266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64"/>
        </w:trPr>
        <w:tc>
          <w:tcPr>
            <w:tcW w:w="77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18,104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32,762</w:t>
            </w:r>
          </w:p>
        </w:tc>
        <w:tc>
          <w:tcPr>
            <w:tcW w:w="0" w:type="dxa"/>
            <w:vAlign w:val="bottom"/>
          </w:tcPr>
          <w:p>
            <w:pPr>
              <w:spacing w:after="0"/>
              <w:rPr>
                <w:sz w:val="1"/>
                <w:szCs w:val="1"/>
                <w:color w:val="auto"/>
              </w:rPr>
            </w:pPr>
          </w:p>
        </w:tc>
      </w:tr>
      <w:tr>
        <w:trPr>
          <w:trHeight w:val="17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non-current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4"/>
        </w:trPr>
        <w:tc>
          <w:tcPr>
            <w:tcW w:w="770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18,215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32,885</w:t>
            </w: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14)</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00" w:type="dxa"/>
            <w:vAlign w:val="bottom"/>
            <w:shd w:val="clear" w:color="auto" w:fill="CCEEFF"/>
          </w:tcPr>
          <w:p>
            <w:pPr>
              <w:ind w:left="260"/>
              <w:spacing w:after="0" w:line="133" w:lineRule="exact"/>
              <w:rPr>
                <w:sz w:val="20"/>
                <w:szCs w:val="20"/>
                <w:color w:val="auto"/>
              </w:rPr>
            </w:pPr>
            <w:r>
              <w:rPr>
                <w:rFonts w:ascii="Arial" w:cs="Arial" w:eastAsia="Arial" w:hAnsi="Arial"/>
                <w:sz w:val="13"/>
                <w:szCs w:val="13"/>
                <w:color w:val="auto"/>
              </w:rPr>
              <w:t>Preferred stock, $0.0001 par value. 210,000,000 shares authorized, no shares issued and outstanding as of December 31, 2024</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September 30, 2025.</w:t>
            </w:r>
          </w:p>
        </w:tc>
        <w:tc>
          <w:tcPr>
            <w:tcW w:w="1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60"/>
              <w:spacing w:after="0" w:line="129" w:lineRule="exact"/>
              <w:rPr>
                <w:sz w:val="20"/>
                <w:szCs w:val="20"/>
                <w:color w:val="auto"/>
              </w:rPr>
            </w:pPr>
            <w:r>
              <w:rPr>
                <w:rFonts w:ascii="Arial" w:cs="Arial" w:eastAsia="Arial" w:hAnsi="Arial"/>
                <w:sz w:val="13"/>
                <w:szCs w:val="13"/>
                <w:color w:val="auto"/>
              </w:rPr>
              <w:t>Class A common stock, $0.0001 par value. 21,000,000,000 shares authorized, 764,903,997 shares issued and outstanding as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400"/>
              <w:spacing w:after="0" w:line="129" w:lineRule="exact"/>
              <w:rPr>
                <w:sz w:val="20"/>
                <w:szCs w:val="20"/>
                <w:color w:val="auto"/>
              </w:rPr>
            </w:pPr>
            <w:r>
              <w:rPr>
                <w:rFonts w:ascii="Arial" w:cs="Arial" w:eastAsia="Arial" w:hAnsi="Arial"/>
                <w:sz w:val="13"/>
                <w:szCs w:val="13"/>
                <w:color w:val="auto"/>
              </w:rPr>
              <w:t>December 31, 2024; 21,000,000,000 shares authorized, 784,342,180 shares issued and outstanding as of September 30,</w:t>
            </w:r>
          </w:p>
        </w:tc>
        <w:tc>
          <w:tcPr>
            <w:tcW w:w="140" w:type="dxa"/>
            <w:vAlign w:val="bottom"/>
          </w:tcPr>
          <w:p>
            <w:pPr>
              <w:spacing w:after="0"/>
              <w:rPr>
                <w:sz w:val="11"/>
                <w:szCs w:val="11"/>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700" w:type="dxa"/>
            <w:vAlign w:val="bottom"/>
          </w:tcPr>
          <w:p>
            <w:pPr>
              <w:ind w:left="400"/>
              <w:spacing w:after="0"/>
              <w:rPr>
                <w:sz w:val="20"/>
                <w:szCs w:val="20"/>
                <w:color w:val="auto"/>
              </w:rPr>
            </w:pPr>
            <w:r>
              <w:rPr>
                <w:rFonts w:ascii="Arial" w:cs="Arial" w:eastAsia="Arial" w:hAnsi="Arial"/>
                <w:sz w:val="13"/>
                <w:szCs w:val="13"/>
                <w:color w:val="auto"/>
              </w:rPr>
              <w:t>2025.</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00" w:type="dxa"/>
            <w:vAlign w:val="bottom"/>
            <w:shd w:val="clear" w:color="auto" w:fill="CCEEFF"/>
          </w:tcPr>
          <w:p>
            <w:pPr>
              <w:ind w:left="260"/>
              <w:spacing w:after="0" w:line="133" w:lineRule="exact"/>
              <w:rPr>
                <w:sz w:val="20"/>
                <w:szCs w:val="20"/>
                <w:color w:val="auto"/>
              </w:rPr>
            </w:pPr>
            <w:r>
              <w:rPr>
                <w:rFonts w:ascii="Arial" w:cs="Arial" w:eastAsia="Arial" w:hAnsi="Arial"/>
                <w:sz w:val="13"/>
                <w:szCs w:val="13"/>
                <w:color w:val="auto"/>
              </w:rPr>
              <w:t>Class B common stock, $0.0001 par value. 700,000,000 shares authorized, 119,588,986 shares issued and outstanding as of</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December 31, 2024; 700,000,000 shares authorized, 114,326,182 shares issued and outstanding as of September 30, 2025.</w:t>
            </w:r>
          </w:p>
        </w:tc>
        <w:tc>
          <w:tcPr>
            <w:tcW w:w="1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60"/>
              <w:spacing w:after="0" w:line="129" w:lineRule="exact"/>
              <w:rPr>
                <w:sz w:val="20"/>
                <w:szCs w:val="20"/>
                <w:color w:val="auto"/>
              </w:rPr>
            </w:pPr>
            <w:r>
              <w:rPr>
                <w:rFonts w:ascii="Arial" w:cs="Arial" w:eastAsia="Arial" w:hAnsi="Arial"/>
                <w:sz w:val="13"/>
                <w:szCs w:val="13"/>
                <w:color w:val="auto"/>
              </w:rPr>
              <w:t>Class C common stock, $0.0001 par value. 7,000,000,000 shares authorized, no shares issued and outstanding as of December</w:t>
            </w:r>
          </w:p>
        </w:tc>
        <w:tc>
          <w:tcPr>
            <w:tcW w:w="140" w:type="dxa"/>
            <w:vAlign w:val="bottom"/>
          </w:tcPr>
          <w:p>
            <w:pPr>
              <w:spacing w:after="0"/>
              <w:rPr>
                <w:sz w:val="11"/>
                <w:szCs w:val="11"/>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700" w:type="dxa"/>
            <w:vAlign w:val="bottom"/>
          </w:tcPr>
          <w:p>
            <w:pPr>
              <w:ind w:left="400"/>
              <w:spacing w:after="0"/>
              <w:rPr>
                <w:sz w:val="20"/>
                <w:szCs w:val="20"/>
                <w:color w:val="auto"/>
              </w:rPr>
            </w:pPr>
            <w:r>
              <w:rPr>
                <w:rFonts w:ascii="Arial" w:cs="Arial" w:eastAsia="Arial" w:hAnsi="Arial"/>
                <w:sz w:val="13"/>
                <w:szCs w:val="13"/>
                <w:color w:val="auto"/>
              </w:rPr>
              <w:t>31, 2024 and September 30, 2025.</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12,008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0" w:type="dxa"/>
            <w:vAlign w:val="bottom"/>
          </w:tcPr>
          <w:p>
            <w:pPr>
              <w:spacing w:after="0"/>
              <w:rPr>
                <w:sz w:val="1"/>
                <w:szCs w:val="1"/>
                <w:color w:val="auto"/>
              </w:rPr>
            </w:pPr>
          </w:p>
        </w:tc>
      </w:tr>
      <w:tr>
        <w:trPr>
          <w:trHeight w:val="172"/>
        </w:trPr>
        <w:tc>
          <w:tcPr>
            <w:tcW w:w="7700" w:type="dxa"/>
            <w:vAlign w:val="bottom"/>
          </w:tcPr>
          <w:p>
            <w:pPr>
              <w:ind w:left="200"/>
              <w:spacing w:after="0"/>
              <w:rPr>
                <w:sz w:val="20"/>
                <w:szCs w:val="20"/>
                <w:color w:val="auto"/>
              </w:rPr>
            </w:pPr>
            <w:r>
              <w:rPr>
                <w:rFonts w:ascii="Arial" w:cs="Arial" w:eastAsia="Arial" w:hAnsi="Arial"/>
                <w:sz w:val="13"/>
                <w:szCs w:val="13"/>
                <w:color w:val="auto"/>
              </w:rPr>
              <w:t>Accumulated other comprehensive income (loss)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9"/>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64"/>
        </w:trPr>
        <w:tc>
          <w:tcPr>
            <w:tcW w:w="770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7,972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8,567</w:t>
            </w:r>
          </w:p>
        </w:tc>
        <w:tc>
          <w:tcPr>
            <w:tcW w:w="0" w:type="dxa"/>
            <w:vAlign w:val="bottom"/>
          </w:tcPr>
          <w:p>
            <w:pPr>
              <w:spacing w:after="0"/>
              <w:rPr>
                <w:sz w:val="1"/>
                <w:szCs w:val="1"/>
                <w:color w:val="auto"/>
              </w:rPr>
            </w:pPr>
          </w:p>
        </w:tc>
      </w:tr>
      <w:tr>
        <w:trPr>
          <w:trHeight w:val="191"/>
        </w:trPr>
        <w:tc>
          <w:tcPr>
            <w:tcW w:w="7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26,187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41,452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400"/>
          </w:cols>
          <w:pgMar w:left="660" w:top="558" w:right="840" w:bottom="1440" w:gutter="0" w:footer="0" w:header="0"/>
        </w:sectPr>
      </w:pPr>
    </w:p>
    <w:bookmarkStart w:id="6" w:name="page7"/>
    <w:bookmarkEnd w:id="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4"/>
          </w:tcPr>
          <w:p>
            <w:pPr>
              <w:jc w:val="right"/>
              <w:ind w:right="704"/>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4"/>
          </w:tcPr>
          <w:p>
            <w:pPr>
              <w:jc w:val="right"/>
              <w:ind w:right="744"/>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share and per share data)</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7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200"/>
              <w:spacing w:after="0"/>
              <w:rPr>
                <w:sz w:val="20"/>
                <w:szCs w:val="20"/>
                <w:color w:val="auto"/>
              </w:rPr>
            </w:pPr>
            <w:r>
              <w:rPr>
                <w:rFonts w:ascii="Arial" w:cs="Arial" w:eastAsia="Arial" w:hAnsi="Arial"/>
                <w:sz w:val="15"/>
                <w:szCs w:val="15"/>
                <w:color w:val="auto"/>
              </w:rPr>
              <w:t>Transaction-based revenues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319</w:t>
            </w:r>
          </w:p>
        </w:tc>
        <w:tc>
          <w:tcPr>
            <w:tcW w:w="52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730</w:t>
            </w:r>
          </w:p>
        </w:tc>
        <w:tc>
          <w:tcPr>
            <w:tcW w:w="36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975</w:t>
            </w:r>
          </w:p>
        </w:tc>
        <w:tc>
          <w:tcPr>
            <w:tcW w:w="50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1,852</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interest revenues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1,103</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revenues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149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net revenues</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1,937</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3,190</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200"/>
              <w:spacing w:after="0"/>
              <w:rPr>
                <w:sz w:val="20"/>
                <w:szCs w:val="20"/>
                <w:color w:val="auto"/>
              </w:rPr>
            </w:pPr>
            <w:r>
              <w:rPr>
                <w:rFonts w:ascii="Arial" w:cs="Arial" w:eastAsia="Arial" w:hAnsi="Arial"/>
                <w:sz w:val="15"/>
                <w:szCs w:val="15"/>
                <w:color w:val="auto"/>
              </w:rPr>
              <w:t>Brokerage and transaction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Technology and development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610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99"/>
        </w:trPr>
        <w:tc>
          <w:tcPr>
            <w:tcW w:w="4860" w:type="dxa"/>
            <w:vAlign w:val="bottom"/>
          </w:tcPr>
          <w:p>
            <w:pPr>
              <w:ind w:left="200"/>
              <w:spacing w:after="0"/>
              <w:rPr>
                <w:sz w:val="20"/>
                <w:szCs w:val="20"/>
                <w:color w:val="auto"/>
              </w:rPr>
            </w:pPr>
            <w:r>
              <w:rPr>
                <w:rFonts w:ascii="Arial" w:cs="Arial" w:eastAsia="Arial" w:hAnsi="Arial"/>
                <w:sz w:val="15"/>
                <w:szCs w:val="15"/>
                <w:color w:val="auto"/>
              </w:rPr>
              <w:t>Operations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 for credit losses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99"/>
        </w:trPr>
        <w:tc>
          <w:tcPr>
            <w:tcW w:w="486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385</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91"/>
        </w:trPr>
        <w:tc>
          <w:tcPr>
            <w:tcW w:w="486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1,439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1,746</w:t>
            </w: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(loss), net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52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495</w:t>
            </w:r>
          </w:p>
        </w:tc>
        <w:tc>
          <w:tcPr>
            <w:tcW w:w="50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199"/>
        </w:trPr>
        <w:tc>
          <w:tcPr>
            <w:tcW w:w="4860" w:type="dxa"/>
            <w:vAlign w:val="bottom"/>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Basic</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495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60" w:type="dxa"/>
            <w:vAlign w:val="bottom"/>
          </w:tcPr>
          <w:p>
            <w:pPr>
              <w:ind w:left="200"/>
              <w:spacing w:after="0" w:line="167" w:lineRule="exact"/>
              <w:rPr>
                <w:sz w:val="20"/>
                <w:szCs w:val="20"/>
                <w:color w:val="auto"/>
              </w:rPr>
            </w:pPr>
            <w:r>
              <w:rPr>
                <w:rFonts w:ascii="Arial" w:cs="Arial" w:eastAsia="Arial" w:hAnsi="Arial"/>
                <w:sz w:val="15"/>
                <w:szCs w:val="15"/>
                <w:color w:val="auto"/>
              </w:rPr>
              <w:t>Diluted</w:t>
            </w:r>
          </w:p>
        </w:tc>
        <w:tc>
          <w:tcPr>
            <w:tcW w:w="280" w:type="dxa"/>
            <w:vAlign w:val="bottom"/>
          </w:tcPr>
          <w:p>
            <w:pPr>
              <w:jc w:val="right"/>
              <w:ind w:right="124"/>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5"/>
                <w:szCs w:val="15"/>
                <w:color w:val="auto"/>
              </w:rPr>
              <w:t>150</w:t>
            </w:r>
          </w:p>
        </w:tc>
        <w:tc>
          <w:tcPr>
            <w:tcW w:w="520" w:type="dxa"/>
            <w:vAlign w:val="bottom"/>
            <w:gridSpan w:val="2"/>
          </w:tcPr>
          <w:p>
            <w:pPr>
              <w:jc w:val="right"/>
              <w:ind w:right="264"/>
              <w:spacing w:after="0" w:line="167"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7" w:lineRule="exact"/>
              <w:rPr>
                <w:sz w:val="20"/>
                <w:szCs w:val="20"/>
                <w:color w:val="auto"/>
              </w:rPr>
            </w:pPr>
            <w:r>
              <w:rPr>
                <w:rFonts w:ascii="Arial" w:cs="Arial" w:eastAsia="Arial" w:hAnsi="Arial"/>
                <w:sz w:val="15"/>
                <w:szCs w:val="15"/>
                <w:color w:val="auto"/>
              </w:rPr>
              <w:t>556</w:t>
            </w:r>
          </w:p>
        </w:tc>
        <w:tc>
          <w:tcPr>
            <w:tcW w:w="360" w:type="dxa"/>
            <w:vAlign w:val="bottom"/>
            <w:gridSpan w:val="2"/>
          </w:tcPr>
          <w:p>
            <w:pPr>
              <w:jc w:val="right"/>
              <w:ind w:right="104"/>
              <w:spacing w:after="0" w:line="167"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line="167" w:lineRule="exact"/>
              <w:rPr>
                <w:sz w:val="20"/>
                <w:szCs w:val="20"/>
                <w:color w:val="auto"/>
              </w:rPr>
            </w:pPr>
            <w:r>
              <w:rPr>
                <w:rFonts w:ascii="Arial" w:cs="Arial" w:eastAsia="Arial" w:hAnsi="Arial"/>
                <w:sz w:val="15"/>
                <w:szCs w:val="15"/>
                <w:color w:val="auto"/>
              </w:rPr>
              <w:t>495</w:t>
            </w:r>
          </w:p>
        </w:tc>
        <w:tc>
          <w:tcPr>
            <w:tcW w:w="500" w:type="dxa"/>
            <w:vAlign w:val="bottom"/>
            <w:gridSpan w:val="2"/>
          </w:tcPr>
          <w:p>
            <w:pPr>
              <w:jc w:val="right"/>
              <w:ind w:right="264"/>
              <w:spacing w:after="0" w:line="167"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line="167" w:lineRule="exact"/>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Net income per share attributable to common stockholders: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0"/>
              <w:spacing w:after="0"/>
              <w:rPr>
                <w:sz w:val="20"/>
                <w:szCs w:val="20"/>
                <w:color w:val="auto"/>
              </w:rPr>
            </w:pPr>
            <w:r>
              <w:rPr>
                <w:rFonts w:ascii="Arial" w:cs="Arial" w:eastAsia="Arial" w:hAnsi="Arial"/>
                <w:sz w:val="15"/>
                <w:szCs w:val="15"/>
                <w:color w:val="auto"/>
              </w:rPr>
              <w:t>Basic</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0.17</w:t>
            </w:r>
          </w:p>
        </w:tc>
        <w:tc>
          <w:tcPr>
            <w:tcW w:w="52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0.63</w:t>
            </w:r>
          </w:p>
        </w:tc>
        <w:tc>
          <w:tcPr>
            <w:tcW w:w="36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0.56</w:t>
            </w:r>
          </w:p>
        </w:tc>
        <w:tc>
          <w:tcPr>
            <w:tcW w:w="50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Diluted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52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0.61</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0.55</w:t>
            </w:r>
          </w:p>
        </w:tc>
        <w:tc>
          <w:tcPr>
            <w:tcW w:w="50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Arial" w:cs="Arial" w:eastAsia="Arial" w:hAnsi="Arial"/>
                <w:sz w:val="15"/>
                <w:szCs w:val="15"/>
                <w:color w:val="auto"/>
              </w:rPr>
              <w:t>Weighted-average shares used to compute 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860" w:type="dxa"/>
            <w:vAlign w:val="bottom"/>
          </w:tcPr>
          <w:p>
            <w:pPr>
              <w:ind w:left="220"/>
              <w:spacing w:after="0"/>
              <w:rPr>
                <w:sz w:val="20"/>
                <w:szCs w:val="20"/>
                <w:color w:val="auto"/>
              </w:rPr>
            </w:pPr>
            <w:r>
              <w:rPr>
                <w:rFonts w:ascii="Arial" w:cs="Arial" w:eastAsia="Arial" w:hAnsi="Arial"/>
                <w:sz w:val="15"/>
                <w:szCs w:val="15"/>
                <w:color w:val="auto"/>
              </w:rPr>
              <w:t>attributable to common stockholders: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Basic</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884,108,545</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889,261,220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880,182,573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885,346,564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tcPr>
          <w:p>
            <w:pPr>
              <w:ind w:left="200"/>
              <w:spacing w:after="0"/>
              <w:rPr>
                <w:sz w:val="20"/>
                <w:szCs w:val="20"/>
                <w:color w:val="auto"/>
              </w:rPr>
            </w:pPr>
            <w:r>
              <w:rPr>
                <w:rFonts w:ascii="Arial" w:cs="Arial" w:eastAsia="Arial" w:hAnsi="Arial"/>
                <w:sz w:val="15"/>
                <w:szCs w:val="15"/>
                <w:color w:val="auto"/>
              </w:rPr>
              <w:t>Diluted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905,544,750</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917,940,660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903,555,592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918,606,063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7" w:name="page8"/>
    <w:bookmarkEnd w:id="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66"/>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right"/>
              <w:ind w:right="446"/>
              <w:spacing w:after="0"/>
              <w:rPr>
                <w:sz w:val="20"/>
                <w:szCs w:val="20"/>
                <w:color w:val="auto"/>
              </w:rPr>
            </w:pPr>
            <w:r>
              <w:rPr>
                <w:rFonts w:ascii="Arial" w:cs="Arial" w:eastAsia="Arial" w:hAnsi="Arial"/>
                <w:sz w:val="13"/>
                <w:szCs w:val="13"/>
                <w:b w:val="1"/>
                <w:bCs w:val="1"/>
                <w:color w:val="auto"/>
              </w:rPr>
              <w:t>Nine Months Ended</w:t>
            </w:r>
          </w:p>
        </w:tc>
      </w:tr>
      <w:tr>
        <w:trPr>
          <w:trHeight w:val="175"/>
        </w:trPr>
        <w:tc>
          <w:tcPr>
            <w:tcW w:w="6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86"/>
              <w:spacing w:after="0"/>
              <w:rPr>
                <w:sz w:val="20"/>
                <w:szCs w:val="20"/>
                <w:color w:val="auto"/>
              </w:rPr>
            </w:pPr>
            <w:r>
              <w:rPr>
                <w:rFonts w:ascii="Arial" w:cs="Arial" w:eastAsia="Arial" w:hAnsi="Arial"/>
                <w:sz w:val="13"/>
                <w:szCs w:val="13"/>
                <w:b w:val="1"/>
                <w:bCs w:val="1"/>
                <w:color w:val="auto"/>
              </w:rPr>
              <w:t>September 30,</w:t>
            </w:r>
          </w:p>
        </w:tc>
      </w:tr>
      <w:tr>
        <w:trPr>
          <w:trHeight w:val="16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2025</w:t>
            </w:r>
          </w:p>
        </w:tc>
      </w:tr>
      <w:tr>
        <w:trPr>
          <w:trHeight w:val="191"/>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1,278</w:t>
            </w:r>
          </w:p>
        </w:tc>
      </w:tr>
      <w:tr>
        <w:trPr>
          <w:trHeight w:val="199"/>
        </w:trPr>
        <w:tc>
          <w:tcPr>
            <w:tcW w:w="6120" w:type="dxa"/>
            <w:vAlign w:val="bottom"/>
          </w:tcPr>
          <w:p>
            <w:pPr>
              <w:ind w:left="20"/>
              <w:spacing w:after="0"/>
              <w:rPr>
                <w:sz w:val="20"/>
                <w:szCs w:val="20"/>
                <w:color w:val="auto"/>
              </w:rPr>
            </w:pPr>
            <w:r>
              <w:rPr>
                <w:rFonts w:ascii="Arial" w:cs="Arial" w:eastAsia="Arial" w:hAnsi="Arial"/>
                <w:sz w:val="15"/>
                <w:szCs w:val="15"/>
                <w:color w:val="auto"/>
              </w:rPr>
              <w:t>Other comprehensive income, net of tax:</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6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Foreign currency translation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w:t>
            </w:r>
          </w:p>
        </w:tc>
      </w:tr>
      <w:tr>
        <w:trPr>
          <w:trHeight w:val="199"/>
        </w:trPr>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Reclassification adjustment for net gains included in net income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r>
      <w:tr>
        <w:trPr>
          <w:trHeight w:val="191"/>
        </w:trPr>
        <w:tc>
          <w:tcPr>
            <w:tcW w:w="6120" w:type="dxa"/>
            <w:vAlign w:val="bottom"/>
            <w:shd w:val="clear" w:color="auto" w:fill="CCEEFF"/>
          </w:tcPr>
          <w:p>
            <w:pPr>
              <w:ind w:left="80"/>
              <w:spacing w:after="0"/>
              <w:rPr>
                <w:sz w:val="20"/>
                <w:szCs w:val="20"/>
                <w:color w:val="auto"/>
              </w:rPr>
            </w:pPr>
            <w:r>
              <w:rPr>
                <w:rFonts w:ascii="Arial" w:cs="Arial" w:eastAsia="Arial" w:hAnsi="Arial"/>
                <w:sz w:val="15"/>
                <w:szCs w:val="15"/>
                <w:color w:val="auto"/>
              </w:rPr>
              <w:t>Total other comprehensive income, net of tax</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w:t>
            </w:r>
          </w:p>
        </w:tc>
      </w:tr>
      <w:tr>
        <w:trPr>
          <w:trHeight w:val="191"/>
        </w:trPr>
        <w:tc>
          <w:tcPr>
            <w:tcW w:w="612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151</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556</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499</w:t>
            </w:r>
          </w:p>
        </w:tc>
        <w:tc>
          <w:tcPr>
            <w:tcW w:w="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1,286</w:t>
            </w:r>
          </w:p>
        </w:tc>
      </w:tr>
      <w:tr>
        <w:trPr>
          <w:trHeight w:val="20"/>
        </w:trPr>
        <w:tc>
          <w:tcPr>
            <w:tcW w:w="6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Nine Months Ended</w:t>
            </w:r>
          </w:p>
        </w:tc>
        <w:tc>
          <w:tcPr>
            <w:tcW w:w="760" w:type="dxa"/>
            <w:vAlign w:val="bottom"/>
          </w:tcPr>
          <w:p>
            <w:pPr>
              <w:spacing w:after="0"/>
              <w:rPr>
                <w:sz w:val="10"/>
                <w:szCs w:val="10"/>
                <w:color w:val="auto"/>
              </w:rPr>
            </w:pPr>
          </w:p>
        </w:tc>
      </w:tr>
      <w:tr>
        <w:trPr>
          <w:trHeight w:val="141"/>
        </w:trPr>
        <w:tc>
          <w:tcPr>
            <w:tcW w:w="8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Borders>
              <w:bottom w:val="single" w:sz="8" w:color="auto"/>
            </w:tcBorders>
          </w:tcPr>
          <w:p>
            <w:pPr>
              <w:spacing w:after="0"/>
              <w:rPr>
                <w:sz w:val="12"/>
                <w:szCs w:val="12"/>
                <w:color w:val="auto"/>
              </w:rPr>
            </w:pPr>
          </w:p>
        </w:tc>
      </w:tr>
      <w:tr>
        <w:trPr>
          <w:trHeight w:val="144"/>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7"/>
              <w:spacing w:after="0"/>
              <w:rPr>
                <w:sz w:val="20"/>
                <w:szCs w:val="20"/>
                <w:color w:val="auto"/>
              </w:rPr>
            </w:pPr>
            <w:r>
              <w:rPr>
                <w:rFonts w:ascii="Arial" w:cs="Arial" w:eastAsia="Arial" w:hAnsi="Arial"/>
                <w:sz w:val="11"/>
                <w:szCs w:val="11"/>
                <w:b w:val="1"/>
                <w:bCs w:val="1"/>
                <w:color w:val="auto"/>
                <w:w w:val="97"/>
              </w:rPr>
              <w:t>2025</w:t>
            </w:r>
          </w:p>
        </w:tc>
      </w:tr>
      <w:tr>
        <w:trPr>
          <w:trHeight w:val="132"/>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2"/>
        </w:trPr>
        <w:tc>
          <w:tcPr>
            <w:tcW w:w="80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495</w:t>
            </w:r>
          </w:p>
        </w:tc>
        <w:tc>
          <w:tcPr>
            <w:tcW w:w="54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1,278</w:t>
            </w:r>
          </w:p>
        </w:tc>
      </w:tr>
      <w:tr>
        <w:trPr>
          <w:trHeight w:val="153"/>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63</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 for credit losses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78</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Share-based compensation</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227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229</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w:t>
            </w:r>
          </w:p>
        </w:tc>
      </w:tr>
      <w:tr>
        <w:trPr>
          <w:trHeight w:val="152"/>
        </w:trPr>
        <w:tc>
          <w:tcPr>
            <w:tcW w:w="8060" w:type="dxa"/>
            <w:vAlign w:val="bottom"/>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Securities segregated under federal and other regulations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Receivables from brokers, dealers, and clearing organizations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19</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Receivables from users, net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(5,814)</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Securities borrowed</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(2,102)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(3,371)</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Deposits with clearing organizations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(951)</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Current and non-current prepaid expenses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Current and non-current deferred customer match incentives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Other current and non-current assets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437</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 and accrued expenses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Payables to users</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1,167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3,754</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Securities loaned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3,759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8,203</w:t>
            </w:r>
          </w:p>
        </w:tc>
      </w:tr>
      <w:tr>
        <w:trPr>
          <w:trHeight w:val="152"/>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Other current and non-current liabilities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173</w:t>
            </w:r>
          </w:p>
        </w:tc>
      </w:tr>
      <w:tr>
        <w:trPr>
          <w:trHeight w:val="145"/>
        </w:trPr>
        <w:tc>
          <w:tcPr>
            <w:tcW w:w="8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provided by operating activities</w:t>
            </w: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1,243</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2,575</w:t>
            </w:r>
          </w:p>
        </w:tc>
      </w:tr>
      <w:tr>
        <w:trPr>
          <w:trHeight w:val="132"/>
        </w:trPr>
        <w:tc>
          <w:tcPr>
            <w:tcW w:w="806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2"/>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Purchases of property, software, and equipment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Capitalization of internally developed software</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Consideration transferred for business acquisitions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Cash, cash equivalents, and segregated cash acquired in business acquisitions</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1,193</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Purchases of held-to-maturity investments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Proceeds from maturities of held-to-maturity investments</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439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347</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Purchases of credit card receivables by Credit Card Funding Trust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(2,917)</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Collections of purchased credit card receivables</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2,526</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Asset acquisition, net of cash acquired</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r>
      <w:tr>
        <w:trPr>
          <w:trHeight w:val="152"/>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Other</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45"/>
        </w:trPr>
        <w:tc>
          <w:tcPr>
            <w:tcW w:w="8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provided by (used in) investing activities</w:t>
            </w: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699</w:t>
            </w:r>
          </w:p>
        </w:tc>
      </w:tr>
      <w:tr>
        <w:trPr>
          <w:trHeight w:val="132"/>
        </w:trPr>
        <w:tc>
          <w:tcPr>
            <w:tcW w:w="806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2"/>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exercise of stock options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Proceeds from issuance of common stock under the Employee Share Purchase Plan</w:t>
            </w:r>
          </w:p>
        </w:tc>
        <w:tc>
          <w:tcPr>
            <w:tcW w:w="28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15</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Taxes paid related to net share settlement of equity awards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Repurchase of Class A common stock</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(553)</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Draws on credit facilities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2,701</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Repayments on credit facilities</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(2,701)</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Borrowings by the Credit Card Funding Trust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245</w:t>
            </w:r>
          </w:p>
        </w:tc>
      </w:tr>
      <w:tr>
        <w:trPr>
          <w:trHeight w:val="152"/>
        </w:trPr>
        <w:tc>
          <w:tcPr>
            <w:tcW w:w="8060" w:type="dxa"/>
            <w:vAlign w:val="bottom"/>
          </w:tcPr>
          <w:p>
            <w:pPr>
              <w:ind w:left="200"/>
              <w:spacing w:after="0"/>
              <w:rPr>
                <w:sz w:val="20"/>
                <w:szCs w:val="20"/>
                <w:color w:val="auto"/>
              </w:rPr>
            </w:pPr>
            <w:r>
              <w:rPr>
                <w:rFonts w:ascii="Arial" w:cs="Arial" w:eastAsia="Arial" w:hAnsi="Arial"/>
                <w:sz w:val="11"/>
                <w:szCs w:val="11"/>
                <w:color w:val="auto"/>
              </w:rPr>
              <w:t>Change in principal collected from customers due to Coastal Bank</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r>
      <w:tr>
        <w:trPr>
          <w:trHeight w:val="153"/>
        </w:trPr>
        <w:tc>
          <w:tcPr>
            <w:tcW w:w="8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Repayments on borrowings by the Credit Card Funding Trust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r>
      <w:tr>
        <w:trPr>
          <w:trHeight w:val="152"/>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Payments of debt issuance costs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r>
      <w:tr>
        <w:trPr>
          <w:trHeight w:val="144"/>
        </w:trPr>
        <w:tc>
          <w:tcPr>
            <w:tcW w:w="8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used in financing activities</w:t>
            </w: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(708)</w:t>
            </w:r>
          </w:p>
        </w:tc>
      </w:tr>
      <w:tr>
        <w:trPr>
          <w:trHeight w:val="144"/>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Effect of foreign exchange rate changes on cash and cash equivalents</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w:t>
            </w:r>
          </w:p>
        </w:tc>
      </w:tr>
      <w:tr>
        <w:trPr>
          <w:trHeight w:val="145"/>
        </w:trPr>
        <w:tc>
          <w:tcPr>
            <w:tcW w:w="80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increase in cash, cash equivalents, segregated cash, and restricted cash</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2,574</w:t>
            </w:r>
          </w:p>
        </w:tc>
      </w:tr>
      <w:tr>
        <w:trPr>
          <w:trHeight w:val="15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cash equivalents, segregated cash, and restricted cash, beginning of the period</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9,346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8,695</w:t>
            </w:r>
          </w:p>
        </w:tc>
      </w:tr>
      <w:tr>
        <w:trPr>
          <w:trHeight w:val="165"/>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cash equivalents, segregated cash, and restricted cash, end of the period</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10,241</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11,269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Reconciliation of cash, cash equivalents, segregated cash and restricted cash, end of the period:</w:t>
            </w: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2"/>
        </w:trPr>
        <w:tc>
          <w:tcPr>
            <w:tcW w:w="8120" w:type="dxa"/>
            <w:vAlign w:val="bottom"/>
          </w:tcPr>
          <w:p>
            <w:pPr>
              <w:ind w:left="200"/>
              <w:spacing w:after="0"/>
              <w:rPr>
                <w:sz w:val="20"/>
                <w:szCs w:val="20"/>
                <w:color w:val="auto"/>
              </w:rPr>
            </w:pPr>
            <w:r>
              <w:rPr>
                <w:rFonts w:ascii="Arial" w:cs="Arial" w:eastAsia="Arial" w:hAnsi="Arial"/>
                <w:sz w:val="11"/>
                <w:szCs w:val="11"/>
                <w:color w:val="auto"/>
              </w:rPr>
              <w:t>Cash and cash equivalents, end of the period</w:t>
            </w:r>
          </w:p>
        </w:tc>
        <w:tc>
          <w:tcPr>
            <w:tcW w:w="440" w:type="dxa"/>
            <w:vAlign w:val="bottom"/>
          </w:tcPr>
          <w:p>
            <w:pPr>
              <w:jc w:val="right"/>
              <w:ind w:right="30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4,611</w:t>
            </w:r>
          </w:p>
        </w:tc>
        <w:tc>
          <w:tcPr>
            <w:tcW w:w="5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4,331</w:t>
            </w:r>
          </w:p>
        </w:tc>
      </w:tr>
      <w:tr>
        <w:trPr>
          <w:trHeight w:val="153"/>
        </w:trPr>
        <w:tc>
          <w:tcPr>
            <w:tcW w:w="8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Segregated cash and cash equivalents, end of the period</w:t>
            </w: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6,853</w:t>
            </w:r>
          </w:p>
        </w:tc>
      </w:tr>
      <w:tr>
        <w:trPr>
          <w:trHeight w:val="152"/>
        </w:trPr>
        <w:tc>
          <w:tcPr>
            <w:tcW w:w="8120" w:type="dxa"/>
            <w:vAlign w:val="bottom"/>
          </w:tcPr>
          <w:p>
            <w:pPr>
              <w:ind w:left="200"/>
              <w:spacing w:after="0"/>
              <w:rPr>
                <w:sz w:val="20"/>
                <w:szCs w:val="20"/>
                <w:color w:val="auto"/>
              </w:rPr>
            </w:pPr>
            <w:r>
              <w:rPr>
                <w:rFonts w:ascii="Arial" w:cs="Arial" w:eastAsia="Arial" w:hAnsi="Arial"/>
                <w:sz w:val="11"/>
                <w:szCs w:val="11"/>
                <w:color w:val="auto"/>
              </w:rPr>
              <w:t>Restricted cash in other current assets, end of the period</w:t>
            </w:r>
          </w:p>
        </w:tc>
        <w:tc>
          <w:tcPr>
            <w:tcW w:w="44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68</w:t>
            </w:r>
          </w:p>
        </w:tc>
      </w:tr>
      <w:tr>
        <w:trPr>
          <w:trHeight w:val="152"/>
        </w:trPr>
        <w:tc>
          <w:tcPr>
            <w:tcW w:w="8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Restricted cash in other non-current assets, end of the period</w:t>
            </w:r>
          </w:p>
        </w:tc>
        <w:tc>
          <w:tcPr>
            <w:tcW w:w="4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17</w:t>
            </w:r>
          </w:p>
        </w:tc>
      </w:tr>
      <w:tr>
        <w:trPr>
          <w:trHeight w:val="145"/>
        </w:trPr>
        <w:tc>
          <w:tcPr>
            <w:tcW w:w="8120" w:type="dxa"/>
            <w:vAlign w:val="bottom"/>
          </w:tcPr>
          <w:p>
            <w:pPr>
              <w:ind w:left="400"/>
              <w:spacing w:after="0"/>
              <w:rPr>
                <w:sz w:val="20"/>
                <w:szCs w:val="20"/>
                <w:color w:val="auto"/>
              </w:rPr>
            </w:pPr>
            <w:r>
              <w:rPr>
                <w:rFonts w:ascii="Arial" w:cs="Arial" w:eastAsia="Arial" w:hAnsi="Arial"/>
                <w:sz w:val="11"/>
                <w:szCs w:val="11"/>
                <w:color w:val="auto"/>
              </w:rPr>
              <w:t>Cash, cash equivalents, segregated cash and restricted cash, end of the period</w:t>
            </w:r>
          </w:p>
        </w:tc>
        <w:tc>
          <w:tcPr>
            <w:tcW w:w="440" w:type="dxa"/>
            <w:vAlign w:val="bottom"/>
          </w:tcPr>
          <w:p>
            <w:pPr>
              <w:jc w:val="right"/>
              <w:ind w:right="30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10,241</w:t>
            </w:r>
          </w:p>
        </w:tc>
        <w:tc>
          <w:tcPr>
            <w:tcW w:w="5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11,269</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8120" w:type="dxa"/>
            <w:vAlign w:val="bottom"/>
            <w:shd w:val="clear" w:color="auto" w:fill="CCEEFF"/>
          </w:tcPr>
          <w:p>
            <w:pPr>
              <w:ind w:left="20"/>
              <w:spacing w:after="0" w:line="116" w:lineRule="exact"/>
              <w:rPr>
                <w:sz w:val="20"/>
                <w:szCs w:val="20"/>
                <w:color w:val="auto"/>
              </w:rPr>
            </w:pPr>
            <w:r>
              <w:rPr>
                <w:rFonts w:ascii="Arial" w:cs="Arial" w:eastAsia="Arial" w:hAnsi="Arial"/>
                <w:sz w:val="11"/>
                <w:szCs w:val="11"/>
                <w:b w:val="1"/>
                <w:bCs w:val="1"/>
                <w:color w:val="auto"/>
              </w:rPr>
              <w:t>Supplemental disclosures:</w:t>
            </w: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52"/>
        </w:trPr>
        <w:tc>
          <w:tcPr>
            <w:tcW w:w="8120" w:type="dxa"/>
            <w:vAlign w:val="bottom"/>
          </w:tcPr>
          <w:p>
            <w:pPr>
              <w:ind w:left="200"/>
              <w:spacing w:after="0"/>
              <w:rPr>
                <w:sz w:val="20"/>
                <w:szCs w:val="20"/>
                <w:color w:val="auto"/>
              </w:rPr>
            </w:pPr>
            <w:r>
              <w:rPr>
                <w:rFonts w:ascii="Arial" w:cs="Arial" w:eastAsia="Arial" w:hAnsi="Arial"/>
                <w:sz w:val="11"/>
                <w:szCs w:val="11"/>
                <w:color w:val="auto"/>
              </w:rPr>
              <w:t>Cash paid for interest</w:t>
            </w:r>
          </w:p>
        </w:tc>
        <w:tc>
          <w:tcPr>
            <w:tcW w:w="440" w:type="dxa"/>
            <w:vAlign w:val="bottom"/>
          </w:tcPr>
          <w:p>
            <w:pPr>
              <w:jc w:val="right"/>
              <w:ind w:right="307"/>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5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20</w:t>
            </w:r>
          </w:p>
        </w:tc>
      </w:tr>
      <w:tr>
        <w:trPr>
          <w:trHeight w:val="153"/>
        </w:trPr>
        <w:tc>
          <w:tcPr>
            <w:tcW w:w="8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paid for income taxes, net of refund received</w:t>
            </w:r>
          </w:p>
        </w:tc>
        <w:tc>
          <w:tcPr>
            <w:tcW w:w="440" w:type="dxa"/>
            <w:vAlign w:val="bottom"/>
            <w:shd w:val="clear" w:color="auto" w:fill="CCEEFF"/>
          </w:tcPr>
          <w:p>
            <w:pPr>
              <w:jc w:val="right"/>
              <w:ind w:right="307"/>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83</w:t>
            </w:r>
          </w:p>
        </w:tc>
      </w:tr>
    </w:tbl>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940" w:type="dxa"/>
            <w:vAlign w:val="bottom"/>
            <w:gridSpan w:val="4"/>
          </w:tcPr>
          <w:p>
            <w:pPr>
              <w:ind w:left="520"/>
              <w:spacing w:after="0"/>
              <w:rPr>
                <w:sz w:val="20"/>
                <w:szCs w:val="20"/>
                <w:color w:val="auto"/>
              </w:rPr>
            </w:pPr>
            <w:r>
              <w:rPr>
                <w:rFonts w:ascii="Arial" w:cs="Arial" w:eastAsia="Arial" w:hAnsi="Arial"/>
                <w:sz w:val="11"/>
                <w:szCs w:val="11"/>
                <w:b w:val="1"/>
                <w:bCs w:val="1"/>
                <w:color w:val="auto"/>
              </w:rPr>
              <w:t xml:space="preserve">Common stock </w:t>
            </w:r>
            <w:r>
              <w:rPr>
                <w:rFonts w:ascii="Arial" w:cs="Arial" w:eastAsia="Arial" w:hAnsi="Arial"/>
                <w:sz w:val="14"/>
                <w:szCs w:val="14"/>
                <w:b w:val="1"/>
                <w:bCs w:val="1"/>
                <w:color w:val="auto"/>
                <w:vertAlign w:val="superscript"/>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1"/>
                <w:szCs w:val="11"/>
                <w:b w:val="1"/>
                <w:bCs w:val="1"/>
                <w:color w:val="auto"/>
                <w:w w:val="96"/>
              </w:rPr>
              <w:t>Additional</w:t>
            </w:r>
          </w:p>
        </w:tc>
        <w:tc>
          <w:tcPr>
            <w:tcW w:w="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Accumulated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6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5"/>
        </w:trPr>
        <w:tc>
          <w:tcPr>
            <w:tcW w:w="48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jc w:val="right"/>
              <w:ind w:right="182"/>
              <w:spacing w:after="0" w:line="36" w:lineRule="exact"/>
              <w:rPr>
                <w:sz w:val="20"/>
                <w:szCs w:val="20"/>
                <w:color w:val="auto"/>
              </w:rPr>
            </w:pPr>
            <w:r>
              <w:rPr>
                <w:rFonts w:ascii="Arial" w:cs="Arial" w:eastAsia="Arial" w:hAnsi="Arial"/>
                <w:sz w:val="4"/>
                <w:szCs w:val="4"/>
                <w:b w:val="1"/>
                <w:bCs w:val="1"/>
                <w:color w:val="auto"/>
              </w:rPr>
              <w:t>paid-in</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jc w:val="right"/>
              <w:ind w:right="61"/>
              <w:spacing w:after="0" w:line="36" w:lineRule="exact"/>
              <w:rPr>
                <w:sz w:val="20"/>
                <w:szCs w:val="20"/>
                <w:color w:val="auto"/>
              </w:rPr>
            </w:pPr>
            <w:r>
              <w:rPr>
                <w:rFonts w:ascii="Arial" w:cs="Arial" w:eastAsia="Arial" w:hAnsi="Arial"/>
                <w:sz w:val="4"/>
                <w:szCs w:val="4"/>
                <w:b w:val="1"/>
                <w:bCs w:val="1"/>
                <w:color w:val="auto"/>
              </w:rPr>
              <w:t>comprehensive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right"/>
              <w:ind w:right="41"/>
              <w:spacing w:after="0" w:line="36" w:lineRule="exact"/>
              <w:rPr>
                <w:sz w:val="20"/>
                <w:szCs w:val="20"/>
                <w:color w:val="auto"/>
              </w:rPr>
            </w:pPr>
            <w:r>
              <w:rPr>
                <w:rFonts w:ascii="Arial" w:cs="Arial" w:eastAsia="Arial" w:hAnsi="Arial"/>
                <w:sz w:val="4"/>
                <w:szCs w:val="4"/>
                <w:b w:val="1"/>
                <w:bCs w:val="1"/>
                <w:color w:val="auto"/>
              </w:rPr>
              <w:t>Accumulated</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jc w:val="right"/>
              <w:ind w:right="42"/>
              <w:spacing w:after="0" w:line="36"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4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 except for number of shares)</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income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67"/>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884,545,769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12,223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7,122</w:t>
            </w:r>
          </w:p>
        </w:tc>
        <w:tc>
          <w:tcPr>
            <w:tcW w:w="0" w:type="dxa"/>
            <w:vAlign w:val="bottom"/>
          </w:tcPr>
          <w:p>
            <w:pPr>
              <w:spacing w:after="0"/>
              <w:rPr>
                <w:sz w:val="1"/>
                <w:szCs w:val="1"/>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1"/>
              <w:spacing w:after="0"/>
              <w:rPr>
                <w:sz w:val="20"/>
                <w:szCs w:val="20"/>
                <w:color w:val="auto"/>
              </w:rPr>
            </w:pPr>
            <w:r>
              <w:rPr>
                <w:rFonts w:ascii="Arial" w:cs="Arial" w:eastAsia="Arial" w:hAnsi="Arial"/>
                <w:sz w:val="13"/>
                <w:szCs w:val="13"/>
                <w:color w:val="auto"/>
              </w:rPr>
              <w:t>150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in connection with stock option exercises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412,471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484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upon settlement of restricted stock units, net of shares</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3,662,963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4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2"/>
        </w:trPr>
        <w:tc>
          <w:tcPr>
            <w:tcW w:w="4840" w:type="dxa"/>
            <w:vAlign w:val="bottom"/>
          </w:tcPr>
          <w:p>
            <w:pPr>
              <w:ind w:left="160"/>
              <w:spacing w:after="0"/>
              <w:rPr>
                <w:sz w:val="20"/>
                <w:szCs w:val="20"/>
                <w:color w:val="auto"/>
              </w:rPr>
            </w:pPr>
            <w:r>
              <w:rPr>
                <w:rFonts w:ascii="Arial" w:cs="Arial" w:eastAsia="Arial" w:hAnsi="Arial"/>
                <w:sz w:val="13"/>
                <w:szCs w:val="13"/>
                <w:color w:val="auto"/>
              </w:rPr>
              <w:t>withheld</w:t>
            </w: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and retirement of Class A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(5,012,195)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1"/>
        </w:trPr>
        <w:tc>
          <w:tcPr>
            <w:tcW w:w="4840" w:type="dxa"/>
            <w:vAlign w:val="bottom"/>
          </w:tcPr>
          <w:p>
            <w:pPr>
              <w:ind w:left="20"/>
              <w:spacing w:after="0"/>
              <w:rPr>
                <w:sz w:val="20"/>
                <w:szCs w:val="20"/>
                <w:color w:val="auto"/>
              </w:rPr>
            </w:pPr>
            <w:r>
              <w:rPr>
                <w:rFonts w:ascii="Arial" w:cs="Arial" w:eastAsia="Arial" w:hAnsi="Arial"/>
                <w:sz w:val="13"/>
                <w:szCs w:val="13"/>
                <w:b w:val="1"/>
                <w:bCs w:val="1"/>
                <w:color w:val="auto"/>
              </w:rPr>
              <w:t>Balance as of September 30, 2024</w:t>
            </w:r>
          </w:p>
        </w:tc>
        <w:tc>
          <w:tcPr>
            <w:tcW w:w="1060" w:type="dxa"/>
            <w:vAlign w:val="bottom"/>
          </w:tcPr>
          <w:p>
            <w:pPr>
              <w:jc w:val="right"/>
              <w:spacing w:after="0"/>
              <w:rPr>
                <w:sz w:val="20"/>
                <w:szCs w:val="20"/>
                <w:color w:val="auto"/>
              </w:rPr>
            </w:pPr>
            <w:r>
              <w:rPr>
                <w:rFonts w:ascii="Arial" w:cs="Arial" w:eastAsia="Arial" w:hAnsi="Arial"/>
                <w:sz w:val="13"/>
                <w:szCs w:val="13"/>
                <w:color w:val="auto"/>
              </w:rPr>
              <w:t>883,609,008</w:t>
            </w: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12,158</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41"/>
              <w:spacing w:after="0"/>
              <w:rPr>
                <w:sz w:val="20"/>
                <w:szCs w:val="20"/>
                <w:color w:val="auto"/>
              </w:rPr>
            </w:pPr>
            <w:r>
              <w:rPr>
                <w:rFonts w:ascii="Arial" w:cs="Arial" w:eastAsia="Arial" w:hAnsi="Arial"/>
                <w:sz w:val="13"/>
                <w:szCs w:val="13"/>
                <w:color w:val="auto"/>
              </w:rPr>
              <w:t>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(4,951)</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7,208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40" w:type="dxa"/>
            <w:vAlign w:val="bottom"/>
            <w:gridSpan w:val="4"/>
          </w:tcPr>
          <w:p>
            <w:pPr>
              <w:ind w:left="520"/>
              <w:spacing w:after="0"/>
              <w:rPr>
                <w:sz w:val="20"/>
                <w:szCs w:val="20"/>
                <w:color w:val="auto"/>
              </w:rPr>
            </w:pPr>
            <w:r>
              <w:rPr>
                <w:rFonts w:ascii="Arial" w:cs="Arial" w:eastAsia="Arial" w:hAnsi="Arial"/>
                <w:sz w:val="11"/>
                <w:szCs w:val="11"/>
                <w:b w:val="1"/>
                <w:bCs w:val="1"/>
                <w:color w:val="auto"/>
              </w:rPr>
              <w:t xml:space="preserve">Common stock </w:t>
            </w:r>
            <w:r>
              <w:rPr>
                <w:rFonts w:ascii="Arial" w:cs="Arial" w:eastAsia="Arial" w:hAnsi="Arial"/>
                <w:sz w:val="14"/>
                <w:szCs w:val="14"/>
                <w:b w:val="1"/>
                <w:bCs w:val="1"/>
                <w:color w:val="auto"/>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82"/>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2"/>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35"/>
        </w:trPr>
        <w:tc>
          <w:tcPr>
            <w:tcW w:w="4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jc w:val="right"/>
              <w:ind w:right="182"/>
              <w:spacing w:after="0" w:line="36" w:lineRule="exact"/>
              <w:rPr>
                <w:sz w:val="20"/>
                <w:szCs w:val="20"/>
                <w:color w:val="auto"/>
              </w:rPr>
            </w:pPr>
            <w:r>
              <w:rPr>
                <w:rFonts w:ascii="Arial" w:cs="Arial" w:eastAsia="Arial" w:hAnsi="Arial"/>
                <w:sz w:val="4"/>
                <w:szCs w:val="4"/>
                <w:b w:val="1"/>
                <w:bCs w:val="1"/>
                <w:color w:val="auto"/>
              </w:rPr>
              <w:t>paid-in</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jc w:val="center"/>
              <w:ind w:right="61"/>
              <w:spacing w:after="0" w:line="36" w:lineRule="exact"/>
              <w:rPr>
                <w:sz w:val="20"/>
                <w:szCs w:val="20"/>
                <w:color w:val="auto"/>
              </w:rPr>
            </w:pPr>
            <w:r>
              <w:rPr>
                <w:rFonts w:ascii="Arial" w:cs="Arial" w:eastAsia="Arial" w:hAnsi="Arial"/>
                <w:sz w:val="4"/>
                <w:szCs w:val="4"/>
                <w:b w:val="1"/>
                <w:bCs w:val="1"/>
                <w:color w:val="auto"/>
              </w:rPr>
              <w:t>comprehensive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jc w:val="right"/>
              <w:ind w:right="21"/>
              <w:spacing w:after="0" w:line="36" w:lineRule="exact"/>
              <w:rPr>
                <w:sz w:val="20"/>
                <w:szCs w:val="20"/>
                <w:color w:val="auto"/>
              </w:rPr>
            </w:pPr>
            <w:r>
              <w:rPr>
                <w:rFonts w:ascii="Arial" w:cs="Arial" w:eastAsia="Arial" w:hAnsi="Arial"/>
                <w:sz w:val="4"/>
                <w:szCs w:val="4"/>
                <w:b w:val="1"/>
                <w:bCs w:val="1"/>
                <w:color w:val="auto"/>
              </w:rPr>
              <w:t>Accumulated</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jc w:val="center"/>
              <w:ind w:right="22"/>
              <w:spacing w:after="0" w:line="36"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44"/>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 except for number of shares)</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3"/>
              </w:rPr>
              <w:t>income</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67"/>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888,217,555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11,378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8,072</w:t>
            </w:r>
          </w:p>
        </w:tc>
        <w:tc>
          <w:tcPr>
            <w:tcW w:w="0" w:type="dxa"/>
            <w:vAlign w:val="bottom"/>
          </w:tcPr>
          <w:p>
            <w:pPr>
              <w:spacing w:after="0"/>
              <w:rPr>
                <w:sz w:val="1"/>
                <w:szCs w:val="1"/>
                <w:color w:val="auto"/>
              </w:rPr>
            </w:pPr>
          </w:p>
        </w:tc>
      </w:tr>
      <w:tr>
        <w:trPr>
          <w:trHeight w:val="172"/>
        </w:trPr>
        <w:tc>
          <w:tcPr>
            <w:tcW w:w="4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3"/>
                <w:szCs w:val="13"/>
                <w:color w:val="auto"/>
              </w:rPr>
              <w:t>556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79"/>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in connection with stock option exercises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693,801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480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in connection with warrants exercises, net of shares</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1,275,077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4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800" w:type="dxa"/>
            <w:vAlign w:val="bottom"/>
          </w:tcPr>
          <w:p>
            <w:pPr>
              <w:ind w:left="160"/>
              <w:spacing w:after="0"/>
              <w:rPr>
                <w:sz w:val="20"/>
                <w:szCs w:val="20"/>
                <w:color w:val="auto"/>
              </w:rPr>
            </w:pPr>
            <w:r>
              <w:rPr>
                <w:rFonts w:ascii="Arial" w:cs="Arial" w:eastAsia="Arial" w:hAnsi="Arial"/>
                <w:sz w:val="13"/>
                <w:szCs w:val="13"/>
                <w:color w:val="auto"/>
              </w:rPr>
              <w:t>withheld</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common stock upon settlement of restricted stock units, net of shares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9,498,638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5"/>
        </w:trPr>
        <w:tc>
          <w:tcPr>
            <w:tcW w:w="4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withheld</w:t>
            </w: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00" w:type="dxa"/>
            <w:vAlign w:val="bottom"/>
          </w:tcPr>
          <w:p>
            <w:pPr>
              <w:ind w:left="20"/>
              <w:spacing w:after="0"/>
              <w:rPr>
                <w:sz w:val="20"/>
                <w:szCs w:val="20"/>
                <w:color w:val="auto"/>
              </w:rPr>
            </w:pPr>
            <w:r>
              <w:rPr>
                <w:rFonts w:ascii="Arial" w:cs="Arial" w:eastAsia="Arial" w:hAnsi="Arial"/>
                <w:sz w:val="13"/>
                <w:szCs w:val="13"/>
                <w:color w:val="auto"/>
              </w:rPr>
              <w:t>Repurchase and retirement of Class A common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(1,016,709)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84</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1"/>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Balance as of September 30, 2025</w:t>
            </w:r>
          </w:p>
        </w:tc>
        <w:tc>
          <w:tcPr>
            <w:tcW w:w="1060" w:type="dxa"/>
            <w:vAlign w:val="bottom"/>
          </w:tcPr>
          <w:p>
            <w:pPr>
              <w:jc w:val="right"/>
              <w:spacing w:after="0"/>
              <w:rPr>
                <w:sz w:val="20"/>
                <w:szCs w:val="20"/>
                <w:color w:val="auto"/>
              </w:rPr>
            </w:pPr>
            <w:r>
              <w:rPr>
                <w:rFonts w:ascii="Arial" w:cs="Arial" w:eastAsia="Arial" w:hAnsi="Arial"/>
                <w:sz w:val="13"/>
                <w:szCs w:val="13"/>
                <w:color w:val="auto"/>
              </w:rPr>
              <w:t>898,668,362</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11,317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81"/>
              <w:spacing w:after="0"/>
              <w:rPr>
                <w:sz w:val="20"/>
                <w:szCs w:val="20"/>
                <w:color w:val="auto"/>
              </w:rPr>
            </w:pPr>
            <w:r>
              <w:rPr>
                <w:rFonts w:ascii="Arial" w:cs="Arial" w:eastAsia="Arial" w:hAnsi="Arial"/>
                <w:sz w:val="13"/>
                <w:szCs w:val="13"/>
                <w:color w:val="auto"/>
              </w:rPr>
              <w:t>7</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(2,757)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2"/>
              <w:spacing w:after="0"/>
              <w:rPr>
                <w:sz w:val="20"/>
                <w:szCs w:val="20"/>
                <w:color w:val="auto"/>
              </w:rPr>
            </w:pPr>
            <w:r>
              <w:rPr>
                <w:rFonts w:ascii="Arial" w:cs="Arial" w:eastAsia="Arial" w:hAnsi="Arial"/>
                <w:sz w:val="13"/>
                <w:szCs w:val="13"/>
                <w:color w:val="auto"/>
              </w:rPr>
              <w:t>8,567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 w:name="page12"/>
    <w:bookmarkEnd w:id="1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40" w:type="dxa"/>
            <w:vAlign w:val="bottom"/>
            <w:gridSpan w:val="4"/>
          </w:tcPr>
          <w:p>
            <w:pPr>
              <w:ind w:left="820"/>
              <w:spacing w:after="0"/>
              <w:rPr>
                <w:sz w:val="20"/>
                <w:szCs w:val="20"/>
                <w:color w:val="auto"/>
              </w:rPr>
            </w:pPr>
            <w:r>
              <w:rPr>
                <w:rFonts w:ascii="Arial" w:cs="Arial" w:eastAsia="Arial" w:hAnsi="Arial"/>
                <w:sz w:val="11"/>
                <w:szCs w:val="11"/>
                <w:b w:val="1"/>
                <w:bCs w:val="1"/>
                <w:color w:val="auto"/>
              </w:rPr>
              <w:t xml:space="preserve">Common stock </w:t>
            </w:r>
            <w:r>
              <w:rPr>
                <w:rFonts w:ascii="Arial" w:cs="Arial" w:eastAsia="Arial" w:hAnsi="Arial"/>
                <w:sz w:val="14"/>
                <w:szCs w:val="14"/>
                <w:b w:val="1"/>
                <w:bCs w:val="1"/>
                <w:color w:val="auto"/>
                <w:vertAlign w:val="superscript"/>
              </w:rPr>
              <w:t>(1)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01"/>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4"/>
                <w:szCs w:val="14"/>
                <w:color w:val="auto"/>
              </w:rPr>
            </w:pPr>
          </w:p>
        </w:tc>
        <w:tc>
          <w:tcPr>
            <w:tcW w:w="1100" w:type="dxa"/>
            <w:vAlign w:val="bottom"/>
            <w:gridSpan w:val="2"/>
          </w:tcPr>
          <w:p>
            <w:pPr>
              <w:jc w:val="right"/>
              <w:ind w:right="16"/>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21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jc w:val="right"/>
              <w:ind w:right="341"/>
              <w:spacing w:after="0" w:line="36" w:lineRule="exact"/>
              <w:rPr>
                <w:sz w:val="20"/>
                <w:szCs w:val="20"/>
                <w:color w:val="auto"/>
              </w:rPr>
            </w:pPr>
            <w:r>
              <w:rPr>
                <w:rFonts w:ascii="Arial" w:cs="Arial" w:eastAsia="Arial" w:hAnsi="Arial"/>
                <w:sz w:val="4"/>
                <w:szCs w:val="4"/>
                <w:b w:val="1"/>
                <w:bCs w:val="1"/>
                <w:color w:val="auto"/>
              </w:rPr>
              <w:t>paid-in</w:t>
            </w:r>
          </w:p>
        </w:tc>
        <w:tc>
          <w:tcPr>
            <w:tcW w:w="60" w:type="dxa"/>
            <w:vAlign w:val="bottom"/>
          </w:tcPr>
          <w:p>
            <w:pPr>
              <w:spacing w:after="0"/>
              <w:rPr>
                <w:sz w:val="3"/>
                <w:szCs w:val="3"/>
                <w:color w:val="auto"/>
              </w:rPr>
            </w:pPr>
          </w:p>
        </w:tc>
        <w:tc>
          <w:tcPr>
            <w:tcW w:w="1100" w:type="dxa"/>
            <w:vAlign w:val="bottom"/>
            <w:gridSpan w:val="2"/>
          </w:tcPr>
          <w:p>
            <w:pPr>
              <w:jc w:val="right"/>
              <w:spacing w:after="0" w:line="36" w:lineRule="exact"/>
              <w:rPr>
                <w:sz w:val="20"/>
                <w:szCs w:val="20"/>
                <w:color w:val="auto"/>
              </w:rPr>
            </w:pPr>
            <w:r>
              <w:rPr>
                <w:rFonts w:ascii="Arial" w:cs="Arial" w:eastAsia="Arial" w:hAnsi="Arial"/>
                <w:sz w:val="4"/>
                <w:szCs w:val="4"/>
                <w:b w:val="1"/>
                <w:bCs w:val="1"/>
                <w:color w:val="auto"/>
              </w:rPr>
              <w:t>other comprehensive</w:t>
            </w: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jc w:val="right"/>
              <w:ind w:right="21"/>
              <w:spacing w:after="0" w:line="36" w:lineRule="exact"/>
              <w:rPr>
                <w:sz w:val="20"/>
                <w:szCs w:val="20"/>
                <w:color w:val="auto"/>
              </w:rPr>
            </w:pPr>
            <w:r>
              <w:rPr>
                <w:rFonts w:ascii="Arial" w:cs="Arial" w:eastAsia="Arial" w:hAnsi="Arial"/>
                <w:sz w:val="4"/>
                <w:szCs w:val="4"/>
                <w:b w:val="1"/>
                <w:bCs w:val="1"/>
                <w:color w:val="auto"/>
              </w:rPr>
              <w:t>Accumulated</w:t>
            </w:r>
          </w:p>
        </w:tc>
        <w:tc>
          <w:tcPr>
            <w:tcW w:w="80" w:type="dxa"/>
            <w:vAlign w:val="bottom"/>
          </w:tcPr>
          <w:p>
            <w:pPr>
              <w:spacing w:after="0"/>
              <w:rPr>
                <w:sz w:val="3"/>
                <w:szCs w:val="3"/>
                <w:color w:val="auto"/>
              </w:rPr>
            </w:pPr>
          </w:p>
        </w:tc>
        <w:tc>
          <w:tcPr>
            <w:tcW w:w="1080" w:type="dxa"/>
            <w:vAlign w:val="bottom"/>
            <w:gridSpan w:val="2"/>
          </w:tcPr>
          <w:p>
            <w:pPr>
              <w:jc w:val="right"/>
              <w:ind w:right="138"/>
              <w:spacing w:after="0" w:line="36"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44"/>
        </w:trPr>
        <w:tc>
          <w:tcPr>
            <w:tcW w:w="3660" w:type="dxa"/>
            <w:vAlign w:val="bottom"/>
            <w:tcBorders>
              <w:bottom w:val="single" w:sz="8" w:color="CCEEFF"/>
            </w:tcBorders>
          </w:tcPr>
          <w:p>
            <w:pPr>
              <w:ind w:left="300"/>
              <w:spacing w:after="0"/>
              <w:rPr>
                <w:sz w:val="20"/>
                <w:szCs w:val="20"/>
                <w:color w:val="auto"/>
              </w:rPr>
            </w:pPr>
            <w:r>
              <w:rPr>
                <w:rFonts w:ascii="Arial" w:cs="Arial" w:eastAsia="Arial" w:hAnsi="Arial"/>
                <w:sz w:val="11"/>
                <w:szCs w:val="11"/>
                <w:i w:val="1"/>
                <w:iCs w:val="1"/>
                <w:color w:val="auto"/>
              </w:rPr>
              <w:t>(in millions, except for number of shares)</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w w:val="91"/>
              </w:rPr>
              <w:t>capital</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income (loss)</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Balance as of December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872,162,664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12,145</w:t>
            </w:r>
          </w:p>
        </w:tc>
        <w:tc>
          <w:tcPr>
            <w:tcW w:w="940" w:type="dxa"/>
            <w:vAlign w:val="bottom"/>
            <w:gridSpan w:val="2"/>
            <w:shd w:val="clear" w:color="auto" w:fill="CCEEFF"/>
          </w:tcPr>
          <w:p>
            <w:pPr>
              <w:jc w:val="right"/>
              <w:ind w:right="47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6,696</w:t>
            </w:r>
          </w:p>
        </w:tc>
        <w:tc>
          <w:tcPr>
            <w:tcW w:w="0" w:type="dxa"/>
            <w:vAlign w:val="bottom"/>
          </w:tcPr>
          <w:p>
            <w:pPr>
              <w:spacing w:after="0"/>
              <w:rPr>
                <w:sz w:val="1"/>
                <w:szCs w:val="1"/>
                <w:color w:val="auto"/>
              </w:rPr>
            </w:pPr>
          </w:p>
        </w:tc>
      </w:tr>
      <w:tr>
        <w:trPr>
          <w:trHeight w:val="172"/>
        </w:trPr>
        <w:tc>
          <w:tcPr>
            <w:tcW w:w="3660" w:type="dxa"/>
            <w:vAlign w:val="bottom"/>
          </w:tcPr>
          <w:p>
            <w:pPr>
              <w:ind w:left="300"/>
              <w:spacing w:after="0"/>
              <w:rPr>
                <w:sz w:val="20"/>
                <w:szCs w:val="20"/>
                <w:color w:val="auto"/>
              </w:rPr>
            </w:pPr>
            <w:r>
              <w:rPr>
                <w:rFonts w:ascii="Arial" w:cs="Arial" w:eastAsia="Arial" w:hAnsi="Arial"/>
                <w:sz w:val="13"/>
                <w:szCs w:val="13"/>
                <w:color w:val="auto"/>
              </w:rPr>
              <w:t>Net income</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3"/>
                <w:szCs w:val="13"/>
                <w:color w:val="auto"/>
              </w:rPr>
              <w:t>495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33"/>
        </w:trPr>
        <w:tc>
          <w:tcPr>
            <w:tcW w:w="36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common stock in connection with stock option</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2,237,944</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exercises</w:t>
            </w: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in connection with Employee</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1,555,893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3660" w:type="dxa"/>
            <w:vAlign w:val="bottom"/>
          </w:tcPr>
          <w:p>
            <w:pPr>
              <w:ind w:left="160"/>
              <w:spacing w:after="0"/>
              <w:rPr>
                <w:sz w:val="20"/>
                <w:szCs w:val="20"/>
                <w:color w:val="auto"/>
              </w:rPr>
            </w:pPr>
            <w:r>
              <w:rPr>
                <w:rFonts w:ascii="Arial" w:cs="Arial" w:eastAsia="Arial" w:hAnsi="Arial"/>
                <w:sz w:val="13"/>
                <w:szCs w:val="13"/>
                <w:color w:val="auto"/>
              </w:rPr>
              <w:t>Share Purchase Plan</w:t>
            </w: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common stock upon settlement of restricted stock</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12,664,702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units, net of shares withheld</w:t>
            </w:r>
          </w:p>
        </w:tc>
        <w:tc>
          <w:tcPr>
            <w:tcW w:w="11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60" w:type="dxa"/>
            <w:vAlign w:val="bottom"/>
          </w:tcPr>
          <w:p>
            <w:pPr>
              <w:ind w:left="300"/>
              <w:spacing w:after="0"/>
              <w:rPr>
                <w:sz w:val="20"/>
                <w:szCs w:val="20"/>
                <w:color w:val="auto"/>
              </w:rPr>
            </w:pPr>
            <w:r>
              <w:rPr>
                <w:rFonts w:ascii="Arial" w:cs="Arial" w:eastAsia="Arial" w:hAnsi="Arial"/>
                <w:sz w:val="13"/>
                <w:szCs w:val="13"/>
                <w:color w:val="auto"/>
              </w:rPr>
              <w:t>Repurchase and retirement of Class A common stock</w:t>
            </w:r>
          </w:p>
        </w:tc>
        <w:tc>
          <w:tcPr>
            <w:tcW w:w="1180" w:type="dxa"/>
            <w:vAlign w:val="bottom"/>
          </w:tcPr>
          <w:p>
            <w:pPr>
              <w:jc w:val="right"/>
              <w:spacing w:after="0"/>
              <w:rPr>
                <w:sz w:val="20"/>
                <w:szCs w:val="20"/>
                <w:color w:val="auto"/>
              </w:rPr>
            </w:pPr>
            <w:r>
              <w:rPr>
                <w:rFonts w:ascii="Arial" w:cs="Arial" w:eastAsia="Arial" w:hAnsi="Arial"/>
                <w:sz w:val="13"/>
                <w:szCs w:val="13"/>
                <w:color w:val="auto"/>
              </w:rPr>
              <w:t>(5,012,195)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9"/>
        </w:trPr>
        <w:tc>
          <w:tcPr>
            <w:tcW w:w="36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Change in other comprehensive income</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2"/>
        </w:trPr>
        <w:tc>
          <w:tcPr>
            <w:tcW w:w="36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245</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Balance as of September 30, 2024</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883,609,008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12,158</w:t>
            </w:r>
          </w:p>
        </w:tc>
        <w:tc>
          <w:tcPr>
            <w:tcW w:w="940" w:type="dxa"/>
            <w:vAlign w:val="bottom"/>
            <w:gridSpan w:val="2"/>
            <w:shd w:val="clear" w:color="auto" w:fill="CCEEFF"/>
          </w:tcPr>
          <w:p>
            <w:pPr>
              <w:jc w:val="right"/>
              <w:ind w:right="47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7,208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940" w:type="dxa"/>
            <w:vAlign w:val="bottom"/>
            <w:gridSpan w:val="4"/>
          </w:tcPr>
          <w:p>
            <w:pPr>
              <w:ind w:left="540"/>
              <w:spacing w:after="0"/>
              <w:rPr>
                <w:sz w:val="20"/>
                <w:szCs w:val="20"/>
                <w:color w:val="auto"/>
              </w:rPr>
            </w:pPr>
            <w:r>
              <w:rPr>
                <w:rFonts w:ascii="Arial" w:cs="Arial" w:eastAsia="Arial" w:hAnsi="Arial"/>
                <w:sz w:val="11"/>
                <w:szCs w:val="11"/>
                <w:b w:val="1"/>
                <w:bCs w:val="1"/>
                <w:color w:val="auto"/>
              </w:rPr>
              <w:t xml:space="preserve">Common stock </w:t>
            </w:r>
            <w:r>
              <w:rPr>
                <w:rFonts w:ascii="Arial" w:cs="Arial" w:eastAsia="Arial" w:hAnsi="Arial"/>
                <w:sz w:val="14"/>
                <w:szCs w:val="14"/>
                <w:b w:val="1"/>
                <w:bCs w:val="1"/>
                <w:color w:val="auto"/>
                <w:vertAlign w:val="superscript"/>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w w:val="96"/>
              </w:rPr>
              <w:t>Accumulated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35"/>
        </w:trPr>
        <w:tc>
          <w:tcPr>
            <w:tcW w:w="48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jc w:val="right"/>
              <w:ind w:right="160"/>
              <w:spacing w:after="0" w:line="36" w:lineRule="exact"/>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jc w:val="right"/>
              <w:ind w:right="60"/>
              <w:spacing w:after="0" w:line="36" w:lineRule="exact"/>
              <w:rPr>
                <w:sz w:val="20"/>
                <w:szCs w:val="20"/>
                <w:color w:val="auto"/>
              </w:rPr>
            </w:pPr>
            <w:r>
              <w:rPr>
                <w:rFonts w:ascii="Arial" w:cs="Arial" w:eastAsia="Arial" w:hAnsi="Arial"/>
                <w:sz w:val="4"/>
                <w:szCs w:val="4"/>
                <w:b w:val="1"/>
                <w:bCs w:val="1"/>
                <w:color w:val="auto"/>
              </w:rPr>
              <w:t>comprehensive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jc w:val="right"/>
              <w:ind w:right="20"/>
              <w:spacing w:after="0" w:line="36" w:lineRule="exact"/>
              <w:rPr>
                <w:sz w:val="20"/>
                <w:szCs w:val="20"/>
                <w:color w:val="auto"/>
              </w:rPr>
            </w:pPr>
            <w:r>
              <w:rPr>
                <w:rFonts w:ascii="Arial" w:cs="Arial" w:eastAsia="Arial" w:hAnsi="Arial"/>
                <w:sz w:val="4"/>
                <w:szCs w:val="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jc w:val="center"/>
              <w:ind w:right="40"/>
              <w:spacing w:after="0" w:line="36"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4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millions, except for number of shares)</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income (loss)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67"/>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2024</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884,492,983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7,972</w:t>
            </w:r>
          </w:p>
        </w:tc>
        <w:tc>
          <w:tcPr>
            <w:tcW w:w="0" w:type="dxa"/>
            <w:vAlign w:val="bottom"/>
          </w:tcPr>
          <w:p>
            <w:pPr>
              <w:spacing w:after="0"/>
              <w:rPr>
                <w:sz w:val="1"/>
                <w:szCs w:val="1"/>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1,278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in connection with stock option exercises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3,765,653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29"/>
        </w:trPr>
        <w:tc>
          <w:tcPr>
            <w:tcW w:w="484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in connection with warrants exercises, net of shares</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2,526,819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840" w:type="dxa"/>
            <w:vAlign w:val="bottom"/>
          </w:tcPr>
          <w:p>
            <w:pPr>
              <w:ind w:left="160"/>
              <w:spacing w:after="0"/>
              <w:rPr>
                <w:sz w:val="20"/>
                <w:szCs w:val="20"/>
                <w:color w:val="auto"/>
              </w:rPr>
            </w:pPr>
            <w:r>
              <w:rPr>
                <w:rFonts w:ascii="Arial" w:cs="Arial" w:eastAsia="Arial" w:hAnsi="Arial"/>
                <w:sz w:val="13"/>
                <w:szCs w:val="13"/>
                <w:color w:val="auto"/>
              </w:rPr>
              <w:t>withheld</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in connection with Employee Share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553,712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3"/>
                <w:szCs w:val="13"/>
                <w:color w:val="auto"/>
              </w:rPr>
              <w:t>Issuance of common stock in connection with business combination</w:t>
            </w:r>
          </w:p>
        </w:tc>
        <w:tc>
          <w:tcPr>
            <w:tcW w:w="1060" w:type="dxa"/>
            <w:vAlign w:val="bottom"/>
          </w:tcPr>
          <w:p>
            <w:pPr>
              <w:jc w:val="right"/>
              <w:spacing w:after="0"/>
              <w:rPr>
                <w:sz w:val="20"/>
                <w:szCs w:val="20"/>
                <w:color w:val="auto"/>
              </w:rPr>
            </w:pPr>
            <w:r>
              <w:rPr>
                <w:rFonts w:ascii="Arial" w:cs="Arial" w:eastAsia="Arial" w:hAnsi="Arial"/>
                <w:sz w:val="13"/>
                <w:szCs w:val="13"/>
                <w:color w:val="auto"/>
              </w:rPr>
              <w:t>2,049,711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484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common stock upon settlement of restricted stock units, net of shares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16,466,317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withheld</w:t>
            </w: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40" w:type="dxa"/>
            <w:vAlign w:val="bottom"/>
          </w:tcPr>
          <w:p>
            <w:pPr>
              <w:ind w:left="20"/>
              <w:spacing w:after="0"/>
              <w:rPr>
                <w:sz w:val="20"/>
                <w:szCs w:val="20"/>
                <w:color w:val="auto"/>
              </w:rPr>
            </w:pPr>
            <w:r>
              <w:rPr>
                <w:rFonts w:ascii="Arial" w:cs="Arial" w:eastAsia="Arial" w:hAnsi="Arial"/>
                <w:sz w:val="13"/>
                <w:szCs w:val="13"/>
                <w:color w:val="auto"/>
              </w:rPr>
              <w:t>Repurchase and retirement of Class A common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(11,186,833)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other comprehensive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Share-based compensation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9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2025</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898,668,362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8,567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140" w:hanging="136"/>
        <w:spacing w:after="0"/>
        <w:tabs>
          <w:tab w:leader="none" w:pos="140" w:val="left"/>
        </w:tabs>
        <w:numPr>
          <w:ilvl w:val="0"/>
          <w:numId w:val="6"/>
        </w:numPr>
        <w:rPr>
          <w:rFonts w:ascii="Arial" w:cs="Arial" w:eastAsia="Arial" w:hAnsi="Arial"/>
          <w:sz w:val="8"/>
          <w:szCs w:val="8"/>
          <w:color w:val="auto"/>
        </w:rPr>
      </w:pPr>
      <w:r>
        <w:rPr>
          <w:rFonts w:ascii="Arial" w:cs="Arial" w:eastAsia="Arial" w:hAnsi="Arial"/>
          <w:sz w:val="13"/>
          <w:szCs w:val="13"/>
          <w:color w:val="auto"/>
        </w:rPr>
        <w:t>The share amounts listed above combine Class A common stock and Class B common stock.</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 w:name="page13"/>
    <w:bookmarkEnd w:id="1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ROBINHOOD MARKETS,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NOTE 1: DESCRIPTION OF BUSINESS AND SUMMARY OF SIGNIFICANT ACCOUNTING POLICIES</w:t>
      </w:r>
    </w:p>
    <w:p>
      <w:pPr>
        <w:spacing w:after="0" w:line="158" w:lineRule="exact"/>
        <w:rPr>
          <w:sz w:val="20"/>
          <w:szCs w:val="20"/>
          <w:color w:val="auto"/>
        </w:rPr>
      </w:pPr>
    </w:p>
    <w:p>
      <w:pPr>
        <w:jc w:val="both"/>
        <w:ind w:firstLine="281"/>
        <w:spacing w:after="0" w:line="241" w:lineRule="auto"/>
        <w:rPr>
          <w:sz w:val="20"/>
          <w:szCs w:val="20"/>
          <w:color w:val="auto"/>
        </w:rPr>
      </w:pPr>
      <w:r>
        <w:rPr>
          <w:rFonts w:ascii="Arial" w:cs="Arial" w:eastAsia="Arial" w:hAnsi="Arial"/>
          <w:sz w:val="15"/>
          <w:szCs w:val="15"/>
          <w:color w:val="auto"/>
        </w:rPr>
        <w:t>Robinhood was founded in 2013 and our mission is to democratize finance for all. Our platforms enable customers to buy, sell, and trade equities, options,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w:t>
      </w:r>
    </w:p>
    <w:p>
      <w:pPr>
        <w:spacing w:after="0" w:line="35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are continuously introducing new products and diversifying our services that further expand access to the financial system. In February 2025, we acquired Trade-PMR, Inc. (“TradePMR”), a custodial and portfolio management platform for Registered Investment Advisors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w:t>
      </w:r>
    </w:p>
    <w:p>
      <w:pPr>
        <w:spacing w:after="0" w:line="353" w:lineRule="exact"/>
        <w:rPr>
          <w:sz w:val="20"/>
          <w:szCs w:val="20"/>
          <w:color w:val="auto"/>
        </w:rPr>
      </w:pPr>
    </w:p>
    <w:p>
      <w:pPr>
        <w:jc w:val="both"/>
        <w:ind w:firstLine="281"/>
        <w:spacing w:after="0" w:line="248" w:lineRule="auto"/>
        <w:rPr>
          <w:sz w:val="20"/>
          <w:szCs w:val="20"/>
          <w:color w:val="auto"/>
        </w:rPr>
      </w:pPr>
      <w:r>
        <w:rPr>
          <w:rFonts w:ascii="Arial" w:cs="Arial" w:eastAsia="Arial" w:hAnsi="Arial"/>
          <w:sz w:val="15"/>
          <w:szCs w:val="15"/>
          <w:color w:val="auto"/>
        </w:rPr>
        <w:t>Acting as the agent of the user, we facilitate the purchase and sale of options, cryptocurrencies, equities, and futures through our platforms. Options, cryptocurrencies, and equities transactions are routed through market makers or exchanges, who are responsible for trade execution. For certain cryptocurrency transactions, we match user orders using an industry-standard matching engine. Upon execution of a trade, users are legally required to purchase options, cryptocurrencies, or equities for cash from the transaction counterparty or to sell options, cryptocurrencies, or equities for cash to the transaction counterparty, depending on the transaction. For futures, users are legally obligated to buy or sell the underlying asset at a specified future date, with the price determined at the time of trade execution. We facilitate and confirm trades only when there are binding, matched legal obligations from the user and the market maker on both sides of the trade. Our users have ownership of the securities they transact on our platforms, including those that collateralize margin loans, and, as a result, such securities are not presented on our unaudited condensed consolidated balance sheets, other than user- held fractional shares which are presented gross. Our users also have ownership of the cryptocurrencies they transact on our platforms (none of which are allowed to be purchased on margin and which do not serve as collateral for margin loans), and, as a result, user-held cryptocurrencies are not presented on our unaudited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55"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2025 or any future period. These unaudited condensed consolidated financial statements should be read in conjunction with the audited annual consolidated financial statements and notes included in our Annual Report on Form 10-K for the year ended December 31, 2024 (“2024 Form 10-K”).</w:t>
      </w:r>
    </w:p>
    <w:p>
      <w:pPr>
        <w:spacing w:after="0" w:line="125"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There have been no material changes in our significant accounting policies as described in our audited consolidated financial statements included in our 2024 Form 10-K, other than as disclosed below. The unaudited condensed consolidated financial statements include the accounts of RHM and its wholly-owned direct and indirect subsidiaries. 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55"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share-based compensation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 of-use assets and related liabilities, impairment of long- lived assets, uncertain tax positions, realizability of deferred tax assets, accrued and contingent liabilities. Actual results could differ from these estimates and could have a material adverse effect on our operating results.</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Revenue and Credit Risk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Concentrations of Revenue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derived transaction-based revenues from individual market makers and exchanges in excess of 10% of total revenues,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2480" w:type="dxa"/>
            <w:vAlign w:val="bottom"/>
            <w:gridSpan w:val="4"/>
          </w:tcPr>
          <w:p>
            <w:pPr>
              <w:ind w:left="840"/>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3"/>
          </w:tcPr>
          <w:p>
            <w:pPr>
              <w:jc w:val="center"/>
              <w:ind w:left="692"/>
              <w:spacing w:after="0"/>
              <w:rPr>
                <w:sz w:val="20"/>
                <w:szCs w:val="20"/>
                <w:color w:val="auto"/>
              </w:rPr>
            </w:pPr>
            <w:r>
              <w:rPr>
                <w:rFonts w:ascii="Arial" w:cs="Arial" w:eastAsia="Arial" w:hAnsi="Arial"/>
                <w:sz w:val="13"/>
                <w:szCs w:val="13"/>
                <w:b w:val="1"/>
                <w:bCs w:val="1"/>
                <w:color w:val="auto"/>
                <w:w w:val="98"/>
              </w:rPr>
              <w:t>Nine Months Ended</w:t>
            </w:r>
          </w:p>
        </w:tc>
        <w:tc>
          <w:tcPr>
            <w:tcW w:w="800" w:type="dxa"/>
            <w:vAlign w:val="bottom"/>
          </w:tcPr>
          <w:p>
            <w:pPr>
              <w:spacing w:after="0"/>
              <w:rPr>
                <w:sz w:val="13"/>
                <w:szCs w:val="13"/>
                <w:color w:val="auto"/>
              </w:rPr>
            </w:pPr>
          </w:p>
        </w:tc>
      </w:tr>
      <w:tr>
        <w:trPr>
          <w:trHeight w:val="175"/>
        </w:trPr>
        <w:tc>
          <w:tcPr>
            <w:tcW w:w="47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3"/>
                <w:szCs w:val="13"/>
                <w:b w:val="1"/>
                <w:bCs w:val="1"/>
                <w:color w:val="auto"/>
                <w:w w:val="98"/>
              </w:rPr>
              <w:t>September 30,</w:t>
            </w:r>
          </w:p>
        </w:tc>
        <w:tc>
          <w:tcPr>
            <w:tcW w:w="800" w:type="dxa"/>
            <w:vAlign w:val="bottom"/>
            <w:tcBorders>
              <w:bottom w:val="single" w:sz="8" w:color="auto"/>
            </w:tcBorders>
          </w:tcPr>
          <w:p>
            <w:pPr>
              <w:spacing w:after="0"/>
              <w:rPr>
                <w:sz w:val="15"/>
                <w:szCs w:val="15"/>
                <w:color w:val="auto"/>
              </w:rPr>
            </w:pPr>
          </w:p>
        </w:tc>
      </w:tr>
      <w:tr>
        <w:trPr>
          <w:trHeight w:val="167"/>
        </w:trPr>
        <w:tc>
          <w:tcPr>
            <w:tcW w:w="5700" w:type="dxa"/>
            <w:vAlign w:val="bottom"/>
            <w:gridSpan w:val="2"/>
          </w:tcPr>
          <w:p>
            <w:pPr>
              <w:ind w:left="5320"/>
              <w:spacing w:after="0"/>
              <w:rPr>
                <w:sz w:val="20"/>
                <w:szCs w:val="20"/>
                <w:color w:val="auto"/>
              </w:rPr>
            </w:pPr>
            <w:r>
              <w:rPr>
                <w:rFonts w:ascii="Arial" w:cs="Arial" w:eastAsia="Arial" w:hAnsi="Arial"/>
                <w:sz w:val="13"/>
                <w:szCs w:val="13"/>
                <w:b w:val="1"/>
                <w:bCs w:val="1"/>
                <w:color w:val="auto"/>
              </w:rPr>
              <w:t>2024</w:t>
            </w:r>
          </w:p>
        </w:tc>
        <w:tc>
          <w:tcPr>
            <w:tcW w:w="1520" w:type="dxa"/>
            <w:vAlign w:val="bottom"/>
            <w:gridSpan w:val="3"/>
          </w:tcPr>
          <w:p>
            <w:pPr>
              <w:ind w:left="1140"/>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14"/>
                <w:szCs w:val="14"/>
                <w:color w:val="auto"/>
              </w:rPr>
            </w:pPr>
          </w:p>
        </w:tc>
        <w:tc>
          <w:tcPr>
            <w:tcW w:w="1540" w:type="dxa"/>
            <w:vAlign w:val="bottom"/>
            <w:gridSpan w:val="2"/>
          </w:tcPr>
          <w:p>
            <w:pPr>
              <w:jc w:val="right"/>
              <w:ind w:right="512"/>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427"/>
              <w:spacing w:after="0"/>
              <w:rPr>
                <w:sz w:val="20"/>
                <w:szCs w:val="20"/>
                <w:color w:val="auto"/>
              </w:rPr>
            </w:pPr>
            <w:r>
              <w:rPr>
                <w:rFonts w:ascii="Arial" w:cs="Arial" w:eastAsia="Arial" w:hAnsi="Arial"/>
                <w:sz w:val="13"/>
                <w:szCs w:val="13"/>
                <w:b w:val="1"/>
                <w:bCs w:val="1"/>
                <w:color w:val="auto"/>
                <w:w w:val="96"/>
              </w:rPr>
              <w:t>2025</w:t>
            </w:r>
          </w:p>
        </w:tc>
      </w:tr>
      <w:tr>
        <w:trPr>
          <w:trHeight w:val="17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Market makers and exchanges:</w:t>
            </w:r>
          </w:p>
        </w:tc>
        <w:tc>
          <w:tcPr>
            <w:tcW w:w="9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99"/>
        </w:trPr>
        <w:tc>
          <w:tcPr>
            <w:tcW w:w="5700" w:type="dxa"/>
            <w:vAlign w:val="bottom"/>
            <w:gridSpan w:val="2"/>
          </w:tcPr>
          <w:p>
            <w:pPr>
              <w:ind w:left="220"/>
              <w:spacing w:after="0"/>
              <w:rPr>
                <w:sz w:val="20"/>
                <w:szCs w:val="20"/>
                <w:color w:val="auto"/>
              </w:rPr>
            </w:pPr>
            <w:r>
              <w:rPr>
                <w:rFonts w:ascii="Arial" w:cs="Arial" w:eastAsia="Arial" w:hAnsi="Arial"/>
                <w:sz w:val="15"/>
                <w:szCs w:val="15"/>
                <w:color w:val="auto"/>
              </w:rPr>
              <w:t>Citadel Securities, LLC</w:t>
            </w:r>
          </w:p>
        </w:tc>
        <w:tc>
          <w:tcPr>
            <w:tcW w:w="480" w:type="dxa"/>
            <w:vAlign w:val="bottom"/>
          </w:tcPr>
          <w:p>
            <w:pPr>
              <w:ind w:left="120"/>
              <w:spacing w:after="0"/>
              <w:rPr>
                <w:sz w:val="20"/>
                <w:szCs w:val="20"/>
                <w:color w:val="auto"/>
              </w:rPr>
            </w:pPr>
            <w:r>
              <w:rPr>
                <w:rFonts w:ascii="Arial" w:cs="Arial" w:eastAsia="Arial" w:hAnsi="Arial"/>
                <w:sz w:val="15"/>
                <w:szCs w:val="15"/>
                <w:color w:val="auto"/>
                <w:w w:val="99"/>
              </w:rPr>
              <w:t>14 %</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13 %</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13 %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12 %</w:t>
            </w:r>
          </w:p>
        </w:tc>
      </w:tr>
      <w:tr>
        <w:trPr>
          <w:trHeight w:val="199"/>
        </w:trPr>
        <w:tc>
          <w:tcPr>
            <w:tcW w:w="4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All others individually less than 10%</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99"/>
              </w:rPr>
              <w:t>36 %</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r>
      <w:tr>
        <w:trPr>
          <w:trHeight w:val="191"/>
        </w:trPr>
        <w:tc>
          <w:tcPr>
            <w:tcW w:w="5700" w:type="dxa"/>
            <w:vAlign w:val="bottom"/>
            <w:gridSpan w:val="2"/>
          </w:tcPr>
          <w:p>
            <w:pPr>
              <w:ind w:left="20"/>
              <w:spacing w:after="0"/>
              <w:rPr>
                <w:sz w:val="20"/>
                <w:szCs w:val="20"/>
                <w:color w:val="auto"/>
              </w:rPr>
            </w:pPr>
            <w:r>
              <w:rPr>
                <w:rFonts w:ascii="Arial" w:cs="Arial" w:eastAsia="Arial" w:hAnsi="Arial"/>
                <w:sz w:val="15"/>
                <w:szCs w:val="15"/>
                <w:color w:val="auto"/>
              </w:rPr>
              <w:t>Total as percentage of total revenue</w:t>
            </w:r>
          </w:p>
        </w:tc>
        <w:tc>
          <w:tcPr>
            <w:tcW w:w="480" w:type="dxa"/>
            <w:vAlign w:val="bottom"/>
          </w:tcPr>
          <w:p>
            <w:pPr>
              <w:ind w:left="120"/>
              <w:spacing w:after="0"/>
              <w:rPr>
                <w:sz w:val="20"/>
                <w:szCs w:val="20"/>
                <w:color w:val="auto"/>
              </w:rPr>
            </w:pPr>
            <w:r>
              <w:rPr>
                <w:rFonts w:ascii="Arial" w:cs="Arial" w:eastAsia="Arial" w:hAnsi="Arial"/>
                <w:sz w:val="15"/>
                <w:szCs w:val="15"/>
                <w:color w:val="auto"/>
                <w:w w:val="99"/>
              </w:rPr>
              <w:t>50 %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54 %</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50 %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56 %</w:t>
            </w: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Concentrations of Credit Risk</w:t>
      </w:r>
    </w:p>
    <w:p>
      <w:pPr>
        <w:spacing w:after="0" w:line="156" w:lineRule="exact"/>
        <w:rPr>
          <w:sz w:val="20"/>
          <w:szCs w:val="20"/>
          <w:color w:val="auto"/>
        </w:rPr>
      </w:pPr>
    </w:p>
    <w:p>
      <w:pPr>
        <w:jc w:val="both"/>
        <w:ind w:right="20" w:firstLine="281"/>
        <w:spacing w:after="0" w:line="254" w:lineRule="auto"/>
        <w:rPr>
          <w:sz w:val="20"/>
          <w:szCs w:val="20"/>
          <w:color w:val="auto"/>
        </w:rPr>
      </w:pPr>
      <w:r>
        <w:rPr>
          <w:rFonts w:ascii="Arial" w:cs="Arial" w:eastAsia="Arial" w:hAnsi="Arial"/>
          <w:sz w:val="15"/>
          <w:szCs w:val="15"/>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NOTE 2: RECENT ACCOUNTING PRONOUNCEMENTS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December 2023, the Financial Accounting Standards Board (“FASB”) issued Accounting Standards Update 2023-09, “Income taxes (Topic 740):</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Improvements to Income Taxes Disclosures.”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4" w:name="page15"/>
    <w:bookmarkEnd w:id="1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requires annual disclosure of specific categories in the rate reconciliation and provides additional information for reconciling items that meet a quantitative threshold. The guidance is effective for annual periods beginning after December 15, 2024. Early adoption is permitted. We adopted this guidance effective January 1, 2025 on a prospective basis. The adoption of this guidance did not have a material impact on our unaudited condensed consolidated financial statements and related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Issued Accounting Pronouncements Not Yet Adopted</w:t>
      </w:r>
    </w:p>
    <w:p>
      <w:pPr>
        <w:spacing w:after="0" w:line="155"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20"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in March 2025 the SEC voted to end its defense of the climate disclosure rules. We continue to monitor the status of the Final Rules and evaluate the potential impact of the Final Rules.</w:t>
      </w:r>
    </w:p>
    <w:p>
      <w:pPr>
        <w:spacing w:after="0" w:line="125"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In November 2024, the FASB issued Accounting Standards Update 2024 -03, “Income Statement-Reporting Comprehensive Income- 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pacing w:after="0" w:line="120"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In July 2025, the FASB issued Accounting Standards Update 2025-05, “Financial Instruments - Credit Losses (Topic 326): Measurement of Credit Losses for Accounts Receivable and Contract Assets.” This guidance provides entities with a practical expedient to simplify the estimation of expected credit losses on current accounts receivable and current contract assets arising from transactions accounted for under Topic 606, Revenue from Contracts with Customers, by allowing the assumption that current conditions as of the balance sheet date do not change for the remaining life of the asset. This guidance is effective for annual reporting periods beginning after December 15, 2025 and interim reporting periods within those annual reporting periods. Early adoption is permitted. We are currently evaluating the impacts of the amendments on our consolidated financial statements.</w:t>
      </w:r>
    </w:p>
    <w:p>
      <w:pPr>
        <w:spacing w:after="0" w:line="120"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In September 2025, the FASB issued Accounting Standards Update 2025 -06,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350-40. This guidance is effective for annual reporting periods beginning after December 15, 2027 and interim reporting periods within those annual reporting periods. Early adoption is permitted.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5" w:name="page16"/>
    <w:bookmarkEnd w:id="1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guidance can be applied prospectively, retrospectively or under a modified transition approach. We are currently evaluating the impacts of the amendments on our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NOTE 3: BUSINESS COMBINATIONS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of TradePMR</w:t>
      </w:r>
    </w:p>
    <w:p>
      <w:pPr>
        <w:spacing w:after="0" w:line="155"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p>
    <w:p>
      <w:pPr>
        <w:spacing w:after="0" w:line="112"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 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11 - Common Stock and Stockholders’ Equity.</w:t>
      </w:r>
    </w:p>
    <w:p>
      <w:pPr>
        <w:spacing w:after="0" w:line="118" w:lineRule="exact"/>
        <w:rPr>
          <w:sz w:val="20"/>
          <w:szCs w:val="20"/>
          <w:color w:val="auto"/>
        </w:rPr>
      </w:pPr>
    </w:p>
    <w:p>
      <w:pPr>
        <w:jc w:val="both"/>
        <w:ind w:firstLine="281"/>
        <w:spacing w:after="0" w:line="256" w:lineRule="auto"/>
        <w:rPr>
          <w:sz w:val="20"/>
          <w:szCs w:val="20"/>
          <w:color w:val="auto"/>
        </w:rPr>
      </w:pPr>
      <w:r>
        <w:rPr>
          <w:rFonts w:ascii="Arial" w:cs="Arial" w:eastAsia="Arial" w:hAnsi="Arial"/>
          <w:sz w:val="15"/>
          <w:szCs w:val="15"/>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Receivables from brokers, dealers, and clearing organizations</w:t>
            </w:r>
          </w:p>
        </w:tc>
        <w:tc>
          <w:tcPr>
            <w:tcW w:w="26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5</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Other current assets</w:t>
            </w:r>
          </w:p>
        </w:tc>
        <w:tc>
          <w:tcPr>
            <w:tcW w:w="26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112</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9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r>
      <w:tr>
        <w:trPr>
          <w:trHeight w:val="216"/>
        </w:trPr>
        <w:tc>
          <w:tcPr>
            <w:tcW w:w="9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assets acquired</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175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During the second quarter of 2025, we recorded measurement period adjustments of $3 million increase to receivables from brokers, dealers, and clearing organizations, and $1 million decrease to each of other current assets and other non-current assets, with a corresponding $1 million decrease to goodwill based on facts and circumstances as of the acquisition date.</w:t>
      </w:r>
    </w:p>
    <w:p>
      <w:pPr>
        <w:spacing w:after="0" w:line="112"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6" w:name="page17"/>
    <w:bookmarkEnd w:id="1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on management’s estimates and assumptions at the time of acquisition. Tangible net assets were valued at their respective carrying amounts as of the acquisition date, as these amounts approximated fair value.</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their estimated useful lives as of the date of acquisition: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years)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Fair Value</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Useful Life</w:t>
            </w:r>
          </w:p>
        </w:tc>
      </w:tr>
      <w:tr>
        <w:trPr>
          <w:trHeight w:val="191"/>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9"/>
        </w:trPr>
        <w:tc>
          <w:tcPr>
            <w:tcW w:w="7520" w:type="dxa"/>
            <w:vAlign w:val="bottom"/>
          </w:tcPr>
          <w:p>
            <w:pPr>
              <w:ind w:left="20"/>
              <w:spacing w:after="0"/>
              <w:rPr>
                <w:sz w:val="20"/>
                <w:szCs w:val="20"/>
                <w:color w:val="auto"/>
              </w:rPr>
            </w:pPr>
            <w:r>
              <w:rPr>
                <w:rFonts w:ascii="Arial" w:cs="Arial" w:eastAsia="Arial" w:hAnsi="Arial"/>
                <w:sz w:val="15"/>
                <w:szCs w:val="15"/>
                <w:color w:val="auto"/>
              </w:rPr>
              <w:t>Developed technology</w:t>
            </w:r>
          </w:p>
        </w:tc>
        <w:tc>
          <w:tcPr>
            <w:tcW w:w="24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31</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5</w:t>
            </w:r>
          </w:p>
        </w:tc>
      </w:tr>
      <w:tr>
        <w:trPr>
          <w:trHeight w:val="199"/>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1"/>
        </w:trPr>
        <w:tc>
          <w:tcPr>
            <w:tcW w:w="7520" w:type="dxa"/>
            <w:vAlign w:val="bottom"/>
          </w:tcPr>
          <w:p>
            <w:pPr>
              <w:ind w:left="2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The overall weighted average useful life of the identified amortizable intangible assets acquired is 9.76 years. The estimated fair value of the intangible assets acquired approximate the amounts a market participant would pay for these intangible assets as of the acquisition date. We used a multi-period excess earnings method to estimate the fair value of customer relationships and the relief from royalty method to estimate the fair value of developed technology and trade name.</w:t>
      </w:r>
    </w:p>
    <w:p>
      <w:pPr>
        <w:spacing w:after="0" w:line="116"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Pro forma results of operations for TradePMR have not been presented as the effect of this acquisition was not material to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of Bitstamp</w:t>
      </w:r>
    </w:p>
    <w:p>
      <w:pPr>
        <w:spacing w:after="0" w:line="155"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On June 2, 2025, we acquired all outstanding equity of Bitstamp, a globally-scaled cryptocurrency exchange with retail and institutional customers. This acquisition of Bitstamp accelerates our expansion worldwide, including across the European Union (“EU”), the United Kingdom (“U.K.”), and Asia. The acquisition date fair value of the consideration transferred for Bitstamp was approximately $224 million following customary purchase price adjustments and was entirely paid in cash.</w:t>
      </w:r>
    </w:p>
    <w:p>
      <w:pPr>
        <w:spacing w:after="0" w:line="116" w:lineRule="exact"/>
        <w:rPr>
          <w:sz w:val="20"/>
          <w:szCs w:val="20"/>
          <w:color w:val="auto"/>
        </w:rPr>
      </w:pPr>
    </w:p>
    <w:p>
      <w:pPr>
        <w:jc w:val="both"/>
        <w:ind w:firstLine="281"/>
        <w:spacing w:after="0" w:line="256" w:lineRule="auto"/>
        <w:rPr>
          <w:sz w:val="20"/>
          <w:szCs w:val="20"/>
          <w:color w:val="auto"/>
        </w:rPr>
      </w:pPr>
      <w:r>
        <w:rPr>
          <w:rFonts w:ascii="Arial" w:cs="Arial" w:eastAsia="Arial" w:hAnsi="Arial"/>
          <w:sz w:val="15"/>
          <w:szCs w:val="15"/>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65</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Cash and securities segregated under federal and other regulations</w:t>
            </w:r>
          </w:p>
        </w:tc>
        <w:tc>
          <w:tcPr>
            <w:tcW w:w="2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1,103</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 from users, net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2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6</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8</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93</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2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70</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199"/>
        </w:trPr>
        <w:tc>
          <w:tcPr>
            <w:tcW w:w="9140" w:type="dxa"/>
            <w:vAlign w:val="bottom"/>
          </w:tcPr>
          <w:p>
            <w:pPr>
              <w:ind w:left="20"/>
              <w:spacing w:after="0"/>
              <w:rPr>
                <w:sz w:val="20"/>
                <w:szCs w:val="20"/>
                <w:color w:val="auto"/>
              </w:rPr>
            </w:pPr>
            <w:r>
              <w:rPr>
                <w:rFonts w:ascii="Arial" w:cs="Arial" w:eastAsia="Arial" w:hAnsi="Arial"/>
                <w:sz w:val="15"/>
                <w:szCs w:val="15"/>
                <w:color w:val="auto"/>
              </w:rPr>
              <w:t>Payable to users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(1,115)</w:t>
            </w:r>
          </w:p>
        </w:tc>
      </w:tr>
      <w:tr>
        <w:trPr>
          <w:trHeight w:val="199"/>
        </w:trPr>
        <w:tc>
          <w:tcPr>
            <w:tcW w:w="9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9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assets acquired</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7" w:name="page18"/>
    <w:bookmarkEnd w:id="1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During the third quarter of 2025, we recorded measurement period adjustments that resulted in a $2 million increase to goodwill, primarily related to adjustments to developed technology, based on facts and circumstances as of the acquisition date.</w:t>
      </w:r>
    </w:p>
    <w:p>
      <w:pPr>
        <w:spacing w:after="0" w:line="98"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their estimated useful lives as of the date of acquisition: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years)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Fair Value</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Useful Life</w:t>
            </w:r>
          </w:p>
        </w:tc>
      </w:tr>
      <w:tr>
        <w:trPr>
          <w:trHeight w:val="191"/>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Developed technology</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99"/>
        </w:trPr>
        <w:tc>
          <w:tcPr>
            <w:tcW w:w="7520" w:type="dxa"/>
            <w:vAlign w:val="bottom"/>
          </w:tcPr>
          <w:p>
            <w:pPr>
              <w:ind w:left="20"/>
              <w:spacing w:after="0"/>
              <w:rPr>
                <w:sz w:val="20"/>
                <w:szCs w:val="20"/>
                <w:color w:val="auto"/>
              </w:rPr>
            </w:pPr>
            <w:r>
              <w:rPr>
                <w:rFonts w:ascii="Arial" w:cs="Arial" w:eastAsia="Arial" w:hAnsi="Arial"/>
                <w:sz w:val="15"/>
                <w:szCs w:val="15"/>
                <w:color w:val="auto"/>
              </w:rPr>
              <w:t>Licenses</w:t>
            </w:r>
          </w:p>
        </w:tc>
        <w:tc>
          <w:tcPr>
            <w:tcW w:w="26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99"/>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199"/>
        </w:trPr>
        <w:tc>
          <w:tcPr>
            <w:tcW w:w="752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99"/>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91"/>
        </w:trPr>
        <w:tc>
          <w:tcPr>
            <w:tcW w:w="7520" w:type="dxa"/>
            <w:vAlign w:val="bottom"/>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The overall weighted average useful life of the identified amortizable intangible assets acquired is 7.08 years. The estimated fair value of the intangible assets acquired approximate the amounts a market participant would pay for these intangible assets as of the acquisition date. We used a multi-period excess earnings method to estimate the fair value of developed technology, the distributor method to estimate the fair value of customer relationships, the cost approach to estimate the fair value of licenses, and the relief from royalty method to estimate the fair value of trade names.</w:t>
      </w:r>
    </w:p>
    <w:p>
      <w:pPr>
        <w:spacing w:after="0" w:line="116"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Pro forma results of operations for Bitstamp have not been presented as the effect of this acquisition was not material to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Pending Acquisition of WonderFi</w:t>
      </w:r>
    </w:p>
    <w:p>
      <w:pPr>
        <w:spacing w:after="0" w:line="155"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On May 12, 2025, we entered into an agreement to acquire all outstanding equity of WonderFi, a Canadian leader in digital asset products and services, for Canadian dollars (“C$”) C$0.36 per share, representing a total equity value of approximately $180 million. The pending acquisition is subject to customary closing conditions, including regulatory approvals.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NOTE 4: GOODWILL AND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carrying amount of goodwill for the period indicated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Carrying Amount</w:t>
            </w:r>
          </w:p>
        </w:tc>
      </w:tr>
      <w:tr>
        <w:trPr>
          <w:trHeight w:val="191"/>
        </w:trPr>
        <w:tc>
          <w:tcPr>
            <w:tcW w:w="8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 of December 31, 2024</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179</w:t>
            </w:r>
          </w:p>
        </w:tc>
      </w:tr>
      <w:tr>
        <w:trPr>
          <w:trHeight w:val="199"/>
        </w:trPr>
        <w:tc>
          <w:tcPr>
            <w:tcW w:w="8900" w:type="dxa"/>
            <w:vAlign w:val="bottom"/>
          </w:tcPr>
          <w:p>
            <w:pPr>
              <w:ind w:left="20"/>
              <w:spacing w:after="0"/>
              <w:rPr>
                <w:sz w:val="20"/>
                <w:szCs w:val="20"/>
                <w:color w:val="auto"/>
              </w:rPr>
            </w:pPr>
            <w:r>
              <w:rPr>
                <w:rFonts w:ascii="Arial" w:cs="Arial" w:eastAsia="Arial" w:hAnsi="Arial"/>
                <w:sz w:val="15"/>
                <w:szCs w:val="15"/>
                <w:color w:val="auto"/>
              </w:rPr>
              <w:t>Additions</w:t>
            </w:r>
          </w:p>
        </w:tc>
        <w:tc>
          <w:tcPr>
            <w:tcW w:w="200" w:type="dxa"/>
            <w:vAlign w:val="bottom"/>
          </w:tcPr>
          <w:p>
            <w:pPr>
              <w:spacing w:after="0"/>
              <w:rPr>
                <w:sz w:val="17"/>
                <w:szCs w:val="17"/>
                <w:color w:val="auto"/>
              </w:rPr>
            </w:pPr>
          </w:p>
        </w:tc>
        <w:tc>
          <w:tcPr>
            <w:tcW w:w="1480" w:type="dxa"/>
            <w:vAlign w:val="bottom"/>
          </w:tcPr>
          <w:p>
            <w:pPr>
              <w:jc w:val="right"/>
              <w:ind w:right="6"/>
              <w:spacing w:after="0"/>
              <w:rPr>
                <w:sz w:val="20"/>
                <w:szCs w:val="20"/>
                <w:color w:val="auto"/>
              </w:rPr>
            </w:pPr>
            <w:r>
              <w:rPr>
                <w:rFonts w:ascii="Arial" w:cs="Arial" w:eastAsia="Arial" w:hAnsi="Arial"/>
                <w:sz w:val="15"/>
                <w:szCs w:val="15"/>
                <w:color w:val="auto"/>
              </w:rPr>
              <w:t>205</w:t>
            </w:r>
          </w:p>
        </w:tc>
      </w:tr>
      <w:tr>
        <w:trPr>
          <w:trHeight w:val="199"/>
        </w:trPr>
        <w:tc>
          <w:tcPr>
            <w:tcW w:w="8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w:t>
            </w:r>
          </w:p>
        </w:tc>
      </w:tr>
      <w:tr>
        <w:trPr>
          <w:trHeight w:val="191"/>
        </w:trPr>
        <w:tc>
          <w:tcPr>
            <w:tcW w:w="8900" w:type="dxa"/>
            <w:vAlign w:val="bottom"/>
          </w:tcPr>
          <w:p>
            <w:pPr>
              <w:ind w:left="20"/>
              <w:spacing w:after="0"/>
              <w:rPr>
                <w:sz w:val="20"/>
                <w:szCs w:val="20"/>
                <w:color w:val="auto"/>
              </w:rPr>
            </w:pPr>
            <w:r>
              <w:rPr>
                <w:rFonts w:ascii="Arial" w:cs="Arial" w:eastAsia="Arial" w:hAnsi="Arial"/>
                <w:sz w:val="15"/>
                <w:szCs w:val="15"/>
                <w:color w:val="auto"/>
              </w:rPr>
              <w:t>As of September 30, 2025</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386</w:t>
            </w: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8" w:name="page19"/>
    <w:bookmarkEnd w:id="1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was no impairment of goodwill during the nine months ended September 30, 2025.</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components of intangible assets, net as of September 30, 2025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years)</w:t>
            </w:r>
          </w:p>
        </w:tc>
        <w:tc>
          <w:tcPr>
            <w:tcW w:w="13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Gross Carrying Value</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Accumulated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26"/>
              <w:spacing w:after="0"/>
              <w:rPr>
                <w:sz w:val="20"/>
                <w:szCs w:val="20"/>
                <w:color w:val="auto"/>
              </w:rPr>
            </w:pPr>
            <w:r>
              <w:rPr>
                <w:rFonts w:ascii="Arial" w:cs="Arial" w:eastAsia="Arial" w:hAnsi="Arial"/>
                <w:sz w:val="13"/>
                <w:szCs w:val="13"/>
                <w:b w:val="1"/>
                <w:bCs w:val="1"/>
                <w:color w:val="auto"/>
                <w:w w:val="97"/>
              </w:rPr>
              <w:t>Net Carrying Value</w:t>
            </w: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3"/>
                <w:szCs w:val="13"/>
                <w:b w:val="1"/>
                <w:bCs w:val="1"/>
                <w:color w:val="auto"/>
                <w:w w:val="99"/>
              </w:rPr>
              <w:t>Weighted Average Remaining</w:t>
            </w:r>
          </w:p>
        </w:tc>
        <w:tc>
          <w:tcPr>
            <w:tcW w:w="0" w:type="dxa"/>
            <w:vAlign w:val="bottom"/>
          </w:tcPr>
          <w:p>
            <w:pPr>
              <w:spacing w:after="0"/>
              <w:rPr>
                <w:sz w:val="1"/>
                <w:szCs w:val="1"/>
                <w:color w:val="auto"/>
              </w:rPr>
            </w:pPr>
          </w:p>
        </w:tc>
      </w:tr>
      <w:tr>
        <w:trPr>
          <w:trHeight w:val="175"/>
        </w:trPr>
        <w:tc>
          <w:tcPr>
            <w:tcW w:w="4280" w:type="dxa"/>
            <w:vAlign w:val="bottom"/>
            <w:tcBorders>
              <w:bottom w:val="single" w:sz="8" w:color="CCEEFF"/>
            </w:tcBorders>
            <w:vMerge w:val="continue"/>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Amortization</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Useful Life - Years</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Finite-lived intangible assets:</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Arial" w:cs="Arial" w:eastAsia="Arial" w:hAnsi="Arial"/>
                <w:sz w:val="15"/>
                <w:szCs w:val="15"/>
                <w:color w:val="auto"/>
              </w:rPr>
              <w:t>Developed technology</w:t>
            </w:r>
          </w:p>
        </w:tc>
        <w:tc>
          <w:tcPr>
            <w:tcW w:w="560" w:type="dxa"/>
            <w:vAlign w:val="bottom"/>
          </w:tcPr>
          <w:p>
            <w:pPr>
              <w:ind w:left="2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98</w:t>
            </w:r>
          </w:p>
        </w:tc>
        <w:tc>
          <w:tcPr>
            <w:tcW w:w="1240" w:type="dxa"/>
            <w:vAlign w:val="bottom"/>
            <w:gridSpan w:val="2"/>
          </w:tcPr>
          <w:p>
            <w:pPr>
              <w:jc w:val="right"/>
              <w:ind w:right="996"/>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97"/>
              </w:rPr>
              <w:t>(20)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78</w:t>
            </w: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Customer relationships</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5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2</w:t>
            </w: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Indefinite-lived intangible assets</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w:t>
            </w:r>
          </w:p>
        </w:tc>
        <w:tc>
          <w:tcPr>
            <w:tcW w:w="1240" w:type="dxa"/>
            <w:vAlign w:val="bottom"/>
            <w:gridSpan w:val="2"/>
            <w:shd w:val="clear" w:color="auto" w:fill="CCEEFF"/>
          </w:tcPr>
          <w:p>
            <w:pPr>
              <w:jc w:val="right"/>
              <w:ind w:right="996"/>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172</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Amortization expense of intangible assets was $6 million and $16 million for the three and nine months ended September 30, 2025. There was an immaterial impairment of intangible assets during the three and nine months ended September 30, 2025.</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September 30, 2025, the estimated future amortization expense of finite-lived intangible assets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w:t>
            </w:r>
          </w:p>
        </w:tc>
        <w:tc>
          <w:tcPr>
            <w:tcW w:w="140" w:type="dxa"/>
            <w:vAlign w:val="bottom"/>
          </w:tcPr>
          <w:p>
            <w:pPr>
              <w:spacing w:after="0"/>
              <w:rPr>
                <w:sz w:val="13"/>
                <w:szCs w:val="13"/>
                <w:color w:val="auto"/>
              </w:rPr>
            </w:pPr>
          </w:p>
        </w:tc>
        <w:tc>
          <w:tcPr>
            <w:tcW w:w="1580" w:type="dxa"/>
            <w:vAlign w:val="bottom"/>
          </w:tcPr>
          <w:p>
            <w:pPr>
              <w:jc w:val="right"/>
              <w:ind w:right="126"/>
              <w:spacing w:after="0"/>
              <w:rPr>
                <w:sz w:val="20"/>
                <w:szCs w:val="20"/>
                <w:color w:val="auto"/>
              </w:rPr>
            </w:pPr>
            <w:r>
              <w:rPr>
                <w:rFonts w:ascii="Arial" w:cs="Arial" w:eastAsia="Arial" w:hAnsi="Arial"/>
                <w:sz w:val="13"/>
                <w:szCs w:val="13"/>
                <w:b w:val="1"/>
                <w:bCs w:val="1"/>
                <w:color w:val="auto"/>
              </w:rPr>
              <w:t>Finite-lived Intangible</w:t>
            </w:r>
          </w:p>
        </w:tc>
        <w:tc>
          <w:tcPr>
            <w:tcW w:w="0" w:type="dxa"/>
            <w:vAlign w:val="bottom"/>
          </w:tcPr>
          <w:p>
            <w:pPr>
              <w:spacing w:after="0"/>
              <w:rPr>
                <w:sz w:val="1"/>
                <w:szCs w:val="1"/>
                <w:color w:val="auto"/>
              </w:rPr>
            </w:pPr>
          </w:p>
        </w:tc>
      </w:tr>
      <w:tr>
        <w:trPr>
          <w:trHeight w:val="175"/>
        </w:trPr>
        <w:tc>
          <w:tcPr>
            <w:tcW w:w="88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91"/>
        </w:trPr>
        <w:tc>
          <w:tcPr>
            <w:tcW w:w="8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9"/>
        </w:trPr>
        <w:tc>
          <w:tcPr>
            <w:tcW w:w="8860" w:type="dxa"/>
            <w:vAlign w:val="bottom"/>
          </w:tcPr>
          <w:p>
            <w:pPr>
              <w:ind w:left="20"/>
              <w:spacing w:after="0"/>
              <w:rPr>
                <w:sz w:val="20"/>
                <w:szCs w:val="20"/>
                <w:color w:val="auto"/>
              </w:rPr>
            </w:pPr>
            <w:r>
              <w:rPr>
                <w:rFonts w:ascii="Arial" w:cs="Arial" w:eastAsia="Arial" w:hAnsi="Arial"/>
                <w:sz w:val="15"/>
                <w:szCs w:val="15"/>
                <w:color w:val="auto"/>
              </w:rPr>
              <w:t>2026</w:t>
            </w:r>
          </w:p>
        </w:tc>
        <w:tc>
          <w:tcPr>
            <w:tcW w:w="140" w:type="dxa"/>
            <w:vAlign w:val="bottom"/>
          </w:tcPr>
          <w:p>
            <w:pPr>
              <w:spacing w:after="0"/>
              <w:rPr>
                <w:sz w:val="17"/>
                <w:szCs w:val="17"/>
                <w:color w:val="auto"/>
              </w:rPr>
            </w:pPr>
          </w:p>
        </w:tc>
        <w:tc>
          <w:tcPr>
            <w:tcW w:w="1580" w:type="dxa"/>
            <w:vAlign w:val="bottom"/>
          </w:tcPr>
          <w:p>
            <w:pPr>
              <w:jc w:val="right"/>
              <w:ind w:right="26"/>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9"/>
        </w:trPr>
        <w:tc>
          <w:tcPr>
            <w:tcW w:w="8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9"/>
        </w:trPr>
        <w:tc>
          <w:tcPr>
            <w:tcW w:w="8860" w:type="dxa"/>
            <w:vAlign w:val="bottom"/>
          </w:tcPr>
          <w:p>
            <w:pPr>
              <w:ind w:left="20"/>
              <w:spacing w:after="0"/>
              <w:rPr>
                <w:sz w:val="20"/>
                <w:szCs w:val="20"/>
                <w:color w:val="auto"/>
              </w:rPr>
            </w:pPr>
            <w:r>
              <w:rPr>
                <w:rFonts w:ascii="Arial" w:cs="Arial" w:eastAsia="Arial" w:hAnsi="Arial"/>
                <w:sz w:val="15"/>
                <w:szCs w:val="15"/>
                <w:color w:val="auto"/>
              </w:rPr>
              <w:t>2028</w:t>
            </w:r>
          </w:p>
        </w:tc>
        <w:tc>
          <w:tcPr>
            <w:tcW w:w="140" w:type="dxa"/>
            <w:vAlign w:val="bottom"/>
          </w:tcPr>
          <w:p>
            <w:pPr>
              <w:spacing w:after="0"/>
              <w:rPr>
                <w:sz w:val="17"/>
                <w:szCs w:val="17"/>
                <w:color w:val="auto"/>
              </w:rPr>
            </w:pPr>
          </w:p>
        </w:tc>
        <w:tc>
          <w:tcPr>
            <w:tcW w:w="1580" w:type="dxa"/>
            <w:vAlign w:val="bottom"/>
          </w:tcPr>
          <w:p>
            <w:pPr>
              <w:jc w:val="right"/>
              <w:ind w:right="26"/>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9"/>
        </w:trPr>
        <w:tc>
          <w:tcPr>
            <w:tcW w:w="8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6"/>
        </w:trPr>
        <w:tc>
          <w:tcPr>
            <w:tcW w:w="8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9" w:name="page20"/>
    <w:bookmarkEnd w:id="1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NOTE 5: REVENUES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Disaggregation of Revenues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our revenues disaggregated by revenue source: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764"/>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w w:val="96"/>
              </w:rPr>
              <w:t>2025</w:t>
            </w:r>
          </w:p>
        </w:tc>
        <w:tc>
          <w:tcPr>
            <w:tcW w:w="0" w:type="dxa"/>
            <w:vAlign w:val="bottom"/>
          </w:tcPr>
          <w:p>
            <w:pPr>
              <w:spacing w:after="0"/>
              <w:rPr>
                <w:sz w:val="1"/>
                <w:szCs w:val="1"/>
                <w:color w:val="auto"/>
              </w:rPr>
            </w:pPr>
          </w:p>
        </w:tc>
      </w:tr>
      <w:tr>
        <w:trPr>
          <w:trHeight w:val="17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Transaction-based revenues: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Options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202</w:t>
            </w:r>
          </w:p>
        </w:tc>
        <w:tc>
          <w:tcPr>
            <w:tcW w:w="60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304</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538</w:t>
            </w:r>
          </w:p>
        </w:tc>
        <w:tc>
          <w:tcPr>
            <w:tcW w:w="6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809</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Cryptocurrencies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268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Equities</w:t>
            </w:r>
          </w:p>
        </w:tc>
        <w:tc>
          <w:tcPr>
            <w:tcW w:w="32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91"/>
        </w:trPr>
        <w:tc>
          <w:tcPr>
            <w:tcW w:w="450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transaction-based revenues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319</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730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975</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1,852</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Net interest revenues: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Margin interest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228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153"/>
        </w:trPr>
        <w:tc>
          <w:tcPr>
            <w:tcW w:w="4500" w:type="dxa"/>
            <w:vAlign w:val="bottom"/>
          </w:tcPr>
          <w:p>
            <w:pPr>
              <w:ind w:left="220"/>
              <w:spacing w:after="0" w:line="153" w:lineRule="exact"/>
              <w:rPr>
                <w:sz w:val="20"/>
                <w:szCs w:val="20"/>
                <w:color w:val="auto"/>
              </w:rPr>
            </w:pPr>
            <w:r>
              <w:rPr>
                <w:rFonts w:ascii="Arial" w:cs="Arial" w:eastAsia="Arial" w:hAnsi="Arial"/>
                <w:sz w:val="15"/>
                <w:szCs w:val="15"/>
                <w:color w:val="auto"/>
              </w:rPr>
              <w:t>Interest on segregated cash, cash equivalents, securities, and</w:t>
            </w:r>
          </w:p>
        </w:tc>
        <w:tc>
          <w:tcPr>
            <w:tcW w:w="320" w:type="dxa"/>
            <w:vAlign w:val="bottom"/>
          </w:tcPr>
          <w:p>
            <w:pPr>
              <w:spacing w:after="0"/>
              <w:rPr>
                <w:sz w:val="13"/>
                <w:szCs w:val="13"/>
                <w:color w:val="auto"/>
              </w:rPr>
            </w:pPr>
          </w:p>
        </w:tc>
        <w:tc>
          <w:tcPr>
            <w:tcW w:w="1080" w:type="dxa"/>
            <w:vAlign w:val="bottom"/>
            <w:vMerge w:val="restart"/>
          </w:tcPr>
          <w:p>
            <w:pPr>
              <w:jc w:val="right"/>
              <w:ind w:right="25"/>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99"/>
        </w:trPr>
        <w:tc>
          <w:tcPr>
            <w:tcW w:w="4500" w:type="dxa"/>
            <w:vAlign w:val="bottom"/>
          </w:tcPr>
          <w:p>
            <w:pPr>
              <w:ind w:left="300"/>
              <w:spacing w:after="0"/>
              <w:rPr>
                <w:sz w:val="20"/>
                <w:szCs w:val="20"/>
                <w:color w:val="auto"/>
              </w:rPr>
            </w:pPr>
            <w:r>
              <w:rPr>
                <w:rFonts w:ascii="Arial" w:cs="Arial" w:eastAsia="Arial" w:hAnsi="Arial"/>
                <w:sz w:val="15"/>
                <w:szCs w:val="15"/>
                <w:color w:val="auto"/>
              </w:rPr>
              <w:t>deposits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Sweep</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Securities lending, net</w:t>
            </w:r>
          </w:p>
        </w:tc>
        <w:tc>
          <w:tcPr>
            <w:tcW w:w="32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on corporate cash and investments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Credit card, net</w:t>
            </w:r>
          </w:p>
        </w:tc>
        <w:tc>
          <w:tcPr>
            <w:tcW w:w="320" w:type="dxa"/>
            <w:vAlign w:val="bottom"/>
          </w:tcPr>
          <w:p>
            <w:pPr>
              <w:spacing w:after="0"/>
              <w:rPr>
                <w:sz w:val="17"/>
                <w:szCs w:val="17"/>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expenses related to credit facilities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9"/>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net interest revenues</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456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813</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1,103</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revenues: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Pr>
          <w:p>
            <w:pPr>
              <w:ind w:left="200"/>
              <w:spacing w:after="0"/>
              <w:rPr>
                <w:sz w:val="20"/>
                <w:szCs w:val="20"/>
                <w:color w:val="auto"/>
              </w:rPr>
            </w:pPr>
            <w:r>
              <w:rPr>
                <w:rFonts w:ascii="Arial" w:cs="Arial" w:eastAsia="Arial" w:hAnsi="Arial"/>
                <w:sz w:val="15"/>
                <w:szCs w:val="15"/>
                <w:color w:val="auto"/>
              </w:rPr>
              <w:t>Robinhood Gold subscription revenues</w:t>
            </w:r>
          </w:p>
        </w:tc>
        <w:tc>
          <w:tcPr>
            <w:tcW w:w="320" w:type="dxa"/>
            <w:vAlign w:val="bottom"/>
          </w:tcPr>
          <w:p>
            <w:pPr>
              <w:spacing w:after="0"/>
              <w:rPr>
                <w:sz w:val="17"/>
                <w:szCs w:val="17"/>
                <w:color w:val="auto"/>
              </w:rPr>
            </w:pPr>
          </w:p>
        </w:tc>
        <w:tc>
          <w:tcPr>
            <w:tcW w:w="1080" w:type="dxa"/>
            <w:vAlign w:val="bottom"/>
          </w:tcPr>
          <w:p>
            <w:pPr>
              <w:jc w:val="right"/>
              <w:ind w:right="165"/>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224"/>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25"/>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Proxy revenues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9"/>
        </w:trPr>
        <w:tc>
          <w:tcPr>
            <w:tcW w:w="45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34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other revenues</w:t>
            </w: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rPr>
              <w:t>149</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214"/>
        </w:trPr>
        <w:tc>
          <w:tcPr>
            <w:tcW w:w="4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net revenues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637</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1,274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1,937</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3,190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Fully-Paid Securities Lending</w:t>
      </w:r>
    </w:p>
    <w:p>
      <w:pPr>
        <w:spacing w:after="0" w:line="214"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For our fully-paid securities lending program under which we borrow fully -paid shares from participating users and lend them to third parties (“Fully-Paid Securities Lending”), we earn revenue for lending certain securities based on demand for those securities and portions of such revenues are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0" w:name="page21"/>
    <w:bookmarkEnd w:id="2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participating users, and those payments are recorded as interest expense. The following table presents interest revenue earned and interest expense paid from Fully-Paid Securities Lending: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2480" w:type="dxa"/>
            <w:vAlign w:val="bottom"/>
            <w:gridSpan w:val="4"/>
          </w:tcPr>
          <w:p>
            <w:pPr>
              <w:jc w:val="right"/>
              <w:ind w:right="356"/>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3"/>
                <w:szCs w:val="13"/>
                <w:color w:val="auto"/>
              </w:rPr>
            </w:pPr>
          </w:p>
        </w:tc>
      </w:tr>
      <w:tr>
        <w:trPr>
          <w:trHeight w:val="175"/>
        </w:trPr>
        <w:tc>
          <w:tcPr>
            <w:tcW w:w="47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w w:val="96"/>
              </w:rPr>
              <w:t>2025</w:t>
            </w:r>
          </w:p>
        </w:tc>
      </w:tr>
      <w:tr>
        <w:trPr>
          <w:trHeight w:val="191"/>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revenue</w:t>
            </w:r>
          </w:p>
        </w:tc>
        <w:tc>
          <w:tcPr>
            <w:tcW w:w="92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w:t>
            </w:r>
          </w:p>
        </w:tc>
        <w:tc>
          <w:tcPr>
            <w:tcW w:w="1080" w:type="dxa"/>
            <w:vAlign w:val="bottom"/>
            <w:gridSpan w:val="2"/>
            <w:shd w:val="clear" w:color="auto" w:fill="CCEEFF"/>
          </w:tcPr>
          <w:p>
            <w:pPr>
              <w:jc w:val="right"/>
              <w:ind w:right="856"/>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116</w:t>
            </w:r>
          </w:p>
        </w:tc>
      </w:tr>
      <w:tr>
        <w:trPr>
          <w:trHeight w:val="19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r>
      <w:tr>
        <w:trPr>
          <w:trHeight w:val="211"/>
        </w:trPr>
        <w:tc>
          <w:tcPr>
            <w:tcW w:w="4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Fully-Paid Securities Lending, net</w:t>
            </w:r>
          </w:p>
        </w:tc>
        <w:tc>
          <w:tcPr>
            <w:tcW w:w="92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w:t>
            </w:r>
          </w:p>
        </w:tc>
        <w:tc>
          <w:tcPr>
            <w:tcW w:w="1080" w:type="dxa"/>
            <w:vAlign w:val="bottom"/>
            <w:gridSpan w:val="2"/>
            <w:shd w:val="clear" w:color="auto" w:fill="CCEEFF"/>
          </w:tcPr>
          <w:p>
            <w:pPr>
              <w:jc w:val="right"/>
              <w:ind w:right="856"/>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Balances</w:t>
      </w:r>
    </w:p>
    <w:p>
      <w:pPr>
        <w:spacing w:after="0" w:line="156"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spacing w:after="0" w:line="116"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As of September 30, 2025, contract liabilities include $37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Contract liabilities also include $19 million of TradePMR performance obligations acquired as part of the TradePMR acquisition, with $8 million recorded in other current liabilities and $11 million in other non-current liabilities which was recorded on the unaudited condensed consolidated balance sheets. This liability represents consideration received in advance of satisfying the related performance obligations and is subject to repayment if certain contractual conditions are not met.</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sets forth contract receivables and liabilities balances for the period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96"/>
              </w:rPr>
              <w:t>Contract Receivables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Contract Liabilities</w:t>
            </w:r>
          </w:p>
        </w:tc>
      </w:tr>
      <w:tr>
        <w:trPr>
          <w:trHeight w:val="191"/>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of the period, January 1, 2025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w:t>
            </w:r>
          </w:p>
        </w:tc>
      </w:tr>
      <w:tr>
        <w:trPr>
          <w:trHeight w:val="19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End of the period, September 30, 2025</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57</w:t>
            </w:r>
          </w:p>
        </w:tc>
      </w:tr>
      <w:tr>
        <w:trPr>
          <w:trHeight w:val="211"/>
        </w:trPr>
        <w:tc>
          <w:tcPr>
            <w:tcW w:w="7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Changes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The difference between the opening and ending balances of our contract receivables was primarily driven by lower cryptocurrency transaction-based revenues due to decreased trading volumes and timing differences between our performance and counterparty payments, partially offset by higher options and equities transaction-based revenues.</w:t>
      </w:r>
    </w:p>
    <w:p>
      <w:pPr>
        <w:spacing w:after="0" w:line="112"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The difference between the opening and ending balances of our contract liabilities was primarily driven by an increase in Robinhood Gold Subscribers, an increase in TradePMR performance obligations, and timing differences between our performance and customer billing.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1" w:name="page22"/>
    <w:bookmarkEnd w:id="2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NOTE 6: ALLOWANCE FOR CREDIT LOSSES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Allowance for Credit Losses - Brokerage Related</w:t>
      </w:r>
    </w:p>
    <w:p>
      <w:pPr>
        <w:spacing w:after="0" w:line="155"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The following table summarizes the brokerage related allowance for credit losses, which is primarily related to fraudulent activities, included in receivables from users, net on the unaudited condensed consolidated balance sheet: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2520" w:type="dxa"/>
            <w:vAlign w:val="bottom"/>
            <w:gridSpan w:val="4"/>
          </w:tcPr>
          <w:p>
            <w:pPr>
              <w:jc w:val="right"/>
              <w:ind w:right="376"/>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Nine Months Ended</w:t>
            </w:r>
          </w:p>
        </w:tc>
        <w:tc>
          <w:tcPr>
            <w:tcW w:w="860" w:type="dxa"/>
            <w:vAlign w:val="bottom"/>
          </w:tcPr>
          <w:p>
            <w:pPr>
              <w:spacing w:after="0"/>
              <w:rPr>
                <w:sz w:val="13"/>
                <w:szCs w:val="13"/>
                <w:color w:val="auto"/>
              </w:rPr>
            </w:pPr>
          </w:p>
        </w:tc>
      </w:tr>
      <w:tr>
        <w:trPr>
          <w:trHeight w:val="175"/>
        </w:trPr>
        <w:tc>
          <w:tcPr>
            <w:tcW w:w="4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3"/>
                <w:szCs w:val="13"/>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w w:val="89"/>
              </w:rPr>
              <w:t>2025</w:t>
            </w:r>
          </w:p>
        </w:tc>
      </w:tr>
      <w:tr>
        <w:trPr>
          <w:trHeight w:val="191"/>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w:t>
            </w:r>
          </w:p>
        </w:tc>
        <w:tc>
          <w:tcPr>
            <w:tcW w:w="1100" w:type="dxa"/>
            <w:vAlign w:val="bottom"/>
            <w:gridSpan w:val="2"/>
            <w:shd w:val="clear" w:color="auto" w:fill="CCEEFF"/>
          </w:tcPr>
          <w:p>
            <w:pPr>
              <w:jc w:val="right"/>
              <w:ind w:right="856"/>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920" w:type="dxa"/>
            <w:vAlign w:val="bottom"/>
            <w:gridSpan w:val="2"/>
            <w:shd w:val="clear" w:color="auto" w:fill="CCEEFF"/>
          </w:tcPr>
          <w:p>
            <w:pPr>
              <w:jc w:val="right"/>
              <w:ind w:right="69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w:t>
            </w: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Provision for credit losses</w:t>
            </w:r>
          </w:p>
        </w:tc>
        <w:tc>
          <w:tcPr>
            <w:tcW w:w="940" w:type="dxa"/>
            <w:vAlign w:val="bottom"/>
          </w:tcPr>
          <w:p>
            <w:pPr>
              <w:spacing w:after="0"/>
              <w:rPr>
                <w:sz w:val="17"/>
                <w:szCs w:val="17"/>
                <w:color w:val="auto"/>
              </w:rPr>
            </w:pPr>
          </w:p>
        </w:tc>
        <w:tc>
          <w:tcPr>
            <w:tcW w:w="480" w:type="dxa"/>
            <w:vAlign w:val="bottom"/>
          </w:tcPr>
          <w:p>
            <w:pPr>
              <w:jc w:val="right"/>
              <w:ind w:right="6"/>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jc w:val="right"/>
              <w:ind w:right="7"/>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23</w:t>
            </w: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Write-offs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9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Recoveries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w:t>
            </w:r>
          </w:p>
        </w:tc>
        <w:tc>
          <w:tcPr>
            <w:tcW w:w="1100" w:type="dxa"/>
            <w:vAlign w:val="bottom"/>
            <w:gridSpan w:val="2"/>
            <w:shd w:val="clear" w:color="auto" w:fill="CCEEFF"/>
          </w:tcPr>
          <w:p>
            <w:pPr>
              <w:jc w:val="right"/>
              <w:ind w:right="856"/>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w:t>
            </w:r>
          </w:p>
        </w:tc>
        <w:tc>
          <w:tcPr>
            <w:tcW w:w="920" w:type="dxa"/>
            <w:vAlign w:val="bottom"/>
            <w:gridSpan w:val="2"/>
            <w:shd w:val="clear" w:color="auto" w:fill="CCEEFF"/>
          </w:tcPr>
          <w:p>
            <w:pPr>
              <w:jc w:val="right"/>
              <w:ind w:right="69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Allowance for Credit Losses - Credit Card Related</w:t>
      </w:r>
    </w:p>
    <w:p>
      <w:pPr>
        <w:spacing w:after="0" w:line="155"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We have two types of allowance for credit losses related to credit cards: i) an allowance related to off- 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allowance related to off-balance sheet credit card receivables: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3"/>
                <w:szCs w:val="13"/>
                <w:b w:val="1"/>
                <w:bCs w:val="1"/>
                <w:color w:val="auto"/>
                <w:w w:val="97"/>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8"/>
              </w:rPr>
              <w:t>Nine Months Ended</w:t>
            </w:r>
          </w:p>
        </w:tc>
        <w:tc>
          <w:tcPr>
            <w:tcW w:w="940" w:type="dxa"/>
            <w:vAlign w:val="bottom"/>
          </w:tcPr>
          <w:p>
            <w:pPr>
              <w:spacing w:after="0"/>
              <w:rPr>
                <w:sz w:val="13"/>
                <w:szCs w:val="13"/>
                <w:color w:val="auto"/>
              </w:rPr>
            </w:pPr>
          </w:p>
        </w:tc>
      </w:tr>
      <w:tr>
        <w:trPr>
          <w:trHeight w:val="175"/>
        </w:trPr>
        <w:tc>
          <w:tcPr>
            <w:tcW w:w="42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6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2025</w:t>
            </w:r>
          </w:p>
        </w:tc>
      </w:tr>
      <w:tr>
        <w:trPr>
          <w:trHeight w:val="191"/>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180" w:type="dxa"/>
            <w:vAlign w:val="bottom"/>
            <w:gridSpan w:val="2"/>
            <w:shd w:val="clear" w:color="auto" w:fill="CCEEFF"/>
          </w:tcPr>
          <w:p>
            <w:pPr>
              <w:jc w:val="right"/>
              <w:ind w:right="936"/>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20" w:type="dxa"/>
            <w:vAlign w:val="bottom"/>
            <w:gridSpan w:val="2"/>
            <w:shd w:val="clear" w:color="auto" w:fill="CCEEFF"/>
          </w:tcPr>
          <w:p>
            <w:pPr>
              <w:jc w:val="right"/>
              <w:ind w:right="77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40</w:t>
            </w:r>
          </w:p>
        </w:tc>
      </w:tr>
      <w:tr>
        <w:trPr>
          <w:trHeight w:val="199"/>
        </w:trPr>
        <w:tc>
          <w:tcPr>
            <w:tcW w:w="4260" w:type="dxa"/>
            <w:vAlign w:val="bottom"/>
          </w:tcPr>
          <w:p>
            <w:pPr>
              <w:ind w:left="20"/>
              <w:spacing w:after="0"/>
              <w:rPr>
                <w:sz w:val="20"/>
                <w:szCs w:val="20"/>
                <w:color w:val="auto"/>
              </w:rPr>
            </w:pPr>
            <w:r>
              <w:rPr>
                <w:rFonts w:ascii="Arial" w:cs="Arial" w:eastAsia="Arial" w:hAnsi="Arial"/>
                <w:sz w:val="15"/>
                <w:szCs w:val="15"/>
                <w:color w:val="auto"/>
              </w:rPr>
              <w:t>Provision for credit losses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22</w:t>
            </w:r>
          </w:p>
        </w:tc>
      </w:tr>
      <w:tr>
        <w:trPr>
          <w:trHeight w:val="199"/>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to Coastal Bank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19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Recoveries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w:t>
            </w:r>
          </w:p>
        </w:tc>
      </w:tr>
      <w:tr>
        <w:trPr>
          <w:trHeight w:val="211"/>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180" w:type="dxa"/>
            <w:vAlign w:val="bottom"/>
            <w:gridSpan w:val="2"/>
            <w:shd w:val="clear" w:color="auto" w:fill="CCEEFF"/>
          </w:tcPr>
          <w:p>
            <w:pPr>
              <w:jc w:val="right"/>
              <w:ind w:right="936"/>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20" w:type="dxa"/>
            <w:vAlign w:val="bottom"/>
            <w:gridSpan w:val="2"/>
            <w:shd w:val="clear" w:color="auto" w:fill="CCEEFF"/>
          </w:tcPr>
          <w:p>
            <w:pPr>
              <w:jc w:val="right"/>
              <w:ind w:right="776"/>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allowance related to purchased credit card receivables and  interest receivables from customers: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Three Months Ended</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940" w:type="dxa"/>
            <w:vAlign w:val="bottom"/>
          </w:tcPr>
          <w:p>
            <w:pPr>
              <w:spacing w:after="0"/>
              <w:rPr>
                <w:sz w:val="12"/>
                <w:szCs w:val="12"/>
                <w:color w:val="auto"/>
              </w:rPr>
            </w:pPr>
          </w:p>
        </w:tc>
      </w:tr>
      <w:tr>
        <w:trPr>
          <w:trHeight w:val="175"/>
        </w:trPr>
        <w:tc>
          <w:tcPr>
            <w:tcW w:w="4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6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2025</w:t>
            </w:r>
          </w:p>
        </w:tc>
      </w:tr>
      <w:tr>
        <w:trPr>
          <w:trHeight w:val="191"/>
        </w:trPr>
        <w:tc>
          <w:tcPr>
            <w:tcW w:w="4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w:t>
            </w:r>
          </w:p>
        </w:tc>
        <w:tc>
          <w:tcPr>
            <w:tcW w:w="660" w:type="dxa"/>
            <w:vAlign w:val="bottom"/>
            <w:gridSpan w:val="2"/>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w:t>
            </w:r>
          </w:p>
        </w:tc>
      </w:tr>
      <w:tr>
        <w:trPr>
          <w:trHeight w:val="199"/>
        </w:trPr>
        <w:tc>
          <w:tcPr>
            <w:tcW w:w="4300" w:type="dxa"/>
            <w:vAlign w:val="bottom"/>
          </w:tcPr>
          <w:p>
            <w:pPr>
              <w:ind w:left="20"/>
              <w:spacing w:after="0"/>
              <w:rPr>
                <w:sz w:val="20"/>
                <w:szCs w:val="20"/>
                <w:color w:val="auto"/>
              </w:rPr>
            </w:pPr>
            <w:r>
              <w:rPr>
                <w:rFonts w:ascii="Arial" w:cs="Arial" w:eastAsia="Arial" w:hAnsi="Arial"/>
                <w:sz w:val="15"/>
                <w:szCs w:val="15"/>
                <w:color w:val="auto"/>
              </w:rPr>
              <w:t>Provision for credit losses</w:t>
            </w:r>
          </w:p>
        </w:tc>
        <w:tc>
          <w:tcPr>
            <w:tcW w:w="3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33</w:t>
            </w: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Write-offs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Recoveries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w:t>
            </w: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8</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8</w:t>
            </w:r>
          </w:p>
        </w:tc>
        <w:tc>
          <w:tcPr>
            <w:tcW w:w="660" w:type="dxa"/>
            <w:vAlign w:val="bottom"/>
            <w:gridSpan w:val="2"/>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The following tables present the aging analysis of our credit card receivables for the periods presented and the delinquency aging includes all past due principal on loans. Accrued interest receivable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of $3 million as of December 31, 2024, and $7 million as of September 30, 2025, were not included in the tables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gridSpan w:val="2"/>
          </w:tcPr>
          <w:p>
            <w:pPr>
              <w:ind w:left="20"/>
              <w:spacing w:after="0"/>
              <w:rPr>
                <w:sz w:val="20"/>
                <w:szCs w:val="20"/>
                <w:color w:val="auto"/>
              </w:rPr>
            </w:pPr>
            <w:r>
              <w:rPr>
                <w:rFonts w:ascii="Arial" w:cs="Arial" w:eastAsia="Arial" w:hAnsi="Arial"/>
                <w:sz w:val="12"/>
                <w:szCs w:val="12"/>
                <w:i w:val="1"/>
                <w:iCs w:val="1"/>
                <w:color w:val="auto"/>
              </w:rPr>
              <w:t>(in millions, except for percentages)</w:t>
            </w:r>
          </w:p>
        </w:tc>
        <w:tc>
          <w:tcPr>
            <w:tcW w:w="1420" w:type="dxa"/>
            <w:vAlign w:val="bottom"/>
          </w:tcPr>
          <w:p>
            <w:pPr>
              <w:spacing w:after="0"/>
              <w:rPr>
                <w:sz w:val="16"/>
                <w:szCs w:val="16"/>
                <w:color w:val="auto"/>
              </w:rPr>
            </w:pPr>
          </w:p>
        </w:tc>
        <w:tc>
          <w:tcPr>
            <w:tcW w:w="3440" w:type="dxa"/>
            <w:vAlign w:val="bottom"/>
            <w:gridSpan w:val="2"/>
          </w:tcPr>
          <w:p>
            <w:pPr>
              <w:ind w:left="500"/>
              <w:spacing w:after="0"/>
              <w:rPr>
                <w:sz w:val="20"/>
                <w:szCs w:val="20"/>
                <w:color w:val="auto"/>
              </w:rPr>
            </w:pPr>
            <w:r>
              <w:rPr>
                <w:rFonts w:ascii="Arial" w:cs="Arial" w:eastAsia="Arial" w:hAnsi="Arial"/>
                <w:sz w:val="13"/>
                <w:szCs w:val="13"/>
                <w:b w:val="1"/>
                <w:bCs w:val="1"/>
                <w:color w:val="auto"/>
              </w:rPr>
              <w:t>December 31, 2024</w:t>
            </w:r>
          </w:p>
        </w:tc>
        <w:tc>
          <w:tcPr>
            <w:tcW w:w="1620" w:type="dxa"/>
            <w:vAlign w:val="bottom"/>
          </w:tcPr>
          <w:p>
            <w:pPr>
              <w:spacing w:after="0"/>
              <w:rPr>
                <w:sz w:val="16"/>
                <w:szCs w:val="16"/>
                <w:color w:val="auto"/>
              </w:rPr>
            </w:pPr>
          </w:p>
        </w:tc>
      </w:tr>
      <w:tr>
        <w:trPr>
          <w:trHeight w:val="167"/>
        </w:trPr>
        <w:tc>
          <w:tcPr>
            <w:tcW w:w="26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3"/>
                <w:szCs w:val="13"/>
                <w:b w:val="1"/>
                <w:bCs w:val="1"/>
                <w:color w:val="auto"/>
                <w:w w:val="99"/>
              </w:rPr>
              <w:t>Aging of receivables</w:t>
            </w:r>
          </w:p>
        </w:tc>
        <w:tc>
          <w:tcPr>
            <w:tcW w:w="18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r>
      <w:tr>
        <w:trPr>
          <w:trHeight w:val="176"/>
        </w:trPr>
        <w:tc>
          <w:tcPr>
            <w:tcW w:w="2620" w:type="dxa"/>
            <w:vAlign w:val="bottom"/>
          </w:tcPr>
          <w:p>
            <w:pPr>
              <w:spacing w:after="0"/>
              <w:rPr>
                <w:sz w:val="15"/>
                <w:szCs w:val="15"/>
                <w:color w:val="auto"/>
              </w:rPr>
            </w:pPr>
          </w:p>
        </w:tc>
        <w:tc>
          <w:tcPr>
            <w:tcW w:w="1480" w:type="dxa"/>
            <w:vAlign w:val="bottom"/>
          </w:tcPr>
          <w:p>
            <w:pPr>
              <w:ind w:left="520"/>
              <w:spacing w:after="0"/>
              <w:rPr>
                <w:sz w:val="20"/>
                <w:szCs w:val="20"/>
                <w:color w:val="auto"/>
              </w:rPr>
            </w:pPr>
            <w:r>
              <w:rPr>
                <w:rFonts w:ascii="Arial" w:cs="Arial" w:eastAsia="Arial" w:hAnsi="Arial"/>
                <w:sz w:val="13"/>
                <w:szCs w:val="13"/>
                <w:b w:val="1"/>
                <w:bCs w:val="1"/>
                <w:color w:val="auto"/>
              </w:rPr>
              <w:t>Current</w:t>
            </w:r>
          </w:p>
        </w:tc>
        <w:tc>
          <w:tcPr>
            <w:tcW w:w="1420" w:type="dxa"/>
            <w:vAlign w:val="bottom"/>
          </w:tcPr>
          <w:p>
            <w:pPr>
              <w:ind w:left="500"/>
              <w:spacing w:after="0"/>
              <w:rPr>
                <w:sz w:val="20"/>
                <w:szCs w:val="20"/>
                <w:color w:val="auto"/>
              </w:rPr>
            </w:pPr>
            <w:r>
              <w:rPr>
                <w:rFonts w:ascii="Arial" w:cs="Arial" w:eastAsia="Arial" w:hAnsi="Arial"/>
                <w:sz w:val="13"/>
                <w:szCs w:val="13"/>
                <w:b w:val="1"/>
                <w:bCs w:val="1"/>
                <w:color w:val="auto"/>
              </w:rPr>
              <w:t>&lt;90 Days</w:t>
            </w:r>
          </w:p>
        </w:tc>
        <w:tc>
          <w:tcPr>
            <w:tcW w:w="1620" w:type="dxa"/>
            <w:vAlign w:val="bottom"/>
          </w:tcPr>
          <w:p>
            <w:pPr>
              <w:ind w:left="520"/>
              <w:spacing w:after="0"/>
              <w:rPr>
                <w:sz w:val="20"/>
                <w:szCs w:val="20"/>
                <w:color w:val="auto"/>
              </w:rPr>
            </w:pPr>
            <w:r>
              <w:rPr>
                <w:rFonts w:ascii="Arial" w:cs="Arial" w:eastAsia="Arial" w:hAnsi="Arial"/>
                <w:sz w:val="13"/>
                <w:szCs w:val="13"/>
                <w:b w:val="1"/>
                <w:bCs w:val="1"/>
                <w:color w:val="auto"/>
              </w:rPr>
              <w:t>≥ 90 days</w:t>
            </w:r>
          </w:p>
        </w:tc>
        <w:tc>
          <w:tcPr>
            <w:tcW w:w="1820" w:type="dxa"/>
            <w:vAlign w:val="bottom"/>
          </w:tcPr>
          <w:p>
            <w:pPr>
              <w:spacing w:after="0"/>
              <w:rPr>
                <w:sz w:val="20"/>
                <w:szCs w:val="20"/>
                <w:color w:val="auto"/>
              </w:rPr>
            </w:pPr>
            <w:r>
              <w:rPr>
                <w:rFonts w:ascii="Arial" w:cs="Arial" w:eastAsia="Arial" w:hAnsi="Arial"/>
                <w:sz w:val="13"/>
                <w:szCs w:val="13"/>
                <w:b w:val="1"/>
                <w:bCs w:val="1"/>
                <w:color w:val="auto"/>
              </w:rPr>
              <w:t>Total Past due receivables</w:t>
            </w:r>
          </w:p>
        </w:tc>
        <w:tc>
          <w:tcPr>
            <w:tcW w:w="1620" w:type="dxa"/>
            <w:vAlign w:val="bottom"/>
          </w:tcPr>
          <w:p>
            <w:pPr>
              <w:ind w:left="220"/>
              <w:spacing w:after="0"/>
              <w:rPr>
                <w:sz w:val="20"/>
                <w:szCs w:val="20"/>
                <w:color w:val="auto"/>
              </w:rPr>
            </w:pPr>
            <w:r>
              <w:rPr>
                <w:rFonts w:ascii="Arial" w:cs="Arial" w:eastAsia="Arial" w:hAnsi="Arial"/>
                <w:sz w:val="13"/>
                <w:szCs w:val="13"/>
                <w:b w:val="1"/>
                <w:bCs w:val="1"/>
                <w:color w:val="auto"/>
              </w:rPr>
              <w:t>Total Receivables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On-balance sheet</w:t>
            </w: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186</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95"/>
              </w:rPr>
              <w:t>$</w:t>
            </w:r>
          </w:p>
        </w:tc>
        <w:tc>
          <w:tcPr>
            <w:tcW w:w="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Off-balance sheet</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color w:val="auto"/>
              </w:rPr>
              <w:t>177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83"/>
              </w:rPr>
              <w:t>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10</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credit card loans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363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83"/>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11</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Arial" w:cs="Arial" w:eastAsia="Arial" w:hAnsi="Arial"/>
                <w:sz w:val="15"/>
                <w:szCs w:val="15"/>
                <w:color w:val="auto"/>
              </w:rPr>
              <w:t>% of Total loans</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5"/>
              <w:spacing w:after="0" w:line="167" w:lineRule="exact"/>
              <w:rPr>
                <w:sz w:val="20"/>
                <w:szCs w:val="20"/>
                <w:color w:val="auto"/>
              </w:rPr>
            </w:pPr>
            <w:r>
              <w:rPr>
                <w:rFonts w:ascii="Arial" w:cs="Arial" w:eastAsia="Arial" w:hAnsi="Arial"/>
                <w:sz w:val="15"/>
                <w:szCs w:val="15"/>
                <w:color w:val="auto"/>
              </w:rPr>
              <w:t>93</w:t>
            </w: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7" w:lineRule="exact"/>
              <w:rPr>
                <w:sz w:val="20"/>
                <w:szCs w:val="20"/>
                <w:color w:val="auto"/>
              </w:rPr>
            </w:pPr>
            <w:r>
              <w:rPr>
                <w:rFonts w:ascii="Arial" w:cs="Arial" w:eastAsia="Arial" w:hAnsi="Arial"/>
                <w:sz w:val="15"/>
                <w:szCs w:val="15"/>
                <w:color w:val="auto"/>
              </w:rPr>
              <w:t>4</w:t>
            </w: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7" w:lineRule="exact"/>
              <w:rPr>
                <w:sz w:val="20"/>
                <w:szCs w:val="20"/>
                <w:color w:val="auto"/>
              </w:rPr>
            </w:pPr>
            <w:r>
              <w:rPr>
                <w:rFonts w:ascii="Arial" w:cs="Arial" w:eastAsia="Arial" w:hAnsi="Arial"/>
                <w:sz w:val="15"/>
                <w:szCs w:val="15"/>
                <w:color w:val="auto"/>
              </w:rPr>
              <w:t>3</w:t>
            </w:r>
          </w:p>
        </w:tc>
        <w:tc>
          <w:tcPr>
            <w:tcW w:w="2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7"/>
              <w:spacing w:after="0" w:line="167" w:lineRule="exact"/>
              <w:rPr>
                <w:sz w:val="20"/>
                <w:szCs w:val="20"/>
                <w:color w:val="auto"/>
              </w:rPr>
            </w:pPr>
            <w:r>
              <w:rPr>
                <w:rFonts w:ascii="Arial" w:cs="Arial" w:eastAsia="Arial" w:hAnsi="Arial"/>
                <w:sz w:val="15"/>
                <w:szCs w:val="15"/>
                <w:color w:val="auto"/>
              </w:rPr>
              <w:t>7</w:t>
            </w: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Arial" w:cs="Arial" w:eastAsia="Arial" w:hAnsi="Arial"/>
                <w:sz w:val="15"/>
                <w:szCs w:val="15"/>
                <w:color w:val="auto"/>
              </w:rPr>
              <w:t>100</w:t>
            </w: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21"/>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percentages)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1127"/>
              <w:spacing w:after="0"/>
              <w:rPr>
                <w:sz w:val="20"/>
                <w:szCs w:val="20"/>
                <w:color w:val="auto"/>
              </w:rPr>
            </w:pPr>
            <w:r>
              <w:rPr>
                <w:rFonts w:ascii="Arial" w:cs="Arial" w:eastAsia="Arial" w:hAnsi="Arial"/>
                <w:sz w:val="13"/>
                <w:szCs w:val="13"/>
                <w:b w:val="1"/>
                <w:bCs w:val="1"/>
                <w:color w:val="auto"/>
              </w:rPr>
              <w:t>September 30, 2025</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0" w:type="dxa"/>
            <w:vAlign w:val="bottom"/>
            <w:gridSpan w:val="4"/>
            <w:shd w:val="clear" w:color="auto" w:fill="CCEEFF"/>
          </w:tcPr>
          <w:p>
            <w:pPr>
              <w:jc w:val="right"/>
              <w:ind w:right="1207"/>
              <w:spacing w:after="0"/>
              <w:rPr>
                <w:sz w:val="20"/>
                <w:szCs w:val="20"/>
                <w:color w:val="auto"/>
              </w:rPr>
            </w:pPr>
            <w:r>
              <w:rPr>
                <w:rFonts w:ascii="Arial" w:cs="Arial" w:eastAsia="Arial" w:hAnsi="Arial"/>
                <w:sz w:val="13"/>
                <w:szCs w:val="13"/>
                <w:b w:val="1"/>
                <w:bCs w:val="1"/>
                <w:color w:val="auto"/>
              </w:rPr>
              <w:t>Aging of receivables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Current</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&lt;90 Days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 90 days</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Total Past due receivables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3"/>
                <w:szCs w:val="13"/>
                <w:b w:val="1"/>
                <w:bCs w:val="1"/>
                <w:color w:val="auto"/>
              </w:rPr>
              <w:t>Total Receivables</w:t>
            </w:r>
          </w:p>
        </w:tc>
        <w:tc>
          <w:tcPr>
            <w:tcW w:w="0" w:type="dxa"/>
            <w:vAlign w:val="bottom"/>
          </w:tcPr>
          <w:p>
            <w:pPr>
              <w:spacing w:after="0"/>
              <w:rPr>
                <w:sz w:val="1"/>
                <w:szCs w:val="1"/>
                <w:color w:val="auto"/>
              </w:rPr>
            </w:pPr>
          </w:p>
        </w:tc>
      </w:tr>
      <w:tr>
        <w:trPr>
          <w:trHeight w:val="191"/>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On-balance sheet</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517</w:t>
            </w:r>
          </w:p>
        </w:tc>
        <w:tc>
          <w:tcPr>
            <w:tcW w:w="3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83"/>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w:t>
            </w:r>
          </w:p>
        </w:tc>
        <w:tc>
          <w:tcPr>
            <w:tcW w:w="1380" w:type="dxa"/>
            <w:vAlign w:val="bottom"/>
            <w:gridSpan w:val="2"/>
            <w:shd w:val="clear" w:color="auto" w:fill="CCEEFF"/>
          </w:tcPr>
          <w:p>
            <w:pPr>
              <w:jc w:val="right"/>
              <w:ind w:right="1127"/>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Off-balance sheet</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color w:val="auto"/>
              </w:rPr>
              <w:t>184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83"/>
              </w:rPr>
              <w:t>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credit card loans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701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83"/>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12</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742</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Arial" w:cs="Arial" w:eastAsia="Arial" w:hAnsi="Arial"/>
                <w:sz w:val="15"/>
                <w:szCs w:val="15"/>
                <w:color w:val="auto"/>
              </w:rPr>
              <w:t>% of Total loans</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25"/>
              <w:spacing w:after="0" w:line="167" w:lineRule="exact"/>
              <w:rPr>
                <w:sz w:val="20"/>
                <w:szCs w:val="20"/>
                <w:color w:val="auto"/>
              </w:rPr>
            </w:pPr>
            <w:r>
              <w:rPr>
                <w:rFonts w:ascii="Arial" w:cs="Arial" w:eastAsia="Arial" w:hAnsi="Arial"/>
                <w:sz w:val="15"/>
                <w:szCs w:val="15"/>
                <w:color w:val="auto"/>
              </w:rPr>
              <w:t>94</w:t>
            </w: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7" w:lineRule="exact"/>
              <w:rPr>
                <w:sz w:val="20"/>
                <w:szCs w:val="20"/>
                <w:color w:val="auto"/>
              </w:rPr>
            </w:pPr>
            <w:r>
              <w:rPr>
                <w:rFonts w:ascii="Arial" w:cs="Arial" w:eastAsia="Arial" w:hAnsi="Arial"/>
                <w:sz w:val="15"/>
                <w:szCs w:val="15"/>
                <w:color w:val="auto"/>
              </w:rPr>
              <w:t>4</w:t>
            </w:r>
          </w:p>
        </w:tc>
        <w:tc>
          <w:tcPr>
            <w:tcW w:w="26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line="167" w:lineRule="exact"/>
              <w:rPr>
                <w:sz w:val="20"/>
                <w:szCs w:val="20"/>
                <w:color w:val="auto"/>
              </w:rPr>
            </w:pPr>
            <w:r>
              <w:rPr>
                <w:rFonts w:ascii="Arial" w:cs="Arial" w:eastAsia="Arial" w:hAnsi="Arial"/>
                <w:sz w:val="15"/>
                <w:szCs w:val="15"/>
                <w:color w:val="auto"/>
              </w:rPr>
              <w:t>2</w:t>
            </w:r>
          </w:p>
        </w:tc>
        <w:tc>
          <w:tcPr>
            <w:tcW w:w="28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7"/>
              <w:spacing w:after="0" w:line="167" w:lineRule="exact"/>
              <w:rPr>
                <w:sz w:val="20"/>
                <w:szCs w:val="20"/>
                <w:color w:val="auto"/>
              </w:rPr>
            </w:pPr>
            <w:r>
              <w:rPr>
                <w:rFonts w:ascii="Arial" w:cs="Arial" w:eastAsia="Arial" w:hAnsi="Arial"/>
                <w:sz w:val="15"/>
                <w:szCs w:val="15"/>
                <w:color w:val="auto"/>
              </w:rPr>
              <w:t>6</w:t>
            </w: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Arial" w:cs="Arial" w:eastAsia="Arial" w:hAnsi="Arial"/>
                <w:sz w:val="15"/>
                <w:szCs w:val="15"/>
                <w:color w:val="auto"/>
              </w:rPr>
              <w:t>100</w:t>
            </w:r>
          </w:p>
        </w:tc>
        <w:tc>
          <w:tcPr>
            <w:tcW w:w="4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2024 and September 30, 2025. Our receivables by FICO scores: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FICO scores)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 of Total loans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 of Total loans</w:t>
            </w:r>
          </w:p>
        </w:tc>
      </w:tr>
      <w:tr>
        <w:trPr>
          <w:trHeight w:val="191"/>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Below 640</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109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15 %</w:t>
            </w:r>
          </w:p>
        </w:tc>
      </w:tr>
      <w:tr>
        <w:trPr>
          <w:trHeight w:val="199"/>
        </w:trPr>
        <w:tc>
          <w:tcPr>
            <w:tcW w:w="4340" w:type="dxa"/>
            <w:vAlign w:val="bottom"/>
          </w:tcPr>
          <w:p>
            <w:pPr>
              <w:ind w:left="20"/>
              <w:spacing w:after="0"/>
              <w:rPr>
                <w:sz w:val="20"/>
                <w:szCs w:val="20"/>
                <w:color w:val="auto"/>
              </w:rPr>
            </w:pPr>
            <w:r>
              <w:rPr>
                <w:rFonts w:ascii="Arial" w:cs="Arial" w:eastAsia="Arial" w:hAnsi="Arial"/>
                <w:sz w:val="15"/>
                <w:szCs w:val="15"/>
                <w:color w:val="auto"/>
              </w:rPr>
              <w:t>640-690</w:t>
            </w:r>
          </w:p>
        </w:tc>
        <w:tc>
          <w:tcPr>
            <w:tcW w:w="20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5"/>
                <w:szCs w:val="15"/>
                <w:color w:val="auto"/>
              </w:rPr>
              <w:t>100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5"/>
                <w:szCs w:val="15"/>
                <w:color w:val="auto"/>
              </w:rPr>
              <w:t>190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26 %</w:t>
            </w:r>
          </w:p>
        </w:tc>
      </w:tr>
      <w:tr>
        <w:trPr>
          <w:trHeight w:val="199"/>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Greater than 690</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227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443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59 %</w:t>
            </w:r>
          </w:p>
        </w:tc>
      </w:tr>
      <w:tr>
        <w:trPr>
          <w:trHeight w:val="191"/>
        </w:trPr>
        <w:tc>
          <w:tcPr>
            <w:tcW w:w="4340" w:type="dxa"/>
            <w:vAlign w:val="bottom"/>
          </w:tcPr>
          <w:p>
            <w:pPr>
              <w:ind w:left="220"/>
              <w:spacing w:after="0"/>
              <w:rPr>
                <w:sz w:val="20"/>
                <w:szCs w:val="20"/>
                <w:color w:val="auto"/>
              </w:rPr>
            </w:pPr>
            <w:r>
              <w:rPr>
                <w:rFonts w:ascii="Arial" w:cs="Arial" w:eastAsia="Arial" w:hAnsi="Arial"/>
                <w:sz w:val="15"/>
                <w:szCs w:val="15"/>
                <w:color w:val="auto"/>
              </w:rPr>
              <w:t>Total credit card loans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391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742</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NOTE 7: INVESTMENTS AND FAIR VALUE MEASUREMENT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Available-for-sale</w:t>
      </w:r>
    </w:p>
    <w:p>
      <w:pPr>
        <w:spacing w:after="0" w:line="156"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 xml:space="preserve">As of December 31, 2024, we had $750 million of available -for-sale time deposits classified as cash equivalents on the unaudited condensed consolidated balance sheets. As of September 30, 2025, we had no available- for-sale time deposits. These investments had a maturity of three months or less at the time of purchase, and an aggregate market value equal to amortized cost. Refer to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3" w:name="page24"/>
    <w:bookmarkEnd w:id="2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Held-to-maturity</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tables summarize our held-to-maturity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97"/>
              </w:rPr>
              <w:t>December 31, 2024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Allowance for Credit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Amortized Cost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rPr>
              <w:t>Unrealized Gains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Unrealized Losses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Fair Value</w:t>
            </w:r>
          </w:p>
        </w:tc>
      </w:tr>
      <w:tr>
        <w:trPr>
          <w:trHeight w:val="179"/>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securities: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3240" w:type="dxa"/>
            <w:vAlign w:val="bottom"/>
          </w:tcPr>
          <w:p>
            <w:pPr>
              <w:ind w:left="220"/>
              <w:spacing w:after="0"/>
              <w:rPr>
                <w:sz w:val="20"/>
                <w:szCs w:val="20"/>
                <w:color w:val="auto"/>
              </w:rPr>
            </w:pPr>
            <w:r>
              <w:rPr>
                <w:rFonts w:ascii="Arial" w:cs="Arial" w:eastAsia="Arial" w:hAnsi="Arial"/>
                <w:sz w:val="15"/>
                <w:szCs w:val="15"/>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337</w:t>
            </w:r>
          </w:p>
        </w:tc>
        <w:tc>
          <w:tcPr>
            <w:tcW w:w="400" w:type="dxa"/>
            <w:vAlign w:val="bottom"/>
            <w:gridSpan w:val="4"/>
          </w:tcPr>
          <w:p>
            <w:pPr>
              <w:jc w:val="right"/>
              <w:ind w:right="152"/>
              <w:spacing w:after="0"/>
              <w:rPr>
                <w:sz w:val="20"/>
                <w:szCs w:val="20"/>
                <w:color w:val="auto"/>
              </w:rPr>
            </w:pPr>
            <w:r>
              <w:rPr>
                <w:rFonts w:ascii="Arial" w:cs="Arial" w:eastAsia="Arial" w:hAnsi="Arial"/>
                <w:sz w:val="15"/>
                <w:szCs w:val="15"/>
                <w:color w:val="auto"/>
              </w:rPr>
              <w:t>$</w:t>
            </w:r>
          </w:p>
        </w:tc>
        <w:tc>
          <w:tcPr>
            <w:tcW w:w="1100" w:type="dxa"/>
            <w:vAlign w:val="bottom"/>
          </w:tcPr>
          <w:p>
            <w:pPr>
              <w:ind w:left="840"/>
              <w:spacing w:after="0"/>
              <w:rPr>
                <w:sz w:val="20"/>
                <w:szCs w:val="20"/>
                <w:color w:val="auto"/>
              </w:rPr>
            </w:pPr>
            <w:r>
              <w:rPr>
                <w:rFonts w:ascii="Arial" w:cs="Arial" w:eastAsia="Arial" w:hAnsi="Arial"/>
                <w:sz w:val="15"/>
                <w:szCs w:val="15"/>
                <w:color w:val="auto"/>
              </w:rPr>
              <w:t>—</w:t>
            </w:r>
          </w:p>
        </w:tc>
        <w:tc>
          <w:tcPr>
            <w:tcW w:w="24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8"/>
              <w:spacing w:after="0"/>
              <w:rPr>
                <w:sz w:val="20"/>
                <w:szCs w:val="20"/>
                <w:color w:val="auto"/>
              </w:rPr>
            </w:pPr>
            <w:r>
              <w:rPr>
                <w:rFonts w:ascii="Arial" w:cs="Arial" w:eastAsia="Arial" w:hAnsi="Arial"/>
                <w:sz w:val="15"/>
                <w:szCs w:val="15"/>
                <w:color w:val="auto"/>
              </w:rPr>
              <w:t>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ind w:left="1060"/>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338</w:t>
            </w:r>
          </w:p>
        </w:tc>
      </w:tr>
      <w:tr>
        <w:trPr>
          <w:trHeight w:val="199"/>
        </w:trPr>
        <w:tc>
          <w:tcPr>
            <w:tcW w:w="3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 securities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51</w:t>
            </w:r>
          </w:p>
        </w:tc>
      </w:tr>
      <w:tr>
        <w:trPr>
          <w:trHeight w:val="19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securities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w:t>
            </w:r>
          </w:p>
        </w:tc>
      </w:tr>
      <w:tr>
        <w:trPr>
          <w:trHeight w:val="211"/>
        </w:trPr>
        <w:tc>
          <w:tcPr>
            <w:tcW w:w="3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held-to-maturity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398</w:t>
            </w:r>
          </w:p>
        </w:tc>
        <w:tc>
          <w:tcPr>
            <w:tcW w:w="400" w:type="dxa"/>
            <w:vAlign w:val="bottom"/>
            <w:gridSpan w:val="4"/>
            <w:shd w:val="clear" w:color="auto" w:fill="CCEEFF"/>
          </w:tcPr>
          <w:p>
            <w:pPr>
              <w:jc w:val="right"/>
              <w:ind w:right="152"/>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399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3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3"/>
                <w:szCs w:val="13"/>
                <w:b w:val="1"/>
                <w:bCs w:val="1"/>
                <w:color w:val="auto"/>
                <w:w w:val="98"/>
              </w:rPr>
              <w:t>September 30, 2025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Allowance for Credit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Amortized Cost</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Unrealized Gains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Unrealized Losses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Fair Value</w:t>
            </w:r>
          </w:p>
        </w:tc>
      </w:tr>
      <w:tr>
        <w:trPr>
          <w:trHeight w:val="179"/>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securities: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Treasury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53</w:t>
            </w:r>
          </w:p>
        </w:tc>
      </w:tr>
      <w:tr>
        <w:trPr>
          <w:trHeight w:val="211"/>
        </w:trPr>
        <w:tc>
          <w:tcPr>
            <w:tcW w:w="32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held-to-maturity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400" w:type="dxa"/>
            <w:vAlign w:val="bottom"/>
            <w:gridSpan w:val="4"/>
            <w:shd w:val="clear" w:color="auto" w:fill="CCEEFF"/>
          </w:tcPr>
          <w:p>
            <w:pPr>
              <w:jc w:val="right"/>
              <w:ind w:right="92"/>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53</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There were no sales of held-to-maturity investments during the three and nine months ended September 30, 2025.</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amortized cost and fair value of held-to-maturity investments by contractual maturity: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Within 1 Year</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1 to 2 Years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Total</w:t>
            </w:r>
          </w:p>
        </w:tc>
      </w:tr>
      <w:tr>
        <w:trPr>
          <w:trHeight w:val="179"/>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Amortized cost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6260" w:type="dxa"/>
            <w:vAlign w:val="bottom"/>
          </w:tcPr>
          <w:p>
            <w:pPr>
              <w:ind w:left="20"/>
              <w:spacing w:after="0"/>
              <w:rPr>
                <w:sz w:val="20"/>
                <w:szCs w:val="20"/>
                <w:color w:val="auto"/>
              </w:rPr>
            </w:pPr>
            <w:r>
              <w:rPr>
                <w:rFonts w:ascii="Arial" w:cs="Arial" w:eastAsia="Arial" w:hAnsi="Arial"/>
                <w:sz w:val="15"/>
                <w:szCs w:val="15"/>
                <w:color w:val="auto"/>
              </w:rPr>
              <w:t>Debt securities: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Treasury securities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337</w:t>
            </w:r>
          </w:p>
        </w:tc>
      </w:tr>
      <w:tr>
        <w:trPr>
          <w:trHeight w:val="199"/>
        </w:trPr>
        <w:tc>
          <w:tcPr>
            <w:tcW w:w="6260" w:type="dxa"/>
            <w:vAlign w:val="bottom"/>
          </w:tcPr>
          <w:p>
            <w:pPr>
              <w:ind w:left="220"/>
              <w:spacing w:after="0"/>
              <w:rPr>
                <w:sz w:val="20"/>
                <w:szCs w:val="20"/>
                <w:color w:val="auto"/>
              </w:rPr>
            </w:pPr>
            <w:r>
              <w:rPr>
                <w:rFonts w:ascii="Arial" w:cs="Arial" w:eastAsia="Arial" w:hAnsi="Arial"/>
                <w:sz w:val="15"/>
                <w:szCs w:val="15"/>
                <w:color w:val="auto"/>
              </w:rPr>
              <w:t>Corporate debt securities</w:t>
            </w:r>
          </w:p>
        </w:tc>
        <w:tc>
          <w:tcPr>
            <w:tcW w:w="18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ind w:left="10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51</w:t>
            </w:r>
          </w:p>
        </w:tc>
      </w:tr>
      <w:tr>
        <w:trPr>
          <w:trHeight w:val="199"/>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government agency securities</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w:t>
            </w:r>
          </w:p>
        </w:tc>
      </w:tr>
      <w:tr>
        <w:trPr>
          <w:trHeight w:val="191"/>
        </w:trPr>
        <w:tc>
          <w:tcPr>
            <w:tcW w:w="6260" w:type="dxa"/>
            <w:vAlign w:val="bottom"/>
          </w:tcPr>
          <w:p>
            <w:pPr>
              <w:ind w:left="440"/>
              <w:spacing w:after="0"/>
              <w:rPr>
                <w:sz w:val="20"/>
                <w:szCs w:val="20"/>
                <w:color w:val="auto"/>
              </w:rPr>
            </w:pPr>
            <w:r>
              <w:rPr>
                <w:rFonts w:ascii="Arial" w:cs="Arial" w:eastAsia="Arial" w:hAnsi="Arial"/>
                <w:sz w:val="15"/>
                <w:szCs w:val="15"/>
                <w:color w:val="auto"/>
              </w:rPr>
              <w:t>Total held-to-maturity investments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398</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tcPr>
          <w:p>
            <w:pPr>
              <w:ind w:left="104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398</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6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6260" w:type="dxa"/>
            <w:vAlign w:val="bottom"/>
          </w:tcPr>
          <w:p>
            <w:pPr>
              <w:ind w:left="20"/>
              <w:spacing w:after="0"/>
              <w:rPr>
                <w:sz w:val="20"/>
                <w:szCs w:val="20"/>
                <w:color w:val="auto"/>
              </w:rPr>
            </w:pPr>
            <w:r>
              <w:rPr>
                <w:rFonts w:ascii="Arial" w:cs="Arial" w:eastAsia="Arial" w:hAnsi="Arial"/>
                <w:sz w:val="15"/>
                <w:szCs w:val="15"/>
                <w:b w:val="1"/>
                <w:bCs w:val="1"/>
                <w:color w:val="auto"/>
              </w:rPr>
              <w:t>Fair value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securities: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9"/>
        </w:trPr>
        <w:tc>
          <w:tcPr>
            <w:tcW w:w="6260" w:type="dxa"/>
            <w:vAlign w:val="bottom"/>
          </w:tcPr>
          <w:p>
            <w:pPr>
              <w:ind w:left="220"/>
              <w:spacing w:after="0"/>
              <w:rPr>
                <w:sz w:val="20"/>
                <w:szCs w:val="20"/>
                <w:color w:val="auto"/>
              </w:rPr>
            </w:pPr>
            <w:r>
              <w:rPr>
                <w:rFonts w:ascii="Arial" w:cs="Arial" w:eastAsia="Arial" w:hAnsi="Arial"/>
                <w:sz w:val="15"/>
                <w:szCs w:val="15"/>
                <w:color w:val="auto"/>
              </w:rPr>
              <w:t>U.S. Treasury securities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338</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tcPr>
          <w:p>
            <w:pPr>
              <w:ind w:left="104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338</w:t>
            </w:r>
          </w:p>
        </w:tc>
      </w:tr>
      <w:tr>
        <w:trPr>
          <w:trHeight w:val="199"/>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Corporate debt securities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w:t>
            </w:r>
          </w:p>
        </w:tc>
      </w:tr>
      <w:tr>
        <w:trPr>
          <w:trHeight w:val="199"/>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government agency securities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r>
      <w:tr>
        <w:trPr>
          <w:trHeight w:val="211"/>
        </w:trPr>
        <w:tc>
          <w:tcPr>
            <w:tcW w:w="62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held-to-maturity investments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Within 1 Year</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1 to 2 Years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Total</w:t>
            </w:r>
          </w:p>
        </w:tc>
      </w:tr>
      <w:tr>
        <w:trPr>
          <w:trHeight w:val="179"/>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Amortized cost</w:t>
            </w: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9"/>
        </w:trPr>
        <w:tc>
          <w:tcPr>
            <w:tcW w:w="6260" w:type="dxa"/>
            <w:vAlign w:val="bottom"/>
          </w:tcPr>
          <w:p>
            <w:pPr>
              <w:ind w:left="20"/>
              <w:spacing w:after="0"/>
              <w:rPr>
                <w:sz w:val="20"/>
                <w:szCs w:val="20"/>
                <w:color w:val="auto"/>
              </w:rPr>
            </w:pPr>
            <w:r>
              <w:rPr>
                <w:rFonts w:ascii="Arial" w:cs="Arial" w:eastAsia="Arial" w:hAnsi="Arial"/>
                <w:sz w:val="15"/>
                <w:szCs w:val="15"/>
                <w:color w:val="auto"/>
              </w:rPr>
              <w:t>Debt securities: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Treasury securities</w:t>
            </w:r>
          </w:p>
        </w:tc>
        <w:tc>
          <w:tcPr>
            <w:tcW w:w="1120" w:type="dxa"/>
            <w:vAlign w:val="bottom"/>
            <w:tcBorders>
              <w:bottom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53</w:t>
            </w:r>
          </w:p>
        </w:tc>
      </w:tr>
      <w:tr>
        <w:trPr>
          <w:trHeight w:val="191"/>
        </w:trPr>
        <w:tc>
          <w:tcPr>
            <w:tcW w:w="6260" w:type="dxa"/>
            <w:vAlign w:val="bottom"/>
          </w:tcPr>
          <w:p>
            <w:pPr>
              <w:ind w:left="440"/>
              <w:spacing w:after="0"/>
              <w:rPr>
                <w:sz w:val="20"/>
                <w:szCs w:val="20"/>
                <w:color w:val="auto"/>
              </w:rPr>
            </w:pPr>
            <w:r>
              <w:rPr>
                <w:rFonts w:ascii="Arial" w:cs="Arial" w:eastAsia="Arial" w:hAnsi="Arial"/>
                <w:sz w:val="15"/>
                <w:szCs w:val="15"/>
                <w:color w:val="auto"/>
              </w:rPr>
              <w:t>Total held-to-maturity investments</w:t>
            </w:r>
          </w:p>
        </w:tc>
        <w:tc>
          <w:tcPr>
            <w:tcW w:w="1120" w:type="dxa"/>
            <w:vAlign w:val="bottom"/>
          </w:tcPr>
          <w:p>
            <w:pPr>
              <w:jc w:val="right"/>
              <w:ind w:right="946"/>
              <w:spacing w:after="0"/>
              <w:rPr>
                <w:sz w:val="20"/>
                <w:szCs w:val="20"/>
                <w:color w:val="auto"/>
              </w:rPr>
            </w:pPr>
            <w:r>
              <w:rPr>
                <w:rFonts w:ascii="Arial" w:cs="Arial" w:eastAsia="Arial" w:hAnsi="Arial"/>
                <w:sz w:val="15"/>
                <w:szCs w:val="15"/>
                <w:color w:val="auto"/>
                <w:w w:val="95"/>
              </w:rPr>
              <w:t>$</w:t>
            </w:r>
          </w:p>
        </w:tc>
        <w:tc>
          <w:tcPr>
            <w:tcW w:w="280" w:type="dxa"/>
            <w:vAlign w:val="bottom"/>
          </w:tcPr>
          <w:p>
            <w:pPr>
              <w:jc w:val="right"/>
              <w:ind w:right="4"/>
              <w:spacing w:after="0"/>
              <w:rPr>
                <w:sz w:val="20"/>
                <w:szCs w:val="20"/>
                <w:color w:val="auto"/>
              </w:rPr>
            </w:pPr>
            <w:r>
              <w:rPr>
                <w:rFonts w:ascii="Arial" w:cs="Arial" w:eastAsia="Arial" w:hAnsi="Arial"/>
                <w:sz w:val="15"/>
                <w:szCs w:val="15"/>
                <w:color w:val="auto"/>
              </w:rPr>
              <w:t>53</w:t>
            </w:r>
          </w:p>
        </w:tc>
        <w:tc>
          <w:tcPr>
            <w:tcW w:w="30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1160" w:type="dxa"/>
            <w:vAlign w:val="bottom"/>
          </w:tcPr>
          <w:p>
            <w:pPr>
              <w:ind w:left="92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53</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6260" w:type="dxa"/>
            <w:vAlign w:val="bottom"/>
          </w:tcPr>
          <w:p>
            <w:pPr>
              <w:ind w:left="20"/>
              <w:spacing w:after="0"/>
              <w:rPr>
                <w:sz w:val="20"/>
                <w:szCs w:val="20"/>
                <w:color w:val="auto"/>
              </w:rPr>
            </w:pPr>
            <w:r>
              <w:rPr>
                <w:rFonts w:ascii="Arial" w:cs="Arial" w:eastAsia="Arial" w:hAnsi="Arial"/>
                <w:sz w:val="15"/>
                <w:szCs w:val="15"/>
                <w:b w:val="1"/>
                <w:bCs w:val="1"/>
                <w:color w:val="auto"/>
              </w:rPr>
              <w:t>Fair value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securities: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U.S. Treasury securities</w:t>
            </w:r>
          </w:p>
        </w:tc>
        <w:tc>
          <w:tcPr>
            <w:tcW w:w="112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53</w:t>
            </w:r>
          </w:p>
        </w:tc>
      </w:tr>
      <w:tr>
        <w:trPr>
          <w:trHeight w:val="211"/>
        </w:trPr>
        <w:tc>
          <w:tcPr>
            <w:tcW w:w="62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held-to-maturity investments</w:t>
            </w:r>
          </w:p>
        </w:tc>
        <w:tc>
          <w:tcPr>
            <w:tcW w:w="1120" w:type="dxa"/>
            <w:vAlign w:val="bottom"/>
            <w:shd w:val="clear" w:color="auto" w:fill="CCEEFF"/>
          </w:tcPr>
          <w:p>
            <w:pPr>
              <w:jc w:val="right"/>
              <w:ind w:right="946"/>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55"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Financial assets and liabilities measured at fair value on a recurring basis were presented on our unaudited condensed consolidated balance sheets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3"/>
                <w:szCs w:val="13"/>
                <w:b w:val="1"/>
                <w:bCs w:val="1"/>
                <w:color w:val="auto"/>
              </w:rPr>
              <w:t>December 31, 2024</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6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Level 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Level 2</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Total</w:t>
            </w:r>
          </w:p>
        </w:tc>
      </w:tr>
      <w:tr>
        <w:trPr>
          <w:trHeight w:val="179"/>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9"/>
        </w:trPr>
        <w:tc>
          <w:tcPr>
            <w:tcW w:w="472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Time deposits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750</w:t>
            </w:r>
          </w:p>
        </w:tc>
      </w:tr>
      <w:tr>
        <w:trPr>
          <w:trHeight w:val="199"/>
        </w:trPr>
        <w:tc>
          <w:tcPr>
            <w:tcW w:w="472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53</w:t>
            </w:r>
          </w:p>
        </w:tc>
      </w:tr>
      <w:tr>
        <w:trPr>
          <w:trHeight w:val="153"/>
        </w:trPr>
        <w:tc>
          <w:tcPr>
            <w:tcW w:w="47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Cash, cash equivalents, and securities segregated under federal and</w:t>
            </w: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99"/>
        </w:trPr>
        <w:tc>
          <w:tcPr>
            <w:tcW w:w="4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regulations: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9"/>
        </w:trPr>
        <w:tc>
          <w:tcPr>
            <w:tcW w:w="4720" w:type="dxa"/>
            <w:vAlign w:val="bottom"/>
          </w:tcPr>
          <w:p>
            <w:pPr>
              <w:ind w:left="200"/>
              <w:spacing w:after="0"/>
              <w:rPr>
                <w:sz w:val="20"/>
                <w:szCs w:val="20"/>
                <w:color w:val="auto"/>
              </w:rPr>
            </w:pPr>
            <w:r>
              <w:rPr>
                <w:rFonts w:ascii="Arial" w:cs="Arial" w:eastAsia="Arial" w:hAnsi="Arial"/>
                <w:sz w:val="15"/>
                <w:szCs w:val="15"/>
                <w:color w:val="auto"/>
              </w:rPr>
              <w:t>U.S. Treasury securities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1,193</w:t>
            </w:r>
          </w:p>
        </w:tc>
      </w:tr>
      <w:tr>
        <w:trPr>
          <w:trHeight w:val="199"/>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9"/>
        </w:trPr>
        <w:tc>
          <w:tcPr>
            <w:tcW w:w="4720" w:type="dxa"/>
            <w:vAlign w:val="bottom"/>
          </w:tcPr>
          <w:p>
            <w:pPr>
              <w:ind w:left="200"/>
              <w:spacing w:after="0"/>
              <w:rPr>
                <w:sz w:val="20"/>
                <w:szCs w:val="20"/>
                <w:color w:val="auto"/>
              </w:rPr>
            </w:pPr>
            <w:r>
              <w:rPr>
                <w:rFonts w:ascii="Arial" w:cs="Arial" w:eastAsia="Arial" w:hAnsi="Arial"/>
                <w:sz w:val="15"/>
                <w:szCs w:val="15"/>
                <w:color w:val="auto"/>
              </w:rPr>
              <w:t>Stablecoin</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361</w:t>
            </w:r>
          </w:p>
        </w:tc>
      </w:tr>
      <w:tr>
        <w:trPr>
          <w:trHeight w:val="199"/>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 securities - securities owned</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w:t>
            </w:r>
          </w:p>
        </w:tc>
      </w:tr>
      <w:tr>
        <w:trPr>
          <w:trHeight w:val="199"/>
        </w:trPr>
        <w:tc>
          <w:tcPr>
            <w:tcW w:w="472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Money market funds - escrow account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r>
      <w:tr>
        <w:trPr>
          <w:trHeight w:val="19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User-held fractional shares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2,530</w:t>
            </w:r>
          </w:p>
        </w:tc>
      </w:tr>
      <w:tr>
        <w:trPr>
          <w:trHeight w:val="234"/>
        </w:trPr>
        <w:tc>
          <w:tcPr>
            <w:tcW w:w="47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financial assets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4,154</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4,904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9"/>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Fractional shares repurchase obligations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70"/>
              <w:spacing w:after="0"/>
              <w:rPr>
                <w:sz w:val="20"/>
                <w:szCs w:val="20"/>
                <w:color w:val="auto"/>
              </w:rPr>
            </w:pPr>
            <w:r>
              <w:rPr>
                <w:rFonts w:ascii="Arial" w:cs="Arial" w:eastAsia="Arial" w:hAnsi="Arial"/>
                <w:sz w:val="15"/>
                <w:szCs w:val="15"/>
                <w:color w:val="auto"/>
                <w:w w:val="95"/>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2,530</w:t>
            </w:r>
          </w:p>
        </w:tc>
      </w:tr>
      <w:tr>
        <w:trPr>
          <w:trHeight w:val="234"/>
        </w:trPr>
        <w:tc>
          <w:tcPr>
            <w:tcW w:w="47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financial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2,530</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2,530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5" w:name="page26"/>
    <w:bookmarkEnd w:id="2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September 30, 2025</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Level 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Money market funds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896"/>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line="153" w:lineRule="exact"/>
              <w:rPr>
                <w:sz w:val="20"/>
                <w:szCs w:val="20"/>
                <w:color w:val="auto"/>
              </w:rPr>
            </w:pPr>
            <w:r>
              <w:rPr>
                <w:rFonts w:ascii="Arial" w:cs="Arial" w:eastAsia="Arial" w:hAnsi="Arial"/>
                <w:sz w:val="15"/>
                <w:szCs w:val="15"/>
                <w:color w:val="auto"/>
              </w:rPr>
              <w:t>Cash, cash equivalents, and securities segregated under federal and</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5"/>
                <w:szCs w:val="15"/>
                <w:color w:val="auto"/>
              </w:rPr>
              <w:t>other regulations: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Treasury securities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1,938</w:t>
            </w:r>
          </w:p>
        </w:tc>
        <w:tc>
          <w:tcPr>
            <w:tcW w:w="0" w:type="dxa"/>
            <w:vAlign w:val="bottom"/>
          </w:tcPr>
          <w:p>
            <w:pPr>
              <w:spacing w:after="0"/>
              <w:rPr>
                <w:sz w:val="1"/>
                <w:szCs w:val="1"/>
                <w:color w:val="auto"/>
              </w:rPr>
            </w:pPr>
          </w:p>
        </w:tc>
      </w:tr>
      <w:tr>
        <w:trPr>
          <w:trHeight w:val="199"/>
        </w:trPr>
        <w:tc>
          <w:tcPr>
            <w:tcW w:w="4700" w:type="dxa"/>
            <w:vAlign w:val="bottom"/>
          </w:tcPr>
          <w:p>
            <w:pPr>
              <w:ind w:left="200"/>
              <w:spacing w:after="0"/>
              <w:rPr>
                <w:sz w:val="20"/>
                <w:szCs w:val="20"/>
                <w:color w:val="auto"/>
              </w:rPr>
            </w:pPr>
            <w:r>
              <w:rPr>
                <w:rFonts w:ascii="Arial" w:cs="Arial" w:eastAsia="Arial" w:hAnsi="Arial"/>
                <w:sz w:val="15"/>
                <w:szCs w:val="15"/>
                <w:color w:val="auto"/>
              </w:rPr>
              <w:t>Foreign Treasury securities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Deposits with clearing organizations: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00"/>
              <w:spacing w:after="0" w:line="199" w:lineRule="exact"/>
              <w:rPr>
                <w:sz w:val="20"/>
                <w:szCs w:val="20"/>
                <w:color w:val="auto"/>
              </w:rPr>
            </w:pPr>
            <w:r>
              <w:rPr>
                <w:rFonts w:ascii="Arial" w:cs="Arial" w:eastAsia="Arial" w:hAnsi="Arial"/>
                <w:sz w:val="15"/>
                <w:szCs w:val="15"/>
                <w:color w:val="auto"/>
              </w:rPr>
              <w:t>U.S. Treasury securities</w:t>
            </w:r>
            <w:r>
              <w:rPr>
                <w:rFonts w:ascii="Arial" w:cs="Arial" w:eastAsia="Arial" w:hAnsi="Arial"/>
                <w:sz w:val="21"/>
                <w:szCs w:val="21"/>
                <w:color w:val="auto"/>
                <w:vertAlign w:val="superscript"/>
              </w:rPr>
              <w:t>(1)</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698</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00"/>
              <w:spacing w:after="0"/>
              <w:rPr>
                <w:sz w:val="20"/>
                <w:szCs w:val="20"/>
                <w:color w:val="auto"/>
              </w:rPr>
            </w:pPr>
            <w:r>
              <w:rPr>
                <w:rFonts w:ascii="Arial" w:cs="Arial" w:eastAsia="Arial" w:hAnsi="Arial"/>
                <w:sz w:val="15"/>
                <w:szCs w:val="15"/>
                <w:color w:val="auto"/>
              </w:rPr>
              <w:t>Equity securities - securities owned</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8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Stablecoin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Money market funds - escrow account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User-held fractional shares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3,618</w:t>
            </w: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financial assets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896"/>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6,514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Fractional shares repurchase obligations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3,618</w:t>
            </w: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financial liabilities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896"/>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firstLine="4"/>
        <w:spacing w:after="0" w:line="216" w:lineRule="auto"/>
        <w:tabs>
          <w:tab w:leader="none" w:pos="164"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As of September 30, 2025, $697 million of our U.S. Treasury securities are pledged to a clearing organization to meet margin requirements for our securities lending program and $1 million of our U.S. Treasury securities are deposited with an exchange to enable the execution, clearing, and settlement of event contracts.</w:t>
      </w:r>
    </w:p>
    <w:p>
      <w:pPr>
        <w:spacing w:after="0" w:line="136" w:lineRule="exact"/>
        <w:rPr>
          <w:sz w:val="20"/>
          <w:szCs w:val="20"/>
          <w:color w:val="auto"/>
        </w:rPr>
      </w:pPr>
    </w:p>
    <w:p>
      <w:pPr>
        <w:ind w:firstLine="281"/>
        <w:spacing w:after="0" w:line="282" w:lineRule="auto"/>
        <w:rPr>
          <w:sz w:val="20"/>
          <w:szCs w:val="20"/>
          <w:color w:val="auto"/>
        </w:rPr>
      </w:pPr>
      <w:r>
        <w:rPr>
          <w:rFonts w:ascii="Arial" w:cs="Arial" w:eastAsia="Arial" w:hAnsi="Arial"/>
          <w:sz w:val="15"/>
          <w:szCs w:val="15"/>
          <w:color w:val="auto"/>
        </w:rPr>
        <w:t>The fair value for certain financial instruments that are not required to be measured or reported at fair value was presented on our unaudited condensed consolidated balance sheets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Level 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Level 2</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Level 3</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Total</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9"/>
        </w:trPr>
        <w:tc>
          <w:tcPr>
            <w:tcW w:w="4800" w:type="dxa"/>
            <w:vAlign w:val="bottom"/>
          </w:tcPr>
          <w:p>
            <w:pPr>
              <w:ind w:left="20"/>
              <w:spacing w:after="0"/>
              <w:rPr>
                <w:sz w:val="20"/>
                <w:szCs w:val="20"/>
                <w:color w:val="auto"/>
              </w:rPr>
            </w:pPr>
            <w:r>
              <w:rPr>
                <w:rFonts w:ascii="Arial" w:cs="Arial" w:eastAsia="Arial" w:hAnsi="Arial"/>
                <w:sz w:val="15"/>
                <w:szCs w:val="15"/>
                <w:color w:val="auto"/>
              </w:rPr>
              <w:t>Held-to-maturity investments: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48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Treasury securities</w:t>
            </w:r>
          </w:p>
        </w:tc>
        <w:tc>
          <w:tcPr>
            <w:tcW w:w="30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380" w:type="dxa"/>
            <w:vAlign w:val="bottom"/>
            <w:gridSpan w:val="3"/>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380" w:type="dxa"/>
            <w:vAlign w:val="bottom"/>
            <w:gridSpan w:val="4"/>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420" w:type="dxa"/>
            <w:vAlign w:val="bottom"/>
            <w:gridSpan w:val="4"/>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338</w:t>
            </w:r>
          </w:p>
        </w:tc>
      </w:tr>
      <w:tr>
        <w:trPr>
          <w:trHeight w:val="199"/>
        </w:trPr>
        <w:tc>
          <w:tcPr>
            <w:tcW w:w="4800" w:type="dxa"/>
            <w:vAlign w:val="bottom"/>
          </w:tcPr>
          <w:p>
            <w:pPr>
              <w:ind w:left="200"/>
              <w:spacing w:after="0"/>
              <w:rPr>
                <w:sz w:val="20"/>
                <w:szCs w:val="20"/>
                <w:color w:val="auto"/>
              </w:rPr>
            </w:pPr>
            <w:r>
              <w:rPr>
                <w:rFonts w:ascii="Arial" w:cs="Arial" w:eastAsia="Arial" w:hAnsi="Arial"/>
                <w:sz w:val="15"/>
                <w:szCs w:val="15"/>
                <w:color w:val="auto"/>
              </w:rPr>
              <w:t>Corporate debt securities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51</w:t>
            </w:r>
          </w:p>
        </w:tc>
      </w:tr>
      <w:tr>
        <w:trPr>
          <w:trHeight w:val="199"/>
        </w:trPr>
        <w:tc>
          <w:tcPr>
            <w:tcW w:w="48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government agency securities</w:t>
            </w: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10</w:t>
            </w:r>
          </w:p>
        </w:tc>
      </w:tr>
      <w:tr>
        <w:trPr>
          <w:trHeight w:val="214"/>
        </w:trPr>
        <w:tc>
          <w:tcPr>
            <w:tcW w:w="4800" w:type="dxa"/>
            <w:vAlign w:val="bottom"/>
          </w:tcPr>
          <w:p>
            <w:pPr>
              <w:ind w:left="360"/>
              <w:spacing w:after="0"/>
              <w:rPr>
                <w:sz w:val="20"/>
                <w:szCs w:val="20"/>
                <w:color w:val="auto"/>
              </w:rPr>
            </w:pPr>
            <w:r>
              <w:rPr>
                <w:rFonts w:ascii="Arial" w:cs="Arial" w:eastAsia="Arial" w:hAnsi="Arial"/>
                <w:sz w:val="15"/>
                <w:szCs w:val="15"/>
                <w:color w:val="auto"/>
              </w:rPr>
              <w:t>Total held-to-maturity investments</w:t>
            </w:r>
          </w:p>
        </w:tc>
        <w:tc>
          <w:tcPr>
            <w:tcW w:w="3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61</w:t>
            </w:r>
          </w:p>
        </w:tc>
        <w:tc>
          <w:tcPr>
            <w:tcW w:w="80" w:type="dxa"/>
            <w:vAlign w:val="bottom"/>
            <w:gridSpan w:val="2"/>
          </w:tcPr>
          <w:p>
            <w:pPr>
              <w:spacing w:after="0"/>
              <w:rPr>
                <w:sz w:val="18"/>
                <w:szCs w:val="18"/>
                <w:color w:val="auto"/>
              </w:rPr>
            </w:pPr>
          </w:p>
        </w:tc>
        <w:tc>
          <w:tcPr>
            <w:tcW w:w="30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18"/>
                <w:szCs w:val="18"/>
                <w:color w:val="auto"/>
              </w:rPr>
            </w:pPr>
          </w:p>
        </w:tc>
        <w:tc>
          <w:tcPr>
            <w:tcW w:w="34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399</w:t>
            </w: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7"/>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3"/>
                <w:szCs w:val="13"/>
                <w:b w:val="1"/>
                <w:bCs w:val="1"/>
                <w:color w:val="auto"/>
              </w:rPr>
              <w:t>September 30,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Level 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Level 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Total</w:t>
            </w:r>
          </w:p>
        </w:tc>
      </w:tr>
      <w:tr>
        <w:trPr>
          <w:trHeight w:val="183"/>
        </w:trPr>
        <w:tc>
          <w:tcPr>
            <w:tcW w:w="4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9"/>
        </w:trPr>
        <w:tc>
          <w:tcPr>
            <w:tcW w:w="4800" w:type="dxa"/>
            <w:vAlign w:val="bottom"/>
          </w:tcPr>
          <w:p>
            <w:pPr>
              <w:ind w:left="20"/>
              <w:spacing w:after="0"/>
              <w:rPr>
                <w:sz w:val="20"/>
                <w:szCs w:val="20"/>
                <w:color w:val="auto"/>
              </w:rPr>
            </w:pPr>
            <w:r>
              <w:rPr>
                <w:rFonts w:ascii="Arial" w:cs="Arial" w:eastAsia="Arial" w:hAnsi="Arial"/>
                <w:sz w:val="15"/>
                <w:szCs w:val="15"/>
                <w:color w:val="auto"/>
              </w:rPr>
              <w:t>Held-to-maturity investments: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48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Treasury securities</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gridSpan w:val="2"/>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53</w:t>
            </w:r>
          </w:p>
        </w:tc>
      </w:tr>
      <w:tr>
        <w:trPr>
          <w:trHeight w:val="214"/>
        </w:trPr>
        <w:tc>
          <w:tcPr>
            <w:tcW w:w="4800" w:type="dxa"/>
            <w:vAlign w:val="bottom"/>
          </w:tcPr>
          <w:p>
            <w:pPr>
              <w:ind w:left="360"/>
              <w:spacing w:after="0"/>
              <w:rPr>
                <w:sz w:val="20"/>
                <w:szCs w:val="20"/>
                <w:color w:val="auto"/>
              </w:rPr>
            </w:pPr>
            <w:r>
              <w:rPr>
                <w:rFonts w:ascii="Arial" w:cs="Arial" w:eastAsia="Arial" w:hAnsi="Arial"/>
                <w:sz w:val="15"/>
                <w:szCs w:val="15"/>
                <w:color w:val="auto"/>
              </w:rPr>
              <w:t>Total held-to-maturity investments</w:t>
            </w:r>
          </w:p>
        </w:tc>
        <w:tc>
          <w:tcPr>
            <w:tcW w:w="3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53</w:t>
            </w:r>
          </w:p>
        </w:tc>
        <w:tc>
          <w:tcPr>
            <w:tcW w:w="380" w:type="dxa"/>
            <w:vAlign w:val="bottom"/>
            <w:gridSpan w:val="3"/>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4"/>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ind w:left="860"/>
              <w:spacing w:after="0"/>
              <w:rPr>
                <w:sz w:val="20"/>
                <w:szCs w:val="20"/>
                <w:color w:val="auto"/>
              </w:rPr>
            </w:pPr>
            <w:r>
              <w:rPr>
                <w:rFonts w:ascii="Arial" w:cs="Arial" w:eastAsia="Arial" w:hAnsi="Arial"/>
                <w:sz w:val="15"/>
                <w:szCs w:val="15"/>
                <w:color w:val="auto"/>
              </w:rPr>
              <w:t>—</w:t>
            </w:r>
          </w:p>
        </w:tc>
        <w:tc>
          <w:tcPr>
            <w:tcW w:w="420" w:type="dxa"/>
            <w:vAlign w:val="bottom"/>
            <w:gridSpan w:val="4"/>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7"/>
              <w:spacing w:after="0"/>
              <w:rPr>
                <w:sz w:val="20"/>
                <w:szCs w:val="20"/>
                <w:color w:val="auto"/>
              </w:rPr>
            </w:pPr>
            <w:r>
              <w:rPr>
                <w:rFonts w:ascii="Arial" w:cs="Arial" w:eastAsia="Arial" w:hAnsi="Arial"/>
                <w:sz w:val="15"/>
                <w:szCs w:val="15"/>
                <w:color w:val="auto"/>
              </w:rPr>
              <w:t>53</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6" w:name="page27"/>
    <w:bookmarkEnd w:id="2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The fair values used for held -to-maturity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the nine months ended September 30, 2025, we did not have any transfers in or out of Level 3 assets or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NOTE 8: INCOME TAXES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76"/>
              <w:spacing w:after="0"/>
              <w:rPr>
                <w:sz w:val="20"/>
                <w:szCs w:val="20"/>
                <w:color w:val="auto"/>
              </w:rPr>
            </w:pPr>
            <w:r>
              <w:rPr>
                <w:rFonts w:ascii="Arial" w:cs="Arial" w:eastAsia="Arial" w:hAnsi="Arial"/>
                <w:sz w:val="13"/>
                <w:szCs w:val="13"/>
                <w:b w:val="1"/>
                <w:bCs w:val="1"/>
                <w:color w:val="auto"/>
                <w:w w:val="99"/>
              </w:rPr>
              <w:t>Three Months Ended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8"/>
              </w:rPr>
              <w:t>Nine Months Ended</w:t>
            </w:r>
          </w:p>
        </w:tc>
        <w:tc>
          <w:tcPr>
            <w:tcW w:w="920" w:type="dxa"/>
            <w:vAlign w:val="bottom"/>
          </w:tcPr>
          <w:p>
            <w:pPr>
              <w:spacing w:after="0"/>
              <w:rPr>
                <w:sz w:val="13"/>
                <w:szCs w:val="13"/>
                <w:color w:val="auto"/>
              </w:rPr>
            </w:pPr>
          </w:p>
        </w:tc>
      </w:tr>
      <w:tr>
        <w:trPr>
          <w:trHeight w:val="175"/>
        </w:trPr>
        <w:tc>
          <w:tcPr>
            <w:tcW w:w="4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3"/>
                <w:szCs w:val="13"/>
                <w:b w:val="1"/>
                <w:bCs w:val="1"/>
                <w:color w:val="auto"/>
                <w:w w:val="98"/>
              </w:rPr>
              <w:t>September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September 30,</w:t>
            </w:r>
          </w:p>
        </w:tc>
        <w:tc>
          <w:tcPr>
            <w:tcW w:w="920" w:type="dxa"/>
            <w:vAlign w:val="bottom"/>
            <w:tcBorders>
              <w:bottom w:val="single" w:sz="8" w:color="auto"/>
            </w:tcBorders>
          </w:tcPr>
          <w:p>
            <w:pPr>
              <w:spacing w:after="0"/>
              <w:rPr>
                <w:sz w:val="15"/>
                <w:szCs w:val="15"/>
                <w:color w:val="auto"/>
              </w:rPr>
            </w:pPr>
          </w:p>
        </w:tc>
      </w:tr>
      <w:tr>
        <w:trPr>
          <w:trHeight w:val="16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percentages)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w w:val="96"/>
              </w:rPr>
              <w:t>2025</w:t>
            </w:r>
          </w:p>
        </w:tc>
      </w:tr>
      <w:tr>
        <w:trPr>
          <w:trHeight w:val="191"/>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880" w:type="dxa"/>
            <w:vAlign w:val="bottom"/>
            <w:shd w:val="clear" w:color="auto" w:fill="CCEEFF"/>
          </w:tcPr>
          <w:p>
            <w:pPr>
              <w:jc w:val="right"/>
              <w:ind w:right="73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153</w:t>
            </w:r>
          </w:p>
        </w:tc>
        <w:tc>
          <w:tcPr>
            <w:tcW w:w="1040" w:type="dxa"/>
            <w:vAlign w:val="bottom"/>
            <w:gridSpan w:val="2"/>
            <w:shd w:val="clear" w:color="auto" w:fill="CCEEFF"/>
          </w:tcPr>
          <w:p>
            <w:pPr>
              <w:jc w:val="right"/>
              <w:ind w:right="796"/>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634</w:t>
            </w:r>
          </w:p>
        </w:tc>
        <w:tc>
          <w:tcPr>
            <w:tcW w:w="1000" w:type="dxa"/>
            <w:vAlign w:val="bottom"/>
            <w:gridSpan w:val="2"/>
            <w:shd w:val="clear" w:color="auto" w:fill="CCEEFF"/>
          </w:tcPr>
          <w:p>
            <w:pPr>
              <w:jc w:val="right"/>
              <w:ind w:right="75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506</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1,447</w:t>
            </w:r>
          </w:p>
        </w:tc>
      </w:tr>
      <w:tr>
        <w:trPr>
          <w:trHeight w:val="199"/>
        </w:trPr>
        <w:tc>
          <w:tcPr>
            <w:tcW w:w="43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880" w:type="dxa"/>
            <w:vAlign w:val="bottom"/>
          </w:tcPr>
          <w:p>
            <w:pPr>
              <w:spacing w:after="0"/>
              <w:rPr>
                <w:sz w:val="17"/>
                <w:szCs w:val="17"/>
                <w:color w:val="auto"/>
              </w:rPr>
            </w:pPr>
          </w:p>
        </w:tc>
        <w:tc>
          <w:tcPr>
            <w:tcW w:w="580" w:type="dxa"/>
            <w:vAlign w:val="bottom"/>
          </w:tcPr>
          <w:p>
            <w:pPr>
              <w:jc w:val="right"/>
              <w:ind w:right="109"/>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ind w:right="124"/>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109"/>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27"/>
              <w:spacing w:after="0"/>
              <w:rPr>
                <w:sz w:val="20"/>
                <w:szCs w:val="20"/>
                <w:color w:val="auto"/>
              </w:rPr>
            </w:pPr>
            <w:r>
              <w:rPr>
                <w:rFonts w:ascii="Arial" w:cs="Arial" w:eastAsia="Arial" w:hAnsi="Arial"/>
                <w:sz w:val="15"/>
                <w:szCs w:val="15"/>
                <w:color w:val="auto"/>
              </w:rPr>
              <w:t>169</w:t>
            </w:r>
          </w:p>
        </w:tc>
      </w:tr>
      <w:tr>
        <w:trPr>
          <w:trHeight w:val="199"/>
        </w:trPr>
        <w:tc>
          <w:tcPr>
            <w:tcW w:w="4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Effective tax rate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12.3 %</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11.7 %</w:t>
            </w:r>
          </w:p>
        </w:tc>
      </w:tr>
    </w:tbl>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tax provision for interim periods is determined using an estimated annual effective tax rate (“ETR”), adjusted for discrete items arising in the period.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 each quarter, we update our estimated annual ETR and make a year-to-date calculation of the provision.</w:t>
      </w:r>
    </w:p>
    <w:p>
      <w:pPr>
        <w:spacing w:after="0" w:line="142"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For the three and nine months ended September 30, 2024, the ETR was lower than the U.S. federal statutory rate primarily due to the full valuation allowance on our U.S. federal and state deferred tax assets offset by current taxes payable. For the three and nine months ended September 30, 2025, the ETR was lower than the U.S. federal statutory rate primarily due to excess tax benefits from SBC.</w:t>
      </w:r>
    </w:p>
    <w:p>
      <w:pPr>
        <w:spacing w:after="0" w:line="112"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The realization of tax benefits of net deferred assets is dependent upon future levels of taxable income, of an appropriate character, in the periods the items are expected to be deductible or taxable. Based on the available objective evidence for the nine months ended September 30, 2025, we believe it is more likely than not that the tax benefits of our California, certain other U.S. states and certain foreign net deferred tax assets may not be realized until sufficient positive evidence exists to support reversal of the valuation allowance.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NOTE 9: SECURITIES BORROWING AND LENDING</w:t>
      </w:r>
    </w:p>
    <w:p>
      <w:pPr>
        <w:spacing w:after="0" w:line="158"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unaudited condensed consolidated balance sheets.</w:t>
      </w:r>
    </w:p>
    <w:p>
      <w:pPr>
        <w:spacing w:after="0" w:line="112"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When we borrow securities from users participating in the Fully-Paid Securities Lending program or from third parties, we provide cash collateral to our users and third parties, which is recorded on our consolidated balance sheets as “securities borrowed”, an asset, representing our rights to the return of that collateral. When we lend securities to third parties, we receive cash as collateral, which is recorded on our consolidated balance sheets as “securities loaned”, a liability, representing our obligation to return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61" w:lineRule="auto"/>
        <w:rPr>
          <w:sz w:val="20"/>
          <w:szCs w:val="20"/>
          <w:color w:val="auto"/>
        </w:rPr>
      </w:pPr>
      <w:r>
        <w:rPr>
          <w:rFonts w:ascii="Arial" w:cs="Arial" w:eastAsia="Arial" w:hAnsi="Arial"/>
          <w:sz w:val="15"/>
          <w:szCs w:val="15"/>
          <w:color w:val="auto"/>
        </w:rPr>
        <w:t>The following tables set forth certain balances related to our securities borrowing and lending activities as of December 31, 2024 and September 30, 2025: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27"/>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206"/>
              <w:spacing w:after="0"/>
              <w:rPr>
                <w:sz w:val="20"/>
                <w:szCs w:val="20"/>
                <w:color w:val="auto"/>
              </w:rPr>
            </w:pPr>
            <w:r>
              <w:rPr>
                <w:rFonts w:ascii="Arial" w:cs="Arial" w:eastAsia="Arial" w:hAnsi="Arial"/>
                <w:sz w:val="13"/>
                <w:szCs w:val="13"/>
                <w:b w:val="1"/>
                <w:bCs w:val="1"/>
                <w:color w:val="auto"/>
              </w:rPr>
              <w:t>September 30,</w:t>
            </w:r>
          </w:p>
        </w:tc>
      </w:tr>
      <w:tr>
        <w:trPr>
          <w:trHeight w:val="175"/>
        </w:trPr>
        <w:tc>
          <w:tcPr>
            <w:tcW w:w="76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2025</w:t>
            </w:r>
          </w:p>
        </w:tc>
      </w:tr>
      <w:tr>
        <w:trPr>
          <w:trHeight w:val="16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3"/>
                <w:szCs w:val="13"/>
                <w:b w:val="1"/>
                <w:bCs w:val="1"/>
                <w:color w:val="auto"/>
              </w:rPr>
              <w:t>Securities borrowed</w:t>
            </w:r>
          </w:p>
        </w:tc>
      </w:tr>
      <w:tr>
        <w:trPr>
          <w:trHeight w:val="191"/>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amount of cash collateral provided to users for securities borrowing transactions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3,236</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6,607</w:t>
            </w:r>
          </w:p>
        </w:tc>
      </w:tr>
      <w:tr>
        <w:trPr>
          <w:trHeight w:val="19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Gross amount offset on the consolidated balance sheets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1"/>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of assets presented on the consolidated balance sheets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3,236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6,607</w:t>
            </w:r>
          </w:p>
        </w:tc>
      </w:tr>
      <w:tr>
        <w:trPr>
          <w:trHeight w:val="199"/>
        </w:trPr>
        <w:tc>
          <w:tcPr>
            <w:tcW w:w="7660" w:type="dxa"/>
            <w:vAlign w:val="bottom"/>
          </w:tcPr>
          <w:p>
            <w:pPr>
              <w:ind w:left="20"/>
              <w:spacing w:after="0"/>
              <w:rPr>
                <w:sz w:val="20"/>
                <w:szCs w:val="20"/>
                <w:color w:val="auto"/>
              </w:rPr>
            </w:pPr>
            <w:r>
              <w:rPr>
                <w:rFonts w:ascii="Arial" w:cs="Arial" w:eastAsia="Arial" w:hAnsi="Arial"/>
                <w:sz w:val="15"/>
                <w:szCs w:val="15"/>
                <w:color w:val="auto"/>
              </w:rPr>
              <w:t>Gross amount not offset on the consolidated balance sheets: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9"/>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collateral provided to users and third parties for securities borrowing transactions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3,236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6,607</w:t>
            </w:r>
          </w:p>
        </w:tc>
      </w:tr>
      <w:tr>
        <w:trPr>
          <w:trHeight w:val="199"/>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Fair value of securities borrowed from users and third parties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(6,465)</w:t>
            </w:r>
          </w:p>
        </w:tc>
      </w:tr>
      <w:tr>
        <w:trPr>
          <w:trHeight w:val="211"/>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Net amount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142</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35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3"/>
                <w:szCs w:val="13"/>
                <w:b w:val="1"/>
                <w:bCs w:val="1"/>
                <w:color w:val="auto"/>
              </w:rPr>
              <w:t>Securities loaned</w:t>
            </w:r>
          </w:p>
        </w:tc>
      </w:tr>
      <w:tr>
        <w:trPr>
          <w:trHeight w:val="191"/>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amount of cash collateral received from counterparties for securities lending transactions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7,463</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15,666</w:t>
            </w:r>
          </w:p>
        </w:tc>
      </w:tr>
      <w:tr>
        <w:trPr>
          <w:trHeight w:val="19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Gross amount offset on the consolidated balance sheets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r>
      <w:tr>
        <w:trPr>
          <w:trHeight w:val="191"/>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of liabilities presented on the consolidated balance sheets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7,463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15,666</w:t>
            </w:r>
          </w:p>
        </w:tc>
      </w:tr>
      <w:tr>
        <w:trPr>
          <w:trHeight w:val="199"/>
        </w:trPr>
        <w:tc>
          <w:tcPr>
            <w:tcW w:w="7660" w:type="dxa"/>
            <w:vAlign w:val="bottom"/>
          </w:tcPr>
          <w:p>
            <w:pPr>
              <w:ind w:left="20"/>
              <w:spacing w:after="0"/>
              <w:rPr>
                <w:sz w:val="20"/>
                <w:szCs w:val="20"/>
                <w:color w:val="auto"/>
              </w:rPr>
            </w:pPr>
            <w:r>
              <w:rPr>
                <w:rFonts w:ascii="Arial" w:cs="Arial" w:eastAsia="Arial" w:hAnsi="Arial"/>
                <w:sz w:val="15"/>
                <w:szCs w:val="15"/>
                <w:color w:val="auto"/>
              </w:rPr>
              <w:t>Gross amount not offset on the consolidated balance sheets: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9"/>
        </w:trPr>
        <w:tc>
          <w:tcPr>
            <w:tcW w:w="7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collateral received from counterparties for securities lending transactions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7,463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15,666</w:t>
            </w:r>
          </w:p>
        </w:tc>
      </w:tr>
      <w:tr>
        <w:trPr>
          <w:trHeight w:val="199"/>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Fair value of securities pledged to counterparties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(14,956)</w:t>
            </w:r>
          </w:p>
        </w:tc>
      </w:tr>
      <w:tr>
        <w:trPr>
          <w:trHeight w:val="211"/>
        </w:trPr>
        <w:tc>
          <w:tcPr>
            <w:tcW w:w="76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Net amount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576</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710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We obtain securities on terms that permit us to pledge and/or transfer securities to others. As of December 31, 2024 and September 30, 2025, we were permitted to re-pledge securities with a fair value of $11.04 billion and $19.74 billion under margin account agreements with users. As of December 31, 2024, we were permitted to re- pledge securities with a fair value of an immaterial balance that we borrowed under the master securities loan agreements (“MSLAs”) with third parties. As of September 30, 2025, there were no securities re-pledged from borrowing under MSLAs with third parties. Under the Fully-Paid Securities Lending program, as of December 31, 2024 and September 30, 2025, we were permitted to borrow securities with a fair value of $38.70 billion and $68.76 billion including securities with a fair value of $3.12 billion and $6.47 billion that we had borrowed from users.</w:t>
      </w:r>
    </w:p>
    <w:p>
      <w:pPr>
        <w:spacing w:after="0" w:line="120"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As of December 31, 2024 and September 30, 2025, we had re-pledged securities with a fair value of $6.89 billion and $14.96 billion, in each case under MSLAs and fixed-term securities lending agreements with third parties. In addition, as of December 31, 2024 and September 30, 2025, we had re-pledged $1.60 billion and $2.85 billion of the permitted amounts under the margin account agreements with clearing organizations to meet deposit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NOTE 10: FINANCING ACTIVITIES AND OFF-BALANCE SHEET RISK</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Credit Facilities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RHM March 2025 Credit Agreement</w:t>
      </w:r>
    </w:p>
    <w:p>
      <w:pPr>
        <w:spacing w:after="0" w:line="156" w:lineRule="exact"/>
        <w:rPr>
          <w:sz w:val="20"/>
          <w:szCs w:val="20"/>
          <w:color w:val="auto"/>
        </w:rPr>
      </w:pPr>
    </w:p>
    <w:p>
      <w:pPr>
        <w:ind w:right="40" w:firstLine="281"/>
        <w:spacing w:after="0" w:line="282" w:lineRule="auto"/>
        <w:rPr>
          <w:sz w:val="20"/>
          <w:szCs w:val="20"/>
          <w:color w:val="auto"/>
        </w:rPr>
      </w:pPr>
      <w:r>
        <w:rPr>
          <w:rFonts w:ascii="Arial" w:cs="Arial" w:eastAsia="Arial" w:hAnsi="Arial"/>
          <w:sz w:val="15"/>
          <w:szCs w:val="15"/>
          <w:color w:val="auto"/>
        </w:rPr>
        <w:t>On March 21, 2025, RHM entered into the Third Amended and Restated Credit Agreement with a syndicate of banks, as amended by the First Amendment, dated as of October 15, 2025 (the “RHM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March 2025 Credit Agreement”), amending and restating the unsecured revolving line of credit entered into in March 2024 (refer to Note 12 - Financing Activities and Off-Balance Sheet Risk, of the 2024 Form 10-K for more information). The RHM March 2025 Credit Agreement has an initial commitment of $1 billion with a maturity date of March 21, 2028. Under circumstances described in the RHM March 2025 Credit Agreement, the aggregate commitments may be increased from time to time by up to $250 million in the aggregate (the “Accordion”), for a total commitment of up to $1.25 billion. On June 12, 2025, we increased the commitment from $1 billion to $1.125 billion pursuant to the Accordion and as a result reduced the available incremental commitment available pursuant to the Accordion by a corresponding amount. Borrowings under the RHM March 2025 Credit Agreement will bear interest at a rate per annum equal to the Alternate Base Rate or Adjusted Term Secured Overnight Financing Rate (“SOFR”) plus an applicable margin rate of 1.50%. For purposes of the RHM March 2025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2025 Credit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Robinhood Securities, LLC (“RHS”) March 2025 Credit Agreement</w:t>
      </w:r>
    </w:p>
    <w:p>
      <w:pPr>
        <w:spacing w:after="0" w:line="156"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On March 21, 2025, RHS, our wholly-owned subsidiary, entered into the Fourth Amended and Restated Credit Agreement (the “RHS March 2025 Credit Agreement”) among RHS, as borrower, the lenders party thereto, and JPMorgan Chase Bank, N.A., as administrative agent, amending and restating the $2.25 billion 364-day senior secured revolving credit facility entered into in March 2024 (refer to Note 12 - Financing Activities and Off-Balance Sheet Risk, of the 2024 Form 10-K for more information).</w:t>
      </w:r>
    </w:p>
    <w:p>
      <w:pPr>
        <w:spacing w:after="0" w:line="116"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The RHS March 2025 Credit Agreement provides for a 364-day senior secured revolving credit facility with a total commitment of $2.65 billion. Under circumstances described in the RHS March 2025 Credit Agreement, the aggregate commitments may be increased by up to $ 1.325 billion via an accordion feature, for a total commitment of $3.975 billion. Borrowings under the credit facility must be specified to be Tranche A, Tranche B, Tranche C or a combination thereof, with each tranche being secured by different assets of RHS as set forth in the RHS March 2025 Credit Agreement. Borrowings under the RHS March 2025 Credit Agreement will bear interest at a rate per annum equal to the greatest of (i) Daily Simple SOFR (as defined in the RHS March 2025 Credit Agreement) plus 0.10% , (ii) the Federal Funds Effective Rate (as defined in the RHS March 2025 Credit Agreement) and (iii) the Overnight Bank Funding Rate (as defined in the RHS March 2025 Credit Agreement), in each case, as of the day the loan is initiated, plus an applicable margin rate. The applicable margin rate is 1.25% for Tranche A loans and 2.50% for Tranche B and Tranche C loans. Undrawn commitments will accrue commitment fees at a rate per annum equal to 0.50%.</w:t>
      </w:r>
    </w:p>
    <w:p>
      <w:pPr>
        <w:spacing w:after="0" w:line="123" w:lineRule="exact"/>
        <w:rPr>
          <w:sz w:val="20"/>
          <w:szCs w:val="20"/>
          <w:color w:val="auto"/>
        </w:rPr>
      </w:pPr>
    </w:p>
    <w:p>
      <w:pPr>
        <w:jc w:val="both"/>
        <w:ind w:right="20" w:firstLine="281"/>
        <w:spacing w:after="0" w:line="252" w:lineRule="auto"/>
        <w:rPr>
          <w:sz w:val="20"/>
          <w:szCs w:val="20"/>
          <w:color w:val="auto"/>
        </w:rPr>
      </w:pPr>
      <w:r>
        <w:rPr>
          <w:rFonts w:ascii="Arial" w:cs="Arial" w:eastAsia="Arial" w:hAnsi="Arial"/>
          <w:sz w:val="15"/>
          <w:szCs w:val="15"/>
          <w:color w:val="auto"/>
        </w:rPr>
        <w:t>The RHS March 2025 Credit Agreement requires RHS to maintain a minimum consolidated tangible net worth and a minimum excess net capital, and subjects RHS to a specified limit on minimum net capital to aggregate debit items. In addition, the RHS March 2025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2025 Credit Agreement may be accelerated upon an “event of default,” as defined in the RHS March 2025 Credit Agreement, such as failure to pay amounts owed thereunder when due, breach of a covenant, material inaccuracy of a representation, or occurrence of bankruptcy or insolvency, subject in some cases to cure periods.</w:t>
      </w:r>
    </w:p>
    <w:p>
      <w:pPr>
        <w:spacing w:after="0" w:line="120"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As of December 31, 2024 and September 30, 2025, there were no borrowings outstanding and we were in compliance with all covenants, as applicable, under 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Card Funding Trust</w:t>
      </w:r>
    </w:p>
    <w:p>
      <w:pPr>
        <w:spacing w:after="0" w:line="155"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Under terms of the Coastal Community Bank (“Coastal Bank”) Program Agreement (discussed below), Robinhood Credit Inc.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variable interest entity known as the Credit Card Funding Trust (the “Trust”).</w:t>
      </w:r>
    </w:p>
    <w:p>
      <w:pPr>
        <w:spacing w:after="0" w:line="116"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w:t>
      </w:r>
    </w:p>
    <w:p>
      <w:pPr>
        <w:spacing w:after="0" w:line="118"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As of September 30, 2025, the Trust had three arrangements in place: (1) to borrow up to $200 million from Barclays Bank (“Barclays”), (2) to borrow up to $150 million from Silicon Valley Bank (“SVB”), which was amended on September 26, 2025 to decrease the borrowing capacity and the pricing, and (3) to borrow up to $300 million from Wells Fargo Bank (“WF”), which was a new borrowing agreement entered into on August 1, 2025.</w:t>
      </w:r>
    </w:p>
    <w:p>
      <w:pPr>
        <w:spacing w:after="0" w:line="112"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Under the Barclays arrangement, the Trust may borrow, repay, and re-borrow up to a committed amount of $ 200 million during the revolving period, which ends in November 2026. During this period, borrowings bear interest at Barclays’ commercial paper rate plus 1.75% and undrawn amounts accrue an undrawn fee at rates between 0.25% and 0.35%, depending on utilization. After the revolving period ends, the facility enters an amortization period during which no new borrowings are permitted, and the Trust repays the outstanding balance. The interest margin increases during this amortization phase.</w:t>
      </w:r>
    </w:p>
    <w:p>
      <w:pPr>
        <w:spacing w:after="0" w:line="116" w:lineRule="exact"/>
        <w:rPr>
          <w:sz w:val="20"/>
          <w:szCs w:val="20"/>
          <w:color w:val="auto"/>
        </w:rPr>
      </w:pPr>
    </w:p>
    <w:p>
      <w:pPr>
        <w:jc w:val="both"/>
        <w:ind w:right="20" w:firstLine="281"/>
        <w:spacing w:after="0" w:line="271" w:lineRule="auto"/>
        <w:rPr>
          <w:sz w:val="20"/>
          <w:szCs w:val="20"/>
          <w:color w:val="auto"/>
        </w:rPr>
      </w:pPr>
      <w:r>
        <w:rPr>
          <w:rFonts w:ascii="Arial" w:cs="Arial" w:eastAsia="Arial" w:hAnsi="Arial"/>
          <w:sz w:val="15"/>
          <w:szCs w:val="15"/>
          <w:color w:val="auto"/>
        </w:rPr>
        <w:t>Under the SVB arrangement, the Trust may borrow, repay, and re-borrow up to a committed amount of $150 million during the revolving period, which ends in April 2027. During this period, borrowings bear interest at a rate equal to the Term SOFR plus 1.5%, and undrawn amounts accrue at a rate of 0.25%.</w:t>
      </w:r>
    </w:p>
    <w:p>
      <w:pPr>
        <w:spacing w:after="0" w:line="290"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Under the WF arrangement, the Trust may borrow, repay and re- borrow up to a committed amount of $300 million during the revolving period, which ends in August 2028. During this period, borrowings bear interest at a rate equal to the Daily Simple SOFR plus 1.4%. After the revolving period ends, the facility enters a controlled amortization period where interest increases to a rate equal to the Daily Simple SOFR plus 2.0%, and undrawn amounts accrue an undrawn fee at rates between 0.275% and 0.325%, depending on utilization.</w:t>
      </w:r>
    </w:p>
    <w:p>
      <w:pPr>
        <w:spacing w:after="0" w:line="116"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As of December 31, 2024, the weighted average interest rate of the SVB and Barclays arrangements was 7.81%. As of September 30, 2025, the weighted average interest rate of the SVB, Barclays, and WF arrangements was 6.45%. As of December 31, 2024 and during the three and nine months ended September 30, 2025, the Trust purchased $ 748 million, $1.4 billion and $2.9 billion of credit card receivables. As of December 31, 2024 and September 30, 2025, the carrying value of purchased credit card receivables that had not been collected, net of provision for credit losses, was $179 million and $501 million, and the outstanding balance of borrowing principal and interest was $131 million and $378 million. For the three and nine months ended September 30, 2024, the net interest revenue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Trust was immaterial. For the three and nine months ended September 30, 2025, the net interest revenue of the Trust was $14 million and $26 million.</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Risk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Coastal Bank Program Agreement</w:t>
      </w:r>
    </w:p>
    <w:p>
      <w:pPr>
        <w:spacing w:after="0" w:line="156"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Under a program agreement between us and Coastal Bank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w:t>
      </w:r>
    </w:p>
    <w:p>
      <w:pPr>
        <w:spacing w:after="0" w:line="182"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September 30, 2025, the off-balance sheet credit card receivables funded under the Program Agreement was $207 million.</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Transaction Settlement</w:t>
      </w:r>
    </w:p>
    <w:p>
      <w:pPr>
        <w:spacing w:after="0" w:line="214"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In the normal course of business, we engage in activities involving settlement and financing of securities transactions. User securities transactions are recorded on a settlement date basis. Effective May 2024, the settlement date for equities has been shortened from two business days after the trade date to one business day after the trade date, while the settlement date for options remains unchanged at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Cryptocurrency Held in Custody on Behalf of Users</w:t>
      </w:r>
    </w:p>
    <w:p>
      <w:pPr>
        <w:spacing w:after="0" w:line="214"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We hold cryptocurrencies in custody on behalf of our users which includes staked assets on our platform, totaling $35.2 billion and $51.8 billion at fair value at December 31, 2024 and September 30, 2025, and these assets were not recorded on our unaudited condensed consolidated balance sheets. The fair value was determined based on observed market pricing representing the last price executed for trades of each cryptocurrency at period ends. We also considered whether a liability representing anticipated losses from crypto assets which we hold in custody on behalf of users should be recognized and determined the likelihood of such losses was remote. As such, we did not record a liability at December 31, 2024 and September 30, 2025.</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NOTE 11: COMMON STOCK AND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September 30, 2025, no terms of the preferred stock were designated and no shares of preferred stock were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55"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1" w:name="page32"/>
    <w:bookmarkEnd w:id="3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of our Class A common stock and Class B common stock vote together as a single class, unless otherwise required by our Amended and Restated Certificate of Incorporation (our “Charter”) or applicable law.</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Warrants</w:t>
      </w:r>
    </w:p>
    <w:p>
      <w:pPr>
        <w:spacing w:after="0" w:line="155" w:lineRule="exact"/>
        <w:rPr>
          <w:sz w:val="20"/>
          <w:szCs w:val="20"/>
          <w:color w:val="auto"/>
        </w:rPr>
      </w:pPr>
    </w:p>
    <w:p>
      <w:pPr>
        <w:jc w:val="both"/>
        <w:ind w:right="40" w:firstLine="281"/>
        <w:spacing w:after="0" w:line="257" w:lineRule="auto"/>
        <w:rPr>
          <w:sz w:val="20"/>
          <w:szCs w:val="20"/>
          <w:color w:val="auto"/>
        </w:rPr>
      </w:pPr>
      <w:r>
        <w:rPr>
          <w:rFonts w:ascii="Arial" w:cs="Arial" w:eastAsia="Arial" w:hAnsi="Arial"/>
          <w:sz w:val="15"/>
          <w:szCs w:val="15"/>
          <w:color w:val="auto"/>
        </w:rPr>
        <w:t>As of September 30, 2025, we had outstanding warrants with a strike price of $26.60 that can be exercised to purchase 9.09 million shares of Class A common stock. The warrants expire on February 12, 2031 and can be exercised with cash or net shares settled at the holder’s option. As of September 30, 2025, 3.78 million warrants had been exercised via net settlement, resulting in 2.53 million shares of Class A common stock issued, and the maximum purchase amount of all remaining outstanding warrants was $242 million.</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 Repurchase Program</w:t>
      </w:r>
    </w:p>
    <w:p>
      <w:pPr>
        <w:spacing w:after="0" w:line="155" w:lineRule="exact"/>
        <w:rPr>
          <w:sz w:val="20"/>
          <w:szCs w:val="20"/>
          <w:color w:val="auto"/>
        </w:rPr>
      </w:pPr>
    </w:p>
    <w:p>
      <w:pPr>
        <w:jc w:val="both"/>
        <w:ind w:right="20" w:firstLine="281"/>
        <w:spacing w:after="0" w:line="248" w:lineRule="auto"/>
        <w:rPr>
          <w:sz w:val="20"/>
          <w:szCs w:val="20"/>
          <w:color w:val="auto"/>
        </w:rPr>
      </w:pPr>
      <w:r>
        <w:rPr>
          <w:rFonts w:ascii="Arial" w:cs="Arial" w:eastAsia="Arial" w:hAnsi="Arial"/>
          <w:sz w:val="15"/>
          <w:szCs w:val="15"/>
          <w:color w:val="auto"/>
        </w:rPr>
        <w:t>On May 28, 2024, we announced that our board of directors approved a share repurchase program (the “Repurchase Program”) authorizing the Company to repurchase up to $1 billion of its outstanding Class A common stock. On April 30, 2025, we announced that our board of directors has authorized an additional $500 million, bringing the Repurchase Program authorization to a total of $1.5 billion. While the Repurchase Program does not have an expiration date, we expect to execute over the next roughly two years with flexibility to accelerate if market conditions warrant. The timing and amount of repurchase transactions will be determined by us from time to time at our discretion based on our evaluation of market conditions, share price, and other factors. Repurchase transactions may be made using a variety of methods, such as open market share repurchases, including the use of trading plans intended to qualify under Rule 10b5 -1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For the three and nine months ended September 30, 2025, we repurchased approximately 1 million and 11 million shares of our Class A common stock for $107 million and $553 million.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Incentive Plans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2021 Omnibus Incentive Plan</w:t>
      </w:r>
    </w:p>
    <w:p>
      <w:pPr>
        <w:spacing w:after="0" w:line="156"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Our 2021 Omnibus Incentive Plan (the “2021 Plan”) became effective on July 27, 2021, and provides for the grant of share-based awards (such as options, including incentive stock options, non statutory stock options, stock appreciation rights, restricted stock awards, restricted stock units (“RSUs”), performance units, and other equity-based awards) and cash-based awards.</w:t>
      </w:r>
    </w:p>
    <w:p>
      <w:pPr>
        <w:spacing w:after="0" w:line="112"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As of September 30, 2025, an aggregate of 492 million shares had been authorized for issuance under our Amended and Restated 2013 Stock Plan, as amended, 2020 Equity Incentive Plan, as amended, and 2021 Plan, of which 171 million shares had been issued under the plans, 14 million shares were reserved for issuance upon the exercise or settlement of outstanding equity awards under the plans, and 307 million shares remained available for new grants under the 2021 Plan.</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Time-Based RSUs</w:t>
      </w:r>
    </w:p>
    <w:p>
      <w:pPr>
        <w:spacing w:after="0" w:line="156"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We grant RSUs that vest upon the satisfaction of a time-based service condition (“Time-Based RSUs”). The following table summarizes the activity for the nine months ended September 30, 2025, which is the period we grant our company-wide annual refresh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32" w:name="page33"/>
    <w:bookmarkEnd w:id="3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720" w:type="dxa"/>
            <w:vAlign w:val="bottom"/>
            <w:vMerge w:val="restart"/>
          </w:tcPr>
          <w:p>
            <w:pPr>
              <w:jc w:val="right"/>
              <w:ind w:right="266"/>
              <w:spacing w:after="0"/>
              <w:rPr>
                <w:sz w:val="20"/>
                <w:szCs w:val="20"/>
                <w:color w:val="auto"/>
              </w:rPr>
            </w:pPr>
            <w:r>
              <w:rPr>
                <w:rFonts w:ascii="Arial" w:cs="Arial" w:eastAsia="Arial" w:hAnsi="Arial"/>
                <w:sz w:val="13"/>
                <w:szCs w:val="13"/>
                <w:b w:val="1"/>
                <w:bCs w:val="1"/>
                <w:color w:val="auto"/>
              </w:rPr>
              <w:t>Number of RSUs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67"/>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5"/>
        </w:trPr>
        <w:tc>
          <w:tcPr>
            <w:tcW w:w="73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2024</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18,233,088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199"/>
        </w:trPr>
        <w:tc>
          <w:tcPr>
            <w:tcW w:w="7320" w:type="dxa"/>
            <w:vAlign w:val="bottom"/>
          </w:tcPr>
          <w:p>
            <w:pPr>
              <w:ind w:left="200"/>
              <w:spacing w:after="0"/>
              <w:rPr>
                <w:sz w:val="20"/>
                <w:szCs w:val="20"/>
                <w:color w:val="auto"/>
              </w:rPr>
            </w:pPr>
            <w:r>
              <w:rPr>
                <w:rFonts w:ascii="Arial" w:cs="Arial" w:eastAsia="Arial" w:hAnsi="Arial"/>
                <w:sz w:val="15"/>
                <w:szCs w:val="15"/>
                <w:color w:val="auto"/>
              </w:rPr>
              <w:t>Granted</w:t>
            </w:r>
          </w:p>
        </w:tc>
        <w:tc>
          <w:tcPr>
            <w:tcW w:w="1720" w:type="dxa"/>
            <w:vAlign w:val="bottom"/>
          </w:tcPr>
          <w:p>
            <w:pPr>
              <w:jc w:val="right"/>
              <w:spacing w:after="0"/>
              <w:rPr>
                <w:sz w:val="20"/>
                <w:szCs w:val="20"/>
                <w:color w:val="auto"/>
              </w:rPr>
            </w:pPr>
            <w:r>
              <w:rPr>
                <w:rFonts w:ascii="Arial" w:cs="Arial" w:eastAsia="Arial" w:hAnsi="Arial"/>
                <w:sz w:val="15"/>
                <w:szCs w:val="15"/>
                <w:color w:val="auto"/>
              </w:rPr>
              <w:t>6,069,501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7"/>
              <w:spacing w:after="0"/>
              <w:rPr>
                <w:sz w:val="20"/>
                <w:szCs w:val="20"/>
                <w:color w:val="auto"/>
              </w:rPr>
            </w:pPr>
            <w:r>
              <w:rPr>
                <w:rFonts w:ascii="Arial" w:cs="Arial" w:eastAsia="Arial" w:hAnsi="Arial"/>
                <w:sz w:val="15"/>
                <w:szCs w:val="15"/>
                <w:color w:val="auto"/>
              </w:rPr>
              <w:t>49.04</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(11,802,400)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199"/>
        </w:trPr>
        <w:tc>
          <w:tcPr>
            <w:tcW w:w="73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(1,789,742)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24.84</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September 30, 2025</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10,710,447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27.16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Market-Based RSUs</w:t>
      </w:r>
    </w:p>
    <w:p>
      <w:pPr>
        <w:spacing w:after="0" w:line="156"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In 2019 and 2021, we granted to our founders RSUs under which vesting is conditioned upon both the achievement of share price targets and the continued employment by each recipient over defined service periods (“Market-Based RSUs”). As of September 30, 2025, all of the remaining 11,065,463 Market-Based RSUs were fully vested.</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of TradePMR</w:t>
      </w:r>
    </w:p>
    <w:p>
      <w:pPr>
        <w:spacing w:after="0" w:line="155"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nine months ended September 30,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60" w:type="dxa"/>
            <w:vAlign w:val="bottom"/>
            <w:vMerge w:val="restart"/>
          </w:tcPr>
          <w:p>
            <w:pPr>
              <w:jc w:val="right"/>
              <w:ind w:right="246"/>
              <w:spacing w:after="0"/>
              <w:rPr>
                <w:sz w:val="20"/>
                <w:szCs w:val="20"/>
                <w:color w:val="auto"/>
              </w:rPr>
            </w:pPr>
            <w:r>
              <w:rPr>
                <w:rFonts w:ascii="Arial" w:cs="Arial" w:eastAsia="Arial" w:hAnsi="Arial"/>
                <w:sz w:val="13"/>
                <w:szCs w:val="13"/>
                <w:b w:val="1"/>
                <w:bCs w:val="1"/>
                <w:color w:val="auto"/>
              </w:rPr>
              <w:t>Number of RSUs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87"/>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5"/>
        </w:trPr>
        <w:tc>
          <w:tcPr>
            <w:tcW w:w="73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97"/>
              </w:rPr>
              <w:t>grant date fair value</w:t>
            </w:r>
          </w:p>
        </w:tc>
        <w:tc>
          <w:tcPr>
            <w:tcW w:w="0" w:type="dxa"/>
            <w:vAlign w:val="bottom"/>
          </w:tcPr>
          <w:p>
            <w:pPr>
              <w:spacing w:after="0"/>
              <w:rPr>
                <w:sz w:val="1"/>
                <w:szCs w:val="1"/>
                <w:color w:val="auto"/>
              </w:rPr>
            </w:pPr>
          </w:p>
        </w:tc>
      </w:tr>
      <w:tr>
        <w:trPr>
          <w:trHeight w:val="191"/>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December 31, 2024</w:t>
            </w:r>
          </w:p>
        </w:tc>
        <w:tc>
          <w:tcPr>
            <w:tcW w:w="1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80" w:type="dxa"/>
            <w:vAlign w:val="bottom"/>
          </w:tcPr>
          <w:p>
            <w:pPr>
              <w:ind w:left="200"/>
              <w:spacing w:after="0"/>
              <w:rPr>
                <w:sz w:val="20"/>
                <w:szCs w:val="20"/>
                <w:color w:val="auto"/>
              </w:rPr>
            </w:pPr>
            <w:r>
              <w:rPr>
                <w:rFonts w:ascii="Arial" w:cs="Arial" w:eastAsia="Arial" w:hAnsi="Arial"/>
                <w:sz w:val="15"/>
                <w:szCs w:val="15"/>
                <w:color w:val="auto"/>
              </w:rPr>
              <w:t>Issued</w:t>
            </w:r>
          </w:p>
        </w:tc>
        <w:tc>
          <w:tcPr>
            <w:tcW w:w="1660" w:type="dxa"/>
            <w:vAlign w:val="bottom"/>
          </w:tcPr>
          <w:p>
            <w:pPr>
              <w:jc w:val="right"/>
              <w:spacing w:after="0"/>
              <w:rPr>
                <w:sz w:val="20"/>
                <w:szCs w:val="20"/>
                <w:color w:val="auto"/>
              </w:rPr>
            </w:pPr>
            <w:r>
              <w:rPr>
                <w:rFonts w:ascii="Arial" w:cs="Arial" w:eastAsia="Arial" w:hAnsi="Arial"/>
                <w:sz w:val="15"/>
                <w:szCs w:val="15"/>
                <w:color w:val="auto"/>
              </w:rPr>
              <w:t>2,049,711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7"/>
              <w:spacing w:after="0"/>
              <w:rPr>
                <w:sz w:val="20"/>
                <w:szCs w:val="20"/>
                <w:color w:val="auto"/>
              </w:rPr>
            </w:pPr>
            <w:r>
              <w:rPr>
                <w:rFonts w:ascii="Arial" w:cs="Arial" w:eastAsia="Arial" w:hAnsi="Arial"/>
                <w:sz w:val="15"/>
                <w:szCs w:val="15"/>
                <w:color w:val="auto"/>
              </w:rPr>
              <w:t>48.85</w:t>
            </w: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Vested</w:t>
            </w:r>
          </w:p>
        </w:tc>
        <w:tc>
          <w:tcPr>
            <w:tcW w:w="1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September 30, 2025</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2,049,711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48.85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SBC on our unaudited condensed consolidated statements of operations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520" w:type="dxa"/>
            <w:vAlign w:val="bottom"/>
            <w:gridSpan w:val="4"/>
          </w:tcPr>
          <w:p>
            <w:pPr>
              <w:jc w:val="right"/>
              <w:ind w:right="376"/>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2"/>
                <w:szCs w:val="12"/>
                <w:color w:val="auto"/>
              </w:rPr>
            </w:pPr>
          </w:p>
        </w:tc>
      </w:tr>
      <w:tr>
        <w:trPr>
          <w:trHeight w:val="175"/>
        </w:trPr>
        <w:tc>
          <w:tcPr>
            <w:tcW w:w="4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3"/>
                <w:szCs w:val="13"/>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6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w w:val="96"/>
              </w:rPr>
              <w:t>2025</w:t>
            </w:r>
          </w:p>
        </w:tc>
      </w:tr>
      <w:tr>
        <w:trPr>
          <w:trHeight w:val="191"/>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and transaction</w:t>
            </w: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1100" w:type="dxa"/>
            <w:vAlign w:val="bottom"/>
            <w:gridSpan w:val="2"/>
            <w:shd w:val="clear" w:color="auto" w:fill="CCEEFF"/>
          </w:tcPr>
          <w:p>
            <w:pPr>
              <w:jc w:val="right"/>
              <w:ind w:right="856"/>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w:t>
            </w: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Technology and development</w:t>
            </w:r>
          </w:p>
        </w:tc>
        <w:tc>
          <w:tcPr>
            <w:tcW w:w="940" w:type="dxa"/>
            <w:vAlign w:val="bottom"/>
          </w:tcPr>
          <w:p>
            <w:pPr>
              <w:spacing w:after="0"/>
              <w:rPr>
                <w:sz w:val="17"/>
                <w:szCs w:val="17"/>
                <w:color w:val="auto"/>
              </w:rPr>
            </w:pPr>
          </w:p>
        </w:tc>
        <w:tc>
          <w:tcPr>
            <w:tcW w:w="480" w:type="dxa"/>
            <w:vAlign w:val="bottom"/>
          </w:tcPr>
          <w:p>
            <w:pPr>
              <w:jc w:val="right"/>
              <w:ind w:right="6"/>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123</w:t>
            </w: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w:t>
            </w:r>
          </w:p>
        </w:tc>
      </w:tr>
      <w:tr>
        <w:trPr>
          <w:trHeight w:val="199"/>
        </w:trPr>
        <w:tc>
          <w:tcPr>
            <w:tcW w:w="4660" w:type="dxa"/>
            <w:vAlign w:val="bottom"/>
          </w:tcPr>
          <w:p>
            <w:pPr>
              <w:ind w:left="20"/>
              <w:spacing w:after="0"/>
              <w:rPr>
                <w:sz w:val="20"/>
                <w:szCs w:val="20"/>
                <w:color w:val="auto"/>
              </w:rPr>
            </w:pPr>
            <w:r>
              <w:rPr>
                <w:rFonts w:ascii="Arial" w:cs="Arial" w:eastAsia="Arial" w:hAnsi="Arial"/>
                <w:sz w:val="15"/>
                <w:szCs w:val="15"/>
                <w:color w:val="auto"/>
              </w:rPr>
              <w:t>Marketing</w:t>
            </w:r>
          </w:p>
        </w:tc>
        <w:tc>
          <w:tcPr>
            <w:tcW w:w="940" w:type="dxa"/>
            <w:vAlign w:val="bottom"/>
          </w:tcPr>
          <w:p>
            <w:pPr>
              <w:spacing w:after="0"/>
              <w:rPr>
                <w:sz w:val="17"/>
                <w:szCs w:val="17"/>
                <w:color w:val="auto"/>
              </w:rPr>
            </w:pPr>
          </w:p>
        </w:tc>
        <w:tc>
          <w:tcPr>
            <w:tcW w:w="480" w:type="dxa"/>
            <w:vAlign w:val="bottom"/>
          </w:tcPr>
          <w:p>
            <w:pPr>
              <w:jc w:val="right"/>
              <w:ind w:right="6"/>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6</w:t>
            </w: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w:t>
            </w:r>
          </w:p>
        </w:tc>
      </w:tr>
      <w:tr>
        <w:trPr>
          <w:trHeight w:val="191"/>
        </w:trPr>
        <w:tc>
          <w:tcPr>
            <w:tcW w:w="4660" w:type="dxa"/>
            <w:vAlign w:val="bottom"/>
          </w:tcPr>
          <w:p>
            <w:pPr>
              <w:ind w:left="200"/>
              <w:spacing w:after="0" w:line="191" w:lineRule="exact"/>
              <w:rPr>
                <w:sz w:val="20"/>
                <w:szCs w:val="20"/>
                <w:color w:val="auto"/>
              </w:rPr>
            </w:pPr>
            <w:r>
              <w:rPr>
                <w:rFonts w:ascii="Arial" w:cs="Arial" w:eastAsia="Arial" w:hAnsi="Arial"/>
                <w:sz w:val="15"/>
                <w:szCs w:val="15"/>
                <w:color w:val="auto"/>
              </w:rPr>
              <w:t>Total</w:t>
            </w:r>
            <w:r>
              <w:rPr>
                <w:rFonts w:ascii="Arial" w:cs="Arial" w:eastAsia="Arial" w:hAnsi="Arial"/>
                <w:sz w:val="21"/>
                <w:szCs w:val="21"/>
                <w:color w:val="auto"/>
                <w:vertAlign w:val="superscript"/>
              </w:rPr>
              <w:t>(1)</w:t>
            </w:r>
          </w:p>
        </w:tc>
        <w:tc>
          <w:tcPr>
            <w:tcW w:w="940" w:type="dxa"/>
            <w:vAlign w:val="bottom"/>
          </w:tcPr>
          <w:p>
            <w:pPr>
              <w:jc w:val="right"/>
              <w:ind w:right="770"/>
              <w:spacing w:after="0"/>
              <w:rPr>
                <w:sz w:val="20"/>
                <w:szCs w:val="20"/>
                <w:color w:val="auto"/>
              </w:rPr>
            </w:pPr>
            <w:r>
              <w:rPr>
                <w:rFonts w:ascii="Arial" w:cs="Arial" w:eastAsia="Arial" w:hAnsi="Arial"/>
                <w:sz w:val="15"/>
                <w:szCs w:val="15"/>
                <w:color w:val="auto"/>
                <w:w w:val="95"/>
              </w:rPr>
              <w:t>$</w:t>
            </w:r>
          </w:p>
        </w:tc>
        <w:tc>
          <w:tcPr>
            <w:tcW w:w="48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1100" w:type="dxa"/>
            <w:vAlign w:val="bottom"/>
            <w:gridSpan w:val="2"/>
          </w:tcPr>
          <w:p>
            <w:pPr>
              <w:jc w:val="right"/>
              <w:ind w:right="856"/>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
              <w:spacing w:after="0"/>
              <w:rPr>
                <w:sz w:val="20"/>
                <w:szCs w:val="20"/>
                <w:color w:val="auto"/>
              </w:rPr>
            </w:pPr>
            <w:r>
              <w:rPr>
                <w:rFonts w:ascii="Arial" w:cs="Arial" w:eastAsia="Arial" w:hAnsi="Arial"/>
                <w:sz w:val="15"/>
                <w:szCs w:val="15"/>
                <w:color w:val="auto"/>
              </w:rPr>
              <w:t>78</w:t>
            </w: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227</w:t>
            </w:r>
          </w:p>
        </w:tc>
        <w:tc>
          <w:tcPr>
            <w:tcW w:w="6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229</w:t>
            </w:r>
          </w:p>
        </w:tc>
      </w:tr>
      <w:tr>
        <w:trPr>
          <w:trHeight w:val="20"/>
        </w:trPr>
        <w:tc>
          <w:tcPr>
            <w:tcW w:w="4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________________</w:t>
      </w:r>
    </w:p>
    <w:p>
      <w:pPr>
        <w:spacing w:after="0" w:line="15" w:lineRule="exact"/>
        <w:rPr>
          <w:sz w:val="20"/>
          <w:szCs w:val="20"/>
          <w:color w:val="auto"/>
        </w:rPr>
      </w:pPr>
    </w:p>
    <w:p>
      <w:pPr>
        <w:jc w:val="both"/>
        <w:ind w:left="280" w:hanging="276"/>
        <w:spacing w:after="0" w:line="250" w:lineRule="auto"/>
        <w:tabs>
          <w:tab w:leader="none" w:pos="268"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2024, SBC expense primarily consisted of $76 million and $225 million related to Time-Based RSUs. For the same periods, SBC expense also consisted of an immaterial amount and negative $8 million related to Market-Based RSUs as a result of a reversal of $11 million of previously recognized expense related to unvested awards that were forfeited upon the resignation of our co-founder and former Chief Creative Officer. For the three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3" w:name="page34"/>
    <w:bookmarkEnd w:id="3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 w:right="20"/>
        <w:spacing w:after="0" w:line="275" w:lineRule="auto"/>
        <w:rPr>
          <w:sz w:val="20"/>
          <w:szCs w:val="20"/>
          <w:color w:val="auto"/>
        </w:rPr>
      </w:pPr>
      <w:r>
        <w:rPr>
          <w:rFonts w:ascii="Arial" w:cs="Arial" w:eastAsia="Arial" w:hAnsi="Arial"/>
          <w:sz w:val="13"/>
          <w:szCs w:val="13"/>
          <w:color w:val="auto"/>
        </w:rPr>
        <w:t>nine months ended September 30, 2025, SBC expense primarily consisted of $75 million and $220 million related to Time-Based RSUs. All eligible to vest Market-Based RSUs have been fully expensed in 2024.</w:t>
      </w:r>
    </w:p>
    <w:p>
      <w:pPr>
        <w:spacing w:after="0" w:line="115" w:lineRule="exact"/>
        <w:rPr>
          <w:sz w:val="20"/>
          <w:szCs w:val="20"/>
          <w:color w:val="auto"/>
        </w:rPr>
      </w:pPr>
    </w:p>
    <w:p>
      <w:pPr>
        <w:ind w:right="20" w:firstLine="281"/>
        <w:spacing w:after="0" w:line="282" w:lineRule="auto"/>
        <w:rPr>
          <w:sz w:val="20"/>
          <w:szCs w:val="20"/>
          <w:color w:val="auto"/>
        </w:rPr>
      </w:pPr>
      <w:r>
        <w:rPr>
          <w:rFonts w:ascii="Arial" w:cs="Arial" w:eastAsia="Arial" w:hAnsi="Arial"/>
          <w:sz w:val="15"/>
          <w:szCs w:val="15"/>
          <w:color w:val="auto"/>
        </w:rPr>
        <w:t>We capitalized SBC expense related to internally developed software of $6 million and $17 million during the three and nine months ended September 30, 2025 compared to $7 million and $18 million for the same periods in the prior year.</w:t>
      </w:r>
    </w:p>
    <w:p>
      <w:pPr>
        <w:spacing w:after="0" w:line="98" w:lineRule="exact"/>
        <w:rPr>
          <w:sz w:val="20"/>
          <w:szCs w:val="20"/>
          <w:color w:val="auto"/>
        </w:rPr>
      </w:pPr>
    </w:p>
    <w:p>
      <w:pPr>
        <w:ind w:firstLine="281"/>
        <w:spacing w:after="0" w:line="282" w:lineRule="auto"/>
        <w:rPr>
          <w:sz w:val="20"/>
          <w:szCs w:val="20"/>
          <w:color w:val="auto"/>
        </w:rPr>
      </w:pPr>
      <w:r>
        <w:rPr>
          <w:rFonts w:ascii="Arial" w:cs="Arial" w:eastAsia="Arial" w:hAnsi="Arial"/>
          <w:sz w:val="15"/>
          <w:szCs w:val="15"/>
          <w:color w:val="auto"/>
        </w:rPr>
        <w:t>As of September 30, 2025, there was $341 million of unrecognized SBC expense that is expected to be recognized over a weighted-average period of 1.14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NOTE 12: NET INCOME PER SHARE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presents the calculation of basic and diluted earnings per share (“EPS”):</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(in millions, except share and per share</w:t>
            </w: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data)</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Class A</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Class B</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Class A</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6"/>
              <w:spacing w:after="0"/>
              <w:rPr>
                <w:sz w:val="20"/>
                <w:szCs w:val="20"/>
                <w:color w:val="auto"/>
              </w:rPr>
            </w:pPr>
            <w:r>
              <w:rPr>
                <w:rFonts w:ascii="Arial" w:cs="Arial" w:eastAsia="Arial" w:hAnsi="Arial"/>
                <w:sz w:val="13"/>
                <w:szCs w:val="13"/>
                <w:b w:val="1"/>
                <w:bCs w:val="1"/>
                <w:color w:val="auto"/>
              </w:rPr>
              <w:t>Class B</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3"/>
                <w:szCs w:val="13"/>
                <w:b w:val="1"/>
                <w:bCs w:val="1"/>
                <w:color w:val="auto"/>
              </w:rPr>
              <w:t>Class A</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5"/>
              <w:spacing w:after="0"/>
              <w:rPr>
                <w:sz w:val="20"/>
                <w:szCs w:val="20"/>
                <w:color w:val="auto"/>
              </w:rPr>
            </w:pPr>
            <w:r>
              <w:rPr>
                <w:rFonts w:ascii="Arial" w:cs="Arial" w:eastAsia="Arial" w:hAnsi="Arial"/>
                <w:sz w:val="13"/>
                <w:szCs w:val="13"/>
                <w:b w:val="1"/>
                <w:bCs w:val="1"/>
                <w:color w:val="auto"/>
              </w:rPr>
              <w:t>Class B</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rPr>
              <w:t>Class A</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76"/>
              <w:spacing w:after="0"/>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90"/>
        </w:trPr>
        <w:tc>
          <w:tcPr>
            <w:tcW w:w="2320" w:type="dxa"/>
            <w:vAlign w:val="bottom"/>
          </w:tcPr>
          <w:p>
            <w:pPr>
              <w:ind w:left="20"/>
              <w:spacing w:after="0"/>
              <w:rPr>
                <w:sz w:val="20"/>
                <w:szCs w:val="20"/>
                <w:color w:val="auto"/>
              </w:rPr>
            </w:pPr>
            <w:r>
              <w:rPr>
                <w:rFonts w:ascii="Arial" w:cs="Arial" w:eastAsia="Arial" w:hAnsi="Arial"/>
                <w:sz w:val="13"/>
                <w:szCs w:val="13"/>
                <w:color w:val="auto"/>
              </w:rPr>
              <w:t>Basic EPS: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stockholders</w:t>
            </w: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Weighted-average common shares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outstanding - basic</w:t>
            </w: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761,931,947</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122,176,598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776,153,997</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113,107,223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756,319,103</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123,863,470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770,107,702</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115,238,862</w:t>
            </w: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3"/>
                <w:szCs w:val="13"/>
                <w:color w:val="auto"/>
              </w:rPr>
              <w:t>Basic EPS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0.17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0.63</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0.63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0.56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0.56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485</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425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8"/>
              </w:rPr>
              <w:t>Reallocation of net income as a result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of conversion of Class B to Class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 common stock</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320" w:type="dxa"/>
            <w:vAlign w:val="bottom"/>
          </w:tcPr>
          <w:p>
            <w:pPr>
              <w:ind w:left="160"/>
              <w:spacing w:after="0"/>
              <w:rPr>
                <w:sz w:val="20"/>
                <w:szCs w:val="20"/>
                <w:color w:val="auto"/>
              </w:rPr>
            </w:pPr>
            <w:r>
              <w:rPr>
                <w:rFonts w:ascii="Arial" w:cs="Arial" w:eastAsia="Arial" w:hAnsi="Arial"/>
                <w:sz w:val="13"/>
                <w:szCs w:val="13"/>
                <w:color w:val="auto"/>
                <w:w w:val="99"/>
              </w:rPr>
              <w:t>Reallocation of net income to Class B</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for 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Weighted-average common shares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outstanding - basic</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761,931,947</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122,176,598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776,153,997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113,107,223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756,319,103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123,863,470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770,107,702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115,238,862</w:t>
            </w:r>
          </w:p>
        </w:tc>
        <w:tc>
          <w:tcPr>
            <w:tcW w:w="0" w:type="dxa"/>
            <w:vAlign w:val="bottom"/>
          </w:tcPr>
          <w:p>
            <w:pPr>
              <w:spacing w:after="0"/>
              <w:rPr>
                <w:sz w:val="1"/>
                <w:szCs w:val="1"/>
                <w:color w:val="auto"/>
              </w:rPr>
            </w:pPr>
          </w:p>
        </w:tc>
      </w:tr>
      <w:tr>
        <w:trPr>
          <w:trHeight w:val="164"/>
        </w:trPr>
        <w:tc>
          <w:tcPr>
            <w:tcW w:w="2320" w:type="dxa"/>
            <w:vAlign w:val="bottom"/>
          </w:tcPr>
          <w:p>
            <w:pPr>
              <w:ind w:left="160"/>
              <w:spacing w:after="0"/>
              <w:rPr>
                <w:sz w:val="20"/>
                <w:szCs w:val="20"/>
                <w:color w:val="auto"/>
              </w:rPr>
            </w:pPr>
            <w:r>
              <w:rPr>
                <w:rFonts w:ascii="Arial" w:cs="Arial" w:eastAsia="Arial" w:hAnsi="Arial"/>
                <w:sz w:val="13"/>
                <w:szCs w:val="13"/>
                <w:color w:val="auto"/>
              </w:rPr>
              <w:t>Dilutive effect of stock options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20" w:type="dxa"/>
            <w:vAlign w:val="bottom"/>
          </w:tcPr>
          <w:p>
            <w:pPr>
              <w:ind w:left="360"/>
              <w:spacing w:after="0"/>
              <w:rPr>
                <w:sz w:val="20"/>
                <w:szCs w:val="20"/>
                <w:color w:val="auto"/>
              </w:rPr>
            </w:pPr>
            <w:r>
              <w:rPr>
                <w:rFonts w:ascii="Arial" w:cs="Arial" w:eastAsia="Arial" w:hAnsi="Arial"/>
                <w:sz w:val="13"/>
                <w:szCs w:val="13"/>
                <w:color w:val="auto"/>
              </w:rPr>
              <w:t>unvested shares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21,436,205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28,679,440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23,373,019</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33,259,499</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Conversion of Class B to Class A</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122,176,598</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113,107,223</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123,863,470</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115,238,862</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60"/>
              <w:spacing w:after="0" w:line="144" w:lineRule="exact"/>
              <w:rPr>
                <w:sz w:val="20"/>
                <w:szCs w:val="20"/>
                <w:color w:val="auto"/>
              </w:rPr>
            </w:pPr>
            <w:r>
              <w:rPr>
                <w:rFonts w:ascii="Arial" w:cs="Arial" w:eastAsia="Arial" w:hAnsi="Arial"/>
                <w:sz w:val="13"/>
                <w:szCs w:val="13"/>
                <w:color w:val="auto"/>
              </w:rPr>
              <w:t>Weighted-average common shares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outstanding - diluted</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905,544,750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122,176,598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917,940,660</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113,107,223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903,555,592</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123,863,470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918,606,063</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115,238,862</w:t>
            </w: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firstLine="281"/>
        <w:spacing w:after="0" w:line="282" w:lineRule="auto"/>
        <w:rPr>
          <w:sz w:val="20"/>
          <w:szCs w:val="20"/>
          <w:color w:val="auto"/>
        </w:rPr>
      </w:pPr>
      <w:r>
        <w:rPr>
          <w:rFonts w:ascii="Arial" w:cs="Arial" w:eastAsia="Arial" w:hAnsi="Arial"/>
          <w:sz w:val="15"/>
          <w:szCs w:val="15"/>
          <w:color w:val="auto"/>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p>
      <w:pPr>
        <w:spacing w:after="0" w:line="113"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200" w:type="dxa"/>
            <w:vAlign w:val="bottom"/>
            <w:gridSpan w:val="3"/>
          </w:tcPr>
          <w:p>
            <w:pPr>
              <w:ind w:left="920"/>
              <w:spacing w:after="0"/>
              <w:rPr>
                <w:sz w:val="20"/>
                <w:szCs w:val="20"/>
                <w:color w:val="auto"/>
              </w:rPr>
            </w:pPr>
            <w:r>
              <w:rPr>
                <w:rFonts w:ascii="Arial" w:cs="Arial" w:eastAsia="Arial" w:hAnsi="Arial"/>
                <w:sz w:val="13"/>
                <w:szCs w:val="13"/>
                <w:b w:val="1"/>
                <w:bCs w:val="1"/>
                <w:color w:val="auto"/>
                <w:w w:val="97"/>
              </w:rPr>
              <w:t>Three Months Ended</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3"/>
          </w:tcPr>
          <w:p>
            <w:pPr>
              <w:ind w:left="1040"/>
              <w:spacing w:after="0"/>
              <w:rPr>
                <w:sz w:val="20"/>
                <w:szCs w:val="20"/>
                <w:color w:val="auto"/>
              </w:rPr>
            </w:pPr>
            <w:r>
              <w:rPr>
                <w:rFonts w:ascii="Arial" w:cs="Arial" w:eastAsia="Arial" w:hAnsi="Arial"/>
                <w:sz w:val="13"/>
                <w:szCs w:val="13"/>
                <w:b w:val="1"/>
                <w:bCs w:val="1"/>
                <w:color w:val="auto"/>
                <w:w w:val="98"/>
              </w:rPr>
              <w:t>Nine Months Ended</w:t>
            </w:r>
          </w:p>
        </w:tc>
        <w:tc>
          <w:tcPr>
            <w:tcW w:w="720" w:type="dxa"/>
            <w:vAlign w:val="bottom"/>
          </w:tcPr>
          <w:p>
            <w:pPr>
              <w:spacing w:after="0"/>
              <w:rPr>
                <w:sz w:val="12"/>
                <w:szCs w:val="12"/>
                <w:color w:val="auto"/>
              </w:rPr>
            </w:pPr>
          </w:p>
        </w:tc>
      </w:tr>
      <w:tr>
        <w:trPr>
          <w:trHeight w:val="175"/>
        </w:trPr>
        <w:tc>
          <w:tcPr>
            <w:tcW w:w="4340" w:type="dxa"/>
            <w:vAlign w:val="bottom"/>
          </w:tcPr>
          <w:p>
            <w:pPr>
              <w:spacing w:after="0"/>
              <w:rPr>
                <w:sz w:val="15"/>
                <w:szCs w:val="15"/>
                <w:color w:val="auto"/>
              </w:rPr>
            </w:pPr>
          </w:p>
        </w:tc>
        <w:tc>
          <w:tcPr>
            <w:tcW w:w="2200" w:type="dxa"/>
            <w:vAlign w:val="bottom"/>
            <w:tcBorders>
              <w:bottom w:val="single" w:sz="8" w:color="auto"/>
            </w:tcBorders>
            <w:gridSpan w:val="3"/>
          </w:tcPr>
          <w:p>
            <w:pPr>
              <w:ind w:left="980"/>
              <w:spacing w:after="0"/>
              <w:rPr>
                <w:sz w:val="20"/>
                <w:szCs w:val="20"/>
                <w:color w:val="auto"/>
              </w:rPr>
            </w:pPr>
            <w:r>
              <w:rPr>
                <w:rFonts w:ascii="Arial" w:cs="Arial" w:eastAsia="Arial" w:hAnsi="Arial"/>
                <w:sz w:val="13"/>
                <w:szCs w:val="13"/>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67"/>
        </w:trPr>
        <w:tc>
          <w:tcPr>
            <w:tcW w:w="434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2025</w:t>
            </w:r>
          </w:p>
        </w:tc>
      </w:tr>
      <w:tr>
        <w:trPr>
          <w:trHeight w:val="191"/>
        </w:trPr>
        <w:tc>
          <w:tcPr>
            <w:tcW w:w="4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Market-Based RSUs</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11,065,463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40" w:type="dxa"/>
            <w:vAlign w:val="bottom"/>
            <w:gridSpan w:val="2"/>
            <w:shd w:val="clear" w:color="auto" w:fill="CCEEFF"/>
          </w:tcPr>
          <w:p>
            <w:pPr>
              <w:jc w:val="right"/>
              <w:ind w:right="13"/>
              <w:spacing w:after="0"/>
              <w:rPr>
                <w:sz w:val="20"/>
                <w:szCs w:val="20"/>
                <w:color w:val="auto"/>
              </w:rPr>
            </w:pPr>
            <w:r>
              <w:rPr>
                <w:rFonts w:ascii="Arial" w:cs="Arial" w:eastAsia="Arial" w:hAnsi="Arial"/>
                <w:sz w:val="15"/>
                <w:szCs w:val="15"/>
                <w:color w:val="auto"/>
              </w:rPr>
              <w:t>11,065,463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r>
      <w:tr>
        <w:trPr>
          <w:trHeight w:val="199"/>
        </w:trPr>
        <w:tc>
          <w:tcPr>
            <w:tcW w:w="4340" w:type="dxa"/>
            <w:vAlign w:val="bottom"/>
          </w:tcPr>
          <w:p>
            <w:pPr>
              <w:ind w:left="300"/>
              <w:spacing w:after="0"/>
              <w:rPr>
                <w:sz w:val="20"/>
                <w:szCs w:val="20"/>
                <w:color w:val="auto"/>
              </w:rPr>
            </w:pPr>
            <w:r>
              <w:rPr>
                <w:rFonts w:ascii="Arial" w:cs="Arial" w:eastAsia="Arial" w:hAnsi="Arial"/>
                <w:sz w:val="15"/>
                <w:szCs w:val="15"/>
                <w:color w:val="auto"/>
              </w:rPr>
              <w:t>Time-Based RSUs</w:t>
            </w:r>
          </w:p>
        </w:tc>
        <w:tc>
          <w:tcPr>
            <w:tcW w:w="1540" w:type="dxa"/>
            <w:vAlign w:val="bottom"/>
          </w:tcPr>
          <w:p>
            <w:pPr>
              <w:jc w:val="right"/>
              <w:spacing w:after="0"/>
              <w:rPr>
                <w:sz w:val="20"/>
                <w:szCs w:val="20"/>
                <w:color w:val="auto"/>
              </w:rPr>
            </w:pPr>
            <w:r>
              <w:rPr>
                <w:rFonts w:ascii="Arial" w:cs="Arial" w:eastAsia="Arial" w:hAnsi="Arial"/>
                <w:sz w:val="15"/>
                <w:szCs w:val="15"/>
                <w:color w:val="auto"/>
              </w:rPr>
              <w:t>746,083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13"/>
              <w:spacing w:after="0"/>
              <w:rPr>
                <w:sz w:val="20"/>
                <w:szCs w:val="20"/>
                <w:color w:val="auto"/>
              </w:rPr>
            </w:pPr>
            <w:r>
              <w:rPr>
                <w:rFonts w:ascii="Arial" w:cs="Arial" w:eastAsia="Arial" w:hAnsi="Arial"/>
                <w:sz w:val="15"/>
                <w:szCs w:val="15"/>
                <w:color w:val="auto"/>
              </w:rPr>
              <w:t>774,579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76,826</w:t>
            </w:r>
          </w:p>
        </w:tc>
      </w:tr>
      <w:tr>
        <w:trPr>
          <w:trHeight w:val="199"/>
        </w:trPr>
        <w:tc>
          <w:tcPr>
            <w:tcW w:w="4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14,278,034</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rPr>
              <w:t>14,278,034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r>
      <w:tr>
        <w:trPr>
          <w:trHeight w:val="191"/>
        </w:trPr>
        <w:tc>
          <w:tcPr>
            <w:tcW w:w="4340" w:type="dxa"/>
            <w:vAlign w:val="bottom"/>
          </w:tcPr>
          <w:p>
            <w:pPr>
              <w:ind w:left="220"/>
              <w:spacing w:after="0"/>
              <w:rPr>
                <w:sz w:val="20"/>
                <w:szCs w:val="20"/>
                <w:color w:val="auto"/>
              </w:rPr>
            </w:pPr>
            <w:r>
              <w:rPr>
                <w:rFonts w:ascii="Arial" w:cs="Arial" w:eastAsia="Arial" w:hAnsi="Arial"/>
                <w:sz w:val="15"/>
                <w:szCs w:val="15"/>
                <w:color w:val="auto"/>
              </w:rPr>
              <w:t>Total anti-dilutive securities</w:t>
            </w:r>
          </w:p>
        </w:tc>
        <w:tc>
          <w:tcPr>
            <w:tcW w:w="1540" w:type="dxa"/>
            <w:vAlign w:val="bottom"/>
          </w:tcPr>
          <w:p>
            <w:pPr>
              <w:jc w:val="right"/>
              <w:spacing w:after="0"/>
              <w:rPr>
                <w:sz w:val="20"/>
                <w:szCs w:val="20"/>
                <w:color w:val="auto"/>
              </w:rPr>
            </w:pPr>
            <w:r>
              <w:rPr>
                <w:rFonts w:ascii="Arial" w:cs="Arial" w:eastAsia="Arial" w:hAnsi="Arial"/>
                <w:sz w:val="15"/>
                <w:szCs w:val="15"/>
                <w:color w:val="auto"/>
              </w:rPr>
              <w:t>26,089,580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13"/>
              <w:spacing w:after="0"/>
              <w:rPr>
                <w:sz w:val="20"/>
                <w:szCs w:val="20"/>
                <w:color w:val="auto"/>
              </w:rPr>
            </w:pPr>
            <w:r>
              <w:rPr>
                <w:rFonts w:ascii="Arial" w:cs="Arial" w:eastAsia="Arial" w:hAnsi="Arial"/>
                <w:sz w:val="15"/>
                <w:szCs w:val="15"/>
                <w:color w:val="auto"/>
              </w:rPr>
              <w:t>26,118,076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76,826</w:t>
            </w:r>
          </w:p>
        </w:tc>
      </w:tr>
      <w:tr>
        <w:trPr>
          <w:trHeight w:val="20"/>
        </w:trPr>
        <w:tc>
          <w:tcPr>
            <w:tcW w:w="43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60"/>
          </w:cols>
          <w:pgMar w:left="660" w:top="558" w:right="680" w:bottom="1440" w:gutter="0" w:footer="0" w:header="0"/>
        </w:sectPr>
      </w:pPr>
    </w:p>
    <w:bookmarkStart w:id="35" w:name="page36"/>
    <w:bookmarkEnd w:id="3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NOTE 13: LEASES</w:t>
      </w:r>
    </w:p>
    <w:p>
      <w:pPr>
        <w:spacing w:after="0" w:line="158"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Our operating leases are substantially comprised of office facilities, and we do not have any finance leases. Lease assets and liabilities recognized on our unaudited condensed consolidated balance sheets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08"/>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08"/>
              <w:spacing w:after="0"/>
              <w:rPr>
                <w:sz w:val="20"/>
                <w:szCs w:val="20"/>
                <w:color w:val="auto"/>
              </w:rPr>
            </w:pPr>
            <w:r>
              <w:rPr>
                <w:rFonts w:ascii="Arial" w:cs="Arial" w:eastAsia="Arial" w:hAnsi="Arial"/>
                <w:sz w:val="13"/>
                <w:szCs w:val="13"/>
                <w:b w:val="1"/>
                <w:bCs w:val="1"/>
                <w:color w:val="auto"/>
              </w:rPr>
              <w:t>September 30,</w:t>
            </w:r>
          </w:p>
        </w:tc>
      </w:tr>
      <w:tr>
        <w:trPr>
          <w:trHeight w:val="17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Classification</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b w:val="1"/>
                <w:bCs w:val="1"/>
                <w:color w:val="auto"/>
              </w:rPr>
              <w:t>2025</w:t>
            </w:r>
          </w:p>
        </w:tc>
      </w:tr>
      <w:tr>
        <w:trPr>
          <w:trHeight w:val="17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 right-of-use assets:</w:t>
            </w:r>
          </w:p>
        </w:tc>
        <w:tc>
          <w:tcPr>
            <w:tcW w:w="3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306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
              <w:spacing w:after="0"/>
              <w:rPr>
                <w:sz w:val="20"/>
                <w:szCs w:val="20"/>
                <w:color w:val="auto"/>
              </w:rPr>
            </w:pPr>
            <w:r>
              <w:rPr>
                <w:rFonts w:ascii="Arial" w:cs="Arial" w:eastAsia="Arial" w:hAnsi="Arial"/>
                <w:sz w:val="15"/>
                <w:szCs w:val="15"/>
                <w:color w:val="auto"/>
              </w:rPr>
              <w:t>94</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8"/>
              <w:spacing w:after="0"/>
              <w:rPr>
                <w:sz w:val="20"/>
                <w:szCs w:val="20"/>
                <w:color w:val="auto"/>
              </w:rPr>
            </w:pPr>
            <w:r>
              <w:rPr>
                <w:rFonts w:ascii="Arial" w:cs="Arial" w:eastAsia="Arial" w:hAnsi="Arial"/>
                <w:sz w:val="15"/>
                <w:szCs w:val="15"/>
                <w:color w:val="auto"/>
              </w:rPr>
              <w:t>95</w:t>
            </w:r>
          </w:p>
        </w:tc>
      </w:tr>
      <w:tr>
        <w:trPr>
          <w:trHeight w:val="234"/>
        </w:trPr>
        <w:tc>
          <w:tcPr>
            <w:tcW w:w="450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5"/>
                <w:szCs w:val="15"/>
                <w:color w:val="auto"/>
              </w:rPr>
              <w:t>Lease liabilities:</w:t>
            </w: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9"/>
        </w:trPr>
        <w:tc>
          <w:tcPr>
            <w:tcW w:w="4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operating lease liabilities</w:t>
            </w:r>
          </w:p>
        </w:tc>
        <w:tc>
          <w:tcPr>
            <w:tcW w:w="3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22</w:t>
            </w:r>
          </w:p>
        </w:tc>
      </w:tr>
      <w:tr>
        <w:trPr>
          <w:trHeight w:val="199"/>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Non-current operating lease liabilities</w:t>
            </w: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110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108</w:t>
            </w:r>
          </w:p>
        </w:tc>
      </w:tr>
      <w:tr>
        <w:trPr>
          <w:trHeight w:val="211"/>
        </w:trPr>
        <w:tc>
          <w:tcPr>
            <w:tcW w:w="4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lease liabilities</w:t>
            </w:r>
          </w:p>
        </w:tc>
        <w:tc>
          <w:tcPr>
            <w:tcW w:w="3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131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Cash flows related to leases were as follows:</w:t>
      </w:r>
    </w:p>
    <w:p>
      <w:pPr>
        <w:spacing w:after="0" w:line="30" w:lineRule="exact"/>
        <w:rPr>
          <w:sz w:val="20"/>
          <w:szCs w:val="20"/>
          <w:color w:val="auto"/>
        </w:rPr>
      </w:pPr>
    </w:p>
    <w:p>
      <w:pPr>
        <w:ind w:left="8460"/>
        <w:spacing w:after="0"/>
        <w:rPr>
          <w:sz w:val="20"/>
          <w:szCs w:val="20"/>
          <w:color w:val="auto"/>
        </w:rPr>
      </w:pPr>
      <w:r>
        <w:rPr>
          <w:rFonts w:ascii="Arial" w:cs="Arial" w:eastAsia="Arial" w:hAnsi="Arial"/>
          <w:sz w:val="13"/>
          <w:szCs w:val="13"/>
          <w:b w:val="1"/>
          <w:bCs w:val="1"/>
          <w:color w:val="auto"/>
        </w:rPr>
        <w:t>Nine Months Ended</w:t>
      </w:r>
    </w:p>
    <w:tbl>
      <w:tblPr>
        <w:tblLayout w:type="fixed"/>
        <w:tblInd w:w="0" w:type="dxa"/>
        <w:tblCellMar>
          <w:top w:w="0" w:type="dxa"/>
          <w:left w:w="0" w:type="dxa"/>
          <w:bottom w:w="0" w:type="dxa"/>
          <w:right w:w="0" w:type="dxa"/>
        </w:tblCellMar>
      </w:tblPr>
      <w:tr>
        <w:trPr>
          <w:trHeight w:val="163"/>
        </w:trPr>
        <w:tc>
          <w:tcPr>
            <w:tcW w:w="73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September 30,</w:t>
            </w:r>
          </w:p>
        </w:tc>
        <w:tc>
          <w:tcPr>
            <w:tcW w:w="1000" w:type="dxa"/>
            <w:vAlign w:val="bottom"/>
            <w:tcBorders>
              <w:bottom w:val="single" w:sz="8" w:color="auto"/>
            </w:tcBorders>
          </w:tcPr>
          <w:p>
            <w:pPr>
              <w:spacing w:after="0"/>
              <w:rPr>
                <w:sz w:val="14"/>
                <w:szCs w:val="14"/>
                <w:color w:val="auto"/>
              </w:rPr>
            </w:pPr>
          </w:p>
        </w:tc>
      </w:tr>
      <w:tr>
        <w:trPr>
          <w:trHeight w:val="167"/>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3"/>
                <w:szCs w:val="13"/>
                <w:i w:val="1"/>
                <w:iCs w:val="1"/>
                <w:color w:val="auto"/>
              </w:rPr>
              <w:t>(in millions)</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2025</w:t>
            </w:r>
          </w:p>
        </w:tc>
      </w:tr>
      <w:tr>
        <w:trPr>
          <w:trHeight w:val="179"/>
        </w:trPr>
        <w:tc>
          <w:tcPr>
            <w:tcW w:w="7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cash flows:</w:t>
            </w: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9"/>
        </w:trPr>
        <w:tc>
          <w:tcPr>
            <w:tcW w:w="7340" w:type="dxa"/>
            <w:vAlign w:val="bottom"/>
          </w:tcPr>
          <w:p>
            <w:pPr>
              <w:ind w:left="440"/>
              <w:spacing w:after="0"/>
              <w:rPr>
                <w:sz w:val="20"/>
                <w:szCs w:val="20"/>
                <w:color w:val="auto"/>
              </w:rPr>
            </w:pPr>
            <w:r>
              <w:rPr>
                <w:rFonts w:ascii="Arial" w:cs="Arial" w:eastAsia="Arial" w:hAnsi="Arial"/>
                <w:sz w:val="15"/>
                <w:szCs w:val="15"/>
                <w:color w:val="auto"/>
              </w:rPr>
              <w:t>Payments for operating lease liabilities</w:t>
            </w:r>
          </w:p>
        </w:tc>
        <w:tc>
          <w:tcPr>
            <w:tcW w:w="1120" w:type="dxa"/>
            <w:vAlign w:val="bottom"/>
          </w:tcPr>
          <w:p>
            <w:pPr>
              <w:jc w:val="right"/>
              <w:ind w:right="728"/>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20</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23</w:t>
            </w:r>
          </w:p>
        </w:tc>
      </w:tr>
      <w:tr>
        <w:trPr>
          <w:trHeight w:val="199"/>
        </w:trPr>
        <w:tc>
          <w:tcPr>
            <w:tcW w:w="7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Supplemental cash flow data:</w:t>
            </w: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7340" w:type="dxa"/>
            <w:vAlign w:val="bottom"/>
          </w:tcPr>
          <w:p>
            <w:pPr>
              <w:ind w:left="440"/>
              <w:spacing w:after="0"/>
              <w:rPr>
                <w:sz w:val="20"/>
                <w:szCs w:val="20"/>
                <w:color w:val="auto"/>
              </w:rPr>
            </w:pPr>
            <w:r>
              <w:rPr>
                <w:rFonts w:ascii="Arial" w:cs="Arial" w:eastAsia="Arial" w:hAnsi="Arial"/>
                <w:sz w:val="15"/>
                <w:szCs w:val="15"/>
                <w:color w:val="auto"/>
              </w:rPr>
              <w:t>Lease liabilities arising from obtaining right-of-use assets</w:t>
            </w:r>
          </w:p>
        </w:tc>
        <w:tc>
          <w:tcPr>
            <w:tcW w:w="1120" w:type="dxa"/>
            <w:vAlign w:val="bottom"/>
          </w:tcPr>
          <w:p>
            <w:pPr>
              <w:jc w:val="right"/>
              <w:ind w:right="728"/>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15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NOTE 14: COMMITMENTS &amp; CONTINGENCIES</w:t>
      </w:r>
    </w:p>
    <w:p>
      <w:pPr>
        <w:spacing w:after="0" w:line="158"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$128 million as of December 31, 2024 and $61 million as of September 30, 2025. In our opinion, an adequate accrual had been made as of each such date to provide for the probable losses of which we are aware and for which we can reasonably estimate an amount.</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and Regulatory Matters</w:t>
      </w:r>
    </w:p>
    <w:p>
      <w:pPr>
        <w:spacing w:after="0" w:line="155"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advisory, cryptocurrency, derivatives,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that may result in enforcement action. We are also subject to periodic regulatory audits and inspections that have in the past and could in the future lead to enforcement investigations or actions.</w:t>
      </w:r>
    </w:p>
    <w:p>
      <w:pPr>
        <w:spacing w:after="0" w:line="98"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12"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With respect to matters discussed below, we believe, based on current knowledge, that any losses (in excess of amounts accrued, if applicable) as of September 30, 2025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25"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Described below are certain pending matters in which there is at least a reasonable possibility that a material loss could be incurred. We intend to continue to defend these matters vigorously.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Best Execution, Payment for Order Flow, and Sources of Revenue Civil Litigation</w:t>
      </w:r>
    </w:p>
    <w:p>
      <w:pPr>
        <w:spacing w:after="0" w:line="156" w:lineRule="exact"/>
        <w:rPr>
          <w:sz w:val="20"/>
          <w:szCs w:val="20"/>
          <w:color w:val="auto"/>
        </w:rPr>
      </w:pPr>
    </w:p>
    <w:p>
      <w:pPr>
        <w:jc w:val="both"/>
        <w:ind w:firstLine="281"/>
        <w:spacing w:after="0" w:line="248" w:lineRule="auto"/>
        <w:rPr>
          <w:sz w:val="20"/>
          <w:szCs w:val="20"/>
          <w:color w:val="auto"/>
        </w:rPr>
      </w:pPr>
      <w:r>
        <w:rPr>
          <w:rFonts w:ascii="Arial" w:cs="Arial" w:eastAsia="Arial" w:hAnsi="Arial"/>
          <w:sz w:val="15"/>
          <w:szCs w:val="15"/>
          <w:color w:val="auto"/>
        </w:rPr>
        <w:t>Beginning in December 2020, multiple putative securities fraud class action lawsuits were filed against RHM, Robinhood Financial LLC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In June 2025, Robinhood agreed to a settlement in principle with plaintiffs, which will be subject to approval by the court.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State Regulatory Matters</w:t>
      </w:r>
    </w:p>
    <w:p>
      <w:pPr>
        <w:spacing w:after="0" w:line="156" w:lineRule="exact"/>
        <w:rPr>
          <w:sz w:val="20"/>
          <w:szCs w:val="20"/>
          <w:color w:val="auto"/>
        </w:rPr>
      </w:pPr>
    </w:p>
    <w:p>
      <w:pPr>
        <w:jc w:val="both"/>
        <w:ind w:right="20" w:firstLine="281"/>
        <w:spacing w:after="0" w:line="254" w:lineRule="auto"/>
        <w:rPr>
          <w:sz w:val="20"/>
          <w:szCs w:val="20"/>
          <w:color w:val="auto"/>
        </w:rPr>
      </w:pPr>
      <w:r>
        <w:rPr>
          <w:rFonts w:ascii="Arial" w:cs="Arial" w:eastAsia="Arial" w:hAnsi="Arial"/>
          <w:sz w:val="15"/>
          <w:szCs w:val="15"/>
          <w:color w:val="auto"/>
        </w:rPr>
        <w:t>The New York Attorney General is conducting an investigation into brokerage execution quality and collaring the prices of certain trade orders. The Massachusetts Securities Division (“MSD”) is examining RHF’s customer complaint supervision, the disruptions experienced by Blue Oceans ATS, LLC (“BOATS”) during the Robinhood 24 Hour Market overnight trading session on August 4-5, 2024, and the offerings of presidential election and sports event contracts. The Florida Attorney General is conducting an investigation concerning, among other things, representations about cryptocurrency trading costs and/or fees. We are cooperating with these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Brokerage Enforcement Matters</w:t>
      </w:r>
    </w:p>
    <w:p>
      <w:pPr>
        <w:spacing w:after="0" w:line="156"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The Financial Industry Regulatory Authority (“FINRA”) Enforcement and Examination staff are conducting investigations related to, among other things, RHS’s and RHF’s compliance with best execution obligations and the disruptions experienced by BOATS during the Robinhood 24 Hour Market overnight trading session on August 4-5, 2024. In July 2025, FINRA advised us in writing that it had closed the previously disclosed investigation into matters related to RHS’s and RHF’s supervision of technology.</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Federal Deposit Insurance Corporation (“FDIC”) is investigating issues related to compliance with the Electronic Funds Transfer Act (“EFTA”).</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Early 2021 Trading Restrictions Matters</w:t>
      </w:r>
    </w:p>
    <w:p>
      <w:pPr>
        <w:spacing w:after="0" w:line="249"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Beginning on January 28, 2021, due to increased deposit requirements imposed on RHS by the National Securities Clearing Corporation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12"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w:t>
      </w:r>
    </w:p>
    <w:p>
      <w:pPr>
        <w:spacing w:after="0" w:line="125" w:lineRule="exact"/>
        <w:rPr>
          <w:sz w:val="20"/>
          <w:szCs w:val="20"/>
          <w:color w:val="auto"/>
        </w:rPr>
      </w:pPr>
    </w:p>
    <w:p>
      <w:pPr>
        <w:ind w:right="40" w:firstLine="281"/>
        <w:spacing w:after="0" w:line="282" w:lineRule="auto"/>
        <w:rPr>
          <w:sz w:val="20"/>
          <w:szCs w:val="20"/>
          <w:color w:val="auto"/>
        </w:rPr>
      </w:pPr>
      <w:r>
        <w:rPr>
          <w:rFonts w:ascii="Arial" w:cs="Arial" w:eastAsia="Arial" w:hAnsi="Arial"/>
          <w:sz w:val="15"/>
          <w:szCs w:val="15"/>
          <w:color w:val="auto"/>
        </w:rPr>
        <w:t>In January 2022, the court dismissed the state law claims with prejudice. In August 2023, the United States Court of Appeals for the Eleventh Circuit affirmed the district court’s order.</w:t>
      </w:r>
    </w:p>
    <w:p>
      <w:pPr>
        <w:spacing w:after="0" w:line="169"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In May 2022, the court dismissed the federal antitrust claims with prejudice. In June 2024, the United States Court of Appeals for the Eleventh Circuit affirmed the district court’s order.</w:t>
      </w:r>
    </w:p>
    <w:p>
      <w:pPr>
        <w:spacing w:after="0" w:line="16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 settlements with a number of remaining individual plaintiffs. Robinhood’s motion to compel arbitration for the remaining Robinhood customer plaintiffs has been granted.</w:t>
      </w:r>
    </w:p>
    <w:p>
      <w:pPr>
        <w:spacing w:after="0" w:line="189" w:lineRule="exact"/>
        <w:rPr>
          <w:sz w:val="20"/>
          <w:szCs w:val="20"/>
          <w:color w:val="auto"/>
        </w:rPr>
      </w:pPr>
    </w:p>
    <w:p>
      <w:pPr>
        <w:jc w:val="both"/>
        <w:ind w:right="40" w:firstLine="281"/>
        <w:spacing w:after="0" w:line="263" w:lineRule="auto"/>
        <w:rPr>
          <w:sz w:val="20"/>
          <w:szCs w:val="20"/>
          <w:color w:val="auto"/>
        </w:rPr>
      </w:pPr>
      <w:r>
        <w:rPr>
          <w:rFonts w:ascii="Arial" w:cs="Arial" w:eastAsia="Arial" w:hAnsi="Arial"/>
          <w:sz w:val="15"/>
          <w:szCs w:val="15"/>
          <w:color w:val="auto"/>
        </w:rPr>
        <w:t>RHM, RHF, RHS, and our Chief Executive Officer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("DOJ”), Antitrust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8" w:name="page39"/>
    <w:bookmarkEnd w:id="3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59" w:lineRule="auto"/>
        <w:rPr>
          <w:sz w:val="20"/>
          <w:szCs w:val="20"/>
          <w:color w:val="auto"/>
        </w:rPr>
      </w:pPr>
      <w:r>
        <w:rPr>
          <w:rFonts w:ascii="Arial" w:cs="Arial" w:eastAsia="Arial" w:hAnsi="Arial"/>
          <w:sz w:val="15"/>
          <w:szCs w:val="15"/>
          <w:color w:val="auto"/>
        </w:rPr>
        <w:t>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investigations into these matters as part of the March 2025 FINRA Settlement (as defined below).</w:t>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IPO Litigation</w:t>
      </w:r>
    </w:p>
    <w:p>
      <w:pPr>
        <w:spacing w:after="0" w:line="156" w:lineRule="exact"/>
        <w:rPr>
          <w:sz w:val="20"/>
          <w:szCs w:val="20"/>
          <w:color w:val="auto"/>
        </w:rPr>
      </w:pPr>
    </w:p>
    <w:p>
      <w:pPr>
        <w:jc w:val="both"/>
        <w:ind w:firstLine="281"/>
        <w:spacing w:after="0" w:line="248" w:lineRule="auto"/>
        <w:rPr>
          <w:sz w:val="20"/>
          <w:szCs w:val="20"/>
          <w:color w:val="auto"/>
        </w:rPr>
      </w:pPr>
      <w:r>
        <w:rPr>
          <w:rFonts w:ascii="Arial" w:cs="Arial" w:eastAsia="Arial" w:hAnsi="Arial"/>
          <w:sz w:val="15"/>
          <w:szCs w:val="15"/>
          <w:color w:val="auto"/>
        </w:rPr>
        <w:t>In December 2021, Philip Golubowski filed a putative class action in the U.S. District Court for the Northern District of California against RHM, the officers and directors who signed Robinhood’s initial public offering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9th Circuit. On August 29, 2025, the 9th Circuit issued its opinion affirming in part and reversing in part the district court. Robinhood’s petition for rehearing en banc was denied.</w:t>
      </w:r>
    </w:p>
    <w:p>
      <w:pPr>
        <w:spacing w:after="0" w:line="127"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18"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that is reviewing the demand.</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Pay Transparency Litigation</w:t>
      </w:r>
    </w:p>
    <w:p>
      <w:pPr>
        <w:spacing w:after="0" w:line="156"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 xml:space="preserve">In July 2024, RHM, Robinhood Money, LLC, and RHC were sued in a putative class action captioned </w:t>
      </w:r>
      <w:r>
        <w:rPr>
          <w:rFonts w:ascii="Arial" w:cs="Arial" w:eastAsia="Arial" w:hAnsi="Arial"/>
          <w:sz w:val="15"/>
          <w:szCs w:val="15"/>
          <w:i w:val="1"/>
          <w:iCs w:val="1"/>
          <w:color w:val="auto"/>
        </w:rPr>
        <w:t>John Milito v. Robinhood Markets, Inc. et. al.</w:t>
      </w:r>
      <w:r>
        <w:rPr>
          <w:rFonts w:ascii="Arial" w:cs="Arial" w:eastAsia="Arial" w:hAnsi="Arial"/>
          <w:sz w:val="15"/>
          <w:szCs w:val="15"/>
          <w:color w:val="auto"/>
        </w:rPr>
        <w:t xml:space="preserve"> ,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 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The stay has been lifted and the case is proceeding in discovery.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Sweep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 xml:space="preserve">In October 2024, RHM, RHF, and RHS were sued in a putative class action captioned </w:t>
      </w:r>
      <w:r>
        <w:rPr>
          <w:rFonts w:ascii="Arial" w:cs="Arial" w:eastAsia="Arial" w:hAnsi="Arial"/>
          <w:sz w:val="15"/>
          <w:szCs w:val="15"/>
          <w:i w:val="1"/>
          <w:iCs w:val="1"/>
          <w:color w:val="auto"/>
        </w:rPr>
        <w:t>Dey v. Robinhood Markets, Inc. et. al.,</w:t>
      </w:r>
      <w:r>
        <w:rPr>
          <w:rFonts w:ascii="Arial" w:cs="Arial" w:eastAsia="Arial" w:hAnsi="Arial"/>
          <w:sz w:val="15"/>
          <w:szCs w:val="15"/>
          <w:color w:val="auto"/>
        </w:rPr>
        <w:t xml:space="preserve">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Arial" w:cs="Arial" w:eastAsia="Arial" w:hAnsi="Arial"/>
          <w:sz w:val="15"/>
          <w:szCs w:val="15"/>
          <w:i w:val="1"/>
          <w:iCs w:val="1"/>
          <w:color w:val="auto"/>
        </w:rPr>
        <w:t>Deeney v. Robinhood Markets, Inc. et al.,</w:t>
      </w:r>
      <w:r>
        <w:rPr>
          <w:rFonts w:ascii="Arial" w:cs="Arial" w:eastAsia="Arial" w:hAnsi="Arial"/>
          <w:sz w:val="15"/>
          <w:szCs w:val="15"/>
          <w:color w:val="auto"/>
        </w:rPr>
        <w:t xml:space="preserve"> 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Arial" w:cs="Arial" w:eastAsia="Arial" w:hAnsi="Arial"/>
          <w:sz w:val="15"/>
          <w:szCs w:val="15"/>
          <w:i w:val="1"/>
          <w:iCs w:val="1"/>
          <w:color w:val="auto"/>
        </w:rPr>
        <w:t>Dey</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Deeney </w:t>
      </w:r>
      <w:r>
        <w:rPr>
          <w:rFonts w:ascii="Arial" w:cs="Arial" w:eastAsia="Arial" w:hAnsi="Arial"/>
          <w:sz w:val="15"/>
          <w:szCs w:val="15"/>
          <w:color w:val="auto"/>
        </w:rPr>
        <w:t>have agreed to consolidate the matters and Plaintiffs have filed an amended consolidated complaint. The complaint seeks, among other things,</w:t>
      </w:r>
      <w:r>
        <w:rPr>
          <w:rFonts w:ascii="Arial" w:cs="Arial" w:eastAsia="Arial" w:hAnsi="Arial"/>
          <w:sz w:val="15"/>
          <w:szCs w:val="15"/>
          <w:i w:val="1"/>
          <w:iCs w:val="1"/>
          <w:color w:val="auto"/>
        </w:rPr>
        <w:t xml:space="preserve"> </w:t>
      </w:r>
      <w:r>
        <w:rPr>
          <w:rFonts w:ascii="Arial" w:cs="Arial" w:eastAsia="Arial" w:hAnsi="Arial"/>
          <w:sz w:val="15"/>
          <w:szCs w:val="15"/>
          <w:color w:val="auto"/>
        </w:rPr>
        <w:t>certification of the class, unspecified monetary, punitive, treble, and statutory damages, restitution, disgorgement, attorneys’ fees and costs, injunctive relief, and declaratory relief. Robinhood has moved to dismiss the consolidated amended complaint.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Event Contracts Litigation</w:t>
      </w:r>
    </w:p>
    <w:p>
      <w:pPr>
        <w:spacing w:after="0" w:line="156"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In June 2025, RHM and Robinhood Derivatives, LLC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has removed all six cases to federal court.</w:t>
      </w:r>
    </w:p>
    <w:p>
      <w:pPr>
        <w:spacing w:after="0" w:line="120" w:lineRule="exact"/>
        <w:rPr>
          <w:sz w:val="20"/>
          <w:szCs w:val="20"/>
          <w:color w:val="auto"/>
        </w:rPr>
      </w:pPr>
    </w:p>
    <w:p>
      <w:pPr>
        <w:jc w:val="both"/>
        <w:ind w:right="20" w:firstLine="281"/>
        <w:spacing w:after="0" w:line="249" w:lineRule="auto"/>
        <w:rPr>
          <w:sz w:val="20"/>
          <w:szCs w:val="20"/>
          <w:color w:val="auto"/>
        </w:rPr>
      </w:pPr>
      <w:r>
        <w:rPr>
          <w:rFonts w:ascii="Arial" w:cs="Arial" w:eastAsia="Arial" w:hAnsi="Arial"/>
          <w:sz w:val="15"/>
          <w:szCs w:val="15"/>
          <w:color w:val="auto"/>
        </w:rPr>
        <w:t>In July 2025, RHM and RHD, among others, were sued by the Blue Lake Rancheria, Chicken Ranch Rancheria of Me-Wuk Indians, and Picayune Rancheria of the Chukchansi Indians in the U.S. District Court for the Northern District of California. The complaint alleges that certain event contracts offered by RHD are unlawful sports gambling activity. The tribes allege several causes of action including violation of the Indian Gaming Regulatory Act, violation of tribal gaming Ordinances, civil violation of the Racketeer Influenced and Corrupt Organizations Act, infringement of tribal sovereignty, and false advertising under the Lanham Act. The complaint seeks injunctive relief, declaratory relief, damages, treble damages, costs, and attorney’s fees. In August 2025, a similar suit was filed against RHM and RHD, among others, by the Ho -Chunk Nation in the U.S. District Court for the Western District of Wisconsin alleging the same facts and causes of action and seeking the same relief. In September 2025, plaintiffs in the Northern District of California matter moved for a preliminary injunction, which Robinhood has opposed.</w:t>
      </w:r>
    </w:p>
    <w:p>
      <w:pPr>
        <w:spacing w:after="0" w:line="127" w:lineRule="exact"/>
        <w:rPr>
          <w:sz w:val="20"/>
          <w:szCs w:val="20"/>
          <w:color w:val="auto"/>
        </w:rPr>
      </w:pPr>
    </w:p>
    <w:p>
      <w:pPr>
        <w:jc w:val="both"/>
        <w:ind w:right="20" w:firstLine="281"/>
        <w:spacing w:after="0" w:line="254" w:lineRule="auto"/>
        <w:rPr>
          <w:sz w:val="20"/>
          <w:szCs w:val="20"/>
          <w:color w:val="auto"/>
        </w:rPr>
      </w:pPr>
      <w:r>
        <w:rPr>
          <w:rFonts w:ascii="Arial" w:cs="Arial" w:eastAsia="Arial" w:hAnsi="Arial"/>
          <w:sz w:val="15"/>
          <w:szCs w:val="15"/>
          <w:color w:val="auto"/>
        </w:rPr>
        <w:t>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 New Jersey has agreed to a preliminary injunction pending the outcome of its appeal in the Third Circuit. In Nevada and Massachusetts, the states have agreed to refrain from enforcing their state gaming laws pending the outcome of RHD’s pending preliminary injunction motions.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40" w:name="page41"/>
    <w:bookmarkEnd w:id="4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77" w:lineRule="auto"/>
        <w:rPr>
          <w:sz w:val="20"/>
          <w:szCs w:val="20"/>
          <w:color w:val="auto"/>
        </w:rPr>
      </w:pPr>
      <w:r>
        <w:rPr>
          <w:rFonts w:ascii="Arial" w:cs="Arial" w:eastAsia="Arial" w:hAnsi="Arial"/>
          <w:sz w:val="32"/>
          <w:szCs w:val="32"/>
          <w:color w:val="auto"/>
        </w:rPr>
        <w:t>ITEM 2. MANAGEMENT’S DISCUSSION AND ANALYSIS OF FINANCIAL CONDITION AND RESULTS OF OPERATIONS</w:t>
      </w:r>
    </w:p>
    <w:p>
      <w:pPr>
        <w:spacing w:after="0" w:line="77" w:lineRule="exact"/>
        <w:rPr>
          <w:sz w:val="20"/>
          <w:szCs w:val="20"/>
          <w:color w:val="auto"/>
        </w:rPr>
      </w:pPr>
    </w:p>
    <w:p>
      <w:pPr>
        <w:jc w:val="both"/>
        <w:ind w:firstLine="281"/>
        <w:spacing w:after="0" w:line="248" w:lineRule="auto"/>
        <w:rPr>
          <w:sz w:val="20"/>
          <w:szCs w:val="20"/>
          <w:color w:val="auto"/>
        </w:rPr>
      </w:pPr>
      <w:r>
        <w:rPr>
          <w:rFonts w:ascii="Arial" w:cs="Arial" w:eastAsia="Arial" w:hAnsi="Arial"/>
          <w:sz w:val="15"/>
          <w:szCs w:val="15"/>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2024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303"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Data as of and for the three and nine months ended September 30, 2024 and 2025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refer to our “users” and our “customers” interchangeably throughout this Quarterly Report to refer to individuals who hold accounts on our platforms.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Key Performance Metrics</w:t>
      </w:r>
    </w:p>
    <w:p>
      <w:pPr>
        <w:spacing w:after="0" w:line="158"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In addition to the measures presented in our unaudited condensed consolidated financial statements, we use the following key performance metrics to help us evaluate our business, identify trends affecting our business, formulate business plans, and make strategic decisions.</w:t>
      </w:r>
    </w:p>
    <w:p>
      <w:pPr>
        <w:spacing w:after="0" w:line="98" w:lineRule="exact"/>
        <w:rPr>
          <w:sz w:val="20"/>
          <w:szCs w:val="20"/>
          <w:color w:val="auto"/>
        </w:rPr>
      </w:pPr>
    </w:p>
    <w:p>
      <w:pPr>
        <w:jc w:val="both"/>
        <w:ind w:left="560" w:hanging="275"/>
        <w:spacing w:after="0" w:line="254" w:lineRule="auto"/>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Funded Customers: </w:t>
      </w:r>
      <w:r>
        <w:rPr>
          <w:rFonts w:ascii="Arial" w:cs="Arial" w:eastAsia="Arial" w:hAnsi="Arial"/>
          <w:sz w:val="15"/>
          <w:szCs w:val="15"/>
          <w:color w:val="auto"/>
        </w:rPr>
        <w:t>We define a Funded Customer as a unique person who has at least one account with a Robinhood entity and, within the past</w:t>
      </w:r>
      <w:r>
        <w:rPr>
          <w:rFonts w:ascii="Arial" w:cs="Arial" w:eastAsia="Arial" w:hAnsi="Arial"/>
          <w:sz w:val="15"/>
          <w:szCs w:val="15"/>
          <w:b w:val="1"/>
          <w:bCs w:val="1"/>
          <w:color w:val="auto"/>
        </w:rPr>
        <w:t xml:space="preserve"> </w:t>
      </w:r>
      <w:r>
        <w:rPr>
          <w:rFonts w:ascii="Arial" w:cs="Arial" w:eastAsia="Arial" w:hAnsi="Arial"/>
          <w:sz w:val="15"/>
          <w:szCs w:val="15"/>
          <w:color w:val="auto"/>
        </w:rPr>
        <w:t>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(which launched in July 2024) are each considered to be a Funded Customer. Starting in Q1 2025, individuals who are customers of RIAs that use the TradePMR platform, and, starting in June 2025, customers of Bitstamp, are also considered Funded Customers.</w:t>
      </w:r>
    </w:p>
    <w:p>
      <w:pPr>
        <w:spacing w:after="0" w:line="118" w:lineRule="exact"/>
        <w:rPr>
          <w:rFonts w:ascii="Arial" w:cs="Arial" w:eastAsia="Arial" w:hAnsi="Arial"/>
          <w:sz w:val="15"/>
          <w:szCs w:val="15"/>
          <w:color w:val="auto"/>
        </w:rPr>
      </w:pPr>
    </w:p>
    <w:p>
      <w:pPr>
        <w:jc w:val="both"/>
        <w:ind w:left="560" w:right="20" w:hanging="275"/>
        <w:spacing w:after="0" w:line="257" w:lineRule="auto"/>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Total Platform Assets </w:t>
      </w:r>
      <w:r>
        <w:rPr>
          <w:rFonts w:ascii="Arial" w:cs="Arial" w:eastAsia="Arial" w:hAnsi="Arial"/>
          <w:sz w:val="15"/>
          <w:szCs w:val="15"/>
          <w:color w:val="auto"/>
        </w:rPr>
        <w:t>: We define Total Platform Assets as the sum of the fair value of all equities, options, cryptocurrency, futures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options on futures, swaps, and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1" w:name="page42"/>
    <w:bookmarkEnd w:id="4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any given period. Starting in June 2025, the fair value of all cryptocurrency includes cryptocurrency on Bitstamp.</w:t>
      </w:r>
    </w:p>
    <w:p>
      <w:pPr>
        <w:spacing w:after="0" w:line="156" w:lineRule="exact"/>
        <w:rPr>
          <w:sz w:val="20"/>
          <w:szCs w:val="20"/>
          <w:color w:val="auto"/>
        </w:rPr>
      </w:pPr>
    </w:p>
    <w:p>
      <w:pPr>
        <w:jc w:val="both"/>
        <w:ind w:left="560" w:hanging="275"/>
        <w:spacing w:after="0" w:line="254"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Net Deposits: </w:t>
      </w:r>
      <w:r>
        <w:rPr>
          <w:rFonts w:ascii="Arial" w:cs="Arial" w:eastAsia="Arial" w:hAnsi="Arial"/>
          <w:sz w:val="15"/>
          <w:szCs w:val="15"/>
          <w:color w:val="auto"/>
        </w:rPr>
        <w:t>We define Net Deposits as all cash deposits and asset transfers from customers, as well as dividends, interest, and cash or assets</w:t>
      </w:r>
      <w:r>
        <w:rPr>
          <w:rFonts w:ascii="Arial" w:cs="Arial" w:eastAsia="Arial" w:hAnsi="Arial"/>
          <w:sz w:val="15"/>
          <w:szCs w:val="15"/>
          <w:b w:val="1"/>
          <w:bCs w:val="1"/>
          <w:color w:val="auto"/>
        </w:rPr>
        <w:t xml:space="preserve"> </w:t>
      </w:r>
      <w:r>
        <w:rPr>
          <w:rFonts w:ascii="Arial" w:cs="Arial" w:eastAsia="Arial" w:hAnsi="Arial"/>
          <w:sz w:val="15"/>
          <w:szCs w:val="15"/>
          <w:color w:val="auto"/>
        </w:rPr>
        <w:t>earned in connection with Company promotions (such as account transfer and retirement match incentives, free stock bonuses, and lending and staking rewards by Bitstamp) received by customers, net of reversals, customer cash withdrawals, margin interest, Robinhood Gold subscription fees, and assets transferred off of our platforms for a stated period. Starting in June 2025, Net Deposits include results from Bitstamp. Due to data limitations, we have not included TradePMR client figures in our Net Deposits key performance metric.</w:t>
      </w:r>
    </w:p>
    <w:p>
      <w:pPr>
        <w:spacing w:after="0" w:line="118" w:lineRule="exact"/>
        <w:rPr>
          <w:rFonts w:ascii="Arial" w:cs="Arial" w:eastAsia="Arial" w:hAnsi="Arial"/>
          <w:sz w:val="15"/>
          <w:szCs w:val="15"/>
          <w:color w:val="auto"/>
        </w:rPr>
      </w:pPr>
    </w:p>
    <w:p>
      <w:pPr>
        <w:jc w:val="both"/>
        <w:ind w:left="560" w:right="20" w:hanging="275"/>
        <w:spacing w:after="0" w:line="263"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Average Revenue Per User (“ARPU”)</w:t>
      </w:r>
      <w:r>
        <w:rPr>
          <w:rFonts w:ascii="Arial" w:cs="Arial" w:eastAsia="Arial" w:hAnsi="Arial"/>
          <w:sz w:val="15"/>
          <w:szCs w:val="15"/>
          <w:color w:val="auto"/>
        </w:rPr>
        <w:t>: We define ARPU as total revenue for a given period divided by the average number of Funded Customers</w:t>
      </w:r>
      <w:r>
        <w:rPr>
          <w:rFonts w:ascii="Arial" w:cs="Arial" w:eastAsia="Arial" w:hAnsi="Arial"/>
          <w:sz w:val="15"/>
          <w:szCs w:val="15"/>
          <w:b w:val="1"/>
          <w:bCs w:val="1"/>
          <w:color w:val="auto"/>
        </w:rPr>
        <w:t xml:space="preserve"> </w:t>
      </w:r>
      <w:r>
        <w:rPr>
          <w:rFonts w:ascii="Arial" w:cs="Arial" w:eastAsia="Arial" w:hAnsi="Arial"/>
          <w:sz w:val="15"/>
          <w:szCs w:val="15"/>
          <w:color w:val="auto"/>
        </w:rPr>
        <w:t>on the last day of that period and the last day of the immediately preceding period. Figures in this Quarterly Report represent ARPU annualized for each three-month period presented.</w:t>
      </w:r>
    </w:p>
    <w:p>
      <w:pPr>
        <w:spacing w:after="0" w:line="112" w:lineRule="exact"/>
        <w:rPr>
          <w:rFonts w:ascii="Arial" w:cs="Arial" w:eastAsia="Arial" w:hAnsi="Arial"/>
          <w:sz w:val="15"/>
          <w:szCs w:val="15"/>
          <w:color w:val="auto"/>
        </w:rPr>
      </w:pPr>
    </w:p>
    <w:p>
      <w:pPr>
        <w:jc w:val="both"/>
        <w:ind w:left="560" w:right="20" w:hanging="275"/>
        <w:spacing w:after="0" w:line="263" w:lineRule="auto"/>
        <w:tabs>
          <w:tab w:leader="none" w:pos="5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Robinhood Gold Subscribers: </w:t>
      </w:r>
      <w:r>
        <w:rPr>
          <w:rFonts w:ascii="Arial" w:cs="Arial" w:eastAsia="Arial" w:hAnsi="Arial"/>
          <w:sz w:val="15"/>
          <w:szCs w:val="15"/>
          <w:color w:val="auto"/>
        </w:rPr>
        <w:t>We define a Robinhood Gold Subscriber as a unique person who has at least one account with a Robinhood entity</w:t>
      </w:r>
      <w:r>
        <w:rPr>
          <w:rFonts w:ascii="Arial" w:cs="Arial" w:eastAsia="Arial" w:hAnsi="Arial"/>
          <w:sz w:val="15"/>
          <w:szCs w:val="15"/>
          <w:b w:val="1"/>
          <w:bCs w:val="1"/>
          <w:color w:val="auto"/>
        </w:rPr>
        <w:t xml:space="preserve"> </w:t>
      </w:r>
      <w:r>
        <w:rPr>
          <w:rFonts w:ascii="Arial" w:cs="Arial" w:eastAsia="Arial" w:hAnsi="Arial"/>
          <w:sz w:val="15"/>
          <w:szCs w:val="15"/>
          <w:color w:val="auto"/>
        </w:rPr>
        <w:t>and who, as of the end of the relevant period (a) is subscribed to Robinhood Gold and (b) has made at least one Robinhood Gold subscription fee payment.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Glossary Terms</w:t>
      </w:r>
    </w:p>
    <w:p>
      <w:pPr>
        <w:spacing w:after="0" w:line="158" w:lineRule="exact"/>
        <w:rPr>
          <w:sz w:val="20"/>
          <w:szCs w:val="20"/>
          <w:color w:val="auto"/>
        </w:rPr>
      </w:pPr>
    </w:p>
    <w:p>
      <w:pPr>
        <w:ind w:left="560" w:hanging="275"/>
        <w:spacing w:after="0" w:line="282"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Automated Customer Account Transfer Service (“ACATS”) </w:t>
      </w:r>
      <w:r>
        <w:rPr>
          <w:rFonts w:ascii="Arial" w:cs="Arial" w:eastAsia="Arial" w:hAnsi="Arial"/>
          <w:sz w:val="15"/>
          <w:szCs w:val="15"/>
          <w:color w:val="auto"/>
        </w:rPr>
        <w:t>: A system that automates and standardizes procedures for the transfer of assets in a</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account from one brokerage firm and/or bank to another.</w:t>
      </w:r>
    </w:p>
    <w:p>
      <w:pPr>
        <w:spacing w:after="0" w:line="98" w:lineRule="exact"/>
        <w:rPr>
          <w:rFonts w:ascii="Arial" w:cs="Arial" w:eastAsia="Arial" w:hAnsi="Arial"/>
          <w:sz w:val="15"/>
          <w:szCs w:val="15"/>
          <w:color w:val="auto"/>
        </w:rPr>
      </w:pPr>
    </w:p>
    <w:p>
      <w:pPr>
        <w:jc w:val="both"/>
        <w:ind w:left="560" w:hanging="275"/>
        <w:spacing w:after="0" w:line="257" w:lineRule="auto"/>
        <w:tabs>
          <w:tab w:leader="none" w:pos="5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Cash Sweep</w:t>
      </w:r>
      <w:r>
        <w:rPr>
          <w:rFonts w:ascii="Arial" w:cs="Arial" w:eastAsia="Arial" w:hAnsi="Arial"/>
          <w:sz w:val="15"/>
          <w:szCs w:val="15"/>
          <w:color w:val="auto"/>
        </w:rPr>
        <w:t>: We define Cash Sweep as the period-end total amount of participating users’ uninvested brokerage cash that has been automatically</w:t>
      </w:r>
      <w:r>
        <w:rPr>
          <w:rFonts w:ascii="Arial" w:cs="Arial" w:eastAsia="Arial" w:hAnsi="Arial"/>
          <w:sz w:val="15"/>
          <w:szCs w:val="15"/>
          <w:b w:val="1"/>
          <w:bCs w:val="1"/>
          <w:color w:val="auto"/>
        </w:rPr>
        <w:t xml:space="preserve"> </w:t>
      </w:r>
      <w:r>
        <w:rPr>
          <w:rFonts w:ascii="Arial" w:cs="Arial" w:eastAsia="Arial" w:hAnsi="Arial"/>
          <w:sz w:val="15"/>
          <w:szCs w:val="15"/>
          <w:color w:val="auto"/>
        </w:rPr>
        <w:t>“swept”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This includes balances from customers of RIAs using TradePMR ’s platform.</w:t>
      </w:r>
    </w:p>
    <w:p>
      <w:pPr>
        <w:spacing w:after="0" w:line="116" w:lineRule="exact"/>
        <w:rPr>
          <w:rFonts w:ascii="Arial" w:cs="Arial" w:eastAsia="Arial" w:hAnsi="Arial"/>
          <w:sz w:val="15"/>
          <w:szCs w:val="15"/>
          <w:b w:val="1"/>
          <w:bCs w:val="1"/>
          <w:color w:val="auto"/>
        </w:rPr>
      </w:pPr>
    </w:p>
    <w:p>
      <w:pPr>
        <w:jc w:val="both"/>
        <w:ind w:left="560" w:hanging="275"/>
        <w:spacing w:after="0" w:line="251" w:lineRule="auto"/>
        <w:tabs>
          <w:tab w:leader="none" w:pos="5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Churned Customers: </w:t>
      </w:r>
      <w:r>
        <w:rPr>
          <w:rFonts w:ascii="Arial" w:cs="Arial" w:eastAsia="Arial" w:hAnsi="Arial"/>
          <w:sz w:val="15"/>
          <w:szCs w:val="15"/>
          <w:color w:val="auto"/>
        </w:rPr>
        <w:t>A Funded Customer is considered “Churned” if it was ever a New Funded Customer whose account balance (measured as</w:t>
      </w:r>
      <w:r>
        <w:rPr>
          <w:rFonts w:ascii="Arial" w:cs="Arial" w:eastAsia="Arial" w:hAnsi="Arial"/>
          <w:sz w:val="15"/>
          <w:szCs w:val="15"/>
          <w:b w:val="1"/>
          <w:bCs w:val="1"/>
          <w:color w:val="auto"/>
        </w:rPr>
        <w:t xml:space="preserve"> </w:t>
      </w:r>
      <w:r>
        <w:rPr>
          <w:rFonts w:ascii="Arial" w:cs="Arial" w:eastAsia="Arial" w:hAnsi="Arial"/>
          <w:sz w:val="15"/>
          <w:szCs w:val="15"/>
          <w:color w:val="auto"/>
        </w:rPr>
        <w:t>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w:t>
      </w:r>
    </w:p>
    <w:p>
      <w:pPr>
        <w:spacing w:after="0" w:line="300" w:lineRule="exact"/>
        <w:rPr>
          <w:rFonts w:ascii="Arial" w:cs="Arial" w:eastAsia="Arial" w:hAnsi="Arial"/>
          <w:sz w:val="15"/>
          <w:szCs w:val="15"/>
          <w:b w:val="1"/>
          <w:bCs w:val="1"/>
          <w:color w:val="auto"/>
        </w:rPr>
      </w:pPr>
    </w:p>
    <w:p>
      <w:pPr>
        <w:jc w:val="both"/>
        <w:ind w:left="560" w:right="20" w:hanging="275"/>
        <w:spacing w:after="0" w:line="263" w:lineRule="auto"/>
        <w:tabs>
          <w:tab w:leader="none" w:pos="560" w:val="left"/>
        </w:tabs>
        <w:numPr>
          <w:ilvl w:val="0"/>
          <w:numId w:val="11"/>
        </w:numPr>
        <w:rPr>
          <w:rFonts w:ascii="Arial" w:cs="Arial" w:eastAsia="Arial" w:hAnsi="Arial"/>
          <w:sz w:val="15"/>
          <w:szCs w:val="15"/>
          <w:i w:val="1"/>
          <w:iCs w:val="1"/>
          <w:color w:val="auto"/>
        </w:rPr>
      </w:pPr>
      <w:r>
        <w:rPr>
          <w:rFonts w:ascii="Arial" w:cs="Arial" w:eastAsia="Arial" w:hAnsi="Arial"/>
          <w:sz w:val="15"/>
          <w:szCs w:val="15"/>
          <w:b w:val="1"/>
          <w:bCs w:val="1"/>
          <w:color w:val="auto"/>
        </w:rPr>
        <w:t xml:space="preserve">Growth Rate and Annualized Growth Rate with respect to Net Deposits: </w:t>
      </w:r>
      <w:r>
        <w:rPr>
          <w:rFonts w:ascii="Arial" w:cs="Arial" w:eastAsia="Arial" w:hAnsi="Arial"/>
          <w:sz w:val="15"/>
          <w:szCs w:val="15"/>
          <w:color w:val="auto"/>
        </w:rPr>
        <w:t>Growth rate is calculated as aggregate Net Deposits over a specified</w:t>
      </w:r>
      <w:r>
        <w:rPr>
          <w:rFonts w:ascii="Arial" w:cs="Arial" w:eastAsia="Arial" w:hAnsi="Arial"/>
          <w:sz w:val="15"/>
          <w:szCs w:val="15"/>
          <w:b w:val="1"/>
          <w:bCs w:val="1"/>
          <w:color w:val="auto"/>
        </w:rPr>
        <w:t xml:space="preserve"> </w:t>
      </w:r>
      <w:r>
        <w:rPr>
          <w:rFonts w:ascii="Arial" w:cs="Arial" w:eastAsia="Arial" w:hAnsi="Arial"/>
          <w:sz w:val="15"/>
          <w:szCs w:val="15"/>
          <w:color w:val="auto"/>
        </w:rPr>
        <w:t>12-month period, divided by Total Platform Assets for the fiscal quarter that immediately precedes such 12-month period. Annualized growth rate is calculated as Net Deposits for a specified quarter multiplied by 4 and divided by Total Platform Assets for the immediately preceding quarter.</w:t>
      </w:r>
    </w:p>
    <w:p>
      <w:pPr>
        <w:spacing w:after="0" w:line="112" w:lineRule="exact"/>
        <w:rPr>
          <w:rFonts w:ascii="Arial" w:cs="Arial" w:eastAsia="Arial" w:hAnsi="Arial"/>
          <w:sz w:val="15"/>
          <w:szCs w:val="15"/>
          <w:i w:val="1"/>
          <w:iCs w:val="1"/>
          <w:color w:val="auto"/>
        </w:rPr>
      </w:pPr>
    </w:p>
    <w:p>
      <w:pPr>
        <w:ind w:left="560" w:right="20" w:hanging="275"/>
        <w:spacing w:after="0" w:line="282" w:lineRule="auto"/>
        <w:tabs>
          <w:tab w:leader="none" w:pos="5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Investment Accounts: </w:t>
      </w:r>
      <w:r>
        <w:rPr>
          <w:rFonts w:ascii="Arial" w:cs="Arial" w:eastAsia="Arial" w:hAnsi="Arial"/>
          <w:sz w:val="15"/>
          <w:szCs w:val="15"/>
          <w:color w:val="auto"/>
        </w:rPr>
        <w:t>We define an Investment Account as a funded individual brokerage account, a funded joint investing account, a funded</w:t>
      </w:r>
      <w:r>
        <w:rPr>
          <w:rFonts w:ascii="Arial" w:cs="Arial" w:eastAsia="Arial" w:hAnsi="Arial"/>
          <w:sz w:val="15"/>
          <w:szCs w:val="15"/>
          <w:b w:val="1"/>
          <w:bCs w:val="1"/>
          <w:color w:val="auto"/>
        </w:rPr>
        <w:t xml:space="preserve"> </w:t>
      </w:r>
      <w:r>
        <w:rPr>
          <w:rFonts w:ascii="Arial" w:cs="Arial" w:eastAsia="Arial" w:hAnsi="Arial"/>
          <w:sz w:val="15"/>
          <w:szCs w:val="15"/>
          <w:color w:val="auto"/>
        </w:rPr>
        <w:t>individual retirement account (“IRA”), or an account with an RIA using TradePMR’s platform. As of September 30, 2025, a Funded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2" w:name="page43"/>
    <w:bookmarkEnd w:id="4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5"/>
          <w:szCs w:val="15"/>
          <w:color w:val="auto"/>
        </w:rPr>
        <w:t>can have multiple Investment Accounts - one or more individual brokerage accounts, a joint investing account, a traditional IRA, a Roth IRA, and/or an RIA custody account using TradePMR’s platform. Investment Accounts do not include Bitstamp as such accounts are not brokerage or other Investment Accounts.</w:t>
      </w:r>
    </w:p>
    <w:p>
      <w:pPr>
        <w:spacing w:after="0" w:line="112" w:lineRule="exact"/>
        <w:rPr>
          <w:sz w:val="20"/>
          <w:szCs w:val="20"/>
          <w:color w:val="auto"/>
        </w:rPr>
      </w:pPr>
    </w:p>
    <w:p>
      <w:pPr>
        <w:jc w:val="both"/>
        <w:ind w:left="560" w:hanging="275"/>
        <w:spacing w:after="0" w:line="263" w:lineRule="auto"/>
        <w:tabs>
          <w:tab w:leader="none" w:pos="5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Margin Book: </w:t>
      </w:r>
      <w:r>
        <w:rPr>
          <w:rFonts w:ascii="Arial" w:cs="Arial" w:eastAsia="Arial" w:hAnsi="Arial"/>
          <w:sz w:val="15"/>
          <w:szCs w:val="15"/>
          <w:color w:val="auto"/>
        </w:rPr>
        <w:t>We define Margin Book as our period-end aggregate outstanding margin loan balances receivable (i.e., the period-end total amount</w:t>
      </w:r>
      <w:r>
        <w:rPr>
          <w:rFonts w:ascii="Arial" w:cs="Arial" w:eastAsia="Arial" w:hAnsi="Arial"/>
          <w:sz w:val="15"/>
          <w:szCs w:val="15"/>
          <w:b w:val="1"/>
          <w:bCs w:val="1"/>
          <w:color w:val="auto"/>
        </w:rPr>
        <w:t xml:space="preserve"> </w:t>
      </w:r>
      <w:r>
        <w:rPr>
          <w:rFonts w:ascii="Arial" w:cs="Arial" w:eastAsia="Arial" w:hAnsi="Arial"/>
          <w:sz w:val="15"/>
          <w:szCs w:val="15"/>
          <w:color w:val="auto"/>
        </w:rPr>
        <w:t>we are owed by customers on loans made for the purchase of securities, supported by a pledge of assets in their margin-enabled brokerage accounts). This includes margin loan balances from customers of RIAs using TradePMR ’s platform.</w:t>
      </w:r>
    </w:p>
    <w:p>
      <w:pPr>
        <w:spacing w:after="0" w:line="112" w:lineRule="exact"/>
        <w:rPr>
          <w:rFonts w:ascii="Arial" w:cs="Arial" w:eastAsia="Arial" w:hAnsi="Arial"/>
          <w:sz w:val="15"/>
          <w:szCs w:val="15"/>
          <w:b w:val="1"/>
          <w:bCs w:val="1"/>
          <w:color w:val="auto"/>
        </w:rPr>
      </w:pPr>
    </w:p>
    <w:p>
      <w:pPr>
        <w:ind w:left="560" w:hanging="275"/>
        <w:spacing w:after="0" w:line="282" w:lineRule="auto"/>
        <w:tabs>
          <w:tab w:leader="none" w:pos="5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New Funded Customers: </w:t>
      </w:r>
      <w:r>
        <w:rPr>
          <w:rFonts w:ascii="Arial" w:cs="Arial" w:eastAsia="Arial" w:hAnsi="Arial"/>
          <w:sz w:val="15"/>
          <w:szCs w:val="15"/>
          <w:color w:val="auto"/>
        </w:rPr>
        <w:t>We define a New Funded Customer as a unique person who became a Funded Customer for the first time during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relevant period.</w:t>
      </w:r>
    </w:p>
    <w:p>
      <w:pPr>
        <w:spacing w:after="0" w:line="98" w:lineRule="exact"/>
        <w:rPr>
          <w:rFonts w:ascii="Arial" w:cs="Arial" w:eastAsia="Arial" w:hAnsi="Arial"/>
          <w:sz w:val="15"/>
          <w:szCs w:val="15"/>
          <w:b w:val="1"/>
          <w:bCs w:val="1"/>
          <w:color w:val="auto"/>
        </w:rPr>
      </w:pPr>
    </w:p>
    <w:p>
      <w:pPr>
        <w:ind w:left="560" w:hanging="275"/>
        <w:spacing w:after="0" w:line="251" w:lineRule="auto"/>
        <w:tabs>
          <w:tab w:leader="none" w:pos="5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Notional Trading Volume: </w:t>
      </w:r>
      <w:r>
        <w:rPr>
          <w:rFonts w:ascii="Arial" w:cs="Arial" w:eastAsia="Arial" w:hAnsi="Arial"/>
          <w:sz w:val="15"/>
          <w:szCs w:val="15"/>
          <w:color w:val="auto"/>
        </w:rPr>
        <w:t>We define Notional Trading Volume, or Notional Volume, for any specified asset class as the aggregate dollar value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price or sale price as applicable) of trades executed in that asset class on our platforms over a specified period of time. Crypto Notional Volume includes both Robinhood App Notional Volume and, starting in June 2025, Bitstamp Notional Volume. Robinhood App Notional Volume represents the dollar value of executed crypto trades on the Robinhood platform over a specified period of time. Bitstamp Notional Volume represents the dollar value of executed crypto trades on the Bitstamp platform over a specified period of time. For example, each $1 of transaction value executed between a buyer and seller is counted as $1 of transaction value in the relevant period, rather than $2 if counted for each of the buyer and seller.</w:t>
      </w:r>
    </w:p>
    <w:p>
      <w:pPr>
        <w:spacing w:after="0" w:line="300" w:lineRule="exact"/>
        <w:rPr>
          <w:rFonts w:ascii="Arial" w:cs="Arial" w:eastAsia="Arial" w:hAnsi="Arial"/>
          <w:sz w:val="15"/>
          <w:szCs w:val="15"/>
          <w:b w:val="1"/>
          <w:bCs w:val="1"/>
          <w:color w:val="auto"/>
        </w:rPr>
      </w:pPr>
    </w:p>
    <w:p>
      <w:pPr>
        <w:ind w:left="560" w:hanging="275"/>
        <w:spacing w:after="0" w:line="282"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Options Contracts Traded: </w:t>
      </w:r>
      <w:r>
        <w:rPr>
          <w:rFonts w:ascii="Arial" w:cs="Arial" w:eastAsia="Arial" w:hAnsi="Arial"/>
          <w:sz w:val="15"/>
          <w:szCs w:val="15"/>
          <w:color w:val="auto"/>
        </w:rPr>
        <w:t>We define Options Contracts Traded as the total number of options contracts bought or sold over a specified period of</w:t>
      </w:r>
      <w:r>
        <w:rPr>
          <w:rFonts w:ascii="Arial" w:cs="Arial" w:eastAsia="Arial" w:hAnsi="Arial"/>
          <w:sz w:val="15"/>
          <w:szCs w:val="15"/>
          <w:b w:val="1"/>
          <w:bCs w:val="1"/>
          <w:color w:val="auto"/>
        </w:rPr>
        <w:t xml:space="preserve"> </w:t>
      </w:r>
      <w:r>
        <w:rPr>
          <w:rFonts w:ascii="Arial" w:cs="Arial" w:eastAsia="Arial" w:hAnsi="Arial"/>
          <w:sz w:val="15"/>
          <w:szCs w:val="15"/>
          <w:color w:val="auto"/>
        </w:rPr>
        <w:t>time. Each contract generally entitles the holder to trade 100 shares of the underlying stock.</w:t>
      </w:r>
    </w:p>
    <w:p>
      <w:pPr>
        <w:spacing w:after="0" w:line="98" w:lineRule="exact"/>
        <w:rPr>
          <w:rFonts w:ascii="Arial" w:cs="Arial" w:eastAsia="Arial" w:hAnsi="Arial"/>
          <w:sz w:val="15"/>
          <w:szCs w:val="15"/>
          <w:color w:val="auto"/>
        </w:rPr>
      </w:pPr>
    </w:p>
    <w:p>
      <w:pPr>
        <w:jc w:val="both"/>
        <w:ind w:left="560" w:hanging="275"/>
        <w:spacing w:after="0" w:line="263" w:lineRule="auto"/>
        <w:tabs>
          <w:tab w:leader="none" w:pos="5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Resurrected Customers: </w:t>
      </w:r>
      <w:r>
        <w:rPr>
          <w:rFonts w:ascii="Arial" w:cs="Arial" w:eastAsia="Arial" w:hAnsi="Arial"/>
          <w:sz w:val="15"/>
          <w:szCs w:val="15"/>
          <w:color w:val="auto"/>
        </w:rPr>
        <w:t>A Funded Customer is considered “Resurrected” in a stated period if it was a Churned Customer as of the end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preceding period and its balance (excluding amounts that are deposited into a Funded Customer account by the Company with no action taken by the unique person) rises above zero or it completes a transaction using its account.</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158"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98"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3" w:name="page44"/>
    <w:bookmarkEnd w:id="4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Results and Performance</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With respect to the three months ended September 30, 2025, as compared to the three months ended September 30, 2024:</w:t>
      </w:r>
    </w:p>
    <w:p>
      <w:pPr>
        <w:spacing w:after="0" w:line="156" w:lineRule="exact"/>
        <w:rPr>
          <w:sz w:val="20"/>
          <w:szCs w:val="20"/>
          <w:color w:val="auto"/>
        </w:rPr>
      </w:pPr>
    </w:p>
    <w:p>
      <w:pPr>
        <w:ind w:left="540" w:hanging="255"/>
        <w:spacing w:after="0"/>
        <w:tabs>
          <w:tab w:leader="none" w:pos="54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color w:val="auto"/>
        </w:rPr>
        <w:t>total net revenues increased 100% to $1,274 million compared to $637 million;</w:t>
      </w:r>
    </w:p>
    <w:p>
      <w:pPr>
        <w:spacing w:after="0" w:line="155" w:lineRule="exact"/>
        <w:rPr>
          <w:rFonts w:ascii="Arial" w:cs="Arial" w:eastAsia="Arial" w:hAnsi="Arial"/>
          <w:sz w:val="15"/>
          <w:szCs w:val="15"/>
          <w:b w:val="1"/>
          <w:bCs w:val="1"/>
          <w:i w:val="1"/>
          <w:iCs w:val="1"/>
          <w:color w:val="auto"/>
        </w:rPr>
      </w:pPr>
    </w:p>
    <w:p>
      <w:pPr>
        <w:ind w:left="540" w:hanging="255"/>
        <w:spacing w:after="0"/>
        <w:tabs>
          <w:tab w:leader="none" w:pos="54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color w:val="auto"/>
        </w:rPr>
        <w:t>net income increased 271% to $556 million, compared to $150 million;</w:t>
      </w:r>
    </w:p>
    <w:p>
      <w:pPr>
        <w:spacing w:after="0" w:line="155" w:lineRule="exact"/>
        <w:rPr>
          <w:rFonts w:ascii="Arial" w:cs="Arial" w:eastAsia="Arial" w:hAnsi="Arial"/>
          <w:sz w:val="15"/>
          <w:szCs w:val="15"/>
          <w:b w:val="1"/>
          <w:bCs w:val="1"/>
          <w:i w:val="1"/>
          <w:iCs w:val="1"/>
          <w:color w:val="auto"/>
        </w:rPr>
      </w:pPr>
    </w:p>
    <w:p>
      <w:pPr>
        <w:ind w:left="540" w:hanging="255"/>
        <w:spacing w:after="0"/>
        <w:tabs>
          <w:tab w:leader="none" w:pos="54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color w:val="auto"/>
        </w:rPr>
        <w:t>diluted EPS increased 259% to $0.61 compared to $0.17;</w:t>
      </w:r>
    </w:p>
    <w:p>
      <w:pPr>
        <w:spacing w:after="0" w:line="155" w:lineRule="exact"/>
        <w:rPr>
          <w:rFonts w:ascii="Arial" w:cs="Arial" w:eastAsia="Arial" w:hAnsi="Arial"/>
          <w:sz w:val="15"/>
          <w:szCs w:val="15"/>
          <w:b w:val="1"/>
          <w:bCs w:val="1"/>
          <w:i w:val="1"/>
          <w:iCs w:val="1"/>
          <w:color w:val="auto"/>
        </w:rPr>
      </w:pPr>
    </w:p>
    <w:p>
      <w:pPr>
        <w:ind w:left="560" w:hanging="275"/>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operating expenses increased 31% to $639 million compared to $486 million;</w:t>
      </w:r>
    </w:p>
    <w:p>
      <w:pPr>
        <w:spacing w:after="0" w:line="155" w:lineRule="exact"/>
        <w:rPr>
          <w:rFonts w:ascii="Arial" w:cs="Arial" w:eastAsia="Arial" w:hAnsi="Arial"/>
          <w:sz w:val="15"/>
          <w:szCs w:val="15"/>
          <w:color w:val="auto"/>
        </w:rPr>
      </w:pPr>
    </w:p>
    <w:p>
      <w:pPr>
        <w:ind w:left="1120" w:hanging="273"/>
        <w:spacing w:after="0"/>
        <w:tabs>
          <w:tab w:leader="none" w:pos="11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SBC expense decreased 1% to $78 million compared to $79 million;</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EBITDA (non-GAAP) increased 177% to $742 million compared to $268 million;</w:t>
      </w:r>
    </w:p>
    <w:p>
      <w:pPr>
        <w:spacing w:after="0" w:line="155"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Funded Customers increased by 2.5 million, or 10%, to 26.8 million compared to 24.3 million, and Investment Accounts increased by 2.8 million, or 11%, to 27.9 million compared to 25.1 million;</w:t>
      </w:r>
    </w:p>
    <w:p>
      <w:pPr>
        <w:spacing w:after="0" w:line="98" w:lineRule="exact"/>
        <w:rPr>
          <w:rFonts w:ascii="Arial" w:cs="Arial" w:eastAsia="Arial" w:hAnsi="Arial"/>
          <w:sz w:val="15"/>
          <w:szCs w:val="15"/>
          <w:color w:val="auto"/>
        </w:rPr>
      </w:pPr>
    </w:p>
    <w:p>
      <w:pPr>
        <w:ind w:left="560" w:hanging="275"/>
        <w:spacing w:after="0" w:line="282"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Platform Assets increased 119% to $332.7 billion compared to $152.2 billion, driven by continued Net Deposits, higher equity and cryptocurrency valuations, and acquired assets;</w:t>
      </w:r>
    </w:p>
    <w:p>
      <w:pPr>
        <w:spacing w:after="0" w:line="98" w:lineRule="exact"/>
        <w:rPr>
          <w:rFonts w:ascii="Arial" w:cs="Arial" w:eastAsia="Arial" w:hAnsi="Arial"/>
          <w:sz w:val="15"/>
          <w:szCs w:val="15"/>
          <w:color w:val="auto"/>
        </w:rPr>
      </w:pPr>
    </w:p>
    <w:p>
      <w:pPr>
        <w:jc w:val="both"/>
        <w:ind w:left="560" w:hanging="275"/>
        <w:spacing w:after="0" w:line="257"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Net Deposits were $20.4 billion, which translates to an annualized growth rate of 29% relative to Total Platform Assets at the end of the second quarter of 2025, compared to $10.0 billion, which translates to an annualized growth rate of 29% relative to Total Platform Assets at the end of the second quarter of 2024. Over the past twelve months, Net Deposits were $68.3 billion, a growth rate of 45% relative to Total Platform Assets at the end of the third quarter of 2024;</w:t>
      </w:r>
    </w:p>
    <w:p>
      <w:pPr>
        <w:spacing w:after="0" w:line="116" w:lineRule="exact"/>
        <w:rPr>
          <w:rFonts w:ascii="Arial" w:cs="Arial" w:eastAsia="Arial" w:hAnsi="Arial"/>
          <w:sz w:val="15"/>
          <w:szCs w:val="15"/>
          <w:color w:val="auto"/>
        </w:rPr>
      </w:pPr>
    </w:p>
    <w:p>
      <w:pPr>
        <w:ind w:left="560" w:hanging="275"/>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ARPU increased 82% to $191 compared to $105; and</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Robinhood Gold Subscribers increased 1.69 million, or 77%, to 3.88 million compared to 2.19 million.</w:t>
      </w:r>
    </w:p>
    <w:p>
      <w:pPr>
        <w:spacing w:after="0" w:line="156" w:lineRule="exact"/>
        <w:rPr>
          <w:sz w:val="20"/>
          <w:szCs w:val="20"/>
          <w:color w:val="auto"/>
        </w:rPr>
      </w:pPr>
    </w:p>
    <w:p>
      <w:pPr>
        <w:ind w:right="20" w:firstLine="281"/>
        <w:spacing w:after="0" w:line="282" w:lineRule="auto"/>
        <w:rPr>
          <w:sz w:val="20"/>
          <w:szCs w:val="20"/>
          <w:color w:val="auto"/>
        </w:rPr>
      </w:pPr>
      <w:r>
        <w:rPr>
          <w:rFonts w:ascii="Arial" w:cs="Arial" w:eastAsia="Arial" w:hAnsi="Arial"/>
          <w:sz w:val="15"/>
          <w:szCs w:val="15"/>
          <w:color w:val="auto"/>
        </w:rPr>
        <w:t>Adjusted EBITDA is a non- GAAP financial measure. For more information about Adjusted EBITDA, including the definition and limitations of such measure, and a reconciliation of net income to Adjusted EBITDA, please see “—Non-GAAP Financial Measures” below.</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Key Performance Metrics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Key performance metrics for the relevant periods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2"/>
                <w:szCs w:val="12"/>
                <w:color w:val="auto"/>
              </w:rPr>
            </w:pPr>
          </w:p>
        </w:tc>
        <w:tc>
          <w:tcPr>
            <w:tcW w:w="2460" w:type="dxa"/>
            <w:vAlign w:val="bottom"/>
            <w:gridSpan w:val="4"/>
          </w:tcPr>
          <w:p>
            <w:pPr>
              <w:jc w:val="right"/>
              <w:ind w:right="276"/>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60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7"/>
        </w:trPr>
        <w:tc>
          <w:tcPr>
            <w:tcW w:w="60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 Change</w:t>
            </w:r>
          </w:p>
        </w:tc>
        <w:tc>
          <w:tcPr>
            <w:tcW w:w="160" w:type="dxa"/>
            <w:vAlign w:val="bottom"/>
            <w:tcBorders>
              <w:bottom w:val="single" w:sz="8" w:color="auto"/>
            </w:tcBorders>
          </w:tcPr>
          <w:p>
            <w:pPr>
              <w:spacing w:after="0"/>
              <w:rPr>
                <w:sz w:val="14"/>
                <w:szCs w:val="14"/>
                <w:color w:val="auto"/>
              </w:rPr>
            </w:pPr>
          </w:p>
        </w:tc>
      </w:tr>
      <w:tr>
        <w:trPr>
          <w:trHeight w:val="191"/>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Funded Customers</w:t>
            </w:r>
            <w:r>
              <w:rPr>
                <w:rFonts w:ascii="Arial" w:cs="Arial" w:eastAsia="Arial" w:hAnsi="Arial"/>
                <w:sz w:val="8"/>
                <w:szCs w:val="8"/>
                <w:color w:val="auto"/>
              </w:rPr>
              <w:t>(1)</w:t>
            </w:r>
            <w:r>
              <w:rPr>
                <w:rFonts w:ascii="Arial" w:cs="Arial" w:eastAsia="Arial" w:hAnsi="Arial"/>
                <w:sz w:val="13"/>
                <w:szCs w:val="13"/>
                <w:color w:val="auto"/>
              </w:rPr>
              <w:t xml:space="preserve"> </w:t>
            </w:r>
            <w:r>
              <w:rPr>
                <w:rFonts w:ascii="Arial" w:cs="Arial" w:eastAsia="Arial" w:hAnsi="Arial"/>
                <w:sz w:val="13"/>
                <w:szCs w:val="13"/>
                <w:i w:val="1"/>
                <w:iCs w:val="1"/>
                <w:color w:val="auto"/>
              </w:rPr>
              <w:t>(in millions)</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040" w:type="dxa"/>
            <w:vAlign w:val="bottom"/>
          </w:tcPr>
          <w:p>
            <w:pPr>
              <w:ind w:left="20"/>
              <w:spacing w:after="0"/>
              <w:rPr>
                <w:sz w:val="20"/>
                <w:szCs w:val="20"/>
                <w:color w:val="auto"/>
              </w:rPr>
            </w:pPr>
            <w:r>
              <w:rPr>
                <w:rFonts w:ascii="Arial" w:cs="Arial" w:eastAsia="Arial" w:hAnsi="Arial"/>
                <w:sz w:val="13"/>
                <w:szCs w:val="13"/>
                <w:color w:val="auto"/>
              </w:rPr>
              <w:t>Total Platform Assets</w:t>
            </w:r>
            <w:r>
              <w:rPr>
                <w:rFonts w:ascii="Arial" w:cs="Arial" w:eastAsia="Arial" w:hAnsi="Arial"/>
                <w:sz w:val="8"/>
                <w:szCs w:val="8"/>
                <w:color w:val="auto"/>
              </w:rPr>
              <w:t>(2)</w:t>
            </w:r>
            <w:r>
              <w:rPr>
                <w:rFonts w:ascii="Arial" w:cs="Arial" w:eastAsia="Arial" w:hAnsi="Arial"/>
                <w:sz w:val="13"/>
                <w:szCs w:val="13"/>
                <w:color w:val="auto"/>
              </w:rPr>
              <w:t xml:space="preserve"> </w:t>
            </w:r>
            <w:r>
              <w:rPr>
                <w:rFonts w:ascii="Arial" w:cs="Arial" w:eastAsia="Arial" w:hAnsi="Arial"/>
                <w:sz w:val="13"/>
                <w:szCs w:val="13"/>
                <w:i w:val="1"/>
                <w:iCs w:val="1"/>
                <w:color w:val="auto"/>
              </w:rPr>
              <w:t>(in billions)</w:t>
            </w: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152.2</w:t>
            </w:r>
          </w:p>
        </w:tc>
        <w:tc>
          <w:tcPr>
            <w:tcW w:w="1040" w:type="dxa"/>
            <w:vAlign w:val="bottom"/>
            <w:gridSpan w:val="2"/>
          </w:tcPr>
          <w:p>
            <w:pPr>
              <w:jc w:val="right"/>
              <w:ind w:right="796"/>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6"/>
              <w:spacing w:after="0"/>
              <w:rPr>
                <w:sz w:val="20"/>
                <w:szCs w:val="20"/>
                <w:color w:val="auto"/>
              </w:rPr>
            </w:pPr>
            <w:r>
              <w:rPr>
                <w:rFonts w:ascii="Arial" w:cs="Arial" w:eastAsia="Arial" w:hAnsi="Arial"/>
                <w:sz w:val="13"/>
                <w:szCs w:val="13"/>
                <w:color w:val="auto"/>
              </w:rPr>
              <w:t>332.7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Net Deposits </w:t>
            </w:r>
            <w:r>
              <w:rPr>
                <w:rFonts w:ascii="Arial" w:cs="Arial" w:eastAsia="Arial" w:hAnsi="Arial"/>
                <w:sz w:val="13"/>
                <w:szCs w:val="13"/>
                <w:i w:val="1"/>
                <w:iCs w:val="1"/>
                <w:color w:val="auto"/>
              </w:rPr>
              <w:t>(in billions)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72"/>
        </w:trPr>
        <w:tc>
          <w:tcPr>
            <w:tcW w:w="6040" w:type="dxa"/>
            <w:vAlign w:val="bottom"/>
          </w:tcPr>
          <w:p>
            <w:pPr>
              <w:ind w:left="20"/>
              <w:spacing w:after="0"/>
              <w:rPr>
                <w:sz w:val="20"/>
                <w:szCs w:val="20"/>
                <w:color w:val="auto"/>
              </w:rPr>
            </w:pPr>
            <w:r>
              <w:rPr>
                <w:rFonts w:ascii="Arial" w:cs="Arial" w:eastAsia="Arial" w:hAnsi="Arial"/>
                <w:sz w:val="13"/>
                <w:szCs w:val="13"/>
                <w:color w:val="auto"/>
              </w:rPr>
              <w:t>Annualized Growth Rate with respect to Net Deposits</w:t>
            </w:r>
          </w:p>
        </w:tc>
        <w:tc>
          <w:tcPr>
            <w:tcW w:w="940" w:type="dxa"/>
            <w:vAlign w:val="bottom"/>
          </w:tcPr>
          <w:p>
            <w:pPr>
              <w:spacing w:after="0"/>
              <w:rPr>
                <w:sz w:val="14"/>
                <w:szCs w:val="14"/>
                <w:color w:val="auto"/>
              </w:rPr>
            </w:pP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NM</w:t>
            </w:r>
          </w:p>
        </w:tc>
      </w:tr>
      <w:tr>
        <w:trPr>
          <w:trHeight w:val="17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ARPU </w:t>
            </w:r>
            <w:r>
              <w:rPr>
                <w:rFonts w:ascii="Arial" w:cs="Arial" w:eastAsia="Arial" w:hAnsi="Arial"/>
                <w:sz w:val="13"/>
                <w:szCs w:val="13"/>
                <w:i w:val="1"/>
                <w:iCs w:val="1"/>
                <w:color w:val="auto"/>
              </w:rPr>
              <w:t>(in dollars)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105</w:t>
            </w:r>
          </w:p>
        </w:tc>
        <w:tc>
          <w:tcPr>
            <w:tcW w:w="1040" w:type="dxa"/>
            <w:vAlign w:val="bottom"/>
            <w:gridSpan w:val="2"/>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040" w:type="dxa"/>
            <w:vAlign w:val="bottom"/>
          </w:tcPr>
          <w:p>
            <w:pPr>
              <w:ind w:left="20"/>
              <w:spacing w:after="0"/>
              <w:rPr>
                <w:sz w:val="20"/>
                <w:szCs w:val="20"/>
                <w:color w:val="auto"/>
              </w:rPr>
            </w:pPr>
            <w:r>
              <w:rPr>
                <w:rFonts w:ascii="Arial" w:cs="Arial" w:eastAsia="Arial" w:hAnsi="Arial"/>
                <w:sz w:val="13"/>
                <w:szCs w:val="13"/>
                <w:color w:val="auto"/>
              </w:rPr>
              <w:t xml:space="preserve">Robinhood Gold Subscribers </w:t>
            </w:r>
            <w:r>
              <w:rPr>
                <w:rFonts w:ascii="Arial" w:cs="Arial" w:eastAsia="Arial" w:hAnsi="Arial"/>
                <w:sz w:val="13"/>
                <w:szCs w:val="13"/>
                <w:i w:val="1"/>
                <w:iCs w:val="1"/>
                <w:color w:val="auto"/>
              </w:rPr>
              <w:t>(in millions)</w:t>
            </w:r>
          </w:p>
        </w:tc>
        <w:tc>
          <w:tcPr>
            <w:tcW w:w="940" w:type="dxa"/>
            <w:vAlign w:val="bottom"/>
          </w:tcPr>
          <w:p>
            <w:pPr>
              <w:spacing w:after="0"/>
              <w:rPr>
                <w:sz w:val="14"/>
                <w:szCs w:val="14"/>
                <w:color w:val="auto"/>
              </w:rPr>
            </w:pP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3"/>
                <w:szCs w:val="13"/>
                <w:color w:val="auto"/>
              </w:rPr>
              <w:t>3.88</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60"/>
          </w:cols>
          <w:pgMar w:left="660" w:top="558" w:right="680" w:bottom="1440" w:gutter="0" w:footer="0" w:header="0"/>
        </w:sectPr>
      </w:pPr>
    </w:p>
    <w:bookmarkStart w:id="44" w:name="page45"/>
    <w:bookmarkEnd w:id="4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40" w:orient="portrait"/>
          <w:cols w:equalWidth="0" w:num="1">
            <w:col w:w="10580"/>
          </w:cols>
          <w:pgMar w:left="660" w:top="558"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The following table describes the annual changes within Funded Customers:</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22860</wp:posOffset>
            </wp:positionV>
            <wp:extent cx="6137275" cy="133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7275" cy="13398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Beginning Funded Customers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New Funded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24130</wp:posOffset>
            </wp:positionV>
            <wp:extent cx="6137275" cy="126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37275" cy="1263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Resurrected Customers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Churned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24130</wp:posOffset>
            </wp:positionV>
            <wp:extent cx="6137275" cy="148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37275" cy="14859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3"/>
          <w:szCs w:val="13"/>
          <w:color w:val="auto"/>
        </w:rPr>
        <w:t>Ending Funded Customers</w:t>
      </w:r>
    </w:p>
    <w:p>
      <w:pPr>
        <w:spacing w:after="0" w:line="272"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The following table sets out the components of Total Platform Assets by type of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Three Months Ended</w:t>
      </w:r>
    </w:p>
    <w:p>
      <w:pPr>
        <w:ind w:left="60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8890</wp:posOffset>
            </wp:positionV>
            <wp:extent cx="17481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8155" cy="7620"/>
                    </a:xfrm>
                    <a:prstGeom prst="rect">
                      <a:avLst/>
                    </a:prstGeom>
                    <a:noFill/>
                  </pic:spPr>
                </pic:pic>
              </a:graphicData>
            </a:graphic>
          </wp:anchor>
        </w:drawing>
      </w:r>
    </w:p>
    <w:p>
      <w:pPr>
        <w:spacing w:after="0" w:line="18"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2025</w:t>
      </w:r>
    </w:p>
    <w:p>
      <w:pPr>
        <w:spacing w:after="0" w:line="50" w:lineRule="exact"/>
        <w:rPr>
          <w:sz w:val="20"/>
          <w:szCs w:val="20"/>
          <w:color w:val="auto"/>
        </w:rPr>
      </w:pPr>
    </w:p>
    <w:p>
      <w:pPr>
        <w:ind w:left="560"/>
        <w:spacing w:after="0"/>
        <w:tabs>
          <w:tab w:leader="none" w:pos="2020" w:val="left"/>
        </w:tabs>
        <w:rPr>
          <w:sz w:val="20"/>
          <w:szCs w:val="20"/>
          <w:color w:val="auto"/>
        </w:rPr>
      </w:pPr>
      <w:r>
        <w:rPr>
          <w:rFonts w:ascii="Arial" w:cs="Arial" w:eastAsia="Arial" w:hAnsi="Arial"/>
          <w:sz w:val="13"/>
          <w:szCs w:val="13"/>
          <w:color w:val="auto"/>
        </w:rPr>
        <w:t>24.2</w:t>
      </w:r>
      <w:r>
        <w:rPr>
          <w:sz w:val="20"/>
          <w:szCs w:val="20"/>
          <w:color w:val="auto"/>
        </w:rPr>
        <w:tab/>
      </w:r>
      <w:r>
        <w:rPr>
          <w:rFonts w:ascii="Arial" w:cs="Arial" w:eastAsia="Arial" w:hAnsi="Arial"/>
          <w:sz w:val="13"/>
          <w:szCs w:val="13"/>
          <w:color w:val="auto"/>
        </w:rPr>
        <w:t>26.5</w:t>
      </w:r>
    </w:p>
    <w:p>
      <w:pPr>
        <w:spacing w:after="0" w:line="50"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3"/>
          <w:szCs w:val="13"/>
          <w:color w:val="auto"/>
        </w:rPr>
        <w:t>0.4</w:t>
      </w:r>
      <w:r>
        <w:rPr>
          <w:sz w:val="20"/>
          <w:szCs w:val="20"/>
          <w:color w:val="auto"/>
        </w:rPr>
        <w:tab/>
      </w:r>
      <w:r>
        <w:rPr>
          <w:rFonts w:ascii="Arial" w:cs="Arial" w:eastAsia="Arial" w:hAnsi="Arial"/>
          <w:sz w:val="12"/>
          <w:szCs w:val="12"/>
          <w:color w:val="auto"/>
        </w:rPr>
        <w:t>0.7</w:t>
      </w:r>
    </w:p>
    <w:p>
      <w:pPr>
        <w:spacing w:after="0" w:line="50" w:lineRule="exact"/>
        <w:rPr>
          <w:sz w:val="20"/>
          <w:szCs w:val="20"/>
          <w:color w:val="auto"/>
        </w:rPr>
      </w:pPr>
    </w:p>
    <w:p>
      <w:pPr>
        <w:ind w:left="620"/>
        <w:spacing w:after="0"/>
        <w:tabs>
          <w:tab w:leader="none" w:pos="2100" w:val="left"/>
        </w:tabs>
        <w:rPr>
          <w:sz w:val="20"/>
          <w:szCs w:val="20"/>
          <w:color w:val="auto"/>
        </w:rPr>
      </w:pPr>
      <w:r>
        <w:rPr>
          <w:rFonts w:ascii="Arial" w:cs="Arial" w:eastAsia="Arial" w:hAnsi="Arial"/>
          <w:sz w:val="13"/>
          <w:szCs w:val="13"/>
          <w:color w:val="auto"/>
        </w:rPr>
        <w:t>0.1</w:t>
      </w:r>
      <w:r>
        <w:rPr>
          <w:sz w:val="20"/>
          <w:szCs w:val="20"/>
          <w:color w:val="auto"/>
        </w:rPr>
        <w:tab/>
      </w:r>
      <w:r>
        <w:rPr>
          <w:rFonts w:ascii="Arial" w:cs="Arial" w:eastAsia="Arial" w:hAnsi="Arial"/>
          <w:sz w:val="12"/>
          <w:szCs w:val="12"/>
          <w:color w:val="auto"/>
        </w:rPr>
        <w:t>0.1</w:t>
      </w:r>
    </w:p>
    <w:p>
      <w:pPr>
        <w:spacing w:after="0" w:line="50"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3"/>
          <w:szCs w:val="13"/>
          <w:color w:val="auto"/>
        </w:rPr>
        <w:t>(0.4)</w:t>
      </w:r>
      <w:r>
        <w:rPr>
          <w:sz w:val="20"/>
          <w:szCs w:val="20"/>
          <w:color w:val="auto"/>
        </w:rPr>
        <w:tab/>
      </w:r>
      <w:r>
        <w:rPr>
          <w:rFonts w:ascii="Arial" w:cs="Arial" w:eastAsia="Arial" w:hAnsi="Arial"/>
          <w:sz w:val="12"/>
          <w:szCs w:val="12"/>
          <w:color w:val="auto"/>
        </w:rPr>
        <w:t>(0.5)</w:t>
      </w:r>
    </w:p>
    <w:p>
      <w:pPr>
        <w:spacing w:after="0" w:line="61" w:lineRule="exact"/>
        <w:rPr>
          <w:sz w:val="20"/>
          <w:szCs w:val="20"/>
          <w:color w:val="auto"/>
        </w:rPr>
      </w:pPr>
    </w:p>
    <w:p>
      <w:pPr>
        <w:ind w:left="560"/>
        <w:spacing w:after="0"/>
        <w:tabs>
          <w:tab w:leader="none" w:pos="2020" w:val="left"/>
        </w:tabs>
        <w:rPr>
          <w:sz w:val="20"/>
          <w:szCs w:val="20"/>
          <w:color w:val="auto"/>
        </w:rPr>
      </w:pPr>
      <w:r>
        <w:rPr>
          <w:rFonts w:ascii="Arial" w:cs="Arial" w:eastAsia="Arial" w:hAnsi="Arial"/>
          <w:sz w:val="13"/>
          <w:szCs w:val="13"/>
          <w:color w:val="auto"/>
        </w:rPr>
        <w:t>24.3</w:t>
      </w:r>
      <w:r>
        <w:rPr>
          <w:sz w:val="20"/>
          <w:szCs w:val="20"/>
          <w:color w:val="auto"/>
        </w:rPr>
        <w:tab/>
      </w:r>
      <w:r>
        <w:rPr>
          <w:rFonts w:ascii="Arial" w:cs="Arial" w:eastAsia="Arial" w:hAnsi="Arial"/>
          <w:sz w:val="13"/>
          <w:szCs w:val="13"/>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46355</wp:posOffset>
            </wp:positionV>
            <wp:extent cx="17481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48155" cy="76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Three Months Ended</w:t>
      </w:r>
    </w:p>
    <w:p>
      <w:pPr>
        <w:ind w:left="6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168846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884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Change</w:t>
      </w:r>
    </w:p>
    <w:p>
      <w:pPr>
        <w:spacing w:after="0" w:line="61"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10 %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75 %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25 %</w:t>
      </w:r>
    </w:p>
    <w:p>
      <w:pPr>
        <w:spacing w:after="0" w:line="85"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10 %</w:t>
      </w:r>
    </w:p>
    <w:p>
      <w:pPr>
        <w:spacing w:after="0" w:line="766" w:lineRule="exact"/>
        <w:rPr>
          <w:sz w:val="20"/>
          <w:szCs w:val="20"/>
          <w:color w:val="auto"/>
        </w:rPr>
      </w:pPr>
    </w:p>
    <w:p>
      <w:pPr>
        <w:sectPr>
          <w:pgSz w:w="11900" w:h="16840" w:orient="portrait"/>
          <w:cols w:equalWidth="0" w:num="3">
            <w:col w:w="5500" w:space="720"/>
            <w:col w:w="2320" w:space="340"/>
            <w:col w:w="1700"/>
          </w:cols>
          <w:pgMar w:left="660" w:top="558" w:right="660" w:bottom="1440" w:gutter="0" w:footer="0" w:header="0"/>
          <w:type w:val="continuous"/>
        </w:sectPr>
      </w:pPr>
    </w:p>
    <w:p>
      <w:pPr>
        <w:ind w:left="20"/>
        <w:spacing w:after="0"/>
        <w:rPr>
          <w:sz w:val="20"/>
          <w:szCs w:val="20"/>
          <w:color w:val="auto"/>
        </w:rPr>
      </w:pPr>
      <w:r>
        <w:rPr>
          <w:rFonts w:ascii="Arial" w:cs="Arial" w:eastAsia="Arial" w:hAnsi="Arial"/>
          <w:sz w:val="13"/>
          <w:szCs w:val="13"/>
          <w:i w:val="1"/>
          <w:iCs w:val="1"/>
          <w:color w:val="auto"/>
        </w:rPr>
        <w:t>(in billions)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Cryptocurrencies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Options and futures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RIA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held by Customers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Receivables from Customers (primarily margin balances)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Platform Assets</w:t>
      </w:r>
    </w:p>
    <w:p>
      <w:pPr>
        <w:spacing w:after="0" w:line="2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describes the changes within Total Platform Assets:</w:t>
      </w:r>
    </w:p>
    <w:p>
      <w:pPr>
        <w:spacing w:after="0" w:line="36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(in billions)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Beginning Total Platform Assets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Net Deposits</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Net market gains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Ending Total Platform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5"/>
                <w:szCs w:val="15"/>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2025</w:t>
            </w:r>
          </w:p>
        </w:tc>
      </w:tr>
      <w:tr>
        <w:trPr>
          <w:trHeight w:val="172"/>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106.4$</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203.0</w:t>
            </w:r>
          </w:p>
        </w:tc>
      </w:tr>
      <w:tr>
        <w:trPr>
          <w:trHeight w:val="199"/>
        </w:trPr>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19.5</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51.1</w:t>
            </w:r>
          </w:p>
        </w:tc>
      </w:tr>
      <w:tr>
        <w:trPr>
          <w:trHeight w:val="199"/>
        </w:trPr>
        <w:tc>
          <w:tcPr>
            <w:tcW w:w="28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1.2</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3.9</w:t>
            </w:r>
          </w:p>
        </w:tc>
      </w:tr>
      <w:tr>
        <w:trPr>
          <w:trHeight w:val="199"/>
        </w:trPr>
        <w:tc>
          <w:tcPr>
            <w:tcW w:w="28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42.2</w:t>
            </w:r>
          </w:p>
        </w:tc>
      </w:tr>
      <w:tr>
        <w:trPr>
          <w:trHeight w:val="199"/>
        </w:trPr>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30.6</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46.3</w:t>
            </w:r>
          </w:p>
        </w:tc>
      </w:tr>
      <w:tr>
        <w:trPr>
          <w:trHeight w:val="199"/>
        </w:trPr>
        <w:tc>
          <w:tcPr>
            <w:tcW w:w="2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r>
      <w:tr>
        <w:trPr>
          <w:trHeight w:val="171"/>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152.2$</w:t>
            </w:r>
          </w:p>
        </w:tc>
        <w:tc>
          <w:tcPr>
            <w:tcW w:w="1420" w:type="dxa"/>
            <w:vAlign w:val="bottom"/>
            <w:gridSpan w:val="2"/>
          </w:tcPr>
          <w:p>
            <w:pPr>
              <w:jc w:val="right"/>
              <w:ind w:right="36"/>
              <w:spacing w:after="0"/>
              <w:rPr>
                <w:sz w:val="20"/>
                <w:szCs w:val="20"/>
                <w:color w:val="auto"/>
              </w:rPr>
            </w:pPr>
            <w:r>
              <w:rPr>
                <w:rFonts w:ascii="Arial" w:cs="Arial" w:eastAsia="Arial" w:hAnsi="Arial"/>
                <w:sz w:val="13"/>
                <w:szCs w:val="13"/>
                <w:color w:val="auto"/>
              </w:rPr>
              <w:t>332.7</w:t>
            </w:r>
          </w:p>
        </w:tc>
      </w:tr>
      <w:tr>
        <w:trPr>
          <w:trHeight w:val="20"/>
        </w:trPr>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-654050</wp:posOffset>
            </wp:positionV>
            <wp:extent cx="6137275" cy="126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7275" cy="12636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-401320</wp:posOffset>
            </wp:positionV>
            <wp:extent cx="6137275"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37275" cy="12636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-147955</wp:posOffset>
            </wp:positionV>
            <wp:extent cx="6137275" cy="13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37275" cy="133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-906780</wp:posOffset>
            </wp:positionV>
            <wp:extent cx="6137275" cy="12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37275" cy="126365"/>
                    </a:xfrm>
                    <a:prstGeom prst="rect">
                      <a:avLst/>
                    </a:prstGeom>
                    <a:noFill/>
                  </pic:spPr>
                </pic:pic>
              </a:graphicData>
            </a:graphic>
          </wp:anchor>
        </w:drawing>
      </w:r>
    </w:p>
    <w:p>
      <w:pPr>
        <w:spacing w:after="0" w:line="370" w:lineRule="exact"/>
        <w:rPr>
          <w:sz w:val="20"/>
          <w:szCs w:val="20"/>
          <w:color w:val="auto"/>
        </w:rPr>
      </w:pPr>
    </w:p>
    <w:p>
      <w:pPr>
        <w:jc w:val="center"/>
        <w:ind w:left="-279"/>
        <w:spacing w:after="0"/>
        <w:rPr>
          <w:sz w:val="20"/>
          <w:szCs w:val="20"/>
          <w:color w:val="auto"/>
        </w:rPr>
      </w:pPr>
      <w:r>
        <w:rPr>
          <w:rFonts w:ascii="Arial" w:cs="Arial" w:eastAsia="Arial" w:hAnsi="Arial"/>
          <w:sz w:val="13"/>
          <w:szCs w:val="13"/>
          <w:b w:val="1"/>
          <w:bCs w:val="1"/>
          <w:color w:val="auto"/>
        </w:rPr>
        <w:t>Three Months Ended</w:t>
      </w:r>
    </w:p>
    <w:p>
      <w:pPr>
        <w:jc w:val="center"/>
        <w:ind w:left="-299"/>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8890</wp:posOffset>
            </wp:positionV>
            <wp:extent cx="16592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59255" cy="7620"/>
                    </a:xfrm>
                    <a:prstGeom prst="rect">
                      <a:avLst/>
                    </a:prstGeom>
                    <a:noFill/>
                  </pic:spPr>
                </pic:pic>
              </a:graphicData>
            </a:graphic>
          </wp:anchor>
        </w:drawing>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2025</w:t>
            </w:r>
          </w:p>
        </w:tc>
      </w:tr>
      <w:tr>
        <w:trPr>
          <w:trHeight w:val="172"/>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139.7</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278.6</w:t>
            </w:r>
          </w:p>
        </w:tc>
      </w:tr>
      <w:tr>
        <w:trPr>
          <w:trHeight w:val="199"/>
        </w:trPr>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20.4</w:t>
            </w:r>
          </w:p>
        </w:tc>
      </w:tr>
      <w:tr>
        <w:trPr>
          <w:trHeight w:val="203"/>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r>
      <w:tr>
        <w:trPr>
          <w:trHeight w:val="186"/>
        </w:trPr>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152.2</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332.7</w:t>
            </w:r>
          </w:p>
        </w:tc>
      </w:tr>
      <w:tr>
        <w:trPr>
          <w:trHeight w:val="23"/>
        </w:trPr>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-289560</wp:posOffset>
            </wp:positionV>
            <wp:extent cx="6137275" cy="126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37275" cy="12636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-542290</wp:posOffset>
            </wp:positionV>
            <wp:extent cx="6137275" cy="1263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37275"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Change</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91 %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162 %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225 %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NM</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51 %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151 %</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119 %</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960"/>
        <w:spacing w:after="0"/>
        <w:rPr>
          <w:sz w:val="20"/>
          <w:szCs w:val="20"/>
          <w:color w:val="auto"/>
        </w:rPr>
      </w:pPr>
      <w:r>
        <w:rPr>
          <w:rFonts w:ascii="Arial" w:cs="Arial" w:eastAsia="Arial" w:hAnsi="Arial"/>
          <w:sz w:val="13"/>
          <w:szCs w:val="13"/>
          <w:b w:val="1"/>
          <w:bCs w:val="1"/>
          <w:color w:val="auto"/>
        </w:rPr>
        <w:t>% Change</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99 %</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NM</w:t>
      </w:r>
    </w:p>
    <w:p>
      <w:pPr>
        <w:spacing w:after="0" w:line="50"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NM</w:t>
      </w:r>
    </w:p>
    <w:p>
      <w:pPr>
        <w:spacing w:after="0" w:line="85"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119 %</w:t>
      </w:r>
    </w:p>
    <w:p>
      <w:pPr>
        <w:spacing w:after="0" w:line="249" w:lineRule="exact"/>
        <w:rPr>
          <w:sz w:val="20"/>
          <w:szCs w:val="20"/>
          <w:color w:val="auto"/>
        </w:rPr>
      </w:pPr>
    </w:p>
    <w:p>
      <w:pPr>
        <w:sectPr>
          <w:pgSz w:w="11900" w:h="16840" w:orient="portrait"/>
          <w:cols w:equalWidth="0" w:num="3">
            <w:col w:w="4960" w:space="720"/>
            <w:col w:w="2940" w:space="260"/>
            <w:col w:w="1700"/>
          </w:cols>
          <w:pgMar w:left="660" w:top="558" w:right="66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Adjusted EBITDA</w:t>
      </w:r>
    </w:p>
    <w:p>
      <w:pPr>
        <w:spacing w:after="0" w:line="155"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 Adjusted EBITDA is defined as net income,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197"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type w:val="continuous"/>
        </w:sectPr>
      </w:pPr>
    </w:p>
    <w:bookmarkStart w:id="45" w:name="page46"/>
    <w:bookmarkEnd w:id="4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a reconciliation of Adjusted EBITDA to the most directly comparable GAAP measure, net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right"/>
              <w:ind w:right="405"/>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65"/>
              <w:spacing w:after="0"/>
              <w:rPr>
                <w:sz w:val="20"/>
                <w:szCs w:val="20"/>
                <w:color w:val="auto"/>
              </w:rPr>
            </w:pPr>
            <w:r>
              <w:rPr>
                <w:rFonts w:ascii="Arial" w:cs="Arial" w:eastAsia="Arial" w:hAnsi="Arial"/>
                <w:sz w:val="13"/>
                <w:szCs w:val="13"/>
                <w:b w:val="1"/>
                <w:bCs w:val="1"/>
                <w:color w:val="auto"/>
              </w:rPr>
              <w:t>Nine Months Ended</w:t>
            </w:r>
          </w:p>
        </w:tc>
      </w:tr>
      <w:tr>
        <w:trPr>
          <w:trHeight w:val="175"/>
        </w:trPr>
        <w:tc>
          <w:tcPr>
            <w:tcW w:w="6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5"/>
                <w:szCs w:val="15"/>
                <w:color w:val="auto"/>
              </w:rPr>
            </w:pPr>
          </w:p>
        </w:tc>
      </w:tr>
      <w:tr>
        <w:trPr>
          <w:trHeight w:val="167"/>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w w:val="96"/>
              </w:rPr>
              <w:t>2025</w:t>
            </w:r>
          </w:p>
        </w:tc>
      </w:tr>
      <w:tr>
        <w:trPr>
          <w:trHeight w:val="191"/>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1,278</w:t>
            </w:r>
          </w:p>
        </w:tc>
      </w:tr>
      <w:tr>
        <w:trPr>
          <w:trHeight w:val="199"/>
        </w:trPr>
        <w:tc>
          <w:tcPr>
            <w:tcW w:w="6000" w:type="dxa"/>
            <w:vAlign w:val="bottom"/>
          </w:tcPr>
          <w:p>
            <w:pPr>
              <w:ind w:left="20"/>
              <w:spacing w:after="0"/>
              <w:rPr>
                <w:sz w:val="20"/>
                <w:szCs w:val="20"/>
                <w:color w:val="auto"/>
              </w:rPr>
            </w:pPr>
            <w:r>
              <w:rPr>
                <w:rFonts w:ascii="Arial" w:cs="Arial" w:eastAsia="Arial" w:hAnsi="Arial"/>
                <w:sz w:val="15"/>
                <w:szCs w:val="15"/>
                <w:color w:val="auto"/>
              </w:rPr>
              <w:t>Add: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expenses related to credit facilities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w:t>
            </w:r>
          </w:p>
        </w:tc>
      </w:tr>
      <w:tr>
        <w:trPr>
          <w:trHeight w:val="199"/>
        </w:trPr>
        <w:tc>
          <w:tcPr>
            <w:tcW w:w="600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169</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63</w:t>
            </w:r>
          </w:p>
        </w:tc>
      </w:tr>
      <w:tr>
        <w:trPr>
          <w:trHeight w:val="191"/>
        </w:trPr>
        <w:tc>
          <w:tcPr>
            <w:tcW w:w="6000" w:type="dxa"/>
            <w:vAlign w:val="bottom"/>
          </w:tcPr>
          <w:p>
            <w:pPr>
              <w:ind w:left="160"/>
              <w:spacing w:after="0"/>
              <w:rPr>
                <w:sz w:val="20"/>
                <w:szCs w:val="20"/>
                <w:color w:val="auto"/>
              </w:rPr>
            </w:pPr>
            <w:r>
              <w:rPr>
                <w:rFonts w:ascii="Arial" w:cs="Arial" w:eastAsia="Arial" w:hAnsi="Arial"/>
                <w:sz w:val="15"/>
                <w:szCs w:val="15"/>
                <w:color w:val="auto"/>
              </w:rPr>
              <w:t>EBITDA (non-GAAP)</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1,532</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9"/>
        </w:trPr>
        <w:tc>
          <w:tcPr>
            <w:tcW w:w="6000" w:type="dxa"/>
            <w:vAlign w:val="bottom"/>
          </w:tcPr>
          <w:p>
            <w:pPr>
              <w:ind w:left="20"/>
              <w:spacing w:after="0"/>
              <w:rPr>
                <w:sz w:val="20"/>
                <w:szCs w:val="20"/>
                <w:color w:val="auto"/>
              </w:rPr>
            </w:pPr>
            <w:r>
              <w:rPr>
                <w:rFonts w:ascii="Arial" w:cs="Arial" w:eastAsia="Arial" w:hAnsi="Arial"/>
                <w:sz w:val="15"/>
                <w:szCs w:val="15"/>
                <w:color w:val="auto"/>
              </w:rPr>
              <w:t>SBC</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229</w:t>
            </w:r>
          </w:p>
        </w:tc>
      </w:tr>
      <w:tr>
        <w:trPr>
          <w:trHeight w:val="199"/>
        </w:trPr>
        <w:tc>
          <w:tcPr>
            <w:tcW w:w="6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Significant legal and tax settlements and reserves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1"/>
        </w:trPr>
        <w:tc>
          <w:tcPr>
            <w:tcW w:w="6000" w:type="dxa"/>
            <w:vAlign w:val="bottom"/>
          </w:tcPr>
          <w:p>
            <w:pPr>
              <w:ind w:left="160"/>
              <w:spacing w:after="0"/>
              <w:rPr>
                <w:sz w:val="20"/>
                <w:szCs w:val="20"/>
                <w:color w:val="auto"/>
              </w:rPr>
            </w:pPr>
            <w:r>
              <w:rPr>
                <w:rFonts w:ascii="Arial" w:cs="Arial" w:eastAsia="Arial" w:hAnsi="Arial"/>
                <w:sz w:val="15"/>
                <w:szCs w:val="15"/>
                <w:color w:val="auto"/>
              </w:rPr>
              <w:t>Adjusted EBITDA (non-GAAP)</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268</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742</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816</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1,761</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6" w:name="page47"/>
    <w:bookmarkEnd w:id="4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unaudited condensed consolidated statements of operations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05"/>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right"/>
              <w:ind w:right="565"/>
              <w:spacing w:after="0"/>
              <w:rPr>
                <w:sz w:val="20"/>
                <w:szCs w:val="20"/>
                <w:color w:val="auto"/>
              </w:rPr>
            </w:pPr>
            <w:r>
              <w:rPr>
                <w:rFonts w:ascii="Arial" w:cs="Arial" w:eastAsia="Arial" w:hAnsi="Arial"/>
                <w:sz w:val="13"/>
                <w:szCs w:val="13"/>
                <w:b w:val="1"/>
                <w:bCs w:val="1"/>
                <w:color w:val="auto"/>
              </w:rPr>
              <w:t>Nine Months Ended</w:t>
            </w:r>
          </w:p>
        </w:tc>
      </w:tr>
      <w:tr>
        <w:trPr>
          <w:trHeight w:val="175"/>
        </w:trPr>
        <w:tc>
          <w:tcPr>
            <w:tcW w:w="5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6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w w:val="96"/>
              </w:rPr>
              <w:t>2025</w:t>
            </w:r>
          </w:p>
        </w:tc>
      </w:tr>
      <w:tr>
        <w:trPr>
          <w:trHeight w:val="17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9"/>
        </w:trPr>
        <w:tc>
          <w:tcPr>
            <w:tcW w:w="5620" w:type="dxa"/>
            <w:vAlign w:val="bottom"/>
          </w:tcPr>
          <w:p>
            <w:pPr>
              <w:ind w:left="200"/>
              <w:spacing w:after="0"/>
              <w:rPr>
                <w:sz w:val="20"/>
                <w:szCs w:val="20"/>
                <w:color w:val="auto"/>
              </w:rPr>
            </w:pPr>
            <w:r>
              <w:rPr>
                <w:rFonts w:ascii="Arial" w:cs="Arial" w:eastAsia="Arial" w:hAnsi="Arial"/>
                <w:sz w:val="15"/>
                <w:szCs w:val="15"/>
                <w:color w:val="auto"/>
              </w:rPr>
              <w:t>Transaction-based revenues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319</w:t>
            </w:r>
          </w:p>
        </w:tc>
        <w:tc>
          <w:tcPr>
            <w:tcW w:w="5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730</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975</w:t>
            </w:r>
          </w:p>
        </w:tc>
        <w:tc>
          <w:tcPr>
            <w:tcW w:w="5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1,852</w:t>
            </w:r>
          </w:p>
        </w:tc>
      </w:tr>
      <w:tr>
        <w:trPr>
          <w:trHeight w:val="199"/>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interest 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1,103</w:t>
            </w:r>
          </w:p>
        </w:tc>
      </w:tr>
      <w:tr>
        <w:trPr>
          <w:trHeight w:val="199"/>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revenues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235</w:t>
            </w:r>
          </w:p>
        </w:tc>
      </w:tr>
      <w:tr>
        <w:trPr>
          <w:trHeight w:val="191"/>
        </w:trPr>
        <w:tc>
          <w:tcPr>
            <w:tcW w:w="56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net revenues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1,937</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3,190</w:t>
            </w:r>
          </w:p>
        </w:tc>
      </w:tr>
      <w:tr>
        <w:trPr>
          <w:trHeight w:val="214"/>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9"/>
        </w:trPr>
        <w:tc>
          <w:tcPr>
            <w:tcW w:w="562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Operating expenses</w:t>
            </w:r>
            <w:r>
              <w:rPr>
                <w:rFonts w:ascii="Arial" w:cs="Arial" w:eastAsia="Arial" w:hAnsi="Arial"/>
                <w:sz w:val="21"/>
                <w:szCs w:val="21"/>
                <w:color w:val="auto"/>
                <w:vertAlign w:val="superscript"/>
              </w:rPr>
              <w:t>(1)</w:t>
            </w: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9"/>
        </w:trPr>
        <w:tc>
          <w:tcPr>
            <w:tcW w:w="5620" w:type="dxa"/>
            <w:vAlign w:val="bottom"/>
          </w:tcPr>
          <w:p>
            <w:pPr>
              <w:ind w:left="200"/>
              <w:spacing w:after="0"/>
              <w:rPr>
                <w:sz w:val="20"/>
                <w:szCs w:val="20"/>
                <w:color w:val="auto"/>
              </w:rPr>
            </w:pPr>
            <w:r>
              <w:rPr>
                <w:rFonts w:ascii="Arial" w:cs="Arial" w:eastAsia="Arial" w:hAnsi="Arial"/>
                <w:sz w:val="15"/>
                <w:szCs w:val="15"/>
                <w:color w:val="auto"/>
              </w:rPr>
              <w:t>Brokerage and transaction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154</w:t>
            </w:r>
          </w:p>
        </w:tc>
      </w:tr>
      <w:tr>
        <w:trPr>
          <w:trHeight w:val="199"/>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Technology and development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665</w:t>
            </w:r>
          </w:p>
        </w:tc>
      </w:tr>
      <w:tr>
        <w:trPr>
          <w:trHeight w:val="199"/>
        </w:trPr>
        <w:tc>
          <w:tcPr>
            <w:tcW w:w="5620" w:type="dxa"/>
            <w:vAlign w:val="bottom"/>
          </w:tcPr>
          <w:p>
            <w:pPr>
              <w:ind w:left="200"/>
              <w:spacing w:after="0"/>
              <w:rPr>
                <w:sz w:val="20"/>
                <w:szCs w:val="20"/>
                <w:color w:val="auto"/>
              </w:rPr>
            </w:pPr>
            <w:r>
              <w:rPr>
                <w:rFonts w:ascii="Arial" w:cs="Arial" w:eastAsia="Arial" w:hAnsi="Arial"/>
                <w:sz w:val="15"/>
                <w:szCs w:val="15"/>
                <w:color w:val="auto"/>
              </w:rPr>
              <w:t>Operations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93</w:t>
            </w:r>
          </w:p>
        </w:tc>
      </w:tr>
      <w:tr>
        <w:trPr>
          <w:trHeight w:val="199"/>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 for credit losses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78</w:t>
            </w:r>
          </w:p>
        </w:tc>
      </w:tr>
      <w:tr>
        <w:trPr>
          <w:trHeight w:val="199"/>
        </w:trPr>
        <w:tc>
          <w:tcPr>
            <w:tcW w:w="562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306</w:t>
            </w:r>
          </w:p>
        </w:tc>
      </w:tr>
      <w:tr>
        <w:trPr>
          <w:trHeight w:val="199"/>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450</w:t>
            </w:r>
          </w:p>
        </w:tc>
      </w:tr>
      <w:tr>
        <w:trPr>
          <w:trHeight w:val="191"/>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Total operating expenses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1,439</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1,746</w:t>
            </w:r>
          </w:p>
        </w:tc>
      </w:tr>
      <w:tr>
        <w:trPr>
          <w:trHeight w:val="191"/>
        </w:trPr>
        <w:tc>
          <w:tcPr>
            <w:tcW w:w="5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(loss), net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w:t>
            </w:r>
          </w:p>
        </w:tc>
      </w:tr>
      <w:tr>
        <w:trPr>
          <w:trHeight w:val="191"/>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1,447</w:t>
            </w:r>
          </w:p>
        </w:tc>
      </w:tr>
      <w:tr>
        <w:trPr>
          <w:trHeight w:val="19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169</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ectPr>
          <w:pgSz w:w="11900" w:h="16840" w:orient="portrait"/>
          <w:cols w:equalWidth="0" w:num="1">
            <w:col w:w="10580"/>
          </w:cols>
          <w:pgMar w:left="660" w:top="558" w:right="660" w:bottom="1440" w:gutter="0" w:footer="0" w:header="0"/>
        </w:sect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300" w:right="2400" w:hanging="296"/>
        <w:spacing w:after="0" w:line="561" w:lineRule="auto"/>
        <w:tabs>
          <w:tab w:leader="none" w:pos="277"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Includes SBC expense as follows: </w:t>
      </w:r>
      <w:r>
        <w:rPr>
          <w:rFonts w:ascii="Arial" w:cs="Arial" w:eastAsia="Arial" w:hAnsi="Arial"/>
          <w:sz w:val="13"/>
          <w:szCs w:val="13"/>
          <w:i w:val="1"/>
          <w:iCs w:val="1"/>
          <w:color w:val="auto"/>
        </w:rPr>
        <w:t>(in millions)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Three Months Ended</w:t>
            </w:r>
          </w:p>
        </w:tc>
        <w:tc>
          <w:tcPr>
            <w:tcW w:w="80" w:type="dxa"/>
            <w:vAlign w:val="bottom"/>
          </w:tcPr>
          <w:p>
            <w:pPr>
              <w:spacing w:after="0"/>
              <w:rPr>
                <w:sz w:val="12"/>
                <w:szCs w:val="12"/>
                <w:color w:val="auto"/>
              </w:rPr>
            </w:pPr>
          </w:p>
        </w:tc>
        <w:tc>
          <w:tcPr>
            <w:tcW w:w="23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Nine Months Ended</w:t>
            </w:r>
          </w:p>
        </w:tc>
      </w:tr>
      <w:tr>
        <w:trPr>
          <w:trHeight w:val="175"/>
        </w:trPr>
        <w:tc>
          <w:tcPr>
            <w:tcW w:w="7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676"/>
              <w:spacing w:after="0"/>
              <w:rPr>
                <w:sz w:val="20"/>
                <w:szCs w:val="20"/>
                <w:color w:val="auto"/>
              </w:rPr>
            </w:pPr>
            <w:r>
              <w:rPr>
                <w:rFonts w:ascii="Arial" w:cs="Arial" w:eastAsia="Arial" w:hAnsi="Arial"/>
                <w:sz w:val="13"/>
                <w:szCs w:val="13"/>
                <w:b w:val="1"/>
                <w:bCs w:val="1"/>
                <w:color w:val="auto"/>
                <w:w w:val="98"/>
              </w:rPr>
              <w:t>September 30,</w:t>
            </w: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676"/>
              <w:spacing w:after="0"/>
              <w:rPr>
                <w:sz w:val="20"/>
                <w:szCs w:val="20"/>
                <w:color w:val="auto"/>
              </w:rPr>
            </w:pPr>
            <w:r>
              <w:rPr>
                <w:rFonts w:ascii="Arial" w:cs="Arial" w:eastAsia="Arial" w:hAnsi="Arial"/>
                <w:sz w:val="13"/>
                <w:szCs w:val="13"/>
                <w:b w:val="1"/>
                <w:bCs w:val="1"/>
                <w:color w:val="auto"/>
                <w:w w:val="98"/>
              </w:rPr>
              <w:t>September 30,</w:t>
            </w:r>
          </w:p>
        </w:tc>
      </w:tr>
      <w:tr>
        <w:trPr>
          <w:trHeight w:val="179"/>
        </w:trPr>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2025</w:t>
            </w: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660" w:type="dxa"/>
            <w:vAlign w:val="bottom"/>
          </w:tcPr>
          <w:p>
            <w:pPr>
              <w:jc w:val="right"/>
              <w:ind w:right="376"/>
              <w:spacing w:after="0"/>
              <w:rPr>
                <w:sz w:val="20"/>
                <w:szCs w:val="20"/>
                <w:color w:val="auto"/>
              </w:rPr>
            </w:pPr>
            <w:r>
              <w:rPr>
                <w:rFonts w:ascii="Arial" w:cs="Arial" w:eastAsia="Arial" w:hAnsi="Arial"/>
                <w:sz w:val="13"/>
                <w:szCs w:val="13"/>
                <w:b w:val="1"/>
                <w:bCs w:val="1"/>
                <w:color w:val="auto"/>
              </w:rPr>
              <w:t>2025</w:t>
            </w:r>
          </w:p>
        </w:tc>
      </w:tr>
    </w:tbl>
    <w:p>
      <w:pPr>
        <w:spacing w:after="0" w:line="20" w:lineRule="exact"/>
        <w:rPr>
          <w:sz w:val="20"/>
          <w:szCs w:val="20"/>
          <w:color w:val="auto"/>
        </w:rPr>
      </w:pPr>
    </w:p>
    <w:p>
      <w:pPr>
        <w:sectPr>
          <w:pgSz w:w="11900" w:h="16840" w:orient="portrait"/>
          <w:cols w:equalWidth="0" w:num="2">
            <w:col w:w="4620" w:space="720"/>
            <w:col w:w="5240"/>
          </w:cols>
          <w:pgMar w:left="660" w:top="558" w:right="660" w:bottom="1440" w:gutter="0" w:footer="0" w:header="0"/>
          <w:type w:val="continuous"/>
        </w:sectPr>
      </w:pPr>
    </w:p>
    <w:tbl>
      <w:tblPr>
        <w:tblLayout w:type="fixed"/>
        <w:tblInd w:w="280" w:type="dxa"/>
        <w:tblCellMar>
          <w:top w:w="0" w:type="dxa"/>
          <w:left w:w="0" w:type="dxa"/>
          <w:bottom w:w="0" w:type="dxa"/>
          <w:right w:w="0" w:type="dxa"/>
        </w:tblCellMar>
      </w:tblPr>
      <w:tr>
        <w:trPr>
          <w:trHeight w:val="171"/>
        </w:trPr>
        <w:tc>
          <w:tcPr>
            <w:tcW w:w="506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5"/>
                <w:szCs w:val="15"/>
                <w:color w:val="auto"/>
              </w:rPr>
              <w:t>Brokerage and transaction</w:t>
            </w:r>
          </w:p>
        </w:tc>
        <w:tc>
          <w:tcPr>
            <w:tcW w:w="500" w:type="dxa"/>
            <w:vAlign w:val="bottom"/>
            <w:tcBorders>
              <w:top w:val="single" w:sz="8" w:color="auto"/>
            </w:tcBorders>
            <w:shd w:val="clear" w:color="auto" w:fill="CCEEFF"/>
          </w:tcPr>
          <w:p>
            <w:pPr>
              <w:jc w:val="right"/>
              <w:ind w:right="324"/>
              <w:spacing w:after="0" w:line="171" w:lineRule="exact"/>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24"/>
              <w:spacing w:after="0" w:line="171" w:lineRule="exact"/>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4"/>
              <w:spacing w:after="0" w:line="171" w:lineRule="exact"/>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5"/>
                <w:szCs w:val="15"/>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4"/>
              <w:spacing w:after="0" w:line="171" w:lineRule="exact"/>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ind w:right="4"/>
              <w:spacing w:after="0" w:line="171" w:lineRule="exact"/>
              <w:rPr>
                <w:sz w:val="20"/>
                <w:szCs w:val="20"/>
                <w:color w:val="auto"/>
              </w:rPr>
            </w:pPr>
            <w:r>
              <w:rPr>
                <w:rFonts w:ascii="Arial" w:cs="Arial" w:eastAsia="Arial" w:hAnsi="Arial"/>
                <w:sz w:val="15"/>
                <w:szCs w:val="15"/>
                <w:color w:val="auto"/>
              </w:rPr>
              <w:t>7</w:t>
            </w:r>
          </w:p>
        </w:tc>
      </w:tr>
      <w:tr>
        <w:trPr>
          <w:trHeight w:val="199"/>
        </w:trPr>
        <w:tc>
          <w:tcPr>
            <w:tcW w:w="5060" w:type="dxa"/>
            <w:vAlign w:val="bottom"/>
          </w:tcPr>
          <w:p>
            <w:pPr>
              <w:ind w:left="20"/>
              <w:spacing w:after="0"/>
              <w:rPr>
                <w:sz w:val="20"/>
                <w:szCs w:val="20"/>
                <w:color w:val="auto"/>
              </w:rPr>
            </w:pPr>
            <w:r>
              <w:rPr>
                <w:rFonts w:ascii="Arial" w:cs="Arial" w:eastAsia="Arial" w:hAnsi="Arial"/>
                <w:sz w:val="15"/>
                <w:szCs w:val="15"/>
                <w:color w:val="auto"/>
              </w:rPr>
              <w:t>Technology and development</w:t>
            </w: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123</w:t>
            </w:r>
          </w:p>
        </w:tc>
      </w:tr>
      <w:tr>
        <w:trPr>
          <w:trHeight w:val="19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w:t>
            </w:r>
          </w:p>
        </w:tc>
      </w:tr>
      <w:tr>
        <w:trPr>
          <w:trHeight w:val="199"/>
        </w:trPr>
        <w:tc>
          <w:tcPr>
            <w:tcW w:w="5060" w:type="dxa"/>
            <w:vAlign w:val="bottom"/>
          </w:tcPr>
          <w:p>
            <w:pPr>
              <w:ind w:left="20"/>
              <w:spacing w:after="0"/>
              <w:rPr>
                <w:sz w:val="20"/>
                <w:szCs w:val="20"/>
                <w:color w:val="auto"/>
              </w:rPr>
            </w:pPr>
            <w:r>
              <w:rPr>
                <w:rFonts w:ascii="Arial" w:cs="Arial" w:eastAsia="Arial" w:hAnsi="Arial"/>
                <w:sz w:val="15"/>
                <w:szCs w:val="15"/>
                <w:color w:val="auto"/>
              </w:rPr>
              <w:t>Marketing</w:t>
            </w: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6</w:t>
            </w:r>
          </w:p>
        </w:tc>
      </w:tr>
      <w:tr>
        <w:trPr>
          <w:trHeight w:val="19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w:t>
            </w:r>
          </w:p>
        </w:tc>
      </w:tr>
      <w:tr>
        <w:trPr>
          <w:trHeight w:val="191"/>
        </w:trPr>
        <w:tc>
          <w:tcPr>
            <w:tcW w:w="5060" w:type="dxa"/>
            <w:vAlign w:val="bottom"/>
          </w:tcPr>
          <w:p>
            <w:pPr>
              <w:ind w:left="200"/>
              <w:spacing w:after="0"/>
              <w:rPr>
                <w:sz w:val="20"/>
                <w:szCs w:val="20"/>
                <w:color w:val="auto"/>
              </w:rPr>
            </w:pPr>
            <w:r>
              <w:rPr>
                <w:rFonts w:ascii="Arial" w:cs="Arial" w:eastAsia="Arial" w:hAnsi="Arial"/>
                <w:sz w:val="15"/>
                <w:szCs w:val="15"/>
                <w:color w:val="auto"/>
              </w:rPr>
              <w:t>Total SBC expense</w:t>
            </w: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79</w:t>
            </w:r>
          </w:p>
        </w:tc>
        <w:tc>
          <w:tcPr>
            <w:tcW w:w="58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78</w:t>
            </w:r>
          </w:p>
        </w:tc>
        <w:tc>
          <w:tcPr>
            <w:tcW w:w="54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227</w:t>
            </w:r>
          </w:p>
        </w:tc>
        <w:tc>
          <w:tcPr>
            <w:tcW w:w="54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229</w:t>
            </w:r>
          </w:p>
        </w:tc>
      </w:tr>
      <w:tr>
        <w:trPr>
          <w:trHeight w:val="20"/>
        </w:trPr>
        <w:tc>
          <w:tcPr>
            <w:tcW w:w="5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type w:val="continuous"/>
        </w:sectPr>
      </w:pPr>
    </w:p>
    <w:bookmarkStart w:id="47" w:name="page48"/>
    <w:bookmarkEnd w:id="4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Comparison of the Three and Nine Months Ended September 30, 2024 and 2025</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Transaction-Based Revenues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505"/>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85"/>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5"/>
        </w:trPr>
        <w:tc>
          <w:tcPr>
            <w:tcW w:w="3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260" w:type="dxa"/>
            <w:vAlign w:val="bottom"/>
          </w:tcPr>
          <w:p>
            <w:pPr>
              <w:spacing w:after="0"/>
              <w:rPr>
                <w:sz w:val="14"/>
                <w:szCs w:val="14"/>
                <w:color w:val="auto"/>
              </w:rPr>
            </w:pPr>
          </w:p>
        </w:tc>
        <w:tc>
          <w:tcPr>
            <w:tcW w:w="900" w:type="dxa"/>
            <w:vAlign w:val="bottom"/>
          </w:tcPr>
          <w:p>
            <w:pPr>
              <w:jc w:val="right"/>
              <w:ind w:right="36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65"/>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 Change</w:t>
            </w:r>
          </w:p>
        </w:tc>
        <w:tc>
          <w:tcPr>
            <w:tcW w:w="2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365"/>
              <w:spacing w:after="0"/>
              <w:rPr>
                <w:sz w:val="20"/>
                <w:szCs w:val="20"/>
                <w:color w:val="auto"/>
              </w:rPr>
            </w:pPr>
            <w:r>
              <w:rPr>
                <w:rFonts w:ascii="Arial" w:cs="Arial" w:eastAsia="Arial" w:hAnsi="Arial"/>
                <w:sz w:val="13"/>
                <w:szCs w:val="13"/>
                <w:b w:val="1"/>
                <w:bCs w:val="1"/>
                <w:color w:val="auto"/>
                <w:w w:val="89"/>
              </w:rPr>
              <w:t>2025</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4"/>
                <w:szCs w:val="14"/>
                <w:color w:val="auto"/>
              </w:rPr>
            </w:pPr>
          </w:p>
        </w:tc>
      </w:tr>
      <w:tr>
        <w:trPr>
          <w:trHeight w:val="17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Transaction-based revenues:</w:t>
            </w: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r>
      <w:tr>
        <w:trPr>
          <w:trHeight w:val="199"/>
        </w:trPr>
        <w:tc>
          <w:tcPr>
            <w:tcW w:w="3320" w:type="dxa"/>
            <w:vAlign w:val="bottom"/>
          </w:tcPr>
          <w:p>
            <w:pPr>
              <w:ind w:left="220"/>
              <w:spacing w:after="0"/>
              <w:rPr>
                <w:sz w:val="20"/>
                <w:szCs w:val="20"/>
                <w:color w:val="auto"/>
              </w:rPr>
            </w:pPr>
            <w:r>
              <w:rPr>
                <w:rFonts w:ascii="Arial" w:cs="Arial" w:eastAsia="Arial" w:hAnsi="Arial"/>
                <w:sz w:val="15"/>
                <w:szCs w:val="15"/>
                <w:color w:val="auto"/>
              </w:rPr>
              <w:t>Options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202</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304</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50 %</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538</w:t>
            </w:r>
          </w:p>
        </w:tc>
        <w:tc>
          <w:tcPr>
            <w:tcW w:w="5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809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Cryptocurrencies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268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320" w:type="dxa"/>
            <w:vAlign w:val="bottom"/>
          </w:tcPr>
          <w:p>
            <w:pPr>
              <w:ind w:left="220"/>
              <w:spacing w:after="0"/>
              <w:rPr>
                <w:sz w:val="20"/>
                <w:szCs w:val="20"/>
                <w:color w:val="auto"/>
              </w:rPr>
            </w:pPr>
            <w:r>
              <w:rPr>
                <w:rFonts w:ascii="Arial" w:cs="Arial" w:eastAsia="Arial" w:hAnsi="Arial"/>
                <w:sz w:val="15"/>
                <w:szCs w:val="15"/>
                <w:color w:val="auto"/>
              </w:rPr>
              <w:t>Equities</w:t>
            </w:r>
          </w:p>
        </w:tc>
        <w:tc>
          <w:tcPr>
            <w:tcW w:w="260" w:type="dxa"/>
            <w:vAlign w:val="bottom"/>
          </w:tcPr>
          <w:p>
            <w:pPr>
              <w:spacing w:after="0"/>
              <w:rPr>
                <w:sz w:val="17"/>
                <w:szCs w:val="17"/>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86</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132 %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208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279 %</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155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192 %</w:t>
            </w:r>
          </w:p>
        </w:tc>
      </w:tr>
      <w:tr>
        <w:trPr>
          <w:trHeight w:val="191"/>
        </w:trPr>
        <w:tc>
          <w:tcPr>
            <w:tcW w:w="3320" w:type="dxa"/>
            <w:vAlign w:val="bottom"/>
          </w:tcPr>
          <w:p>
            <w:pPr>
              <w:ind w:left="440"/>
              <w:spacing w:after="0"/>
              <w:rPr>
                <w:sz w:val="20"/>
                <w:szCs w:val="20"/>
                <w:color w:val="auto"/>
              </w:rPr>
            </w:pPr>
            <w:r>
              <w:rPr>
                <w:rFonts w:ascii="Arial" w:cs="Arial" w:eastAsia="Arial" w:hAnsi="Arial"/>
                <w:sz w:val="15"/>
                <w:szCs w:val="15"/>
                <w:color w:val="auto"/>
              </w:rPr>
              <w:t>Total transaction-based revenues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319</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730</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129 %</w:t>
            </w:r>
          </w:p>
        </w:tc>
        <w:tc>
          <w:tcPr>
            <w:tcW w:w="8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975</w:t>
            </w:r>
          </w:p>
        </w:tc>
        <w:tc>
          <w:tcPr>
            <w:tcW w:w="5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1,852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90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16"/>
        </w:trPr>
        <w:tc>
          <w:tcPr>
            <w:tcW w:w="33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Transaction-based revenues as a % of total net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99"/>
        </w:trPr>
        <w:tc>
          <w:tcPr>
            <w:tcW w:w="3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9"/>
        </w:trPr>
        <w:tc>
          <w:tcPr>
            <w:tcW w:w="3320" w:type="dxa"/>
            <w:vAlign w:val="bottom"/>
          </w:tcPr>
          <w:p>
            <w:pPr>
              <w:ind w:left="220"/>
              <w:spacing w:after="0"/>
              <w:rPr>
                <w:sz w:val="20"/>
                <w:szCs w:val="20"/>
                <w:color w:val="auto"/>
              </w:rPr>
            </w:pPr>
            <w:r>
              <w:rPr>
                <w:rFonts w:ascii="Arial" w:cs="Arial" w:eastAsia="Arial" w:hAnsi="Arial"/>
                <w:sz w:val="15"/>
                <w:szCs w:val="15"/>
                <w:color w:val="auto"/>
              </w:rPr>
              <w:t>Options</w:t>
            </w:r>
          </w:p>
        </w:tc>
        <w:tc>
          <w:tcPr>
            <w:tcW w:w="260" w:type="dxa"/>
            <w:vAlign w:val="bottom"/>
          </w:tcPr>
          <w:p>
            <w:pPr>
              <w:spacing w:after="0"/>
              <w:rPr>
                <w:sz w:val="17"/>
                <w:szCs w:val="17"/>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3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Cryptocurrencies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9"/>
        </w:trPr>
        <w:tc>
          <w:tcPr>
            <w:tcW w:w="3320" w:type="dxa"/>
            <w:vAlign w:val="bottom"/>
          </w:tcPr>
          <w:p>
            <w:pPr>
              <w:ind w:left="220"/>
              <w:spacing w:after="0"/>
              <w:rPr>
                <w:sz w:val="20"/>
                <w:szCs w:val="20"/>
                <w:color w:val="auto"/>
              </w:rPr>
            </w:pPr>
            <w:r>
              <w:rPr>
                <w:rFonts w:ascii="Arial" w:cs="Arial" w:eastAsia="Arial" w:hAnsi="Arial"/>
                <w:sz w:val="15"/>
                <w:szCs w:val="15"/>
                <w:color w:val="auto"/>
              </w:rPr>
              <w:t>Equities</w:t>
            </w:r>
          </w:p>
        </w:tc>
        <w:tc>
          <w:tcPr>
            <w:tcW w:w="260" w:type="dxa"/>
            <w:vAlign w:val="bottom"/>
          </w:tcPr>
          <w:p>
            <w:pPr>
              <w:spacing w:after="0"/>
              <w:rPr>
                <w:sz w:val="17"/>
                <w:szCs w:val="17"/>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4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7"/>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3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1"/>
        </w:trPr>
        <w:tc>
          <w:tcPr>
            <w:tcW w:w="3320" w:type="dxa"/>
            <w:vAlign w:val="bottom"/>
          </w:tcPr>
          <w:p>
            <w:pPr>
              <w:ind w:left="440"/>
              <w:spacing w:after="0"/>
              <w:rPr>
                <w:sz w:val="20"/>
                <w:szCs w:val="20"/>
                <w:color w:val="auto"/>
              </w:rPr>
            </w:pPr>
            <w:r>
              <w:rPr>
                <w:rFonts w:ascii="Arial" w:cs="Arial" w:eastAsia="Arial" w:hAnsi="Arial"/>
                <w:sz w:val="15"/>
                <w:szCs w:val="15"/>
                <w:color w:val="auto"/>
              </w:rPr>
              <w:t>Total transaction-based revenues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Transaction-based revenues increased by $411 million and $877 million for the three and nine months ended September 30, 2025, primarily driven by increases of $ 207 million and $412 million in cryptocurrencies, $102 million and $271 million in options, and $49 million and $92 million in equities. In addition, other transaction-based revenues increased by $53 million and $102 million primarily driven by increased user activities in prediction markets and instant withdrawals.</w:t>
      </w:r>
    </w:p>
    <w:p>
      <w:pPr>
        <w:spacing w:after="0" w:line="116"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Cryptocurrencies revenues increased primarily driven by a 92% and 45% increase in the number of users placing cryptocurrency trades and a 36% and 2% increase in the average Notional Trading Volume traded per trader. Additionally, cryptocurrencies revenues increased as a result of a higher rebate rate from crypto market makers. Cryptocurrencies revenues was partially offset by $9 million and $29 million of certain incentives paid to our customers.</w:t>
      </w:r>
    </w:p>
    <w:p>
      <w:pPr>
        <w:spacing w:after="0" w:line="112"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Options revenues increased primarily driven by a 27% and 21% increase in the number of users placing option trades and a 6% and 9% increase in Options Contracts Traded per trader. In addition, we experienced higher option rebate rates due to the mix of ticker symbols traded as different ticker symbols pay different rebate rates. The increase was partially offset by $24 million and $72 million of certain incentives paid to our customers.</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Equities revenues increased primarily driven by a 78% and 73% increase in the average Notional Trading Volume traded per trader and a 24% and 18% increase in the number of users placing equity trades. For the nine months ended September 30, 2025, the increase was partially offset by lower equity rebate rates due to the mix of ticker symbols traded as different ticker symbols pay different rebate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8" w:name="page49"/>
    <w:bookmarkEnd w:id="4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Interest Revenues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424"/>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404"/>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780" w:type="dxa"/>
            <w:vAlign w:val="bottom"/>
            <w:tcBorders>
              <w:bottom w:val="single" w:sz="8" w:color="CCEEFF"/>
            </w:tcBorders>
          </w:tcPr>
          <w:p>
            <w:pPr>
              <w:ind w:left="60"/>
              <w:spacing w:after="0"/>
              <w:rPr>
                <w:sz w:val="20"/>
                <w:szCs w:val="20"/>
                <w:color w:val="auto"/>
              </w:rPr>
            </w:pPr>
            <w:r>
              <w:rPr>
                <w:rFonts w:ascii="Arial" w:cs="Arial" w:eastAsia="Arial" w:hAnsi="Arial"/>
                <w:sz w:val="13"/>
                <w:szCs w:val="13"/>
                <w:i w:val="1"/>
                <w:iCs w:val="1"/>
                <w:color w:val="auto"/>
              </w:rPr>
              <w:t>(in millions, except for percentages)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interest revenues: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Margin interest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83</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153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228</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377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Interest on segregated cash, cash equivalents,</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103</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187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236</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securities, and deposits</w:t>
            </w: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Cash Sweep</w:t>
            </w:r>
          </w:p>
        </w:tc>
        <w:tc>
          <w:tcPr>
            <w:tcW w:w="240" w:type="dxa"/>
            <w:vAlign w:val="bottom"/>
          </w:tcPr>
          <w:p>
            <w:pPr>
              <w:spacing w:after="0"/>
              <w:rPr>
                <w:sz w:val="17"/>
                <w:szCs w:val="17"/>
                <w:color w:val="auto"/>
              </w:rPr>
            </w:pP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64</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129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172</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33 %</w:t>
            </w: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Securities lending,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Interest on corporate cash and investments</w:t>
            </w:r>
          </w:p>
        </w:tc>
        <w:tc>
          <w:tcPr>
            <w:tcW w:w="240" w:type="dxa"/>
            <w:vAlign w:val="bottom"/>
          </w:tcPr>
          <w:p>
            <w:pPr>
              <w:spacing w:after="0"/>
              <w:rPr>
                <w:sz w:val="17"/>
                <w:szCs w:val="17"/>
                <w:color w:val="auto"/>
              </w:rPr>
            </w:pP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39</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203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134</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(34) %</w:t>
            </w: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Credit card,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Interest expenses related to credit facilities</w:t>
            </w:r>
          </w:p>
        </w:tc>
        <w:tc>
          <w:tcPr>
            <w:tcW w:w="240" w:type="dxa"/>
            <w:vAlign w:val="bottom"/>
          </w:tcPr>
          <w:p>
            <w:pPr>
              <w:spacing w:after="0"/>
              <w:rPr>
                <w:sz w:val="17"/>
                <w:szCs w:val="17"/>
                <w:color w:val="auto"/>
              </w:rPr>
            </w:pPr>
          </w:p>
        </w:tc>
        <w:tc>
          <w:tcPr>
            <w:tcW w:w="860" w:type="dxa"/>
            <w:vAlign w:val="bottom"/>
          </w:tcPr>
          <w:p>
            <w:pPr>
              <w:jc w:val="right"/>
              <w:ind w:right="86"/>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(22)</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5"/>
                <w:szCs w:val="15"/>
                <w:color w:val="auto"/>
              </w:rPr>
              <w:t>NM</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1"/>
        </w:trPr>
        <w:tc>
          <w:tcPr>
            <w:tcW w:w="3780" w:type="dxa"/>
            <w:vAlign w:val="bottom"/>
          </w:tcPr>
          <w:p>
            <w:pPr>
              <w:ind w:left="360"/>
              <w:spacing w:after="0"/>
              <w:rPr>
                <w:sz w:val="20"/>
                <w:szCs w:val="20"/>
                <w:color w:val="auto"/>
              </w:rPr>
            </w:pPr>
            <w:r>
              <w:rPr>
                <w:rFonts w:ascii="Arial" w:cs="Arial" w:eastAsia="Arial" w:hAnsi="Arial"/>
                <w:sz w:val="15"/>
                <w:szCs w:val="15"/>
                <w:color w:val="auto"/>
              </w:rPr>
              <w:t>Total net interest revenues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274</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456</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813</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1,103</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Net interest revenues as a % of total net revenues: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Margin interest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Interest on segregated cash, cash equivalents,</w:t>
            </w: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8 %</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securities, and deposits</w:t>
            </w: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Cash Sweep</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5 %</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6 %</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Securities lending,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Interest on corporate cash and investments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4 %</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Credit card, net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20"/>
              <w:spacing w:after="0"/>
              <w:rPr>
                <w:sz w:val="20"/>
                <w:szCs w:val="20"/>
                <w:color w:val="auto"/>
              </w:rPr>
            </w:pPr>
            <w:r>
              <w:rPr>
                <w:rFonts w:ascii="Arial" w:cs="Arial" w:eastAsia="Arial" w:hAnsi="Arial"/>
                <w:sz w:val="15"/>
                <w:szCs w:val="15"/>
                <w:color w:val="auto"/>
              </w:rPr>
              <w:t>Interest expenses related to credit facilities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360"/>
              <w:spacing w:after="0"/>
              <w:rPr>
                <w:sz w:val="20"/>
                <w:szCs w:val="20"/>
                <w:color w:val="auto"/>
              </w:rPr>
            </w:pPr>
            <w:r>
              <w:rPr>
                <w:rFonts w:ascii="Arial" w:cs="Arial" w:eastAsia="Arial" w:hAnsi="Arial"/>
                <w:sz w:val="15"/>
                <w:szCs w:val="15"/>
                <w:color w:val="auto"/>
              </w:rPr>
              <w:t>Total net interest revenues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36 %</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42 %</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80" w:firstLine="211"/>
        <w:spacing w:after="0" w:line="257" w:lineRule="auto"/>
        <w:rPr>
          <w:sz w:val="20"/>
          <w:szCs w:val="20"/>
          <w:color w:val="auto"/>
        </w:rPr>
      </w:pPr>
      <w:r>
        <w:rPr>
          <w:rFonts w:ascii="Arial" w:cs="Arial" w:eastAsia="Arial" w:hAnsi="Arial"/>
          <w:sz w:val="15"/>
          <w:szCs w:val="15"/>
          <w:color w:val="auto"/>
        </w:rPr>
        <w:t>Net interest revenues increased by $182 million and $290 million for the three and nine months ended September 30, 2025, primarily driven by growth in our interest-earning asset balances and securities lending activities. The increase was partially offset by a decrease in interest revenue on corporate cash and investments driven by lower cash and cash equivalents balances and a lower short-term interest rate environment. We anticipate any potential future rate cuts by the Federal Reserve will negatively impact our net interest revenues and adversely affect our customers’ returns on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49" w:name="page50"/>
    <w:bookmarkEnd w:id="4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summarizes interest-earning assets, the revenue generated by these assets, and their respective annualized yields:</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141"/>
        </w:trPr>
        <w:tc>
          <w:tcPr>
            <w:tcW w:w="940" w:type="dxa"/>
            <w:vAlign w:val="bottom"/>
          </w:tcPr>
          <w:p>
            <w:pPr>
              <w:jc w:val="right"/>
              <w:ind w:right="196"/>
              <w:spacing w:after="0" w:line="141" w:lineRule="exact"/>
              <w:rPr>
                <w:sz w:val="20"/>
                <w:szCs w:val="20"/>
                <w:color w:val="auto"/>
              </w:rPr>
            </w:pPr>
            <w:r>
              <w:rPr>
                <w:rFonts w:ascii="Arial" w:cs="Arial" w:eastAsia="Arial" w:hAnsi="Arial"/>
                <w:sz w:val="13"/>
                <w:szCs w:val="13"/>
                <w:i w:val="1"/>
                <w:iCs w:val="1"/>
                <w:color w:val="auto"/>
              </w:rPr>
              <w:t>(in</w:t>
            </w: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jc w:val="right"/>
              <w:ind w:right="196"/>
              <w:spacing w:after="0"/>
              <w:rPr>
                <w:sz w:val="20"/>
                <w:szCs w:val="20"/>
                <w:color w:val="auto"/>
              </w:rPr>
            </w:pPr>
            <w:r>
              <w:rPr>
                <w:rFonts w:ascii="Arial" w:cs="Arial" w:eastAsia="Arial" w:hAnsi="Arial"/>
                <w:sz w:val="13"/>
                <w:szCs w:val="13"/>
                <w:color w:val="auto"/>
              </w:rPr>
              <w:t>Cash Sweep</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Total interest-</w:t>
            </w:r>
          </w:p>
        </w:tc>
        <w:tc>
          <w:tcPr>
            <w:tcW w:w="80" w:type="dxa"/>
            <w:vAlign w:val="bottom"/>
            <w:vMerge w:val="restart"/>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36"/>
              <w:spacing w:after="0" w:line="141" w:lineRule="exact"/>
              <w:rPr>
                <w:sz w:val="20"/>
                <w:szCs w:val="20"/>
                <w:color w:val="auto"/>
              </w:rPr>
            </w:pPr>
            <w:r>
              <w:rPr>
                <w:rFonts w:ascii="Arial" w:cs="Arial" w:eastAsia="Arial" w:hAnsi="Arial"/>
                <w:sz w:val="13"/>
                <w:szCs w:val="13"/>
                <w:color w:val="auto"/>
              </w:rPr>
              <w:t>Interest expenses</w:t>
            </w:r>
          </w:p>
        </w:tc>
        <w:tc>
          <w:tcPr>
            <w:tcW w:w="5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Total net interest</w:t>
            </w:r>
          </w:p>
        </w:tc>
        <w:tc>
          <w:tcPr>
            <w:tcW w:w="0" w:type="dxa"/>
            <w:vAlign w:val="bottom"/>
          </w:tcPr>
          <w:p>
            <w:pPr>
              <w:spacing w:after="0"/>
              <w:rPr>
                <w:sz w:val="1"/>
                <w:szCs w:val="1"/>
                <w:color w:val="auto"/>
              </w:rPr>
            </w:pPr>
          </w:p>
        </w:tc>
      </w:tr>
      <w:tr>
        <w:trPr>
          <w:trHeight w:val="129"/>
        </w:trPr>
        <w:tc>
          <w:tcPr>
            <w:tcW w:w="940" w:type="dxa"/>
            <w:vAlign w:val="bottom"/>
          </w:tcPr>
          <w:p>
            <w:pPr>
              <w:jc w:val="center"/>
              <w:spacing w:after="0" w:line="129" w:lineRule="exact"/>
              <w:rPr>
                <w:sz w:val="20"/>
                <w:szCs w:val="20"/>
                <w:color w:val="auto"/>
              </w:rPr>
            </w:pPr>
            <w:r>
              <w:rPr>
                <w:rFonts w:ascii="Arial" w:cs="Arial" w:eastAsia="Arial" w:hAnsi="Arial"/>
                <w:sz w:val="13"/>
                <w:szCs w:val="13"/>
                <w:i w:val="1"/>
                <w:iCs w:val="1"/>
                <w:color w:val="auto"/>
                <w:w w:val="98"/>
              </w:rPr>
              <w:t>millions, except</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right"/>
              <w:ind w:right="16"/>
              <w:spacing w:after="0"/>
              <w:rPr>
                <w:sz w:val="20"/>
                <w:szCs w:val="20"/>
                <w:color w:val="auto"/>
              </w:rPr>
            </w:pPr>
            <w:r>
              <w:rPr>
                <w:rFonts w:ascii="Arial" w:cs="Arial" w:eastAsia="Arial" w:hAnsi="Arial"/>
                <w:sz w:val="8"/>
                <w:szCs w:val="8"/>
                <w:color w:val="auto"/>
              </w:rPr>
              <w:t>(1)</w:t>
            </w:r>
          </w:p>
        </w:tc>
        <w:tc>
          <w:tcPr>
            <w:tcW w:w="10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center"/>
              <w:ind w:left="376"/>
              <w:spacing w:after="0"/>
              <w:rPr>
                <w:sz w:val="20"/>
                <w:szCs w:val="20"/>
                <w:color w:val="auto"/>
              </w:rPr>
            </w:pPr>
            <w:r>
              <w:rPr>
                <w:rFonts w:ascii="Arial" w:cs="Arial" w:eastAsia="Arial" w:hAnsi="Arial"/>
                <w:sz w:val="8"/>
                <w:szCs w:val="8"/>
                <w:color w:val="auto"/>
              </w:rPr>
              <w:t>(2)</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gridSpan w:val="2"/>
          </w:tcPr>
          <w:p>
            <w:pPr>
              <w:jc w:val="right"/>
              <w:ind w:right="236"/>
              <w:spacing w:after="0" w:line="129" w:lineRule="exact"/>
              <w:rPr>
                <w:sz w:val="20"/>
                <w:szCs w:val="20"/>
                <w:color w:val="auto"/>
              </w:rPr>
            </w:pPr>
            <w:r>
              <w:rPr>
                <w:rFonts w:ascii="Arial" w:cs="Arial" w:eastAsia="Arial" w:hAnsi="Arial"/>
                <w:sz w:val="13"/>
                <w:szCs w:val="13"/>
                <w:color w:val="auto"/>
              </w:rPr>
              <w:t>Securities</w:t>
            </w:r>
          </w:p>
        </w:tc>
        <w:tc>
          <w:tcPr>
            <w:tcW w:w="94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related to</w:t>
            </w:r>
          </w:p>
        </w:tc>
        <w:tc>
          <w:tcPr>
            <w:tcW w:w="500" w:type="dxa"/>
            <w:vAlign w:val="bottom"/>
            <w:vMerge w:val="restart"/>
          </w:tcPr>
          <w:p>
            <w:pPr>
              <w:jc w:val="right"/>
              <w:ind w:right="16"/>
              <w:spacing w:after="0"/>
              <w:rPr>
                <w:sz w:val="20"/>
                <w:szCs w:val="20"/>
                <w:color w:val="auto"/>
              </w:rPr>
            </w:pPr>
            <w:r>
              <w:rPr>
                <w:rFonts w:ascii="Arial" w:cs="Arial" w:eastAsia="Arial" w:hAnsi="Arial"/>
                <w:sz w:val="13"/>
                <w:szCs w:val="13"/>
                <w:color w:val="auto"/>
              </w:rPr>
              <w:t>Other</w:t>
            </w: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center"/>
              <w:spacing w:after="0" w:line="129" w:lineRule="exact"/>
              <w:rPr>
                <w:sz w:val="20"/>
                <w:szCs w:val="20"/>
                <w:color w:val="auto"/>
              </w:rPr>
            </w:pPr>
            <w:r>
              <w:rPr>
                <w:rFonts w:ascii="Arial" w:cs="Arial" w:eastAsia="Arial" w:hAnsi="Arial"/>
                <w:sz w:val="13"/>
                <w:szCs w:val="13"/>
                <w:i w:val="1"/>
                <w:iCs w:val="1"/>
                <w:color w:val="auto"/>
              </w:rPr>
              <w:t>for annualized</w:t>
            </w:r>
          </w:p>
        </w:tc>
        <w:tc>
          <w:tcPr>
            <w:tcW w:w="3320" w:type="dxa"/>
            <w:vAlign w:val="bottom"/>
            <w:gridSpan w:val="6"/>
          </w:tcPr>
          <w:p>
            <w:pPr>
              <w:jc w:val="right"/>
              <w:ind w:right="36"/>
              <w:spacing w:after="0" w:line="129" w:lineRule="exact"/>
              <w:rPr>
                <w:sz w:val="20"/>
                <w:szCs w:val="20"/>
                <w:color w:val="auto"/>
              </w:rPr>
            </w:pPr>
            <w:r>
              <w:rPr>
                <w:rFonts w:ascii="Arial" w:cs="Arial" w:eastAsia="Arial" w:hAnsi="Arial"/>
                <w:sz w:val="9"/>
                <w:szCs w:val="9"/>
                <w:color w:val="auto"/>
              </w:rPr>
              <w:t xml:space="preserve">Margin Book   Cash and deposits </w:t>
            </w:r>
            <w:r>
              <w:rPr>
                <w:rFonts w:ascii="Arial" w:cs="Arial" w:eastAsia="Arial" w:hAnsi="Arial"/>
                <w:sz w:val="14"/>
                <w:szCs w:val="14"/>
                <w:color w:val="auto"/>
                <w:vertAlign w:val="subscript"/>
              </w:rPr>
              <w:t>(off-balance sheet)</w:t>
            </w:r>
          </w:p>
        </w:tc>
        <w:tc>
          <w:tcPr>
            <w:tcW w:w="1100" w:type="dxa"/>
            <w:vAlign w:val="bottom"/>
            <w:gridSpan w:val="2"/>
          </w:tcPr>
          <w:p>
            <w:pPr>
              <w:jc w:val="right"/>
              <w:ind w:right="76"/>
              <w:spacing w:after="0" w:line="129" w:lineRule="exact"/>
              <w:rPr>
                <w:sz w:val="20"/>
                <w:szCs w:val="20"/>
                <w:color w:val="auto"/>
              </w:rPr>
            </w:pPr>
            <w:r>
              <w:rPr>
                <w:rFonts w:ascii="Arial" w:cs="Arial" w:eastAsia="Arial" w:hAnsi="Arial"/>
                <w:sz w:val="13"/>
                <w:szCs w:val="13"/>
                <w:color w:val="auto"/>
              </w:rPr>
              <w:t>Credit card, net</w:t>
            </w:r>
          </w:p>
        </w:tc>
        <w:tc>
          <w:tcPr>
            <w:tcW w:w="200" w:type="dxa"/>
            <w:vAlign w:val="bottom"/>
          </w:tcPr>
          <w:p>
            <w:pPr>
              <w:spacing w:after="0"/>
              <w:rPr>
                <w:sz w:val="11"/>
                <w:szCs w:val="11"/>
                <w:color w:val="auto"/>
              </w:rPr>
            </w:pPr>
          </w:p>
        </w:tc>
        <w:tc>
          <w:tcPr>
            <w:tcW w:w="1160" w:type="dxa"/>
            <w:vAlign w:val="bottom"/>
            <w:gridSpan w:val="3"/>
          </w:tcPr>
          <w:p>
            <w:pPr>
              <w:ind w:left="80"/>
              <w:spacing w:after="0" w:line="129" w:lineRule="exact"/>
              <w:rPr>
                <w:sz w:val="20"/>
                <w:szCs w:val="20"/>
                <w:color w:val="auto"/>
              </w:rPr>
            </w:pPr>
            <w:r>
              <w:rPr>
                <w:rFonts w:ascii="Arial" w:cs="Arial" w:eastAsia="Arial" w:hAnsi="Arial"/>
                <w:sz w:val="13"/>
                <w:szCs w:val="13"/>
                <w:b w:val="1"/>
                <w:bCs w:val="1"/>
                <w:color w:val="auto"/>
              </w:rPr>
              <w:t>earning assets</w:t>
            </w:r>
          </w:p>
        </w:tc>
        <w:tc>
          <w:tcPr>
            <w:tcW w:w="960" w:type="dxa"/>
            <w:vAlign w:val="bottom"/>
            <w:gridSpan w:val="2"/>
          </w:tcPr>
          <w:p>
            <w:pPr>
              <w:jc w:val="right"/>
              <w:ind w:right="116"/>
              <w:spacing w:after="0" w:line="129" w:lineRule="exact"/>
              <w:rPr>
                <w:sz w:val="20"/>
                <w:szCs w:val="20"/>
                <w:color w:val="auto"/>
              </w:rPr>
            </w:pPr>
            <w:r>
              <w:rPr>
                <w:rFonts w:ascii="Arial" w:cs="Arial" w:eastAsia="Arial" w:hAnsi="Arial"/>
                <w:sz w:val="13"/>
                <w:szCs w:val="13"/>
                <w:color w:val="auto"/>
              </w:rPr>
              <w:t>lending, net</w:t>
            </w:r>
          </w:p>
        </w:tc>
        <w:tc>
          <w:tcPr>
            <w:tcW w:w="580" w:type="dxa"/>
            <w:vAlign w:val="bottom"/>
          </w:tcPr>
          <w:p>
            <w:pPr>
              <w:ind w:left="240"/>
              <w:spacing w:after="0" w:line="129" w:lineRule="exact"/>
              <w:rPr>
                <w:sz w:val="20"/>
                <w:szCs w:val="20"/>
                <w:color w:val="auto"/>
              </w:rPr>
            </w:pPr>
            <w:r>
              <w:rPr>
                <w:rFonts w:ascii="Arial" w:cs="Arial" w:eastAsia="Arial" w:hAnsi="Arial"/>
                <w:sz w:val="13"/>
                <w:szCs w:val="13"/>
                <w:color w:val="auto"/>
              </w:rPr>
              <w:t>credit</w:t>
            </w:r>
          </w:p>
        </w:tc>
        <w:tc>
          <w:tcPr>
            <w:tcW w:w="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right"/>
              <w:ind w:right="156"/>
              <w:spacing w:after="0" w:line="129" w:lineRule="exact"/>
              <w:rPr>
                <w:sz w:val="20"/>
                <w:szCs w:val="20"/>
                <w:color w:val="auto"/>
              </w:rPr>
            </w:pPr>
            <w:r>
              <w:rPr>
                <w:rFonts w:ascii="Arial" w:cs="Arial" w:eastAsia="Arial" w:hAnsi="Arial"/>
                <w:sz w:val="13"/>
                <w:szCs w:val="13"/>
                <w:b w:val="1"/>
                <w:bCs w:val="1"/>
                <w:color w:val="auto"/>
              </w:rPr>
              <w:t>revenues</w:t>
            </w:r>
          </w:p>
        </w:tc>
        <w:tc>
          <w:tcPr>
            <w:tcW w:w="0" w:type="dxa"/>
            <w:vAlign w:val="bottom"/>
          </w:tcPr>
          <w:p>
            <w:pPr>
              <w:spacing w:after="0"/>
              <w:rPr>
                <w:sz w:val="1"/>
                <w:szCs w:val="1"/>
                <w:color w:val="auto"/>
              </w:rPr>
            </w:pPr>
          </w:p>
        </w:tc>
      </w:tr>
      <w:tr>
        <w:trPr>
          <w:trHeight w:val="172"/>
        </w:trPr>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i w:val="1"/>
                <w:iCs w:val="1"/>
                <w:color w:val="auto"/>
                <w:w w:val="96"/>
              </w:rPr>
              <w:t>yield)</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facilities</w:t>
            </w:r>
            <w:r>
              <w:rPr>
                <w:rFonts w:ascii="Arial" w:cs="Arial" w:eastAsia="Arial" w:hAnsi="Arial"/>
                <w:sz w:val="8"/>
                <w:szCs w:val="8"/>
                <w:color w:val="auto"/>
              </w:rPr>
              <w:t>(5)</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180" w:type="dxa"/>
            <w:vAlign w:val="bottom"/>
            <w:gridSpan w:val="5"/>
            <w:shd w:val="clear" w:color="auto" w:fill="CCEEFF"/>
          </w:tcPr>
          <w:p>
            <w:pPr>
              <w:ind w:left="300"/>
              <w:spacing w:after="0"/>
              <w:rPr>
                <w:sz w:val="20"/>
                <w:szCs w:val="20"/>
                <w:color w:val="auto"/>
              </w:rPr>
            </w:pPr>
            <w:r>
              <w:rPr>
                <w:rFonts w:ascii="Arial" w:cs="Arial" w:eastAsia="Arial" w:hAnsi="Arial"/>
                <w:sz w:val="13"/>
                <w:szCs w:val="13"/>
                <w:b w:val="1"/>
                <w:bCs w:val="1"/>
                <w:color w:val="auto"/>
              </w:rPr>
              <w:t>Three Months Ended September 30, 2025</w:t>
            </w: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40" w:type="dxa"/>
            <w:vAlign w:val="bottom"/>
          </w:tcPr>
          <w:p>
            <w:pPr>
              <w:ind w:left="300"/>
              <w:spacing w:after="0" w:line="129" w:lineRule="exact"/>
              <w:rPr>
                <w:sz w:val="20"/>
                <w:szCs w:val="20"/>
                <w:color w:val="auto"/>
              </w:rPr>
            </w:pPr>
            <w:r>
              <w:rPr>
                <w:rFonts w:ascii="Arial" w:cs="Arial" w:eastAsia="Arial" w:hAnsi="Arial"/>
                <w:sz w:val="13"/>
                <w:szCs w:val="13"/>
                <w:color w:val="auto"/>
                <w:w w:val="97"/>
              </w:rPr>
              <w:t>September</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color w:val="auto"/>
              </w:rPr>
              <w:t>13,938</w:t>
            </w:r>
          </w:p>
        </w:tc>
        <w:tc>
          <w:tcPr>
            <w:tcW w:w="40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14,352</w:t>
            </w:r>
          </w:p>
        </w:tc>
        <w:tc>
          <w:tcPr>
            <w:tcW w:w="4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35,370</w:t>
            </w:r>
          </w:p>
        </w:tc>
        <w:tc>
          <w:tcPr>
            <w:tcW w:w="4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742</w:t>
            </w:r>
          </w:p>
        </w:tc>
        <w:tc>
          <w:tcPr>
            <w:tcW w:w="200" w:type="dxa"/>
            <w:vAlign w:val="bottom"/>
          </w:tcPr>
          <w:p>
            <w:pPr>
              <w:spacing w:after="0"/>
              <w:rPr>
                <w:sz w:val="11"/>
                <w:szCs w:val="11"/>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64,402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30, 2025</w:t>
            </w: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June 30,</w:t>
            </w:r>
          </w:p>
        </w:tc>
        <w:tc>
          <w:tcPr>
            <w:tcW w:w="5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9,457</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14,045</w:t>
            </w:r>
          </w:p>
        </w:tc>
        <w:tc>
          <w:tcPr>
            <w:tcW w:w="4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32,719</w:t>
            </w:r>
          </w:p>
        </w:tc>
        <w:tc>
          <w:tcPr>
            <w:tcW w:w="4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562</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56,783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Average</w:t>
            </w:r>
            <w:r>
              <w:rPr>
                <w:rFonts w:ascii="Arial" w:cs="Arial" w:eastAsia="Arial" w:hAnsi="Arial"/>
                <w:sz w:val="8"/>
                <w:szCs w:val="8"/>
                <w:color w:val="auto"/>
              </w:rPr>
              <w:t>(3)</w:t>
            </w:r>
          </w:p>
        </w:tc>
        <w:tc>
          <w:tcPr>
            <w:tcW w:w="5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11,812</w:t>
            </w:r>
          </w:p>
        </w:tc>
        <w:tc>
          <w:tcPr>
            <w:tcW w:w="4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14,340</w:t>
            </w:r>
          </w:p>
        </w:tc>
        <w:tc>
          <w:tcPr>
            <w:tcW w:w="4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33,947</w:t>
            </w:r>
          </w:p>
        </w:tc>
        <w:tc>
          <w:tcPr>
            <w:tcW w:w="4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667</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60,766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Revenue</w:t>
            </w: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153</w:t>
            </w:r>
          </w:p>
        </w:tc>
        <w:tc>
          <w:tcPr>
            <w:tcW w:w="4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142</w:t>
            </w:r>
          </w:p>
        </w:tc>
        <w:tc>
          <w:tcPr>
            <w:tcW w:w="4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64</w:t>
            </w: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376</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87</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(8)</w:t>
            </w:r>
          </w:p>
        </w:tc>
        <w:tc>
          <w:tcPr>
            <w:tcW w:w="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456</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(expense)</w:t>
            </w: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Annualized</w:t>
            </w:r>
          </w:p>
        </w:tc>
        <w:tc>
          <w:tcPr>
            <w:tcW w:w="500" w:type="dxa"/>
            <w:vAlign w:val="bottom"/>
          </w:tcPr>
          <w:p>
            <w:pPr>
              <w:spacing w:after="0"/>
              <w:rPr>
                <w:sz w:val="11"/>
                <w:szCs w:val="11"/>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color w:val="auto"/>
              </w:rPr>
              <w:t>5.18%</w:t>
            </w:r>
          </w:p>
        </w:tc>
        <w:tc>
          <w:tcPr>
            <w:tcW w:w="40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3.96%</w:t>
            </w:r>
          </w:p>
        </w:tc>
        <w:tc>
          <w:tcPr>
            <w:tcW w:w="460" w:type="dxa"/>
            <w:vAlign w:val="bottom"/>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0.75%</w:t>
            </w:r>
          </w:p>
        </w:tc>
        <w:tc>
          <w:tcPr>
            <w:tcW w:w="440" w:type="dxa"/>
            <w:vAlign w:val="bottom"/>
          </w:tcPr>
          <w:p>
            <w:pPr>
              <w:spacing w:after="0"/>
              <w:rPr>
                <w:sz w:val="11"/>
                <w:szCs w:val="11"/>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10.19</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2.48%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3.00%</w:t>
            </w:r>
          </w:p>
        </w:tc>
        <w:tc>
          <w:tcPr>
            <w:tcW w:w="0" w:type="dxa"/>
            <w:vAlign w:val="bottom"/>
          </w:tcPr>
          <w:p>
            <w:pPr>
              <w:spacing w:after="0"/>
              <w:rPr>
                <w:sz w:val="1"/>
                <w:szCs w:val="1"/>
                <w:color w:val="auto"/>
              </w:rPr>
            </w:pPr>
          </w:p>
        </w:tc>
      </w:tr>
      <w:tr>
        <w:trPr>
          <w:trHeight w:val="177"/>
        </w:trPr>
        <w:tc>
          <w:tcPr>
            <w:tcW w:w="940" w:type="dxa"/>
            <w:vAlign w:val="bottom"/>
          </w:tcPr>
          <w:p>
            <w:pPr>
              <w:jc w:val="right"/>
              <w:spacing w:after="0"/>
              <w:rPr>
                <w:sz w:val="20"/>
                <w:szCs w:val="20"/>
                <w:color w:val="auto"/>
              </w:rPr>
            </w:pPr>
            <w:r>
              <w:rPr>
                <w:rFonts w:ascii="Arial" w:cs="Arial" w:eastAsia="Arial" w:hAnsi="Arial"/>
                <w:sz w:val="13"/>
                <w:szCs w:val="13"/>
                <w:color w:val="auto"/>
              </w:rPr>
              <w:t>yield</w:t>
            </w:r>
            <w:r>
              <w:rPr>
                <w:rFonts w:ascii="Arial" w:cs="Arial" w:eastAsia="Arial" w:hAnsi="Arial"/>
                <w:sz w:val="8"/>
                <w:szCs w:val="8"/>
                <w:color w:val="auto"/>
              </w:rPr>
              <w:t>(4)</w:t>
            </w: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560" w:type="dxa"/>
            <w:vAlign w:val="bottom"/>
            <w:gridSpan w:val="4"/>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560" w:type="dxa"/>
            <w:vAlign w:val="bottom"/>
            <w:gridSpan w:val="4"/>
            <w:shd w:val="clear" w:color="auto" w:fill="CCEEFF"/>
          </w:tcPr>
          <w:p>
            <w:pPr>
              <w:ind w:left="300"/>
              <w:spacing w:after="0"/>
              <w:rPr>
                <w:sz w:val="20"/>
                <w:szCs w:val="20"/>
                <w:color w:val="auto"/>
              </w:rPr>
            </w:pPr>
            <w:r>
              <w:rPr>
                <w:rFonts w:ascii="Arial" w:cs="Arial" w:eastAsia="Arial" w:hAnsi="Arial"/>
                <w:sz w:val="13"/>
                <w:szCs w:val="13"/>
                <w:b w:val="1"/>
                <w:bCs w:val="1"/>
                <w:color w:val="auto"/>
              </w:rPr>
              <w:t>Three Months Ended June 30, 2025</w:t>
            </w: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June 30,</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color w:val="auto"/>
              </w:rPr>
              <w:t>9,457</w:t>
            </w:r>
          </w:p>
        </w:tc>
        <w:tc>
          <w:tcPr>
            <w:tcW w:w="40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14,045</w:t>
            </w:r>
          </w:p>
        </w:tc>
        <w:tc>
          <w:tcPr>
            <w:tcW w:w="4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32,719</w:t>
            </w:r>
          </w:p>
        </w:tc>
        <w:tc>
          <w:tcPr>
            <w:tcW w:w="4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562</w:t>
            </w:r>
          </w:p>
        </w:tc>
        <w:tc>
          <w:tcPr>
            <w:tcW w:w="200" w:type="dxa"/>
            <w:vAlign w:val="bottom"/>
          </w:tcPr>
          <w:p>
            <w:pPr>
              <w:spacing w:after="0"/>
              <w:rPr>
                <w:sz w:val="11"/>
                <w:szCs w:val="11"/>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56,783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2025</w:t>
            </w: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March 31,</w:t>
            </w:r>
          </w:p>
        </w:tc>
        <w:tc>
          <w:tcPr>
            <w:tcW w:w="5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8,802</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9,763</w:t>
            </w:r>
          </w:p>
        </w:tc>
        <w:tc>
          <w:tcPr>
            <w:tcW w:w="4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28,187</w:t>
            </w:r>
          </w:p>
        </w:tc>
        <w:tc>
          <w:tcPr>
            <w:tcW w:w="4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429</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47,181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Average</w:t>
            </w:r>
            <w:r>
              <w:rPr>
                <w:rFonts w:ascii="Arial" w:cs="Arial" w:eastAsia="Arial" w:hAnsi="Arial"/>
                <w:sz w:val="8"/>
                <w:szCs w:val="8"/>
                <w:color w:val="auto"/>
              </w:rPr>
              <w:t>(3)</w:t>
            </w:r>
          </w:p>
        </w:tc>
        <w:tc>
          <w:tcPr>
            <w:tcW w:w="5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8,912</w:t>
            </w:r>
          </w:p>
        </w:tc>
        <w:tc>
          <w:tcPr>
            <w:tcW w:w="4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11,815</w:t>
            </w:r>
          </w:p>
        </w:tc>
        <w:tc>
          <w:tcPr>
            <w:tcW w:w="4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30,148</w:t>
            </w:r>
          </w:p>
        </w:tc>
        <w:tc>
          <w:tcPr>
            <w:tcW w:w="4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513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51,388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Revenue</w:t>
            </w: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114</w:t>
            </w:r>
          </w:p>
        </w:tc>
        <w:tc>
          <w:tcPr>
            <w:tcW w:w="4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123</w:t>
            </w:r>
          </w:p>
        </w:tc>
        <w:tc>
          <w:tcPr>
            <w:tcW w:w="4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60</w:t>
            </w: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310</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54</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(8)</w:t>
            </w:r>
          </w:p>
        </w:tc>
        <w:tc>
          <w:tcPr>
            <w:tcW w:w="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357</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(expense)</w:t>
            </w: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Annualized</w:t>
            </w:r>
          </w:p>
        </w:tc>
        <w:tc>
          <w:tcPr>
            <w:tcW w:w="500" w:type="dxa"/>
            <w:vAlign w:val="bottom"/>
          </w:tcPr>
          <w:p>
            <w:pPr>
              <w:spacing w:after="0"/>
              <w:rPr>
                <w:sz w:val="11"/>
                <w:szCs w:val="11"/>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color w:val="auto"/>
              </w:rPr>
              <w:t>5.12%</w:t>
            </w:r>
          </w:p>
        </w:tc>
        <w:tc>
          <w:tcPr>
            <w:tcW w:w="40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4.16%</w:t>
            </w:r>
          </w:p>
        </w:tc>
        <w:tc>
          <w:tcPr>
            <w:tcW w:w="460" w:type="dxa"/>
            <w:vAlign w:val="bottom"/>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0.80%</w:t>
            </w:r>
          </w:p>
        </w:tc>
        <w:tc>
          <w:tcPr>
            <w:tcW w:w="440" w:type="dxa"/>
            <w:vAlign w:val="bottom"/>
          </w:tcPr>
          <w:p>
            <w:pPr>
              <w:spacing w:after="0"/>
              <w:rPr>
                <w:sz w:val="11"/>
                <w:szCs w:val="11"/>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10.14</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2.41%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2.78%</w:t>
            </w:r>
          </w:p>
        </w:tc>
        <w:tc>
          <w:tcPr>
            <w:tcW w:w="0" w:type="dxa"/>
            <w:vAlign w:val="bottom"/>
          </w:tcPr>
          <w:p>
            <w:pPr>
              <w:spacing w:after="0"/>
              <w:rPr>
                <w:sz w:val="1"/>
                <w:szCs w:val="1"/>
                <w:color w:val="auto"/>
              </w:rPr>
            </w:pPr>
          </w:p>
        </w:tc>
      </w:tr>
      <w:tr>
        <w:trPr>
          <w:trHeight w:val="177"/>
        </w:trPr>
        <w:tc>
          <w:tcPr>
            <w:tcW w:w="940" w:type="dxa"/>
            <w:vAlign w:val="bottom"/>
          </w:tcPr>
          <w:p>
            <w:pPr>
              <w:jc w:val="right"/>
              <w:spacing w:after="0"/>
              <w:rPr>
                <w:sz w:val="20"/>
                <w:szCs w:val="20"/>
                <w:color w:val="auto"/>
              </w:rPr>
            </w:pPr>
            <w:r>
              <w:rPr>
                <w:rFonts w:ascii="Arial" w:cs="Arial" w:eastAsia="Arial" w:hAnsi="Arial"/>
                <w:sz w:val="13"/>
                <w:szCs w:val="13"/>
                <w:color w:val="auto"/>
              </w:rPr>
              <w:t>yield</w:t>
            </w:r>
            <w:r>
              <w:rPr>
                <w:rFonts w:ascii="Arial" w:cs="Arial" w:eastAsia="Arial" w:hAnsi="Arial"/>
                <w:sz w:val="8"/>
                <w:szCs w:val="8"/>
                <w:color w:val="auto"/>
              </w:rPr>
              <w:t>(4)</w:t>
            </w: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180" w:type="dxa"/>
            <w:vAlign w:val="bottom"/>
            <w:gridSpan w:val="5"/>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80" w:type="dxa"/>
            <w:vAlign w:val="bottom"/>
            <w:gridSpan w:val="5"/>
            <w:shd w:val="clear" w:color="auto" w:fill="CCEEFF"/>
          </w:tcPr>
          <w:p>
            <w:pPr>
              <w:ind w:left="300"/>
              <w:spacing w:after="0"/>
              <w:rPr>
                <w:sz w:val="20"/>
                <w:szCs w:val="20"/>
                <w:color w:val="auto"/>
              </w:rPr>
            </w:pPr>
            <w:r>
              <w:rPr>
                <w:rFonts w:ascii="Arial" w:cs="Arial" w:eastAsia="Arial" w:hAnsi="Arial"/>
                <w:sz w:val="13"/>
                <w:szCs w:val="13"/>
                <w:b w:val="1"/>
                <w:bCs w:val="1"/>
                <w:color w:val="auto"/>
              </w:rPr>
              <w:t>Three Months Ended September 30, 2024</w:t>
            </w: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September</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color w:val="auto"/>
              </w:rPr>
              <w:t>5,499</w:t>
            </w:r>
          </w:p>
        </w:tc>
        <w:tc>
          <w:tcPr>
            <w:tcW w:w="40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11,149</w:t>
            </w:r>
          </w:p>
        </w:tc>
        <w:tc>
          <w:tcPr>
            <w:tcW w:w="4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24,485</w:t>
            </w:r>
          </w:p>
        </w:tc>
        <w:tc>
          <w:tcPr>
            <w:tcW w:w="4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309</w:t>
            </w:r>
          </w:p>
        </w:tc>
        <w:tc>
          <w:tcPr>
            <w:tcW w:w="200" w:type="dxa"/>
            <w:vAlign w:val="bottom"/>
          </w:tcPr>
          <w:p>
            <w:pPr>
              <w:spacing w:after="0"/>
              <w:rPr>
                <w:sz w:val="11"/>
                <w:szCs w:val="11"/>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41,442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30, 2024</w:t>
            </w: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June 30,</w:t>
            </w:r>
          </w:p>
        </w:tc>
        <w:tc>
          <w:tcPr>
            <w:tcW w:w="5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4,956</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10,164</w:t>
            </w:r>
          </w:p>
        </w:tc>
        <w:tc>
          <w:tcPr>
            <w:tcW w:w="4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20,858</w:t>
            </w:r>
          </w:p>
        </w:tc>
        <w:tc>
          <w:tcPr>
            <w:tcW w:w="4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212</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36,190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Average</w:t>
            </w:r>
            <w:r>
              <w:rPr>
                <w:rFonts w:ascii="Arial" w:cs="Arial" w:eastAsia="Arial" w:hAnsi="Arial"/>
                <w:sz w:val="8"/>
                <w:szCs w:val="8"/>
                <w:color w:val="auto"/>
              </w:rPr>
              <w:t>(3)</w:t>
            </w:r>
          </w:p>
        </w:tc>
        <w:tc>
          <w:tcPr>
            <w:tcW w:w="5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5,350</w:t>
            </w:r>
          </w:p>
        </w:tc>
        <w:tc>
          <w:tcPr>
            <w:tcW w:w="4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10,055</w:t>
            </w:r>
          </w:p>
        </w:tc>
        <w:tc>
          <w:tcPr>
            <w:tcW w:w="4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22,473</w:t>
            </w:r>
          </w:p>
        </w:tc>
        <w:tc>
          <w:tcPr>
            <w:tcW w:w="4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270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38,148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Revenue</w:t>
            </w: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83</w:t>
            </w:r>
          </w:p>
        </w:tc>
        <w:tc>
          <w:tcPr>
            <w:tcW w:w="4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128</w:t>
            </w:r>
          </w:p>
        </w:tc>
        <w:tc>
          <w:tcPr>
            <w:tcW w:w="4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261</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(6)</w:t>
            </w:r>
          </w:p>
        </w:tc>
        <w:tc>
          <w:tcPr>
            <w:tcW w:w="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274</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(expense)</w:t>
            </w: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Annualized</w:t>
            </w:r>
          </w:p>
        </w:tc>
        <w:tc>
          <w:tcPr>
            <w:tcW w:w="500" w:type="dxa"/>
            <w:vAlign w:val="bottom"/>
          </w:tcPr>
          <w:p>
            <w:pPr>
              <w:spacing w:after="0"/>
              <w:rPr>
                <w:sz w:val="11"/>
                <w:szCs w:val="11"/>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color w:val="auto"/>
              </w:rPr>
              <w:t>6.21%</w:t>
            </w:r>
          </w:p>
        </w:tc>
        <w:tc>
          <w:tcPr>
            <w:tcW w:w="40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5.09%</w:t>
            </w:r>
          </w:p>
        </w:tc>
        <w:tc>
          <w:tcPr>
            <w:tcW w:w="460" w:type="dxa"/>
            <w:vAlign w:val="bottom"/>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0.82%</w:t>
            </w:r>
          </w:p>
        </w:tc>
        <w:tc>
          <w:tcPr>
            <w:tcW w:w="440" w:type="dxa"/>
            <w:vAlign w:val="bottom"/>
          </w:tcPr>
          <w:p>
            <w:pPr>
              <w:spacing w:after="0"/>
              <w:rPr>
                <w:sz w:val="11"/>
                <w:szCs w:val="11"/>
                <w:color w:val="auto"/>
              </w:rPr>
            </w:pPr>
          </w:p>
        </w:tc>
        <w:tc>
          <w:tcPr>
            <w:tcW w:w="860" w:type="dxa"/>
            <w:vAlign w:val="bottom"/>
            <w:gridSpan w:val="2"/>
            <w:vMerge w:val="restart"/>
          </w:tcPr>
          <w:p>
            <w:pPr>
              <w:jc w:val="center"/>
              <w:ind w:left="196"/>
              <w:spacing w:after="0"/>
              <w:rPr>
                <w:sz w:val="20"/>
                <w:szCs w:val="20"/>
                <w:color w:val="auto"/>
              </w:rPr>
            </w:pPr>
            <w:r>
              <w:rPr>
                <w:rFonts w:ascii="Arial" w:cs="Arial" w:eastAsia="Arial" w:hAnsi="Arial"/>
                <w:sz w:val="13"/>
                <w:szCs w:val="13"/>
                <w:color w:val="auto"/>
                <w:w w:val="97"/>
              </w:rPr>
              <w:t>5.93%</w:t>
            </w:r>
          </w:p>
        </w:tc>
        <w:tc>
          <w:tcPr>
            <w:tcW w:w="4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2.74%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2.87%</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yield</w:t>
            </w:r>
            <w:r>
              <w:rPr>
                <w:rFonts w:ascii="Arial" w:cs="Arial" w:eastAsia="Arial" w:hAnsi="Arial"/>
                <w:sz w:val="8"/>
                <w:szCs w:val="8"/>
                <w:color w:val="auto"/>
              </w:rPr>
              <w:t>(4)</w:t>
            </w: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5"/>
            <w:shd w:val="clear" w:color="auto" w:fill="CCEEFF"/>
          </w:tcPr>
          <w:p>
            <w:pPr>
              <w:ind w:left="300"/>
              <w:spacing w:after="0"/>
              <w:rPr>
                <w:sz w:val="20"/>
                <w:szCs w:val="20"/>
                <w:color w:val="auto"/>
              </w:rPr>
            </w:pPr>
            <w:r>
              <w:rPr>
                <w:rFonts w:ascii="Arial" w:cs="Arial" w:eastAsia="Arial" w:hAnsi="Arial"/>
                <w:sz w:val="13"/>
                <w:szCs w:val="13"/>
                <w:b w:val="1"/>
                <w:bCs w:val="1"/>
                <w:color w:val="auto"/>
              </w:rPr>
              <w:t>Nine Months Ended September 30, 2025</w:t>
            </w: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September</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color w:val="auto"/>
              </w:rPr>
              <w:t>13,938</w:t>
            </w:r>
          </w:p>
        </w:tc>
        <w:tc>
          <w:tcPr>
            <w:tcW w:w="40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14,352</w:t>
            </w:r>
          </w:p>
        </w:tc>
        <w:tc>
          <w:tcPr>
            <w:tcW w:w="4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35,370</w:t>
            </w:r>
          </w:p>
        </w:tc>
        <w:tc>
          <w:tcPr>
            <w:tcW w:w="4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742</w:t>
            </w:r>
          </w:p>
        </w:tc>
        <w:tc>
          <w:tcPr>
            <w:tcW w:w="200" w:type="dxa"/>
            <w:vAlign w:val="bottom"/>
          </w:tcPr>
          <w:p>
            <w:pPr>
              <w:spacing w:after="0"/>
              <w:rPr>
                <w:sz w:val="11"/>
                <w:szCs w:val="11"/>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64,402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30, 2025</w:t>
            </w: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December</w:t>
            </w:r>
          </w:p>
        </w:tc>
        <w:tc>
          <w:tcPr>
            <w:tcW w:w="5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7,909</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9,943</w:t>
            </w:r>
          </w:p>
        </w:tc>
        <w:tc>
          <w:tcPr>
            <w:tcW w:w="4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26,064</w:t>
            </w:r>
          </w:p>
        </w:tc>
        <w:tc>
          <w:tcPr>
            <w:tcW w:w="4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391</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44,307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31, 2024</w:t>
            </w: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Average</w:t>
            </w:r>
            <w:r>
              <w:rPr>
                <w:rFonts w:ascii="Arial" w:cs="Arial" w:eastAsia="Arial" w:hAnsi="Arial"/>
                <w:sz w:val="8"/>
                <w:szCs w:val="8"/>
                <w:color w:val="auto"/>
              </w:rPr>
              <w:t>(3)</w:t>
            </w:r>
          </w:p>
        </w:tc>
        <w:tc>
          <w:tcPr>
            <w:tcW w:w="5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9,843</w:t>
            </w:r>
          </w:p>
        </w:tc>
        <w:tc>
          <w:tcPr>
            <w:tcW w:w="4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12,109</w:t>
            </w:r>
          </w:p>
        </w:tc>
        <w:tc>
          <w:tcPr>
            <w:tcW w:w="4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30,234</w:t>
            </w:r>
          </w:p>
        </w:tc>
        <w:tc>
          <w:tcPr>
            <w:tcW w:w="4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534</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52,720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Revenue</w:t>
            </w: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377</w:t>
            </w:r>
          </w:p>
        </w:tc>
        <w:tc>
          <w:tcPr>
            <w:tcW w:w="4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370</w:t>
            </w:r>
          </w:p>
        </w:tc>
        <w:tc>
          <w:tcPr>
            <w:tcW w:w="4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40</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959</w:t>
            </w:r>
            <w:r>
              <w:rPr>
                <w:rFonts w:ascii="Arial" w:cs="Arial" w:eastAsia="Arial" w:hAnsi="Arial"/>
                <w:sz w:val="13"/>
                <w:szCs w:val="13"/>
                <w:color w:val="auto"/>
              </w:rPr>
              <w:t>$</w:t>
            </w:r>
          </w:p>
        </w:tc>
        <w:tc>
          <w:tcPr>
            <w:tcW w:w="5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164</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94"/>
              </w:rPr>
              <w:t>(22)</w:t>
            </w:r>
          </w:p>
        </w:tc>
        <w:tc>
          <w:tcPr>
            <w:tcW w:w="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1,103</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(expense)</w:t>
            </w: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Annual</w:t>
            </w:r>
          </w:p>
        </w:tc>
        <w:tc>
          <w:tcPr>
            <w:tcW w:w="500" w:type="dxa"/>
            <w:vAlign w:val="bottom"/>
          </w:tcPr>
          <w:p>
            <w:pPr>
              <w:spacing w:after="0"/>
              <w:rPr>
                <w:sz w:val="11"/>
                <w:szCs w:val="11"/>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color w:val="auto"/>
              </w:rPr>
              <w:t>5.11%</w:t>
            </w:r>
          </w:p>
        </w:tc>
        <w:tc>
          <w:tcPr>
            <w:tcW w:w="40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4.07%</w:t>
            </w:r>
          </w:p>
        </w:tc>
        <w:tc>
          <w:tcPr>
            <w:tcW w:w="460" w:type="dxa"/>
            <w:vAlign w:val="bottom"/>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0.76%</w:t>
            </w:r>
          </w:p>
        </w:tc>
        <w:tc>
          <w:tcPr>
            <w:tcW w:w="440" w:type="dxa"/>
            <w:vAlign w:val="bottom"/>
          </w:tcPr>
          <w:p>
            <w:pPr>
              <w:spacing w:after="0"/>
              <w:rPr>
                <w:sz w:val="11"/>
                <w:szCs w:val="11"/>
                <w:color w:val="auto"/>
              </w:rPr>
            </w:pPr>
          </w:p>
        </w:tc>
        <w:tc>
          <w:tcPr>
            <w:tcW w:w="860" w:type="dxa"/>
            <w:vAlign w:val="bottom"/>
            <w:gridSpan w:val="2"/>
            <w:vMerge w:val="restart"/>
          </w:tcPr>
          <w:p>
            <w:pPr>
              <w:jc w:val="center"/>
              <w:ind w:left="196"/>
              <w:spacing w:after="0"/>
              <w:rPr>
                <w:sz w:val="20"/>
                <w:szCs w:val="20"/>
                <w:color w:val="auto"/>
              </w:rPr>
            </w:pPr>
            <w:r>
              <w:rPr>
                <w:rFonts w:ascii="Arial" w:cs="Arial" w:eastAsia="Arial" w:hAnsi="Arial"/>
                <w:sz w:val="13"/>
                <w:szCs w:val="13"/>
                <w:color w:val="auto"/>
                <w:w w:val="97"/>
              </w:rPr>
              <w:t>9.99%</w:t>
            </w:r>
          </w:p>
        </w:tc>
        <w:tc>
          <w:tcPr>
            <w:tcW w:w="4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2.42%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2.78%</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yield</w:t>
            </w:r>
            <w:r>
              <w:rPr>
                <w:rFonts w:ascii="Arial" w:cs="Arial" w:eastAsia="Arial" w:hAnsi="Arial"/>
                <w:sz w:val="8"/>
                <w:szCs w:val="8"/>
                <w:color w:val="auto"/>
              </w:rPr>
              <w:t>(4)</w:t>
            </w: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5"/>
            <w:shd w:val="clear" w:color="auto" w:fill="CCEEFF"/>
          </w:tcPr>
          <w:p>
            <w:pPr>
              <w:ind w:left="300"/>
              <w:spacing w:after="0"/>
              <w:rPr>
                <w:sz w:val="20"/>
                <w:szCs w:val="20"/>
                <w:color w:val="auto"/>
              </w:rPr>
            </w:pPr>
            <w:r>
              <w:rPr>
                <w:rFonts w:ascii="Arial" w:cs="Arial" w:eastAsia="Arial" w:hAnsi="Arial"/>
                <w:sz w:val="13"/>
                <w:szCs w:val="13"/>
                <w:b w:val="1"/>
                <w:bCs w:val="1"/>
                <w:color w:val="auto"/>
              </w:rPr>
              <w:t>Nine Months Ended September 30, 2024</w:t>
            </w: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September</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color w:val="auto"/>
              </w:rPr>
              <w:t>5,499</w:t>
            </w:r>
          </w:p>
        </w:tc>
        <w:tc>
          <w:tcPr>
            <w:tcW w:w="400" w:type="dxa"/>
            <w:vAlign w:val="bottom"/>
            <w:vMerge w:val="restart"/>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11,149</w:t>
            </w:r>
          </w:p>
        </w:tc>
        <w:tc>
          <w:tcPr>
            <w:tcW w:w="4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24,485</w:t>
            </w:r>
          </w:p>
        </w:tc>
        <w:tc>
          <w:tcPr>
            <w:tcW w:w="4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96"/>
              <w:spacing w:after="0"/>
              <w:rPr>
                <w:sz w:val="20"/>
                <w:szCs w:val="20"/>
                <w:color w:val="auto"/>
              </w:rPr>
            </w:pPr>
            <w:r>
              <w:rPr>
                <w:rFonts w:ascii="Arial" w:cs="Arial" w:eastAsia="Arial" w:hAnsi="Arial"/>
                <w:sz w:val="13"/>
                <w:szCs w:val="13"/>
                <w:color w:val="auto"/>
              </w:rPr>
              <w:t>309</w:t>
            </w:r>
          </w:p>
        </w:tc>
        <w:tc>
          <w:tcPr>
            <w:tcW w:w="200" w:type="dxa"/>
            <w:vAlign w:val="bottom"/>
          </w:tcPr>
          <w:p>
            <w:pPr>
              <w:spacing w:after="0"/>
              <w:rPr>
                <w:sz w:val="11"/>
                <w:szCs w:val="11"/>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41,442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30, 2024</w:t>
            </w:r>
          </w:p>
        </w:tc>
        <w:tc>
          <w:tcPr>
            <w:tcW w:w="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December</w:t>
            </w:r>
          </w:p>
        </w:tc>
        <w:tc>
          <w:tcPr>
            <w:tcW w:w="5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3,458</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10,107</w:t>
            </w:r>
          </w:p>
        </w:tc>
        <w:tc>
          <w:tcPr>
            <w:tcW w:w="4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16,352</w:t>
            </w:r>
          </w:p>
        </w:tc>
        <w:tc>
          <w:tcPr>
            <w:tcW w:w="4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30,122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31, 2023</w:t>
            </w:r>
          </w:p>
        </w:tc>
        <w:tc>
          <w:tcPr>
            <w:tcW w:w="5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Average</w:t>
            </w:r>
            <w:r>
              <w:rPr>
                <w:rFonts w:ascii="Arial" w:cs="Arial" w:eastAsia="Arial" w:hAnsi="Arial"/>
                <w:sz w:val="8"/>
                <w:szCs w:val="8"/>
                <w:color w:val="auto"/>
              </w:rPr>
              <w:t>(3)</w:t>
            </w:r>
          </w:p>
        </w:tc>
        <w:tc>
          <w:tcPr>
            <w:tcW w:w="5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Arial" w:cs="Arial" w:eastAsia="Arial" w:hAnsi="Arial"/>
                <w:sz w:val="13"/>
                <w:szCs w:val="13"/>
                <w:color w:val="auto"/>
              </w:rPr>
              <w:t>4,511</w:t>
            </w:r>
          </w:p>
        </w:tc>
        <w:tc>
          <w:tcPr>
            <w:tcW w:w="4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10,075</w:t>
            </w:r>
          </w:p>
        </w:tc>
        <w:tc>
          <w:tcPr>
            <w:tcW w:w="4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19,958</w:t>
            </w:r>
          </w:p>
        </w:tc>
        <w:tc>
          <w:tcPr>
            <w:tcW w:w="44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228</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34,772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Revenue</w:t>
            </w: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16"/>
              <w:spacing w:after="0"/>
              <w:rPr>
                <w:sz w:val="20"/>
                <w:szCs w:val="20"/>
                <w:color w:val="auto"/>
              </w:rPr>
            </w:pPr>
            <w:r>
              <w:rPr>
                <w:rFonts w:ascii="Arial" w:cs="Arial" w:eastAsia="Arial" w:hAnsi="Arial"/>
                <w:sz w:val="13"/>
                <w:szCs w:val="13"/>
                <w:color w:val="auto"/>
              </w:rPr>
              <w:t>228</w:t>
            </w:r>
          </w:p>
        </w:tc>
        <w:tc>
          <w:tcPr>
            <w:tcW w:w="40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390</w:t>
            </w:r>
          </w:p>
        </w:tc>
        <w:tc>
          <w:tcPr>
            <w:tcW w:w="46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196"/>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763</w:t>
            </w:r>
            <w:r>
              <w:rPr>
                <w:rFonts w:ascii="Arial" w:cs="Arial" w:eastAsia="Arial" w:hAnsi="Arial"/>
                <w:sz w:val="13"/>
                <w:szCs w:val="13"/>
                <w:color w:val="auto"/>
              </w:rPr>
              <w:t>$</w:t>
            </w:r>
          </w:p>
        </w:tc>
        <w:tc>
          <w:tcPr>
            <w:tcW w:w="5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68</w:t>
            </w: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w w:val="94"/>
              </w:rPr>
              <w:t>(18)</w:t>
            </w:r>
          </w:p>
        </w:tc>
        <w:tc>
          <w:tcPr>
            <w:tcW w:w="50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813</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(expense)</w:t>
            </w:r>
          </w:p>
        </w:tc>
        <w:tc>
          <w:tcPr>
            <w:tcW w:w="50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Annual</w:t>
            </w:r>
          </w:p>
        </w:tc>
        <w:tc>
          <w:tcPr>
            <w:tcW w:w="500" w:type="dxa"/>
            <w:vAlign w:val="bottom"/>
          </w:tcPr>
          <w:p>
            <w:pPr>
              <w:spacing w:after="0"/>
              <w:rPr>
                <w:sz w:val="11"/>
                <w:szCs w:val="11"/>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3"/>
                <w:szCs w:val="13"/>
                <w:color w:val="auto"/>
              </w:rPr>
              <w:t>6.74%</w:t>
            </w:r>
          </w:p>
        </w:tc>
        <w:tc>
          <w:tcPr>
            <w:tcW w:w="400" w:type="dxa"/>
            <w:vAlign w:val="bottom"/>
          </w:tcPr>
          <w:p>
            <w:pPr>
              <w:spacing w:after="0"/>
              <w:rPr>
                <w:sz w:val="11"/>
                <w:szCs w:val="11"/>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3"/>
                <w:szCs w:val="13"/>
                <w:color w:val="auto"/>
              </w:rPr>
              <w:t>5.16%</w:t>
            </w:r>
          </w:p>
        </w:tc>
        <w:tc>
          <w:tcPr>
            <w:tcW w:w="460" w:type="dxa"/>
            <w:vAlign w:val="bottom"/>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0.86%</w:t>
            </w:r>
          </w:p>
        </w:tc>
        <w:tc>
          <w:tcPr>
            <w:tcW w:w="440" w:type="dxa"/>
            <w:vAlign w:val="bottom"/>
          </w:tcPr>
          <w:p>
            <w:pPr>
              <w:spacing w:after="0"/>
              <w:rPr>
                <w:sz w:val="11"/>
                <w:szCs w:val="11"/>
                <w:color w:val="auto"/>
              </w:rPr>
            </w:pPr>
          </w:p>
        </w:tc>
        <w:tc>
          <w:tcPr>
            <w:tcW w:w="860" w:type="dxa"/>
            <w:vAlign w:val="bottom"/>
            <w:gridSpan w:val="2"/>
            <w:vMerge w:val="restart"/>
          </w:tcPr>
          <w:p>
            <w:pPr>
              <w:jc w:val="center"/>
              <w:ind w:left="196"/>
              <w:spacing w:after="0"/>
              <w:rPr>
                <w:sz w:val="20"/>
                <w:szCs w:val="20"/>
                <w:color w:val="auto"/>
              </w:rPr>
            </w:pPr>
            <w:r>
              <w:rPr>
                <w:rFonts w:ascii="Arial" w:cs="Arial" w:eastAsia="Arial" w:hAnsi="Arial"/>
                <w:sz w:val="13"/>
                <w:szCs w:val="13"/>
                <w:color w:val="auto"/>
                <w:w w:val="97"/>
              </w:rPr>
              <w:t>9.36%</w:t>
            </w:r>
          </w:p>
        </w:tc>
        <w:tc>
          <w:tcPr>
            <w:tcW w:w="480" w:type="dxa"/>
            <w:vAlign w:val="bottom"/>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2.93%</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3.12%</w:t>
            </w:r>
          </w:p>
        </w:tc>
        <w:tc>
          <w:tcPr>
            <w:tcW w:w="0" w:type="dxa"/>
            <w:vAlign w:val="bottom"/>
          </w:tcPr>
          <w:p>
            <w:pPr>
              <w:spacing w:after="0"/>
              <w:rPr>
                <w:sz w:val="1"/>
                <w:szCs w:val="1"/>
                <w:color w:val="auto"/>
              </w:rPr>
            </w:pPr>
          </w:p>
        </w:tc>
      </w:tr>
      <w:tr>
        <w:trPr>
          <w:trHeight w:val="177"/>
        </w:trPr>
        <w:tc>
          <w:tcPr>
            <w:tcW w:w="940" w:type="dxa"/>
            <w:vAlign w:val="bottom"/>
          </w:tcPr>
          <w:p>
            <w:pPr>
              <w:jc w:val="right"/>
              <w:spacing w:after="0"/>
              <w:rPr>
                <w:sz w:val="20"/>
                <w:szCs w:val="20"/>
                <w:color w:val="auto"/>
              </w:rPr>
            </w:pPr>
            <w:r>
              <w:rPr>
                <w:rFonts w:ascii="Arial" w:cs="Arial" w:eastAsia="Arial" w:hAnsi="Arial"/>
                <w:sz w:val="13"/>
                <w:szCs w:val="13"/>
                <w:color w:val="auto"/>
              </w:rPr>
              <w:t>yield</w:t>
            </w:r>
            <w:r>
              <w:rPr>
                <w:rFonts w:ascii="Arial" w:cs="Arial" w:eastAsia="Arial" w:hAnsi="Arial"/>
                <w:sz w:val="8"/>
                <w:szCs w:val="8"/>
                <w:color w:val="auto"/>
              </w:rPr>
              <w:t>(4)</w:t>
            </w:r>
          </w:p>
        </w:tc>
        <w:tc>
          <w:tcPr>
            <w:tcW w:w="5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__________</w:t>
      </w:r>
    </w:p>
    <w:p>
      <w:pPr>
        <w:spacing w:after="0" w:line="15" w:lineRule="exact"/>
        <w:rPr>
          <w:sz w:val="20"/>
          <w:szCs w:val="20"/>
          <w:color w:val="auto"/>
        </w:rPr>
      </w:pPr>
    </w:p>
    <w:p>
      <w:pPr>
        <w:ind w:left="420" w:right="80" w:hanging="135"/>
        <w:spacing w:after="0" w:line="244" w:lineRule="auto"/>
        <w:tabs>
          <w:tab w:leader="none" w:pos="408" w:val="left"/>
        </w:tabs>
        <w:numPr>
          <w:ilvl w:val="0"/>
          <w:numId w:val="15"/>
        </w:numPr>
        <w:rPr>
          <w:rFonts w:ascii="Arial" w:cs="Arial" w:eastAsia="Arial" w:hAnsi="Arial"/>
          <w:sz w:val="8"/>
          <w:szCs w:val="8"/>
          <w:color w:val="auto"/>
        </w:rPr>
      </w:pPr>
      <w:r>
        <w:rPr>
          <w:rFonts w:ascii="Arial" w:cs="Arial" w:eastAsia="Arial" w:hAnsi="Arial"/>
          <w:sz w:val="13"/>
          <w:szCs w:val="13"/>
          <w:color w:val="auto"/>
        </w:rPr>
        <w:t>Includes cash and cash equivalents, restricted cash, segregated cash, cash equivalents, and securities under federal and other regulations, deposits with clearing organizations, and investments.</w:t>
      </w:r>
    </w:p>
    <w:p>
      <w:pPr>
        <w:jc w:val="both"/>
        <w:ind w:left="420" w:right="80" w:hanging="135"/>
        <w:spacing w:after="0" w:line="244" w:lineRule="auto"/>
        <w:tabs>
          <w:tab w:leader="none" w:pos="408" w:val="left"/>
        </w:tabs>
        <w:numPr>
          <w:ilvl w:val="0"/>
          <w:numId w:val="15"/>
        </w:numPr>
        <w:rPr>
          <w:rFonts w:ascii="Arial" w:cs="Arial" w:eastAsia="Arial" w:hAnsi="Arial"/>
          <w:sz w:val="8"/>
          <w:szCs w:val="8"/>
          <w:color w:val="auto"/>
        </w:rPr>
      </w:pPr>
      <w:r>
        <w:rPr>
          <w:rFonts w:ascii="Arial" w:cs="Arial" w:eastAsia="Arial" w:hAnsi="Arial"/>
          <w:sz w:val="13"/>
          <w:szCs w:val="13"/>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and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September 30, 2025, the off-balance sheet amount funded under the Program agreement was $207 million and the on-balance sheet amount was $535 million. Refer to Note 10 - Financing Activities and Off-Balance Sheet Risk to our unaudited condensed consolidated financial statements in this Quarterly Report for more information.</w:t>
      </w:r>
    </w:p>
    <w:p>
      <w:pPr>
        <w:spacing w:after="0" w:line="2" w:lineRule="exact"/>
        <w:rPr>
          <w:rFonts w:ascii="Arial" w:cs="Arial" w:eastAsia="Arial" w:hAnsi="Arial"/>
          <w:sz w:val="8"/>
          <w:szCs w:val="8"/>
          <w:color w:val="auto"/>
        </w:rPr>
      </w:pPr>
    </w:p>
    <w:p>
      <w:pPr>
        <w:ind w:left="420" w:hanging="135"/>
        <w:spacing w:after="0"/>
        <w:tabs>
          <w:tab w:leader="none" w:pos="420" w:val="left"/>
        </w:tabs>
        <w:numPr>
          <w:ilvl w:val="0"/>
          <w:numId w:val="15"/>
        </w:numPr>
        <w:rPr>
          <w:rFonts w:ascii="Arial" w:cs="Arial" w:eastAsia="Arial" w:hAnsi="Arial"/>
          <w:sz w:val="8"/>
          <w:szCs w:val="8"/>
          <w:color w:val="auto"/>
        </w:rPr>
      </w:pPr>
      <w:r>
        <w:rPr>
          <w:rFonts w:ascii="Arial" w:cs="Arial" w:eastAsia="Arial" w:hAnsi="Arial"/>
          <w:sz w:val="13"/>
          <w:szCs w:val="13"/>
          <w:color w:val="auto"/>
        </w:rPr>
        <w:t>Average balance rows represent the simple average of month-end balances in a given period.</w:t>
      </w:r>
    </w:p>
    <w:p>
      <w:pPr>
        <w:spacing w:after="0" w:line="2" w:lineRule="exact"/>
        <w:rPr>
          <w:rFonts w:ascii="Arial" w:cs="Arial" w:eastAsia="Arial" w:hAnsi="Arial"/>
          <w:sz w:val="8"/>
          <w:szCs w:val="8"/>
          <w:color w:val="auto"/>
        </w:rPr>
      </w:pPr>
    </w:p>
    <w:p>
      <w:pPr>
        <w:ind w:left="420" w:hanging="135"/>
        <w:spacing w:after="0"/>
        <w:tabs>
          <w:tab w:leader="none" w:pos="420" w:val="left"/>
        </w:tabs>
        <w:numPr>
          <w:ilvl w:val="0"/>
          <w:numId w:val="15"/>
        </w:numPr>
        <w:rPr>
          <w:rFonts w:ascii="Arial" w:cs="Arial" w:eastAsia="Arial" w:hAnsi="Arial"/>
          <w:sz w:val="8"/>
          <w:szCs w:val="8"/>
          <w:color w:val="auto"/>
        </w:rPr>
      </w:pPr>
      <w:r>
        <w:rPr>
          <w:rFonts w:ascii="Arial" w:cs="Arial" w:eastAsia="Arial" w:hAnsi="Arial"/>
          <w:sz w:val="13"/>
          <w:szCs w:val="13"/>
          <w:color w:val="auto"/>
        </w:rPr>
        <w:t>Annualized yield is calculated by annualizing revenue for the given period and dividing by the applicable average asset balance.</w:t>
      </w:r>
    </w:p>
    <w:p>
      <w:pPr>
        <w:spacing w:after="0" w:line="2" w:lineRule="exact"/>
        <w:rPr>
          <w:rFonts w:ascii="Arial" w:cs="Arial" w:eastAsia="Arial" w:hAnsi="Arial"/>
          <w:sz w:val="8"/>
          <w:szCs w:val="8"/>
          <w:color w:val="auto"/>
        </w:rPr>
      </w:pPr>
    </w:p>
    <w:p>
      <w:pPr>
        <w:jc w:val="both"/>
        <w:ind w:left="420" w:right="80" w:hanging="135"/>
        <w:spacing w:after="0" w:line="250" w:lineRule="auto"/>
        <w:tabs>
          <w:tab w:leader="none" w:pos="420" w:val="left"/>
        </w:tabs>
        <w:numPr>
          <w:ilvl w:val="0"/>
          <w:numId w:val="15"/>
        </w:numPr>
        <w:rPr>
          <w:rFonts w:ascii="Arial" w:cs="Arial" w:eastAsia="Arial" w:hAnsi="Arial"/>
          <w:sz w:val="8"/>
          <w:szCs w:val="8"/>
          <w:color w:val="auto"/>
        </w:rPr>
      </w:pPr>
      <w:r>
        <w:rPr>
          <w:rFonts w:ascii="Arial" w:cs="Arial" w:eastAsia="Arial" w:hAnsi="Arial"/>
          <w:sz w:val="13"/>
          <w:szCs w:val="13"/>
          <w:color w:val="auto"/>
        </w:rPr>
        <w:t>Includes interest expenses related to our revolving credit facilities; interest expense related to the Credit Card Funding Trust is included in the credit card, net interest yield calculation. Refer to Note 10 - Financing Activities and Off-Balance Sheet Risk to our unaudited condensed consolidated financial statements in this Quarterly Report for more information.</w:t>
      </w:r>
    </w:p>
    <w:p>
      <w:pPr>
        <w:sectPr>
          <w:pgSz w:w="11900" w:h="16840" w:orient="portrait"/>
          <w:cols w:equalWidth="0" w:num="1">
            <w:col w:w="10660"/>
          </w:cols>
          <w:pgMar w:left="660" w:top="558" w:right="5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60"/>
          </w:cols>
          <w:pgMar w:left="660" w:top="558" w:right="580" w:bottom="1440" w:gutter="0" w:footer="0" w:header="0"/>
          <w:type w:val="continuous"/>
        </w:sectPr>
      </w:pPr>
    </w:p>
    <w:bookmarkStart w:id="50" w:name="page51"/>
    <w:bookmarkEnd w:id="5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840" w:type="dxa"/>
            <w:vAlign w:val="bottom"/>
          </w:tcPr>
          <w:p>
            <w:pPr>
              <w:jc w:val="right"/>
              <w:ind w:right="68"/>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 Change</w:t>
            </w:r>
          </w:p>
        </w:tc>
        <w:tc>
          <w:tcPr>
            <w:tcW w:w="26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Arial" w:cs="Arial" w:eastAsia="Arial" w:hAnsi="Arial"/>
                <w:sz w:val="13"/>
                <w:szCs w:val="13"/>
                <w:b w:val="1"/>
                <w:bCs w:val="1"/>
                <w:color w:val="auto"/>
              </w:rPr>
              <w:t>2024</w:t>
            </w:r>
          </w:p>
        </w:tc>
        <w:tc>
          <w:tcPr>
            <w:tcW w:w="3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revenues:</w:t>
            </w: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160"/>
              <w:spacing w:after="0"/>
              <w:rPr>
                <w:sz w:val="20"/>
                <w:szCs w:val="20"/>
                <w:color w:val="auto"/>
              </w:rPr>
            </w:pPr>
            <w:r>
              <w:rPr>
                <w:rFonts w:ascii="Arial" w:cs="Arial" w:eastAsia="Arial" w:hAnsi="Arial"/>
                <w:sz w:val="15"/>
                <w:szCs w:val="15"/>
                <w:color w:val="auto"/>
              </w:rPr>
              <w:t>Robinhood Gold subscription revenues</w:t>
            </w:r>
          </w:p>
        </w:tc>
        <w:tc>
          <w:tcPr>
            <w:tcW w:w="840" w:type="dxa"/>
            <w:vAlign w:val="bottom"/>
          </w:tcPr>
          <w:p>
            <w:pPr>
              <w:jc w:val="right"/>
              <w:ind w:right="668"/>
              <w:spacing w:after="0"/>
              <w:rPr>
                <w:sz w:val="20"/>
                <w:szCs w:val="20"/>
                <w:color w:val="auto"/>
              </w:rPr>
            </w:pPr>
            <w:r>
              <w:rPr>
                <w:rFonts w:ascii="Arial" w:cs="Arial" w:eastAsia="Arial" w:hAnsi="Arial"/>
                <w:sz w:val="15"/>
                <w:szCs w:val="15"/>
                <w:color w:val="auto"/>
                <w:w w:val="95"/>
              </w:rPr>
              <w:t>$</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w w:val="83"/>
              </w:rPr>
              <w:t>28</w:t>
            </w:r>
          </w:p>
        </w:tc>
        <w:tc>
          <w:tcPr>
            <w:tcW w:w="820" w:type="dxa"/>
            <w:vAlign w:val="bottom"/>
            <w:gridSpan w:val="2"/>
          </w:tcPr>
          <w:p>
            <w:pPr>
              <w:jc w:val="right"/>
              <w:ind w:right="6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80" w:type="dxa"/>
            <w:vAlign w:val="bottom"/>
          </w:tcPr>
          <w:p>
            <w:pPr>
              <w:jc w:val="right"/>
              <w:ind w:right="24"/>
              <w:spacing w:after="0"/>
              <w:rPr>
                <w:sz w:val="20"/>
                <w:szCs w:val="20"/>
                <w:color w:val="auto"/>
              </w:rPr>
            </w:pPr>
            <w:r>
              <w:rPr>
                <w:rFonts w:ascii="Arial" w:cs="Arial" w:eastAsia="Arial" w:hAnsi="Arial"/>
                <w:sz w:val="15"/>
                <w:szCs w:val="15"/>
                <w:color w:val="auto"/>
                <w:w w:val="95"/>
              </w:rPr>
              <w:t>47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7"/>
                <w:szCs w:val="17"/>
                <w:color w:val="auto"/>
              </w:rPr>
            </w:pPr>
          </w:p>
        </w:tc>
        <w:tc>
          <w:tcPr>
            <w:tcW w:w="360" w:type="dxa"/>
            <w:vAlign w:val="bottom"/>
          </w:tcPr>
          <w:p>
            <w:pPr>
              <w:jc w:val="right"/>
              <w:ind w:right="24"/>
              <w:spacing w:after="0"/>
              <w:rPr>
                <w:sz w:val="20"/>
                <w:szCs w:val="20"/>
                <w:color w:val="auto"/>
              </w:rPr>
            </w:pPr>
            <w:r>
              <w:rPr>
                <w:rFonts w:ascii="Arial" w:cs="Arial" w:eastAsia="Arial" w:hAnsi="Arial"/>
                <w:sz w:val="15"/>
                <w:szCs w:val="15"/>
                <w:color w:val="auto"/>
              </w:rPr>
              <w:t>77</w:t>
            </w:r>
          </w:p>
        </w:tc>
        <w:tc>
          <w:tcPr>
            <w:tcW w:w="84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jc w:val="right"/>
              <w:ind w:right="24"/>
              <w:spacing w:after="0"/>
              <w:rPr>
                <w:sz w:val="20"/>
                <w:szCs w:val="20"/>
                <w:color w:val="auto"/>
              </w:rPr>
            </w:pPr>
            <w:r>
              <w:rPr>
                <w:rFonts w:ascii="Arial" w:cs="Arial" w:eastAsia="Arial" w:hAnsi="Arial"/>
                <w:sz w:val="15"/>
                <w:szCs w:val="15"/>
                <w:color w:val="auto"/>
                <w:w w:val="95"/>
              </w:rPr>
              <w:t>129</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68 %</w:t>
            </w: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Proxy revenues</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0" w:type="dxa"/>
            <w:vAlign w:val="bottom"/>
          </w:tcPr>
          <w:p>
            <w:pPr>
              <w:spacing w:after="0"/>
              <w:rPr>
                <w:sz w:val="1"/>
                <w:szCs w:val="1"/>
                <w:color w:val="auto"/>
              </w:rPr>
            </w:pPr>
          </w:p>
        </w:tc>
      </w:tr>
      <w:tr>
        <w:trPr>
          <w:trHeight w:val="199"/>
        </w:trPr>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Other</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34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325 %</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184 %</w:t>
            </w:r>
          </w:p>
        </w:tc>
        <w:tc>
          <w:tcPr>
            <w:tcW w:w="0" w:type="dxa"/>
            <w:vAlign w:val="bottom"/>
          </w:tcPr>
          <w:p>
            <w:pPr>
              <w:spacing w:after="0"/>
              <w:rPr>
                <w:sz w:val="1"/>
                <w:szCs w:val="1"/>
                <w:color w:val="auto"/>
              </w:rPr>
            </w:pPr>
          </w:p>
        </w:tc>
      </w:tr>
      <w:tr>
        <w:trPr>
          <w:trHeight w:val="251"/>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other revenues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83"/>
              </w:rPr>
              <w:t>44</w:t>
            </w:r>
          </w:p>
        </w:tc>
        <w:tc>
          <w:tcPr>
            <w:tcW w:w="82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149</w:t>
            </w:r>
          </w:p>
        </w:tc>
        <w:tc>
          <w:tcPr>
            <w:tcW w:w="84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235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0" w:type="dxa"/>
            <w:vAlign w:val="bottom"/>
          </w:tcPr>
          <w:p>
            <w:pPr>
              <w:spacing w:after="0"/>
              <w:rPr>
                <w:sz w:val="1"/>
                <w:szCs w:val="1"/>
                <w:color w:val="auto"/>
              </w:rPr>
            </w:pPr>
          </w:p>
        </w:tc>
      </w:tr>
      <w:tr>
        <w:trPr>
          <w:trHeight w:val="143"/>
        </w:trPr>
        <w:tc>
          <w:tcPr>
            <w:tcW w:w="3300" w:type="dxa"/>
            <w:vAlign w:val="bottom"/>
          </w:tcPr>
          <w:p>
            <w:pPr>
              <w:ind w:left="20"/>
              <w:spacing w:after="0" w:line="143" w:lineRule="exact"/>
              <w:rPr>
                <w:sz w:val="20"/>
                <w:szCs w:val="20"/>
                <w:color w:val="auto"/>
              </w:rPr>
            </w:pPr>
            <w:r>
              <w:rPr>
                <w:rFonts w:ascii="Arial" w:cs="Arial" w:eastAsia="Arial" w:hAnsi="Arial"/>
                <w:sz w:val="15"/>
                <w:szCs w:val="15"/>
                <w:color w:val="auto"/>
              </w:rPr>
              <w:t>Other revenues as a % of total net revenues:</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Robinhood Gold subscription 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tcPr>
          <w:p>
            <w:pPr>
              <w:ind w:left="180"/>
              <w:spacing w:after="0"/>
              <w:rPr>
                <w:sz w:val="20"/>
                <w:szCs w:val="20"/>
                <w:color w:val="auto"/>
              </w:rPr>
            </w:pPr>
            <w:r>
              <w:rPr>
                <w:rFonts w:ascii="Arial" w:cs="Arial" w:eastAsia="Arial" w:hAnsi="Arial"/>
                <w:sz w:val="15"/>
                <w:szCs w:val="15"/>
                <w:color w:val="auto"/>
              </w:rPr>
              <w:t>Proxy revenues</w:t>
            </w: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00" w:type="dxa"/>
            <w:vAlign w:val="bottom"/>
          </w:tcPr>
          <w:p>
            <w:pPr>
              <w:ind w:left="360"/>
              <w:spacing w:after="0" w:line="133" w:lineRule="exact"/>
              <w:rPr>
                <w:sz w:val="20"/>
                <w:szCs w:val="20"/>
                <w:color w:val="auto"/>
              </w:rPr>
            </w:pPr>
            <w:r>
              <w:rPr>
                <w:rFonts w:ascii="Arial" w:cs="Arial" w:eastAsia="Arial" w:hAnsi="Arial"/>
                <w:sz w:val="15"/>
                <w:szCs w:val="15"/>
                <w:color w:val="auto"/>
              </w:rPr>
              <w:t>Other revenues as a % of total net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7</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7</w:t>
            </w: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500"/>
              <w:spacing w:after="0"/>
              <w:rPr>
                <w:sz w:val="20"/>
                <w:szCs w:val="20"/>
                <w:color w:val="auto"/>
              </w:rPr>
            </w:pPr>
            <w:r>
              <w:rPr>
                <w:rFonts w:ascii="Arial" w:cs="Arial" w:eastAsia="Arial" w:hAnsi="Arial"/>
                <w:sz w:val="15"/>
                <w:szCs w:val="15"/>
                <w:color w:val="auto"/>
              </w:rPr>
              <w:t>revenues</w:t>
            </w: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5"/>
          <w:szCs w:val="15"/>
          <w:color w:val="auto"/>
        </w:rPr>
        <w:t>Other revenues increased $44 million and $86 million for the three and nine months ended September 30, 2025 primarily driven by an increase in Robinhood Gold subscription revenues of $19 million and $52 million due to an increase in Robinhood Gold Subscribers. In addition, other revenues increased $26 million and $35 million primarily driven by higher revenues from increased IPO offerings and acquisition related revenues.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2020" w:type="dxa"/>
            <w:vAlign w:val="bottom"/>
            <w:gridSpan w:val="4"/>
          </w:tcPr>
          <w:p>
            <w:pPr>
              <w:jc w:val="right"/>
              <w:ind w:right="84"/>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ind w:left="440"/>
              <w:spacing w:after="0"/>
              <w:rPr>
                <w:sz w:val="20"/>
                <w:szCs w:val="20"/>
                <w:color w:val="auto"/>
              </w:rPr>
            </w:pPr>
            <w:r>
              <w:rPr>
                <w:rFonts w:ascii="Arial" w:cs="Arial" w:eastAsia="Arial" w:hAnsi="Arial"/>
                <w:sz w:val="13"/>
                <w:szCs w:val="13"/>
                <w:b w:val="1"/>
                <w:bCs w:val="1"/>
                <w:color w:val="auto"/>
              </w:rPr>
              <w:t>Nine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3"/>
                <w:szCs w:val="13"/>
                <w:b w:val="1"/>
                <w:bCs w:val="1"/>
                <w:color w:val="auto"/>
                <w:w w:val="98"/>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7"/>
        </w:trPr>
        <w:tc>
          <w:tcPr>
            <w:tcW w:w="3160" w:type="dxa"/>
            <w:vAlign w:val="bottom"/>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 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Arial" w:cs="Arial" w:eastAsia="Arial" w:hAnsi="Arial"/>
                <w:sz w:val="13"/>
                <w:szCs w:val="13"/>
                <w:b w:val="1"/>
                <w:bCs w:val="1"/>
                <w:color w:val="auto"/>
              </w:rPr>
              <w:t>2024</w:t>
            </w: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 Change</w:t>
            </w:r>
          </w:p>
        </w:tc>
        <w:tc>
          <w:tcPr>
            <w:tcW w:w="180" w:type="dxa"/>
            <w:vAlign w:val="bottom"/>
          </w:tcPr>
          <w:p>
            <w:pPr>
              <w:spacing w:after="0"/>
              <w:rPr>
                <w:sz w:val="14"/>
                <w:szCs w:val="14"/>
                <w:color w:val="auto"/>
              </w:rPr>
            </w:pPr>
          </w:p>
        </w:tc>
      </w:tr>
      <w:tr>
        <w:trPr>
          <w:trHeight w:val="179"/>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Brokerage and transaction</w:t>
            </w:r>
          </w:p>
        </w:tc>
        <w:tc>
          <w:tcPr>
            <w:tcW w:w="760" w:type="dxa"/>
            <w:vAlign w:val="bottom"/>
          </w:tcPr>
          <w:p>
            <w:pPr>
              <w:jc w:val="right"/>
              <w:ind w:right="590"/>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ind w:right="25"/>
              <w:spacing w:after="0"/>
              <w:rPr>
                <w:sz w:val="20"/>
                <w:szCs w:val="20"/>
                <w:color w:val="auto"/>
              </w:rPr>
            </w:pPr>
            <w:r>
              <w:rPr>
                <w:rFonts w:ascii="Arial" w:cs="Arial" w:eastAsia="Arial" w:hAnsi="Arial"/>
                <w:sz w:val="15"/>
                <w:szCs w:val="15"/>
                <w:color w:val="auto"/>
              </w:rPr>
              <w:t>39</w:t>
            </w:r>
          </w:p>
        </w:tc>
        <w:tc>
          <w:tcPr>
            <w:tcW w:w="880" w:type="dxa"/>
            <w:vAlign w:val="bottom"/>
            <w:gridSpan w:val="2"/>
          </w:tcPr>
          <w:p>
            <w:pPr>
              <w:jc w:val="right"/>
              <w:ind w:right="624"/>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56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tcPr>
          <w:p>
            <w:pPr>
              <w:ind w:left="600"/>
              <w:spacing w:after="0"/>
              <w:rPr>
                <w:sz w:val="20"/>
                <w:szCs w:val="20"/>
                <w:color w:val="auto"/>
              </w:rPr>
            </w:pPr>
            <w:r>
              <w:rPr>
                <w:rFonts w:ascii="Arial" w:cs="Arial" w:eastAsia="Arial" w:hAnsi="Arial"/>
                <w:sz w:val="15"/>
                <w:szCs w:val="15"/>
                <w:color w:val="auto"/>
              </w:rPr>
              <w:t>114</w:t>
            </w:r>
          </w:p>
        </w:tc>
        <w:tc>
          <w:tcPr>
            <w:tcW w:w="900" w:type="dxa"/>
            <w:vAlign w:val="bottom"/>
            <w:gridSpan w:val="2"/>
          </w:tcPr>
          <w:p>
            <w:pPr>
              <w:jc w:val="right"/>
              <w:ind w:right="644"/>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154</w:t>
            </w:r>
          </w:p>
        </w:tc>
        <w:tc>
          <w:tcPr>
            <w:tcW w:w="960" w:type="dxa"/>
            <w:vAlign w:val="bottom"/>
            <w:gridSpan w:val="2"/>
          </w:tcPr>
          <w:p>
            <w:pPr>
              <w:jc w:val="right"/>
              <w:ind w:right="16"/>
              <w:spacing w:after="0"/>
              <w:rPr>
                <w:sz w:val="20"/>
                <w:szCs w:val="20"/>
                <w:color w:val="auto"/>
              </w:rPr>
            </w:pPr>
            <w:r>
              <w:rPr>
                <w:rFonts w:ascii="Arial" w:cs="Arial" w:eastAsia="Arial" w:hAnsi="Arial"/>
                <w:sz w:val="15"/>
                <w:szCs w:val="15"/>
                <w:color w:val="auto"/>
              </w:rPr>
              <w:t>35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Technology and development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610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665</w:t>
            </w:r>
          </w:p>
        </w:tc>
        <w:tc>
          <w:tcPr>
            <w:tcW w:w="9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Operations</w:t>
            </w:r>
          </w:p>
        </w:tc>
        <w:tc>
          <w:tcPr>
            <w:tcW w:w="760" w:type="dxa"/>
            <w:vAlign w:val="bottom"/>
          </w:tcPr>
          <w:p>
            <w:pPr>
              <w:spacing w:after="0"/>
              <w:rPr>
                <w:sz w:val="17"/>
                <w:szCs w:val="17"/>
                <w:color w:val="auto"/>
              </w:rPr>
            </w:pPr>
          </w:p>
        </w:tc>
        <w:tc>
          <w:tcPr>
            <w:tcW w:w="380" w:type="dxa"/>
            <w:vAlign w:val="bottom"/>
          </w:tcPr>
          <w:p>
            <w:pPr>
              <w:jc w:val="right"/>
              <w:ind w:right="25"/>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24"/>
              <w:spacing w:after="0"/>
              <w:rPr>
                <w:sz w:val="20"/>
                <w:szCs w:val="20"/>
                <w:color w:val="auto"/>
              </w:rPr>
            </w:pPr>
            <w:r>
              <w:rPr>
                <w:rFonts w:ascii="Arial" w:cs="Arial" w:eastAsia="Arial" w:hAnsi="Arial"/>
                <w:sz w:val="15"/>
                <w:szCs w:val="15"/>
                <w:color w:val="auto"/>
              </w:rPr>
              <w:t>33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93</w:t>
            </w:r>
          </w:p>
        </w:tc>
        <w:tc>
          <w:tcPr>
            <w:tcW w:w="960" w:type="dxa"/>
            <w:vAlign w:val="bottom"/>
            <w:gridSpan w:val="2"/>
          </w:tcPr>
          <w:p>
            <w:pPr>
              <w:jc w:val="right"/>
              <w:ind w:right="16"/>
              <w:spacing w:after="0"/>
              <w:rPr>
                <w:sz w:val="20"/>
                <w:szCs w:val="20"/>
                <w:color w:val="auto"/>
              </w:rPr>
            </w:pPr>
            <w:r>
              <w:rPr>
                <w:rFonts w:ascii="Arial" w:cs="Arial" w:eastAsia="Arial" w:hAnsi="Arial"/>
                <w:sz w:val="15"/>
                <w:szCs w:val="15"/>
                <w:color w:val="auto"/>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 for credit losses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78</w:t>
            </w:r>
          </w:p>
        </w:tc>
        <w:tc>
          <w:tcPr>
            <w:tcW w:w="9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37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760" w:type="dxa"/>
            <w:vAlign w:val="bottom"/>
          </w:tcPr>
          <w:p>
            <w:pPr>
              <w:spacing w:after="0"/>
              <w:rPr>
                <w:sz w:val="17"/>
                <w:szCs w:val="17"/>
                <w:color w:val="auto"/>
              </w:rPr>
            </w:pPr>
          </w:p>
        </w:tc>
        <w:tc>
          <w:tcPr>
            <w:tcW w:w="380" w:type="dxa"/>
            <w:vAlign w:val="bottom"/>
          </w:tcPr>
          <w:p>
            <w:pPr>
              <w:jc w:val="right"/>
              <w:ind w:right="25"/>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102</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ind w:left="600"/>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24"/>
              <w:spacing w:after="0"/>
              <w:rPr>
                <w:sz w:val="20"/>
                <w:szCs w:val="20"/>
                <w:color w:val="auto"/>
              </w:rPr>
            </w:pPr>
            <w:r>
              <w:rPr>
                <w:rFonts w:ascii="Arial" w:cs="Arial" w:eastAsia="Arial" w:hAnsi="Arial"/>
                <w:sz w:val="15"/>
                <w:szCs w:val="15"/>
                <w:color w:val="auto"/>
              </w:rPr>
              <w:t>306</w:t>
            </w:r>
          </w:p>
        </w:tc>
        <w:tc>
          <w:tcPr>
            <w:tcW w:w="960" w:type="dxa"/>
            <w:vAlign w:val="bottom"/>
            <w:gridSpan w:val="2"/>
          </w:tcPr>
          <w:p>
            <w:pPr>
              <w:jc w:val="right"/>
              <w:ind w:right="16"/>
              <w:spacing w:after="0"/>
              <w:rPr>
                <w:sz w:val="20"/>
                <w:szCs w:val="20"/>
                <w:color w:val="auto"/>
              </w:rPr>
            </w:pPr>
            <w:r>
              <w:rPr>
                <w:rFonts w:ascii="Arial" w:cs="Arial" w:eastAsia="Arial" w:hAnsi="Arial"/>
                <w:sz w:val="15"/>
                <w:szCs w:val="15"/>
                <w:color w:val="auto"/>
              </w:rPr>
              <w:t>61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color w:val="auto"/>
              </w:rPr>
              <w:t>385</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450</w:t>
            </w:r>
          </w:p>
        </w:tc>
        <w:tc>
          <w:tcPr>
            <w:tcW w:w="9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3160" w:type="dxa"/>
            <w:vAlign w:val="bottom"/>
          </w:tcPr>
          <w:p>
            <w:pPr>
              <w:ind w:left="400"/>
              <w:spacing w:after="0"/>
              <w:rPr>
                <w:sz w:val="20"/>
                <w:szCs w:val="20"/>
                <w:color w:val="auto"/>
              </w:rPr>
            </w:pPr>
            <w:r>
              <w:rPr>
                <w:rFonts w:ascii="Arial" w:cs="Arial" w:eastAsia="Arial" w:hAnsi="Arial"/>
                <w:sz w:val="15"/>
                <w:szCs w:val="15"/>
                <w:color w:val="auto"/>
              </w:rPr>
              <w:t>Total operating expenses</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486</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1,439</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1,746</w:t>
            </w:r>
          </w:p>
        </w:tc>
        <w:tc>
          <w:tcPr>
            <w:tcW w:w="960" w:type="dxa"/>
            <w:vAlign w:val="bottom"/>
            <w:gridSpan w:val="2"/>
          </w:tcPr>
          <w:p>
            <w:pPr>
              <w:jc w:val="right"/>
              <w:ind w:right="16"/>
              <w:spacing w:after="0"/>
              <w:rPr>
                <w:sz w:val="20"/>
                <w:szCs w:val="20"/>
                <w:color w:val="auto"/>
              </w:rPr>
            </w:pPr>
            <w:r>
              <w:rPr>
                <w:rFonts w:ascii="Arial" w:cs="Arial" w:eastAsia="Arial" w:hAnsi="Arial"/>
                <w:sz w:val="15"/>
                <w:szCs w:val="15"/>
                <w:color w:val="auto"/>
              </w:rPr>
              <w:t>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Percent of total net revenues:</w:t>
            </w: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Brokerage and transaction</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
              <w:spacing w:after="0"/>
              <w:rPr>
                <w:sz w:val="20"/>
                <w:szCs w:val="20"/>
                <w:color w:val="auto"/>
              </w:rPr>
            </w:pPr>
            <w:r>
              <w:rPr>
                <w:rFonts w:ascii="Arial" w:cs="Arial" w:eastAsia="Arial" w:hAnsi="Arial"/>
                <w:sz w:val="15"/>
                <w:szCs w:val="15"/>
                <w:color w:val="auto"/>
              </w:rPr>
              <w:t>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84"/>
              <w:spacing w:after="0"/>
              <w:rPr>
                <w:sz w:val="20"/>
                <w:szCs w:val="20"/>
                <w:color w:val="auto"/>
              </w:rPr>
            </w:pPr>
            <w:r>
              <w:rPr>
                <w:rFonts w:ascii="Arial" w:cs="Arial" w:eastAsia="Arial" w:hAnsi="Arial"/>
                <w:sz w:val="15"/>
                <w:szCs w:val="15"/>
                <w:color w:val="auto"/>
              </w:rPr>
              <w:t>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Technology and development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31</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21</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spacing w:after="0"/>
              <w:rPr>
                <w:sz w:val="17"/>
                <w:szCs w:val="17"/>
                <w:color w:val="auto"/>
              </w:rPr>
            </w:pP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Operations</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
              <w:spacing w:after="0"/>
              <w:rPr>
                <w:sz w:val="20"/>
                <w:szCs w:val="20"/>
                <w:color w:val="auto"/>
              </w:rPr>
            </w:pPr>
            <w:r>
              <w:rPr>
                <w:rFonts w:ascii="Arial" w:cs="Arial" w:eastAsia="Arial" w:hAnsi="Arial"/>
                <w:sz w:val="15"/>
                <w:szCs w:val="15"/>
                <w:color w:val="auto"/>
              </w:rPr>
              <w:t>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84"/>
              <w:spacing w:after="0"/>
              <w:rPr>
                <w:sz w:val="20"/>
                <w:szCs w:val="20"/>
                <w:color w:val="auto"/>
              </w:rPr>
            </w:pPr>
            <w:r>
              <w:rPr>
                <w:rFonts w:ascii="Arial" w:cs="Arial" w:eastAsia="Arial" w:hAnsi="Arial"/>
                <w:sz w:val="15"/>
                <w:szCs w:val="15"/>
                <w:color w:val="auto"/>
              </w:rPr>
              <w:t>4</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3</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Provisions for credit losses</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spacing w:after="0"/>
              <w:rPr>
                <w:sz w:val="17"/>
                <w:szCs w:val="17"/>
                <w:color w:val="auto"/>
              </w:rPr>
            </w:pPr>
          </w:p>
        </w:tc>
      </w:tr>
      <w:tr>
        <w:trPr>
          <w:trHeight w:val="199"/>
        </w:trPr>
        <w:tc>
          <w:tcPr>
            <w:tcW w:w="316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
              <w:spacing w:after="0"/>
              <w:rPr>
                <w:sz w:val="20"/>
                <w:szCs w:val="20"/>
                <w:color w:val="auto"/>
              </w:rPr>
            </w:pPr>
            <w:r>
              <w:rPr>
                <w:rFonts w:ascii="Arial" w:cs="Arial" w:eastAsia="Arial" w:hAnsi="Arial"/>
                <w:sz w:val="15"/>
                <w:szCs w:val="15"/>
                <w:color w:val="auto"/>
              </w:rPr>
              <w:t>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84"/>
              <w:spacing w:after="0"/>
              <w:rPr>
                <w:sz w:val="20"/>
                <w:szCs w:val="20"/>
                <w:color w:val="auto"/>
              </w:rPr>
            </w:pPr>
            <w:r>
              <w:rPr>
                <w:rFonts w:ascii="Arial" w:cs="Arial" w:eastAsia="Arial" w:hAnsi="Arial"/>
                <w:sz w:val="15"/>
                <w:szCs w:val="15"/>
                <w:color w:val="auto"/>
              </w:rPr>
              <w:t>10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10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7"/>
                <w:szCs w:val="17"/>
                <w:color w:val="auto"/>
              </w:rPr>
            </w:pPr>
          </w:p>
        </w:tc>
      </w:tr>
      <w:tr>
        <w:trPr>
          <w:trHeight w:val="199"/>
        </w:trPr>
        <w:tc>
          <w:tcPr>
            <w:tcW w:w="3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8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spacing w:after="0"/>
              <w:rPr>
                <w:sz w:val="17"/>
                <w:szCs w:val="17"/>
                <w:color w:val="auto"/>
              </w:rPr>
            </w:pPr>
          </w:p>
        </w:tc>
      </w:tr>
      <w:tr>
        <w:trPr>
          <w:trHeight w:val="191"/>
        </w:trPr>
        <w:tc>
          <w:tcPr>
            <w:tcW w:w="3160" w:type="dxa"/>
            <w:vAlign w:val="bottom"/>
          </w:tcPr>
          <w:p>
            <w:pPr>
              <w:ind w:left="400"/>
              <w:spacing w:after="0"/>
              <w:rPr>
                <w:sz w:val="20"/>
                <w:szCs w:val="20"/>
                <w:color w:val="auto"/>
              </w:rPr>
            </w:pPr>
            <w:r>
              <w:rPr>
                <w:rFonts w:ascii="Arial" w:cs="Arial" w:eastAsia="Arial" w:hAnsi="Arial"/>
                <w:sz w:val="15"/>
                <w:szCs w:val="15"/>
                <w:color w:val="auto"/>
              </w:rPr>
              <w:t>Total operating expenses</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76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
              <w:spacing w:after="0"/>
              <w:rPr>
                <w:sz w:val="20"/>
                <w:szCs w:val="20"/>
                <w:color w:val="auto"/>
              </w:rPr>
            </w:pPr>
            <w:r>
              <w:rPr>
                <w:rFonts w:ascii="Arial" w:cs="Arial" w:eastAsia="Arial" w:hAnsi="Arial"/>
                <w:sz w:val="15"/>
                <w:szCs w:val="15"/>
                <w:color w:val="auto"/>
              </w:rPr>
              <w:t>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84"/>
              <w:spacing w:after="0"/>
              <w:rPr>
                <w:sz w:val="20"/>
                <w:szCs w:val="20"/>
                <w:color w:val="auto"/>
              </w:rPr>
            </w:pPr>
            <w:r>
              <w:rPr>
                <w:rFonts w:ascii="Arial" w:cs="Arial" w:eastAsia="Arial" w:hAnsi="Arial"/>
                <w:sz w:val="15"/>
                <w:szCs w:val="15"/>
                <w:color w:val="auto"/>
              </w:rPr>
              <w:t>74</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4"/>
              <w:spacing w:after="0"/>
              <w:rPr>
                <w:sz w:val="20"/>
                <w:szCs w:val="20"/>
                <w:color w:val="auto"/>
              </w:rPr>
            </w:pPr>
            <w:r>
              <w:rPr>
                <w:rFonts w:ascii="Arial" w:cs="Arial" w:eastAsia="Arial" w:hAnsi="Arial"/>
                <w:sz w:val="15"/>
                <w:szCs w:val="15"/>
                <w:color w:val="auto"/>
              </w:rPr>
              <w:t>55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6"/>
                <w:szCs w:val="16"/>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1" w:name="page52"/>
    <w:bookmarkEnd w:id="5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Brokerage and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25"/>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365"/>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3"/>
        </w:trPr>
        <w:tc>
          <w:tcPr>
            <w:tcW w:w="35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Employee compensation, benefits, and overhead,</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9</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14</w:t>
            </w:r>
          </w:p>
        </w:tc>
        <w:tc>
          <w:tcPr>
            <w:tcW w:w="12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excluding SBC</w:t>
            </w:r>
          </w:p>
        </w:tc>
        <w:tc>
          <w:tcPr>
            <w:tcW w:w="2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5"/>
                <w:szCs w:val="15"/>
                <w:color w:val="auto"/>
              </w:rPr>
              <w:t>Market data expenses</w:t>
            </w:r>
          </w:p>
        </w:tc>
        <w:tc>
          <w:tcPr>
            <w:tcW w:w="26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9</w:t>
            </w:r>
          </w:p>
        </w:tc>
        <w:tc>
          <w:tcPr>
            <w:tcW w:w="1260" w:type="dxa"/>
            <w:vAlign w:val="bottom"/>
            <w:gridSpan w:val="2"/>
          </w:tcPr>
          <w:p>
            <w:pPr>
              <w:jc w:val="right"/>
              <w:ind w:right="28"/>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w:t>
            </w:r>
          </w:p>
        </w:tc>
        <w:tc>
          <w:tcPr>
            <w:tcW w:w="1280" w:type="dxa"/>
            <w:vAlign w:val="bottom"/>
            <w:gridSpan w:val="2"/>
          </w:tcPr>
          <w:p>
            <w:pPr>
              <w:jc w:val="right"/>
              <w:ind w:right="5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Instant withdrawals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w:t>
            </w:r>
          </w:p>
        </w:tc>
        <w:tc>
          <w:tcPr>
            <w:tcW w:w="126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5"/>
                <w:szCs w:val="15"/>
                <w:color w:val="auto"/>
              </w:rPr>
              <w:t>Customer statements</w:t>
            </w:r>
          </w:p>
        </w:tc>
        <w:tc>
          <w:tcPr>
            <w:tcW w:w="26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280" w:type="dxa"/>
            <w:vAlign w:val="bottom"/>
            <w:gridSpan w:val="2"/>
          </w:tcPr>
          <w:p>
            <w:pPr>
              <w:jc w:val="right"/>
              <w:ind w:right="5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SBC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18</w:t>
            </w:r>
          </w:p>
        </w:tc>
        <w:tc>
          <w:tcPr>
            <w:tcW w:w="126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5"/>
                <w:szCs w:val="15"/>
                <w:color w:val="auto"/>
              </w:rPr>
              <w:t>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c>
          <w:tcPr>
            <w:tcW w:w="128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1"/>
        </w:trPr>
        <w:tc>
          <w:tcPr>
            <w:tcW w:w="3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56</w:t>
            </w:r>
          </w:p>
        </w:tc>
        <w:tc>
          <w:tcPr>
            <w:tcW w:w="126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Brokerage and transaction costs increased by $17 million and $40 million for the three and nine months ended September 30, 2025. Brokerage and transaction costs included a $6 million and $13 million increase in other brokerage and transactions costs primarily related to credit card network and processing fees and a $5 million and $ 9 million increase in employee compensation, benefits, and overhead expenses due to increased average headcount to continue to support the growth and expansion of our business. Instant withdrawals expenses increased $4 million and $11 million as a result of higher customer activities. Additionally, market data expenses increased $2 million and $6 million primarily due to higher trading volumes.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Technology and Development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4"/>
          </w:tcPr>
          <w:p>
            <w:pPr>
              <w:jc w:val="right"/>
              <w:ind w:right="446"/>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86"/>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w w:val="96"/>
              </w:rPr>
              <w:t>2025</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Employee compensation, benefits, and overhead,</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67</w:t>
            </w: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90</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5"/>
                <w:szCs w:val="15"/>
                <w:color w:val="auto"/>
              </w:rPr>
              <w:t>216</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241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excluding SBC</w:t>
            </w:r>
          </w:p>
        </w:tc>
        <w:tc>
          <w:tcPr>
            <w:tcW w:w="2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Cloud infrastructure services</w:t>
            </w:r>
          </w:p>
        </w:tc>
        <w:tc>
          <w:tcPr>
            <w:tcW w:w="2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54</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156</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SBC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123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Software and tools</w:t>
            </w:r>
          </w:p>
        </w:tc>
        <w:tc>
          <w:tcPr>
            <w:tcW w:w="26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40</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113</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192"/>
        </w:trPr>
        <w:tc>
          <w:tcPr>
            <w:tcW w:w="3440" w:type="dxa"/>
            <w:vAlign w:val="bottom"/>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205</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237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8"/>
              <w:spacing w:after="0"/>
              <w:rPr>
                <w:sz w:val="20"/>
                <w:szCs w:val="20"/>
                <w:color w:val="auto"/>
              </w:rPr>
            </w:pPr>
            <w:r>
              <w:rPr>
                <w:rFonts w:ascii="Arial" w:cs="Arial" w:eastAsia="Arial" w:hAnsi="Arial"/>
                <w:sz w:val="15"/>
                <w:szCs w:val="15"/>
                <w:color w:val="auto"/>
              </w:rPr>
              <w:t>610</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665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Technology and development costs increased by $32 million and $55 million for the three and nine months ended September 30, 2025, primarily due to increases of $23 million and $25 million in employee compensation, benefits, and overhead expenses due to increased average headcount to support the expansion into new products. Additionally, software and tool expenses increased by $8 million and $23 million, and cloud infrastructure services increased by $5 million and $18 million primarily to support integration from acquisitions and the continued growth of our business. These increases were partially offset by decreases in SBC of $8 million and $21 million attributed to higher values for stock awards issued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right"/>
              <w:ind w:right="426"/>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366"/>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w w:val="89"/>
              </w:rPr>
              <w:t>2025</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3"/>
        </w:trPr>
        <w:tc>
          <w:tcPr>
            <w:tcW w:w="35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Employee compensation, benefits, and overhead,</w:t>
            </w: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18</w:t>
            </w: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21</w:t>
            </w:r>
          </w:p>
        </w:tc>
        <w:tc>
          <w:tcPr>
            <w:tcW w:w="12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54</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57</w:t>
            </w:r>
          </w:p>
        </w:tc>
        <w:tc>
          <w:tcPr>
            <w:tcW w:w="130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excluding SBC</w:t>
            </w: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5"/>
                <w:szCs w:val="15"/>
                <w:color w:val="auto"/>
              </w:rPr>
              <w:t>Customer experience</w:t>
            </w:r>
          </w:p>
        </w:tc>
        <w:tc>
          <w:tcPr>
            <w:tcW w:w="2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5</w:t>
            </w:r>
          </w:p>
        </w:tc>
        <w:tc>
          <w:tcPr>
            <w:tcW w:w="1260" w:type="dxa"/>
            <w:vAlign w:val="bottom"/>
            <w:gridSpan w:val="2"/>
          </w:tcPr>
          <w:p>
            <w:pPr>
              <w:jc w:val="right"/>
              <w:ind w:right="3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16</w:t>
            </w:r>
          </w:p>
        </w:tc>
        <w:tc>
          <w:tcPr>
            <w:tcW w:w="1300" w:type="dxa"/>
            <w:vAlign w:val="bottom"/>
            <w:gridSpan w:val="2"/>
          </w:tcPr>
          <w:p>
            <w:pPr>
              <w:jc w:val="right"/>
              <w:ind w:right="5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SBC</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w:t>
            </w:r>
          </w:p>
        </w:tc>
        <w:tc>
          <w:tcPr>
            <w:tcW w:w="12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5"/>
                <w:szCs w:val="15"/>
                <w:color w:val="auto"/>
              </w:rPr>
              <w:t>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1"/>
        </w:trPr>
        <w:tc>
          <w:tcPr>
            <w:tcW w:w="35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33</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40" w:firstLine="281"/>
        <w:spacing w:after="0" w:line="282" w:lineRule="auto"/>
        <w:rPr>
          <w:sz w:val="20"/>
          <w:szCs w:val="20"/>
          <w:color w:val="auto"/>
        </w:rPr>
      </w:pPr>
      <w:r>
        <w:rPr>
          <w:rFonts w:ascii="Arial" w:cs="Arial" w:eastAsia="Arial" w:hAnsi="Arial"/>
          <w:sz w:val="15"/>
          <w:szCs w:val="15"/>
          <w:color w:val="auto"/>
        </w:rPr>
        <w:t>Operations costs increased by $ 6 million and $10 million for the three and nine months ended September 30, 2025, primarily due to increases in other operations expense primarily related to costs associated with customer onboarding and account verification due to the growth of our customer base.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Provision for credit losses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4"/>
          </w:tcPr>
          <w:p>
            <w:pPr>
              <w:jc w:val="right"/>
              <w:ind w:right="447"/>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right"/>
              <w:ind w:right="447"/>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5"/>
        </w:trPr>
        <w:tc>
          <w:tcPr>
            <w:tcW w:w="3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w w:val="89"/>
              </w:rPr>
              <w:t>2025</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 Change</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 Change</w:t>
            </w:r>
          </w:p>
        </w:tc>
      </w:tr>
      <w:tr>
        <w:trPr>
          <w:trHeight w:val="191"/>
        </w:trPr>
        <w:tc>
          <w:tcPr>
            <w:tcW w:w="3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credit losses - credit card related</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17</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23</w:t>
            </w:r>
          </w:p>
        </w:tc>
        <w:tc>
          <w:tcPr>
            <w:tcW w:w="1300" w:type="dxa"/>
            <w:vAlign w:val="bottom"/>
            <w:gridSpan w:val="2"/>
            <w:shd w:val="clear" w:color="auto" w:fill="CCEEFF"/>
          </w:tcPr>
          <w:p>
            <w:pPr>
              <w:jc w:val="right"/>
              <w:ind w:right="36"/>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41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55</w:t>
            </w:r>
          </w:p>
        </w:tc>
        <w:tc>
          <w:tcPr>
            <w:tcW w:w="1280" w:type="dxa"/>
            <w:vAlign w:val="bottom"/>
            <w:gridSpan w:val="2"/>
            <w:shd w:val="clear" w:color="auto" w:fill="CCEEFF"/>
          </w:tcPr>
          <w:p>
            <w:pPr>
              <w:jc w:val="right"/>
              <w:ind w:right="56"/>
              <w:spacing w:after="0"/>
              <w:rPr>
                <w:sz w:val="20"/>
                <w:szCs w:val="20"/>
                <w:color w:val="auto"/>
              </w:rPr>
            </w:pPr>
            <w:r>
              <w:rPr>
                <w:rFonts w:ascii="Arial" w:cs="Arial" w:eastAsia="Arial" w:hAnsi="Arial"/>
                <w:sz w:val="15"/>
                <w:szCs w:val="15"/>
                <w:color w:val="auto"/>
              </w:rPr>
              <w:t>34%</w:t>
            </w:r>
          </w:p>
        </w:tc>
      </w:tr>
      <w:tr>
        <w:trPr>
          <w:trHeight w:val="19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credit losses - brokerage related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w:t>
            </w:r>
          </w:p>
        </w:tc>
        <w:tc>
          <w:tcPr>
            <w:tcW w:w="1300" w:type="dxa"/>
            <w:vAlign w:val="bottom"/>
            <w:tcBorders>
              <w:bottom w:val="single" w:sz="8" w:color="CCEEFF"/>
            </w:tcBorders>
            <w:gridSpan w:val="2"/>
          </w:tcPr>
          <w:p>
            <w:pPr>
              <w:jc w:val="right"/>
              <w:ind w:right="56"/>
              <w:spacing w:after="0"/>
              <w:rPr>
                <w:sz w:val="20"/>
                <w:szCs w:val="20"/>
                <w:color w:val="auto"/>
              </w:rPr>
            </w:pPr>
            <w:r>
              <w:rPr>
                <w:rFonts w:ascii="Arial" w:cs="Arial" w:eastAsia="Arial" w:hAnsi="Arial"/>
                <w:sz w:val="15"/>
                <w:szCs w:val="15"/>
                <w:color w:val="auto"/>
              </w:rPr>
              <w:t>(50)%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16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23</w:t>
            </w:r>
          </w:p>
        </w:tc>
        <w:tc>
          <w:tcPr>
            <w:tcW w:w="1280" w:type="dxa"/>
            <w:vAlign w:val="bottom"/>
            <w:tcBorders>
              <w:bottom w:val="single" w:sz="8" w:color="CCEEFF"/>
            </w:tcBorders>
            <w:gridSpan w:val="2"/>
          </w:tcPr>
          <w:p>
            <w:pPr>
              <w:jc w:val="right"/>
              <w:ind w:right="56"/>
              <w:spacing w:after="0"/>
              <w:rPr>
                <w:sz w:val="20"/>
                <w:szCs w:val="20"/>
                <w:color w:val="auto"/>
              </w:rPr>
            </w:pPr>
            <w:r>
              <w:rPr>
                <w:rFonts w:ascii="Arial" w:cs="Arial" w:eastAsia="Arial" w:hAnsi="Arial"/>
                <w:sz w:val="15"/>
                <w:szCs w:val="15"/>
                <w:color w:val="auto"/>
              </w:rPr>
              <w:t>44%</w:t>
            </w:r>
          </w:p>
        </w:tc>
      </w:tr>
      <w:tr>
        <w:trPr>
          <w:trHeight w:val="191"/>
        </w:trPr>
        <w:tc>
          <w:tcPr>
            <w:tcW w:w="3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26</w:t>
            </w:r>
          </w:p>
        </w:tc>
        <w:tc>
          <w:tcPr>
            <w:tcW w:w="1300" w:type="dxa"/>
            <w:vAlign w:val="bottom"/>
            <w:gridSpan w:val="2"/>
            <w:shd w:val="clear" w:color="auto" w:fill="CCEEFF"/>
          </w:tcPr>
          <w:p>
            <w:pPr>
              <w:jc w:val="right"/>
              <w:ind w:right="36"/>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57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78</w:t>
            </w:r>
          </w:p>
        </w:tc>
        <w:tc>
          <w:tcPr>
            <w:tcW w:w="1280" w:type="dxa"/>
            <w:vAlign w:val="bottom"/>
            <w:gridSpan w:val="2"/>
            <w:shd w:val="clear" w:color="auto" w:fill="CCEEFF"/>
          </w:tcPr>
          <w:p>
            <w:pPr>
              <w:jc w:val="right"/>
              <w:ind w:right="56"/>
              <w:spacing w:after="0"/>
              <w:rPr>
                <w:sz w:val="20"/>
                <w:szCs w:val="20"/>
                <w:color w:val="auto"/>
              </w:rPr>
            </w:pPr>
            <w:r>
              <w:rPr>
                <w:rFonts w:ascii="Arial" w:cs="Arial" w:eastAsia="Arial" w:hAnsi="Arial"/>
                <w:sz w:val="15"/>
                <w:szCs w:val="15"/>
                <w:color w:val="auto"/>
              </w:rPr>
              <w:t>37%</w:t>
            </w:r>
          </w:p>
        </w:tc>
      </w:tr>
    </w:tbl>
    <w:p>
      <w:pPr>
        <w:spacing w:after="0" w:line="211" w:lineRule="exact"/>
        <w:rPr>
          <w:sz w:val="20"/>
          <w:szCs w:val="20"/>
          <w:color w:val="auto"/>
        </w:rPr>
      </w:pPr>
    </w:p>
    <w:p>
      <w:pPr>
        <w:ind w:firstLine="281"/>
        <w:spacing w:after="0" w:line="282" w:lineRule="auto"/>
        <w:rPr>
          <w:sz w:val="20"/>
          <w:szCs w:val="20"/>
          <w:color w:val="auto"/>
        </w:rPr>
      </w:pPr>
      <w:r>
        <w:rPr>
          <w:rFonts w:ascii="Arial" w:cs="Arial" w:eastAsia="Arial" w:hAnsi="Arial"/>
          <w:sz w:val="15"/>
          <w:szCs w:val="15"/>
          <w:color w:val="auto"/>
        </w:rPr>
        <w:t>Provision for credit losses costs increased by $3 million and $21 million for the three and nine months ended September 30, 2025, primarily driven by an increase in credit card related provision for credit losses mainly due to higher balances in purchased credit card receivables.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385"/>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right"/>
              <w:ind w:right="405"/>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marketing</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5"/>
                <w:szCs w:val="15"/>
                <w:color w:val="auto"/>
              </w:rPr>
              <w:t>Brand marketing</w:t>
            </w:r>
          </w:p>
        </w:tc>
        <w:tc>
          <w:tcPr>
            <w:tcW w:w="2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19</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Employee compensation, benefits, and overhead,</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11</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31</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excluding SBC</w:t>
            </w: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5"/>
                <w:szCs w:val="15"/>
                <w:color w:val="auto"/>
              </w:rPr>
              <w:t>Marketing incentives</w:t>
            </w:r>
          </w:p>
        </w:tc>
        <w:tc>
          <w:tcPr>
            <w:tcW w:w="2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Creative services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5"/>
                <w:szCs w:val="15"/>
                <w:color w:val="auto"/>
              </w:rPr>
              <w:t>SBC</w:t>
            </w:r>
          </w:p>
        </w:tc>
        <w:tc>
          <w:tcPr>
            <w:tcW w:w="2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1260" w:type="dxa"/>
            <w:vAlign w:val="bottom"/>
            <w:gridSpan w:val="3"/>
          </w:tcPr>
          <w:p>
            <w:pPr>
              <w:jc w:val="right"/>
              <w:spacing w:after="0"/>
              <w:rPr>
                <w:sz w:val="20"/>
                <w:szCs w:val="20"/>
                <w:color w:val="auto"/>
              </w:rPr>
            </w:pPr>
            <w:r>
              <w:rPr>
                <w:rFonts w:ascii="Arial" w:cs="Arial" w:eastAsia="Arial" w:hAnsi="Arial"/>
                <w:sz w:val="15"/>
                <w:szCs w:val="15"/>
                <w:color w:val="auto"/>
              </w:rPr>
              <w:t>(33)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tcPr>
          <w:p>
            <w:pPr>
              <w:ind w:left="220"/>
              <w:spacing w:after="0"/>
              <w:rPr>
                <w:sz w:val="20"/>
                <w:szCs w:val="20"/>
                <w:color w:val="auto"/>
              </w:rPr>
            </w:pPr>
            <w:r>
              <w:rPr>
                <w:rFonts w:ascii="Arial" w:cs="Arial" w:eastAsia="Arial" w:hAnsi="Arial"/>
                <w:sz w:val="15"/>
                <w:szCs w:val="15"/>
                <w:color w:val="auto"/>
              </w:rPr>
              <w:t>Total</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7"/>
              <w:spacing w:after="0"/>
              <w:rPr>
                <w:sz w:val="20"/>
                <w:szCs w:val="20"/>
                <w:color w:val="auto"/>
              </w:rPr>
            </w:pPr>
            <w:r>
              <w:rPr>
                <w:rFonts w:ascii="Arial" w:cs="Arial" w:eastAsia="Arial" w:hAnsi="Arial"/>
                <w:sz w:val="15"/>
                <w:szCs w:val="15"/>
                <w:color w:val="auto"/>
              </w:rPr>
              <w:t>59</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102</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73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190</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60" w:firstLine="281"/>
        <w:spacing w:after="0" w:line="263" w:lineRule="auto"/>
        <w:rPr>
          <w:sz w:val="20"/>
          <w:szCs w:val="20"/>
          <w:color w:val="auto"/>
        </w:rPr>
      </w:pPr>
      <w:r>
        <w:rPr>
          <w:rFonts w:ascii="Arial" w:cs="Arial" w:eastAsia="Arial" w:hAnsi="Arial"/>
          <w:sz w:val="15"/>
          <w:szCs w:val="15"/>
          <w:color w:val="auto"/>
        </w:rPr>
        <w:t>Marketing costs increased by $43 million and $116 million for the three and nine months ended September 30, 2025 primarily due to higher expenses in digital marketing of $16 million and $51 million and brand marketing of $14 million and $ 32 million, as we increased our investments in paid marketing channels and other marketing initiatives to promote our brand, products, and services. Other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20"/>
          </w:cols>
          <w:pgMar w:left="660" w:top="558" w:right="620" w:bottom="1440" w:gutter="0" w:footer="0" w:header="0"/>
        </w:sectPr>
      </w:pPr>
    </w:p>
    <w:bookmarkStart w:id="53" w:name="page54"/>
    <w:bookmarkEnd w:id="5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costs increased $9 million and $19 million primarily due to expenses related to our Robinhood Gold card and keynote events.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4"/>
          </w:tcPr>
          <w:p>
            <w:pPr>
              <w:jc w:val="right"/>
              <w:ind w:right="365"/>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4"/>
          </w:tcPr>
          <w:p>
            <w:pPr>
              <w:jc w:val="right"/>
              <w:ind w:right="465"/>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w w:val="89"/>
              </w:rPr>
              <w:t>2025</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 Change</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Employee compensation, benefits, and overhead,</w:t>
            </w: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57</w:t>
            </w: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83</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excluding SBC</w:t>
            </w:r>
          </w:p>
        </w:tc>
        <w:tc>
          <w:tcPr>
            <w:tcW w:w="2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20"/>
              <w:spacing w:after="0"/>
              <w:rPr>
                <w:sz w:val="20"/>
                <w:szCs w:val="20"/>
                <w:color w:val="auto"/>
              </w:rPr>
            </w:pPr>
            <w:r>
              <w:rPr>
                <w:rFonts w:ascii="Arial" w:cs="Arial" w:eastAsia="Arial" w:hAnsi="Arial"/>
                <w:sz w:val="15"/>
                <w:szCs w:val="15"/>
                <w:color w:val="auto"/>
              </w:rPr>
              <w:t>SBC</w:t>
            </w:r>
          </w:p>
        </w:tc>
        <w:tc>
          <w:tcPr>
            <w:tcW w:w="2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33</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32 %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89</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37 %</w:t>
            </w: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Legal expenses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199"/>
        </w:trPr>
        <w:tc>
          <w:tcPr>
            <w:tcW w:w="3480" w:type="dxa"/>
            <w:vAlign w:val="bottom"/>
          </w:tcPr>
          <w:p>
            <w:pPr>
              <w:ind w:left="20"/>
              <w:spacing w:after="0"/>
              <w:rPr>
                <w:sz w:val="20"/>
                <w:szCs w:val="20"/>
                <w:color w:val="auto"/>
              </w:rPr>
            </w:pPr>
            <w:r>
              <w:rPr>
                <w:rFonts w:ascii="Arial" w:cs="Arial" w:eastAsia="Arial" w:hAnsi="Arial"/>
                <w:sz w:val="15"/>
                <w:szCs w:val="15"/>
                <w:color w:val="auto"/>
              </w:rPr>
              <w:t>Other professional fees</w:t>
            </w:r>
          </w:p>
        </w:tc>
        <w:tc>
          <w:tcPr>
            <w:tcW w:w="2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Settlements and penalties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General and administrative costs increased by $52 million and $65 million for the three and nine months ended September 30, 2025 primarily due to increases of $26 million and $34 million in employee compensation, benefits, and overhead expenses driven by payroll taxes related to the vesting of Market -Based RSUs and increased average headcount. SBC expenses increased $8 million and $ 24 million primarily driven by expenses recognized for shares granted in connection with acquisitions. SBC expense for the nine months ended September 30, 2024 included an $11 million reversal of previously recognized expenses as a result of the resignation of our co-founder and former Chief Creative Officer. Other general and administrative expenses increased $13 million and $16 million primarily driven by expenses to support business expansion. Additionally, legal expenses increased $12 million for the three months ended September 30, 2025 in relation to new product offerings. These increases were partially offset by decreases of $12 million and $14 million in settlement and penalties associated with certain historical matters.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 for Income Taxes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960" w:type="dxa"/>
            <w:vAlign w:val="bottom"/>
            <w:gridSpan w:val="4"/>
          </w:tcPr>
          <w:p>
            <w:pPr>
              <w:jc w:val="center"/>
              <w:ind w:left="252"/>
              <w:spacing w:after="0"/>
              <w:rPr>
                <w:sz w:val="20"/>
                <w:szCs w:val="20"/>
                <w:color w:val="auto"/>
              </w:rPr>
            </w:pPr>
            <w:r>
              <w:rPr>
                <w:rFonts w:ascii="Arial" w:cs="Arial" w:eastAsia="Arial" w:hAnsi="Arial"/>
                <w:sz w:val="13"/>
                <w:szCs w:val="13"/>
                <w:b w:val="1"/>
                <w:bCs w:val="1"/>
                <w:color w:val="auto"/>
                <w:w w:val="99"/>
              </w:rPr>
              <w:t>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left="316"/>
              <w:spacing w:after="0"/>
              <w:rPr>
                <w:sz w:val="20"/>
                <w:szCs w:val="20"/>
                <w:color w:val="auto"/>
              </w:rPr>
            </w:pPr>
            <w:r>
              <w:rPr>
                <w:rFonts w:ascii="Arial" w:cs="Arial" w:eastAsia="Arial" w:hAnsi="Arial"/>
                <w:sz w:val="13"/>
                <w:szCs w:val="13"/>
                <w:b w:val="1"/>
                <w:bCs w:val="1"/>
                <w:color w:val="auto"/>
                <w:w w:val="98"/>
              </w:rPr>
              <w:t>Nine Months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5"/>
        </w:trPr>
        <w:tc>
          <w:tcPr>
            <w:tcW w:w="30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3"/>
                <w:szCs w:val="13"/>
                <w:b w:val="1"/>
                <w:bCs w:val="1"/>
                <w:color w:val="auto"/>
                <w:w w:val="98"/>
              </w:rPr>
              <w:t>September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3"/>
                <w:szCs w:val="13"/>
                <w:b w:val="1"/>
                <w:bCs w:val="1"/>
                <w:color w:val="auto"/>
                <w:w w:val="98"/>
              </w:rPr>
              <w:t>September 30,</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7"/>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 Change</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 Change</w:t>
            </w: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700" w:type="dxa"/>
            <w:vAlign w:val="bottom"/>
            <w:shd w:val="clear" w:color="auto" w:fill="CCEEFF"/>
          </w:tcPr>
          <w:p>
            <w:pPr>
              <w:jc w:val="right"/>
              <w:ind w:right="55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536"/>
              <w:spacing w:after="0"/>
              <w:rPr>
                <w:sz w:val="20"/>
                <w:szCs w:val="20"/>
                <w:color w:val="auto"/>
              </w:rPr>
            </w:pPr>
            <w:r>
              <w:rPr>
                <w:rFonts w:ascii="Arial" w:cs="Arial" w:eastAsia="Arial" w:hAnsi="Arial"/>
                <w:sz w:val="15"/>
                <w:szCs w:val="15"/>
                <w:color w:val="auto"/>
              </w:rPr>
              <w:t>NM  $</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40" w:type="dxa"/>
            <w:vAlign w:val="bottom"/>
            <w:gridSpan w:val="2"/>
            <w:shd w:val="clear" w:color="auto" w:fill="CCEEFF"/>
          </w:tcPr>
          <w:p>
            <w:pPr>
              <w:jc w:val="right"/>
              <w:ind w:right="596"/>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5"/>
                <w:szCs w:val="15"/>
                <w:color w:val="auto"/>
                <w:w w:val="94"/>
              </w:rPr>
              <w:t>NM</w:t>
            </w:r>
          </w:p>
        </w:tc>
      </w:tr>
    </w:tbl>
    <w:p>
      <w:pPr>
        <w:spacing w:after="0" w:line="211"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Provision for income taxes increased by $75 million and $158 million for the three and nine months ended September 30, 2025 primarily due the valuation allowance release of the U.S. federal and certain state deferred tax assets in the fourth quarter of 2024 and the growth of the business.</w:t>
      </w:r>
    </w:p>
    <w:p>
      <w:pPr>
        <w:spacing w:after="0" w:line="87"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On July 4, 2025, the President of the United States signed into law the One Big Beautiful Bill Act (“ OBBBA”). The OBBBA introduces broad changes to the U.S. tax code, including permitting the immediate deduction of domestic research and experimentation expenditures, allowing full expensing of acquired qualified property, and increasing the U.S. tax rate on intangible income derived from foreign sources. We believe the recent tax legislation changes provided under the OBBBA do not materially impact our income tax provision.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Sources and Uses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4" w:name="page55"/>
    <w:bookmarkEnd w:id="5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50" w:lineRule="auto"/>
        <w:rPr>
          <w:sz w:val="20"/>
          <w:szCs w:val="20"/>
          <w:color w:val="auto"/>
        </w:rPr>
      </w:pPr>
      <w:r>
        <w:rPr>
          <w:rFonts w:ascii="Arial" w:cs="Arial" w:eastAsia="Arial" w:hAnsi="Arial"/>
          <w:sz w:val="15"/>
          <w:szCs w:val="15"/>
          <w:color w:val="auto"/>
        </w:rPr>
        <w:t>Our principal sources of liquidity are cash flows generated from operations and our cash, cash equivalents, and investments.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Depository Trust Company (“DTC”), the NSCC, the Options Clearing Corporation (“OCC”), and the Commodity Futures Trading Commission (“CFTC”)). Based on our current level of operations, we believe our primary sources of liquidity will be adequate to meet our current liquidity needs for the next 12 months.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 Assets</w:t>
      </w:r>
    </w:p>
    <w:p>
      <w:pPr>
        <w:spacing w:after="0" w:line="156"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As of September 30, 2025, we had cash and cash equivalents of $4.33 billion and held-to-maturity investments of $53 million. Refer to Note 7 - Investments and Fair Value Measurement, to our unaudited condensed consolidated financial statements in this Quarterly Report for further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Revolving Credit Facilities and Credit Card Funding Trust</w:t>
      </w:r>
    </w:p>
    <w:p>
      <w:pPr>
        <w:spacing w:after="0" w:line="156"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As of September 30, 2025, we had committed revolving credit facilities with a total borrowing capacity of up to $3.775 billion and a borrowing capacity for our Credit Card Funding Trust of up to $650 million. Refer to Note 10 - Financing Activities and Off-Balance Sheet Risk to our unaudited condensed consolidated financial statements in this Quarterly Report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Commitments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short- and long-term material cash requirements for contractual obligations as of September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Remainder of</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60" w:type="dxa"/>
            <w:vAlign w:val="bottom"/>
            <w:tcBorders>
              <w:bottom w:val="single" w:sz="8" w:color="CCEEFF"/>
            </w:tcBorders>
          </w:tcPr>
          <w:p>
            <w:pPr>
              <w:ind w:left="300"/>
              <w:spacing w:after="0"/>
              <w:rPr>
                <w:sz w:val="20"/>
                <w:szCs w:val="20"/>
                <w:color w:val="auto"/>
              </w:rPr>
            </w:pPr>
            <w:r>
              <w:rPr>
                <w:rFonts w:ascii="Arial" w:cs="Arial" w:eastAsia="Arial" w:hAnsi="Arial"/>
                <w:sz w:val="13"/>
                <w:szCs w:val="13"/>
                <w:i w:val="1"/>
                <w:iCs w:val="1"/>
                <w:color w:val="auto"/>
              </w:rPr>
              <w:t>(in millions)</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2026-2027</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2028-2029</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Thereafter</w:t>
            </w:r>
          </w:p>
        </w:tc>
        <w:tc>
          <w:tcPr>
            <w:tcW w:w="0" w:type="dxa"/>
            <w:vAlign w:val="bottom"/>
          </w:tcPr>
          <w:p>
            <w:pPr>
              <w:spacing w:after="0"/>
              <w:rPr>
                <w:sz w:val="1"/>
                <w:szCs w:val="1"/>
                <w:color w:val="auto"/>
              </w:rPr>
            </w:pPr>
          </w:p>
        </w:tc>
      </w:tr>
      <w:tr>
        <w:trPr>
          <w:trHeight w:val="278"/>
        </w:trPr>
        <w:tc>
          <w:tcPr>
            <w:tcW w:w="3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lease commitments</w:t>
            </w:r>
            <w:r>
              <w:rPr>
                <w:rFonts w:ascii="Arial" w:cs="Arial" w:eastAsia="Arial" w:hAnsi="Arial"/>
                <w:sz w:val="21"/>
                <w:szCs w:val="21"/>
                <w:color w:val="auto"/>
                <w:vertAlign w:val="superscript"/>
              </w:rPr>
              <w:t>(1)</w:t>
            </w:r>
          </w:p>
        </w:tc>
        <w:tc>
          <w:tcPr>
            <w:tcW w:w="5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174</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53</w:t>
            </w: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81"/>
        </w:trPr>
        <w:tc>
          <w:tcPr>
            <w:tcW w:w="3860" w:type="dxa"/>
            <w:vAlign w:val="bottom"/>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500" w:type="dxa"/>
            <w:vAlign w:val="bottom"/>
            <w:gridSpan w:val="2"/>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520" w:type="dxa"/>
            <w:vAlign w:val="bottom"/>
            <w:gridSpan w:val="2"/>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500" w:type="dxa"/>
            <w:vAlign w:val="bottom"/>
            <w:gridSpan w:val="2"/>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300"/>
              <w:spacing w:after="0" w:line="223" w:lineRule="exact"/>
              <w:rPr>
                <w:sz w:val="20"/>
                <w:szCs w:val="20"/>
                <w:color w:val="auto"/>
              </w:rPr>
            </w:pPr>
            <w:r>
              <w:rPr>
                <w:rFonts w:ascii="Arial" w:cs="Arial" w:eastAsia="Arial" w:hAnsi="Arial"/>
                <w:sz w:val="15"/>
                <w:szCs w:val="15"/>
                <w:color w:val="auto"/>
              </w:rPr>
              <w:t>Purchase commitments</w:t>
            </w:r>
            <w:r>
              <w:rPr>
                <w:rFonts w:ascii="Arial" w:cs="Arial" w:eastAsia="Arial" w:hAnsi="Arial"/>
                <w:sz w:val="21"/>
                <w:szCs w:val="21"/>
                <w:color w:val="auto"/>
                <w:vertAlign w:val="superscript"/>
              </w:rPr>
              <w:t>(2)</w:t>
            </w:r>
          </w:p>
        </w:tc>
        <w:tc>
          <w:tcPr>
            <w:tcW w:w="500" w:type="dxa"/>
            <w:vAlign w:val="bottom"/>
          </w:tcPr>
          <w:p>
            <w:pPr>
              <w:spacing w:after="0"/>
              <w:rPr>
                <w:sz w:val="19"/>
                <w:szCs w:val="19"/>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611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300"/>
              <w:spacing w:after="0" w:line="223" w:lineRule="exact"/>
              <w:rPr>
                <w:sz w:val="20"/>
                <w:szCs w:val="20"/>
                <w:color w:val="auto"/>
              </w:rPr>
            </w:pPr>
            <w:r>
              <w:rPr>
                <w:rFonts w:ascii="Arial" w:cs="Arial" w:eastAsia="Arial" w:hAnsi="Arial"/>
                <w:sz w:val="15"/>
                <w:szCs w:val="15"/>
                <w:color w:val="auto"/>
              </w:rPr>
              <w:t>Robinhood match incentives commitments</w:t>
            </w:r>
            <w:r>
              <w:rPr>
                <w:rFonts w:ascii="Arial" w:cs="Arial" w:eastAsia="Arial" w:hAnsi="Arial"/>
                <w:sz w:val="21"/>
                <w:szCs w:val="21"/>
                <w:color w:val="auto"/>
                <w:vertAlign w:val="superscript"/>
              </w:rPr>
              <w:t>(3)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860" w:type="dxa"/>
            <w:vAlign w:val="bottom"/>
          </w:tcPr>
          <w:p>
            <w:pPr>
              <w:ind w:left="20"/>
              <w:spacing w:after="0" w:line="153" w:lineRule="exact"/>
              <w:rPr>
                <w:sz w:val="20"/>
                <w:szCs w:val="20"/>
                <w:color w:val="auto"/>
              </w:rPr>
            </w:pPr>
            <w:r>
              <w:rPr>
                <w:rFonts w:ascii="Arial" w:cs="Arial" w:eastAsia="Arial" w:hAnsi="Arial"/>
                <w:sz w:val="15"/>
                <w:szCs w:val="15"/>
                <w:color w:val="auto"/>
              </w:rPr>
              <w:t>Credit Card Funding Trust borrowing principal and</w:t>
            </w:r>
          </w:p>
        </w:tc>
        <w:tc>
          <w:tcPr>
            <w:tcW w:w="500" w:type="dxa"/>
            <w:vAlign w:val="bottom"/>
          </w:tcPr>
          <w:p>
            <w:pPr>
              <w:spacing w:after="0"/>
              <w:rPr>
                <w:sz w:val="13"/>
                <w:szCs w:val="13"/>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378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378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3"/>
            <w:vMerge w:val="restart"/>
          </w:tcPr>
          <w:p>
            <w:pPr>
              <w:jc w:val="right"/>
              <w:ind w:right="3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vMerge w:val="restart"/>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5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220" w:hanging="146"/>
        <w:spacing w:after="0"/>
        <w:tabs>
          <w:tab w:leader="none" w:pos="220" w:val="left"/>
        </w:tabs>
        <w:numPr>
          <w:ilvl w:val="0"/>
          <w:numId w:val="16"/>
        </w:numPr>
        <w:rPr>
          <w:rFonts w:ascii="Arial" w:cs="Arial" w:eastAsia="Arial" w:hAnsi="Arial"/>
          <w:sz w:val="8"/>
          <w:szCs w:val="8"/>
          <w:color w:val="auto"/>
        </w:rPr>
      </w:pPr>
      <w:r>
        <w:rPr>
          <w:rFonts w:ascii="Arial" w:cs="Arial" w:eastAsia="Arial" w:hAnsi="Arial"/>
          <w:sz w:val="13"/>
          <w:szCs w:val="13"/>
          <w:color w:val="auto"/>
        </w:rPr>
        <w:t>Operating lease commitments include tenant improvement allowance incentives amortized over the lease terms from 2025 to 2026.</w:t>
      </w:r>
    </w:p>
    <w:p>
      <w:pPr>
        <w:spacing w:after="0" w:line="143" w:lineRule="exact"/>
        <w:rPr>
          <w:rFonts w:ascii="Arial" w:cs="Arial" w:eastAsia="Arial" w:hAnsi="Arial"/>
          <w:sz w:val="8"/>
          <w:szCs w:val="8"/>
          <w:color w:val="auto"/>
        </w:rPr>
      </w:pPr>
    </w:p>
    <w:p>
      <w:pPr>
        <w:ind w:left="220" w:hanging="146"/>
        <w:spacing w:after="0" w:line="275" w:lineRule="auto"/>
        <w:tabs>
          <w:tab w:leader="none" w:pos="256" w:val="left"/>
        </w:tabs>
        <w:numPr>
          <w:ilvl w:val="0"/>
          <w:numId w:val="16"/>
        </w:numPr>
        <w:rPr>
          <w:rFonts w:ascii="Arial" w:cs="Arial" w:eastAsia="Arial" w:hAnsi="Arial"/>
          <w:sz w:val="8"/>
          <w:szCs w:val="8"/>
          <w:color w:val="auto"/>
        </w:rPr>
      </w:pPr>
      <w:r>
        <w:rPr>
          <w:rFonts w:ascii="Arial" w:cs="Arial" w:eastAsia="Arial" w:hAnsi="Arial"/>
          <w:sz w:val="13"/>
          <w:szCs w:val="13"/>
          <w:color w:val="auto"/>
        </w:rPr>
        <w:t>Purchase commitments are determined based on the non-cancelable quantities or termination amounts to which we are contractually obligated. These primarily relate to commitments for cloud infrastructure, data services and business insurance.</w:t>
      </w:r>
    </w:p>
    <w:p>
      <w:pPr>
        <w:spacing w:after="0" w:line="114" w:lineRule="exact"/>
        <w:rPr>
          <w:rFonts w:ascii="Arial" w:cs="Arial" w:eastAsia="Arial" w:hAnsi="Arial"/>
          <w:sz w:val="8"/>
          <w:szCs w:val="8"/>
          <w:color w:val="auto"/>
        </w:rPr>
      </w:pPr>
    </w:p>
    <w:p>
      <w:pPr>
        <w:ind w:left="220" w:hanging="146"/>
        <w:spacing w:after="0" w:line="275" w:lineRule="auto"/>
        <w:tabs>
          <w:tab w:leader="none" w:pos="241" w:val="left"/>
        </w:tabs>
        <w:numPr>
          <w:ilvl w:val="0"/>
          <w:numId w:val="16"/>
        </w:numPr>
        <w:rPr>
          <w:rFonts w:ascii="Arial" w:cs="Arial" w:eastAsia="Arial" w:hAnsi="Arial"/>
          <w:sz w:val="8"/>
          <w:szCs w:val="8"/>
          <w:color w:val="auto"/>
        </w:rPr>
      </w:pPr>
      <w:r>
        <w:rPr>
          <w:rFonts w:ascii="Arial" w:cs="Arial" w:eastAsia="Arial" w:hAnsi="Arial"/>
          <w:sz w:val="13"/>
          <w:szCs w:val="13"/>
          <w:color w:val="auto"/>
        </w:rPr>
        <w:t>Robinhood match incentives commitments represent non-cancelable future match payments on eligible cash deposits made by Robinhood Gold Subscribers. The future match payments are forfeited if deposits are not held on the platform during the specific earning period.</w:t>
      </w:r>
    </w:p>
    <w:p>
      <w:pPr>
        <w:spacing w:after="0" w:line="115" w:lineRule="exact"/>
        <w:rPr>
          <w:sz w:val="20"/>
          <w:szCs w:val="20"/>
          <w:color w:val="auto"/>
        </w:rPr>
      </w:pPr>
    </w:p>
    <w:p>
      <w:pPr>
        <w:ind w:right="20" w:firstLine="281"/>
        <w:spacing w:after="0" w:line="282" w:lineRule="auto"/>
        <w:rPr>
          <w:sz w:val="20"/>
          <w:szCs w:val="20"/>
          <w:color w:val="auto"/>
        </w:rPr>
      </w:pPr>
      <w:r>
        <w:rPr>
          <w:rFonts w:ascii="Arial" w:cs="Arial" w:eastAsia="Arial" w:hAnsi="Arial"/>
          <w:sz w:val="15"/>
          <w:szCs w:val="15"/>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5" w:name="page56"/>
    <w:bookmarkEnd w:id="5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Regulatory Capital Requirements</w:t>
      </w:r>
    </w:p>
    <w:p>
      <w:pPr>
        <w:spacing w:after="0" w:line="190"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5"/>
          <w:szCs w:val="15"/>
          <w:color w:val="auto"/>
        </w:rPr>
        <w:t>Our broker-dealer subsidiaries (RHS, RHF, and TradePMR) are subject to Rule 15c3-1 (the “SEC Uniform Net Capital Rule”) under the Exchange Act,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w:t>
      </w:r>
    </w:p>
    <w:p>
      <w:pPr>
        <w:spacing w:after="0" w:line="332"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5"/>
          <w:szCs w:val="15"/>
          <w:color w:val="auto"/>
        </w:rPr>
        <w:t>Our Futures Commission Merchant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summarizes the net capital, capital requirements, and excess net capital of RHS, RHF, RHD, and TradePMR as of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8"/>
              </w:rPr>
              <w:t>Net Capital in Excess</w:t>
            </w:r>
          </w:p>
        </w:tc>
        <w:tc>
          <w:tcPr>
            <w:tcW w:w="0" w:type="dxa"/>
            <w:vAlign w:val="bottom"/>
          </w:tcPr>
          <w:p>
            <w:pPr>
              <w:spacing w:after="0"/>
              <w:rPr>
                <w:sz w:val="1"/>
                <w:szCs w:val="1"/>
                <w:color w:val="auto"/>
              </w:rPr>
            </w:pPr>
          </w:p>
        </w:tc>
      </w:tr>
      <w:tr>
        <w:trPr>
          <w:trHeight w:val="129"/>
        </w:trPr>
        <w:tc>
          <w:tcPr>
            <w:tcW w:w="6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w:t>
            </w:r>
          </w:p>
        </w:tc>
        <w:tc>
          <w:tcPr>
            <w:tcW w:w="220" w:type="dxa"/>
            <w:vAlign w:val="bottom"/>
          </w:tcPr>
          <w:p>
            <w:pPr>
              <w:spacing w:after="0"/>
              <w:rPr>
                <w:sz w:val="11"/>
                <w:szCs w:val="11"/>
                <w:color w:val="auto"/>
              </w:rPr>
            </w:pPr>
          </w:p>
        </w:tc>
        <w:tc>
          <w:tcPr>
            <w:tcW w:w="1200" w:type="dxa"/>
            <w:vAlign w:val="bottom"/>
            <w:vMerge w:val="restart"/>
          </w:tcPr>
          <w:p>
            <w:pPr>
              <w:jc w:val="right"/>
              <w:ind w:right="306"/>
              <w:spacing w:after="0"/>
              <w:rPr>
                <w:sz w:val="20"/>
                <w:szCs w:val="20"/>
                <w:color w:val="auto"/>
              </w:rPr>
            </w:pPr>
            <w:r>
              <w:rPr>
                <w:rFonts w:ascii="Arial" w:cs="Arial" w:eastAsia="Arial" w:hAnsi="Arial"/>
                <w:sz w:val="13"/>
                <w:szCs w:val="13"/>
                <w:b w:val="1"/>
                <w:bCs w:val="1"/>
                <w:color w:val="auto"/>
              </w:rPr>
              <w:t>Net 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w w:val="96"/>
              </w:rPr>
              <w:t>Required Net Capital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108"/>
              <w:spacing w:after="0" w:line="129" w:lineRule="exact"/>
              <w:rPr>
                <w:sz w:val="20"/>
                <w:szCs w:val="20"/>
                <w:color w:val="auto"/>
              </w:rPr>
            </w:pPr>
            <w:r>
              <w:rPr>
                <w:rFonts w:ascii="Arial" w:cs="Arial" w:eastAsia="Arial" w:hAnsi="Arial"/>
                <w:sz w:val="13"/>
                <w:szCs w:val="13"/>
                <w:b w:val="1"/>
                <w:bCs w:val="1"/>
                <w:color w:val="auto"/>
                <w:w w:val="97"/>
              </w:rPr>
              <w:t>of Required Net</w:t>
            </w:r>
          </w:p>
        </w:tc>
        <w:tc>
          <w:tcPr>
            <w:tcW w:w="0" w:type="dxa"/>
            <w:vAlign w:val="bottom"/>
          </w:tcPr>
          <w:p>
            <w:pPr>
              <w:spacing w:after="0"/>
              <w:rPr>
                <w:sz w:val="1"/>
                <w:szCs w:val="1"/>
                <w:color w:val="auto"/>
              </w:rPr>
            </w:pPr>
          </w:p>
        </w:tc>
      </w:tr>
      <w:tr>
        <w:trPr>
          <w:trHeight w:val="175"/>
        </w:trPr>
        <w:tc>
          <w:tcPr>
            <w:tcW w:w="6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6"/>
              </w:rPr>
              <w:t>Capital</w:t>
            </w:r>
          </w:p>
        </w:tc>
        <w:tc>
          <w:tcPr>
            <w:tcW w:w="0" w:type="dxa"/>
            <w:vAlign w:val="bottom"/>
          </w:tcPr>
          <w:p>
            <w:pPr>
              <w:spacing w:after="0"/>
              <w:rPr>
                <w:sz w:val="1"/>
                <w:szCs w:val="1"/>
                <w:color w:val="auto"/>
              </w:rPr>
            </w:pPr>
          </w:p>
        </w:tc>
      </w:tr>
      <w:tr>
        <w:trPr>
          <w:trHeight w:val="191"/>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RHS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2,912</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5"/>
                <w:szCs w:val="15"/>
                <w:color w:val="auto"/>
              </w:rPr>
              <w:t>RHF</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RHD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0"/>
        </w:trPr>
        <w:tc>
          <w:tcPr>
            <w:tcW w:w="6080" w:type="dxa"/>
            <w:vAlign w:val="bottom"/>
          </w:tcPr>
          <w:p>
            <w:pPr>
              <w:ind w:left="20"/>
              <w:spacing w:after="0"/>
              <w:rPr>
                <w:sz w:val="20"/>
                <w:szCs w:val="20"/>
                <w:color w:val="auto"/>
              </w:rPr>
            </w:pPr>
            <w:r>
              <w:rPr>
                <w:rFonts w:ascii="Arial" w:cs="Arial" w:eastAsia="Arial" w:hAnsi="Arial"/>
                <w:sz w:val="15"/>
                <w:szCs w:val="15"/>
                <w:color w:val="auto"/>
              </w:rPr>
              <w:t>TradePMR</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September 30, 2025, these subsidiaries were in compliance with their respective regulatory capital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cash flow activities:</w:t>
      </w:r>
    </w:p>
    <w:p>
      <w:pPr>
        <w:spacing w:after="0" w:line="182"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auto"/>
        </w:rPr>
        <w:t>Nine Months Ended</w:t>
      </w:r>
    </w:p>
    <w:tbl>
      <w:tblPr>
        <w:tblLayout w:type="fixed"/>
        <w:tblInd w:w="0" w:type="dxa"/>
        <w:tblCellMar>
          <w:top w:w="0" w:type="dxa"/>
          <w:left w:w="0" w:type="dxa"/>
          <w:bottom w:w="0" w:type="dxa"/>
          <w:right w:w="0" w:type="dxa"/>
        </w:tblCellMar>
      </w:tblPr>
      <w:tr>
        <w:trPr>
          <w:trHeight w:val="163"/>
        </w:trPr>
        <w:tc>
          <w:tcPr>
            <w:tcW w:w="7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4"/>
                <w:szCs w:val="14"/>
                <w:color w:val="auto"/>
              </w:rPr>
            </w:pPr>
          </w:p>
        </w:tc>
      </w:tr>
      <w:tr>
        <w:trPr>
          <w:trHeight w:val="16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2025</w:t>
            </w:r>
          </w:p>
        </w:tc>
      </w:tr>
      <w:tr>
        <w:trPr>
          <w:trHeight w:val="179"/>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(used in):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9"/>
        </w:trPr>
        <w:tc>
          <w:tcPr>
            <w:tcW w:w="7840" w:type="dxa"/>
            <w:vAlign w:val="bottom"/>
          </w:tcPr>
          <w:p>
            <w:pPr>
              <w:ind w:left="200"/>
              <w:spacing w:after="0"/>
              <w:rPr>
                <w:sz w:val="20"/>
                <w:szCs w:val="20"/>
                <w:color w:val="auto"/>
              </w:rPr>
            </w:pPr>
            <w:r>
              <w:rPr>
                <w:rFonts w:ascii="Arial" w:cs="Arial" w:eastAsia="Arial" w:hAnsi="Arial"/>
                <w:sz w:val="15"/>
                <w:szCs w:val="15"/>
                <w:color w:val="auto"/>
              </w:rPr>
              <w:t>Operating activities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1,243</w:t>
            </w:r>
          </w:p>
        </w:tc>
        <w:tc>
          <w:tcPr>
            <w:tcW w:w="5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2,575</w:t>
            </w:r>
          </w:p>
        </w:tc>
      </w:tr>
      <w:tr>
        <w:trPr>
          <w:trHeight w:val="199"/>
        </w:trPr>
        <w:tc>
          <w:tcPr>
            <w:tcW w:w="7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699</w:t>
            </w:r>
          </w:p>
        </w:tc>
      </w:tr>
      <w:tr>
        <w:trPr>
          <w:trHeight w:val="200"/>
        </w:trPr>
        <w:tc>
          <w:tcPr>
            <w:tcW w:w="7840" w:type="dxa"/>
            <w:vAlign w:val="bottom"/>
          </w:tcPr>
          <w:p>
            <w:pPr>
              <w:ind w:left="200"/>
              <w:spacing w:after="0"/>
              <w:rPr>
                <w:sz w:val="20"/>
                <w:szCs w:val="20"/>
                <w:color w:val="auto"/>
              </w:rPr>
            </w:pPr>
            <w:r>
              <w:rPr>
                <w:rFonts w:ascii="Arial" w:cs="Arial" w:eastAsia="Arial" w:hAnsi="Arial"/>
                <w:sz w:val="15"/>
                <w:szCs w:val="15"/>
                <w:color w:val="auto"/>
              </w:rPr>
              <w:t>Financing activities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(708)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cash provided by operating activities increased $1.33 billion compared to the prior period primarily due to:</w:t>
      </w:r>
    </w:p>
    <w:p>
      <w:pPr>
        <w:spacing w:after="0" w:line="156" w:lineRule="exact"/>
        <w:rPr>
          <w:sz w:val="20"/>
          <w:szCs w:val="20"/>
          <w:color w:val="auto"/>
        </w:rPr>
      </w:pPr>
    </w:p>
    <w:p>
      <w:pPr>
        <w:ind w:left="560" w:hanging="275"/>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increase of $783 million in net income;</w:t>
      </w:r>
    </w:p>
    <w:p>
      <w:pPr>
        <w:spacing w:after="0" w:line="155" w:lineRule="exact"/>
        <w:rPr>
          <w:rFonts w:ascii="Arial" w:cs="Arial" w:eastAsia="Arial" w:hAnsi="Arial"/>
          <w:sz w:val="15"/>
          <w:szCs w:val="15"/>
          <w:color w:val="auto"/>
        </w:rPr>
      </w:pPr>
    </w:p>
    <w:p>
      <w:pPr>
        <w:ind w:left="560" w:right="20" w:hanging="275"/>
        <w:spacing w:after="0" w:line="282" w:lineRule="auto"/>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increase of $4.44 billion in securities loaned due to continuous growth of our securities lending program, as well as market conditions, variable lending and funding activities.</w:t>
      </w:r>
    </w:p>
    <w:p>
      <w:pPr>
        <w:spacing w:after="0" w:line="98" w:lineRule="exact"/>
        <w:rPr>
          <w:rFonts w:ascii="Arial" w:cs="Arial" w:eastAsia="Arial" w:hAnsi="Arial"/>
          <w:sz w:val="15"/>
          <w:szCs w:val="15"/>
          <w:color w:val="auto"/>
        </w:rPr>
      </w:pPr>
    </w:p>
    <w:p>
      <w:pPr>
        <w:ind w:left="560" w:hanging="275"/>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increase of $2.59 billion in payables to users due to increased customer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6" w:name="page57"/>
    <w:bookmarkEnd w:id="5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hanging="275"/>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increase of $1.19 billion cash used to purchase U.S. treasury securities segregated under federal and other regulations; partially offset by a</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8"/>
        </w:numPr>
        <w:rPr>
          <w:rFonts w:ascii="Arial" w:cs="Arial" w:eastAsia="Arial" w:hAnsi="Arial"/>
          <w:sz w:val="15"/>
          <w:szCs w:val="15"/>
          <w:color w:val="auto"/>
          <w:strike w:val="1"/>
        </w:rPr>
      </w:pPr>
      <w:r>
        <w:rPr>
          <w:rFonts w:ascii="Arial" w:cs="Arial" w:eastAsia="Arial" w:hAnsi="Arial"/>
          <w:sz w:val="15"/>
          <w:szCs w:val="15"/>
          <w:color w:val="auto"/>
        </w:rPr>
        <w:t>a increase of $3.84 billion in receivables from users, net due to higher customer margin balance, driven by increased customer activities; and</w:t>
      </w:r>
    </w:p>
    <w:p>
      <w:pPr>
        <w:spacing w:after="0" w:line="155" w:lineRule="exact"/>
        <w:rPr>
          <w:rFonts w:ascii="Arial" w:cs="Arial" w:eastAsia="Arial" w:hAnsi="Arial"/>
          <w:sz w:val="15"/>
          <w:szCs w:val="15"/>
          <w:color w:val="auto"/>
          <w:strike w:val="1"/>
        </w:rPr>
      </w:pPr>
    </w:p>
    <w:p>
      <w:pPr>
        <w:ind w:left="560" w:hanging="275"/>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increase of $1.27 billion in securities borrowed due to increased customer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cash provided by investing activities increased $881 million compared to the prior period primarily due to:</w:t>
      </w:r>
    </w:p>
    <w:p>
      <w:pPr>
        <w:spacing w:after="0" w:line="156" w:lineRule="exact"/>
        <w:rPr>
          <w:sz w:val="20"/>
          <w:szCs w:val="20"/>
          <w:color w:val="auto"/>
        </w:rPr>
      </w:pPr>
    </w:p>
    <w:p>
      <w:pPr>
        <w:ind w:left="560" w:hanging="27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increase of $2.40 billion of cash provided by collections of purchased credit card receivables;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increase of $1.19 billion of cash, cash equivalents, and segregated cash acquired in business acquisitions;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increase of $469 million driven by no purchases of held-to-maturity investments during the period;</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decrease of $2.68 billion due to cash used for purchases of credit card receivables; and</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decrease of $393 million due to cash used for consideration transferred for business acquisitions.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cash used in financing activities increased $541 million compared to the prior period primarily due to:</w:t>
      </w:r>
    </w:p>
    <w:p>
      <w:pPr>
        <w:spacing w:after="0" w:line="156" w:lineRule="exact"/>
        <w:rPr>
          <w:sz w:val="20"/>
          <w:szCs w:val="20"/>
          <w:color w:val="auto"/>
        </w:rPr>
      </w:pPr>
    </w:p>
    <w:p>
      <w:pPr>
        <w:ind w:left="560" w:hanging="275"/>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increase of $456 million of cash used for share repurchases;</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increase of $258 million of cash used for taxes related to net share settlement of equity awards; and</w:t>
      </w:r>
    </w:p>
    <w:p>
      <w:pPr>
        <w:spacing w:after="0" w:line="155" w:lineRule="exact"/>
        <w:rPr>
          <w:rFonts w:ascii="Arial" w:cs="Arial" w:eastAsia="Arial" w:hAnsi="Arial"/>
          <w:sz w:val="15"/>
          <w:szCs w:val="15"/>
          <w:color w:val="auto"/>
        </w:rPr>
      </w:pPr>
    </w:p>
    <w:p>
      <w:pPr>
        <w:ind w:left="560" w:hanging="275"/>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increase of $150 million from borrowings by the Credit Card Funding Trust to purchase credit card receivables.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Critical Accounting Estimates</w:t>
      </w:r>
    </w:p>
    <w:p>
      <w:pPr>
        <w:spacing w:after="0" w:line="158" w:lineRule="exact"/>
        <w:rPr>
          <w:sz w:val="20"/>
          <w:szCs w:val="20"/>
          <w:color w:val="auto"/>
        </w:rPr>
      </w:pPr>
    </w:p>
    <w:p>
      <w:pPr>
        <w:jc w:val="both"/>
        <w:ind w:firstLine="281"/>
        <w:spacing w:after="0" w:line="249" w:lineRule="auto"/>
        <w:rPr>
          <w:sz w:val="20"/>
          <w:szCs w:val="20"/>
          <w:color w:val="auto"/>
        </w:rPr>
      </w:pPr>
      <w:r>
        <w:rPr>
          <w:rFonts w:ascii="Arial" w:cs="Arial" w:eastAsia="Arial" w:hAnsi="Arial"/>
          <w:sz w:val="15"/>
          <w:szCs w:val="15"/>
          <w:color w:val="auto"/>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7" w:name="page58"/>
    <w:bookmarkEnd w:id="5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71" w:lineRule="auto"/>
        <w:rPr>
          <w:sz w:val="20"/>
          <w:szCs w:val="20"/>
          <w:color w:val="auto"/>
        </w:rPr>
      </w:pPr>
      <w:r>
        <w:rPr>
          <w:rFonts w:ascii="Arial" w:cs="Arial" w:eastAsia="Arial" w:hAnsi="Arial"/>
          <w:sz w:val="15"/>
          <w:szCs w:val="15"/>
          <w:color w:val="auto"/>
        </w:rPr>
        <w:t>There have been no material changes to our critical accounting estimates during the nine months ended September 30, 2025, as compared to those disclosed in “Management’s Discussion and Analysis of Financial Condition and Results of Operations — Critical Accounting Estimates” in our 2024 Form 10-K.</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Item 1 of Part I, “Unaudited Financial Statements — Note 2 - Recent Accounting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ITEM 3. QUANTITATIVE AND QUALITATIVE DISCLOSURES ABOUT MARKET RISK</w:t>
      </w:r>
    </w:p>
    <w:p>
      <w:pPr>
        <w:spacing w:after="0" w:line="158" w:lineRule="exact"/>
        <w:rPr>
          <w:sz w:val="20"/>
          <w:szCs w:val="20"/>
          <w:color w:val="auto"/>
        </w:rPr>
      </w:pPr>
    </w:p>
    <w:p>
      <w:pPr>
        <w:jc w:val="both"/>
        <w:ind w:right="20" w:firstLine="281"/>
        <w:spacing w:after="0" w:line="282" w:lineRule="auto"/>
        <w:rPr>
          <w:sz w:val="20"/>
          <w:szCs w:val="20"/>
          <w:color w:val="auto"/>
        </w:rPr>
      </w:pPr>
      <w:r>
        <w:rPr>
          <w:rFonts w:ascii="Arial" w:cs="Arial" w:eastAsia="Arial" w:hAnsi="Arial"/>
          <w:sz w:val="15"/>
          <w:szCs w:val="15"/>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55"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and cash flows, prior to any income tax effects, over the next 12 months.</w:t>
      </w:r>
    </w:p>
    <w:p>
      <w:pPr>
        <w:spacing w:after="0" w:line="344"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189" w:lineRule="exact"/>
        <w:rPr>
          <w:sz w:val="20"/>
          <w:szCs w:val="20"/>
          <w:color w:val="auto"/>
        </w:rPr>
      </w:pPr>
    </w:p>
    <w:p>
      <w:pPr>
        <w:jc w:val="both"/>
        <w:ind w:right="40" w:firstLine="281"/>
        <w:spacing w:after="0" w:line="266" w:lineRule="auto"/>
        <w:rPr>
          <w:sz w:val="20"/>
          <w:szCs w:val="20"/>
          <w:color w:val="auto"/>
        </w:rPr>
      </w:pPr>
      <w:r>
        <w:rPr>
          <w:rFonts w:ascii="Arial" w:cs="Arial" w:eastAsia="Arial" w:hAnsi="Arial"/>
          <w:sz w:val="15"/>
          <w:szCs w:val="15"/>
          <w:color w:val="auto"/>
        </w:rPr>
        <w:t>The impact to total net revenues, net income, and cash flows, prior to any income tax effects, as a result of a hypothetical interest rate change at the end of each reporting period would be: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September 30,</w:t>
            </w:r>
          </w:p>
        </w:tc>
        <w:tc>
          <w:tcPr>
            <w:tcW w:w="1000" w:type="dxa"/>
            <w:vAlign w:val="bottom"/>
            <w:tcBorders>
              <w:bottom w:val="single" w:sz="8" w:color="auto"/>
            </w:tcBorders>
          </w:tcPr>
          <w:p>
            <w:pPr>
              <w:spacing w:after="0"/>
              <w:rPr>
                <w:sz w:val="15"/>
                <w:szCs w:val="15"/>
                <w:color w:val="auto"/>
              </w:rPr>
            </w:pPr>
          </w:p>
        </w:tc>
      </w:tr>
      <w:tr>
        <w:trPr>
          <w:trHeight w:val="167"/>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3"/>
                <w:szCs w:val="13"/>
                <w:i w:val="1"/>
                <w:iCs w:val="1"/>
                <w:color w:val="auto"/>
              </w:rPr>
              <w:t>(in millions)</w:t>
            </w: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2025</w:t>
            </w:r>
          </w:p>
        </w:tc>
      </w:tr>
      <w:tr>
        <w:trPr>
          <w:trHeight w:val="191"/>
        </w:trPr>
        <w:tc>
          <w:tcPr>
            <w:tcW w:w="71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50 basis point</w:t>
            </w:r>
          </w:p>
        </w:tc>
        <w:tc>
          <w:tcPr>
            <w:tcW w:w="6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86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149</w:t>
            </w:r>
          </w:p>
        </w:tc>
      </w:tr>
      <w:tr>
        <w:trPr>
          <w:trHeight w:val="199"/>
        </w:trPr>
        <w:tc>
          <w:tcPr>
            <w:tcW w:w="7140" w:type="dxa"/>
            <w:vAlign w:val="bottom"/>
          </w:tcPr>
          <w:p>
            <w:pPr>
              <w:ind w:left="300"/>
              <w:spacing w:after="0"/>
              <w:rPr>
                <w:sz w:val="20"/>
                <w:szCs w:val="20"/>
                <w:color w:val="auto"/>
              </w:rPr>
            </w:pPr>
            <w:r>
              <w:rPr>
                <w:rFonts w:ascii="Arial" w:cs="Arial" w:eastAsia="Arial" w:hAnsi="Arial"/>
                <w:sz w:val="15"/>
                <w:szCs w:val="15"/>
                <w:color w:val="auto"/>
              </w:rPr>
              <w:t>100 basis point</w:t>
            </w:r>
          </w:p>
        </w:tc>
        <w:tc>
          <w:tcPr>
            <w:tcW w:w="600" w:type="dxa"/>
            <w:vAlign w:val="bottom"/>
          </w:tcPr>
          <w:p>
            <w:pPr>
              <w:spacing w:after="0"/>
              <w:rPr>
                <w:sz w:val="17"/>
                <w:szCs w:val="17"/>
                <w:color w:val="auto"/>
              </w:rPr>
            </w:pPr>
          </w:p>
        </w:tc>
        <w:tc>
          <w:tcPr>
            <w:tcW w:w="1080" w:type="dxa"/>
            <w:vAlign w:val="bottom"/>
          </w:tcPr>
          <w:p>
            <w:pPr>
              <w:ind w:left="800"/>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298</w:t>
            </w:r>
          </w:p>
        </w:tc>
      </w:tr>
      <w:tr>
        <w:trPr>
          <w:trHeight w:val="199"/>
        </w:trPr>
        <w:tc>
          <w:tcPr>
            <w:tcW w:w="71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150 basis point</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5"/>
                <w:szCs w:val="15"/>
                <w:color w:val="auto"/>
              </w:rPr>
              <w:t>257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w:t>
            </w:r>
          </w:p>
        </w:tc>
      </w:tr>
    </w:tbl>
    <w:p>
      <w:pPr>
        <w:spacing w:after="0" w:line="282"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58" w:name="page59"/>
    <w:bookmarkEnd w:id="5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52" w:lineRule="auto"/>
        <w:rPr>
          <w:sz w:val="20"/>
          <w:szCs w:val="20"/>
          <w:color w:val="auto"/>
        </w:rPr>
      </w:pPr>
      <w:r>
        <w:rPr>
          <w:rFonts w:ascii="Arial" w:cs="Arial" w:eastAsia="Arial" w:hAnsi="Arial"/>
          <w:sz w:val="15"/>
          <w:szCs w:val="15"/>
          <w:color w:val="auto"/>
        </w:rPr>
        <w:t>Our investment policy and strategy are focused on the preservation of capital and supporting our liquidity requirements. We invest in highly -rated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September 30, 2025, a hypothetical 100 basis point increase in interest rates across all maturities would not be significant. Any losses would only be realized if we sold the investments prior to maturity.</w:t>
      </w:r>
    </w:p>
    <w:p>
      <w:pPr>
        <w:spacing w:after="0" w:line="120"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We also have exposure to changes in interest rates related to our variable-rate credit facilities. See Note 10 - Financing Activities and Off -Balance Sheet Risk, to our unaudited condensed consolidated financial statements in this Quarterly Report for further information. However, as there were no outstanding borrowings under our uncommitted revolving credit facilities as of September 30, 2025, we had limited financial exposure associated with changes in interest rates as of such date.</w:t>
      </w:r>
    </w:p>
    <w:p>
      <w:pPr>
        <w:spacing w:after="0" w:line="118"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116" w:lineRule="exact"/>
        <w:rPr>
          <w:sz w:val="20"/>
          <w:szCs w:val="20"/>
          <w:color w:val="auto"/>
        </w:rPr>
      </w:pPr>
    </w:p>
    <w:p>
      <w:pPr>
        <w:jc w:val="both"/>
        <w:ind w:firstLine="281"/>
        <w:spacing w:after="0" w:line="257" w:lineRule="auto"/>
        <w:rPr>
          <w:sz w:val="20"/>
          <w:szCs w:val="20"/>
          <w:color w:val="auto"/>
        </w:rPr>
      </w:pPr>
      <w:r>
        <w:rPr>
          <w:rFonts w:ascii="Arial" w:cs="Arial" w:eastAsia="Arial" w:hAnsi="Arial"/>
          <w:sz w:val="15"/>
          <w:szCs w:val="15"/>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Market-Related Credit Risk</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190" w:lineRule="exact"/>
        <w:rPr>
          <w:sz w:val="20"/>
          <w:szCs w:val="20"/>
          <w:color w:val="auto"/>
        </w:rPr>
      </w:pPr>
    </w:p>
    <w:p>
      <w:pPr>
        <w:jc w:val="both"/>
        <w:ind w:right="20" w:firstLine="281"/>
        <w:spacing w:after="0" w:line="257" w:lineRule="auto"/>
        <w:rPr>
          <w:sz w:val="20"/>
          <w:szCs w:val="20"/>
          <w:color w:val="auto"/>
        </w:rPr>
      </w:pPr>
      <w:r>
        <w:rPr>
          <w:rFonts w:ascii="Arial" w:cs="Arial" w:eastAsia="Arial" w:hAnsi="Arial"/>
          <w:sz w:val="15"/>
          <w:szCs w:val="15"/>
          <w:color w:val="auto"/>
        </w:rPr>
        <w:t>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 -15(e) and 15d-15(e) under the Exchange Act, means controls and other procedures of a company that are designed to ensure that information required to be disclosed by a company in the reports that it files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59" w:name="page60"/>
    <w:bookmarkEnd w:id="5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CEO and CFO have concluded that, as of the end of the period covered by this Quarterly Report, our disclosure controls and procedures were effective.</w:t>
      </w: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190" w:lineRule="exact"/>
        <w:rPr>
          <w:sz w:val="20"/>
          <w:szCs w:val="20"/>
          <w:color w:val="auto"/>
        </w:rPr>
      </w:pPr>
    </w:p>
    <w:p>
      <w:pPr>
        <w:jc w:val="both"/>
        <w:ind w:right="40" w:firstLine="281"/>
        <w:spacing w:after="0" w:line="263" w:lineRule="auto"/>
        <w:rPr>
          <w:sz w:val="20"/>
          <w:szCs w:val="20"/>
          <w:color w:val="auto"/>
        </w:rPr>
      </w:pPr>
      <w:r>
        <w:rPr>
          <w:rFonts w:ascii="Arial" w:cs="Arial" w:eastAsia="Arial" w:hAnsi="Arial"/>
          <w:sz w:val="15"/>
          <w:szCs w:val="15"/>
          <w:color w:val="auto"/>
        </w:rPr>
        <w:t>Except as noted below, there has been no change in our internal control over financial reporting (as defined in Rule 13a-15(f) and 15d- 15(f) under the Exchange Act) during the three months ended September 30, 2025 that has materially affected, or is reasonably likely to materially affect, our internal control over financial reporting.</w:t>
      </w:r>
    </w:p>
    <w:p>
      <w:pPr>
        <w:spacing w:after="0" w:line="148" w:lineRule="exact"/>
        <w:rPr>
          <w:sz w:val="20"/>
          <w:szCs w:val="20"/>
          <w:color w:val="auto"/>
        </w:rPr>
      </w:pPr>
    </w:p>
    <w:p>
      <w:pPr>
        <w:jc w:val="both"/>
        <w:ind w:right="20" w:firstLine="281"/>
        <w:spacing w:after="0" w:line="254" w:lineRule="auto"/>
        <w:rPr>
          <w:sz w:val="20"/>
          <w:szCs w:val="20"/>
          <w:color w:val="auto"/>
        </w:rPr>
      </w:pPr>
      <w:r>
        <w:rPr>
          <w:rFonts w:ascii="Arial" w:cs="Arial" w:eastAsia="Arial" w:hAnsi="Arial"/>
          <w:sz w:val="15"/>
          <w:szCs w:val="15"/>
          <w:color w:val="auto"/>
        </w:rPr>
        <w:t>On June 2, 2025, we acquired Bitstamp as discussed in Note 3 – Business Combinations, to our unaudited condensed consolidated financial statements in this Quarterly Report for further information. We are in the process of evaluating and integrating Bitstamp into our system of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management currently expects to exclude Bitstamp from such assessment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60" w:name="page61"/>
    <w:bookmarkEnd w:id="6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40"/>
        <w:spacing w:after="0"/>
        <w:rPr>
          <w:sz w:val="20"/>
          <w:szCs w:val="20"/>
          <w:color w:val="auto"/>
        </w:rPr>
      </w:pPr>
      <w:r>
        <w:rPr>
          <w:rFonts w:ascii="Arial" w:cs="Arial" w:eastAsia="Arial" w:hAnsi="Arial"/>
          <w:sz w:val="32"/>
          <w:szCs w:val="32"/>
          <w:color w:val="auto"/>
        </w:rPr>
        <w:t>PART II</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ITEM 1. LEGAL PROCEEDINGS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Item 1 of Part I, “Unaudited Financial Statements — Note 14 - Commitments &amp;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9800"/>
          </w:cols>
          <w:pgMar w:left="660" w:top="558" w:right="1440" w:bottom="1440" w:gutter="0" w:footer="0" w:header="0"/>
        </w:sectPr>
      </w:pPr>
    </w:p>
    <w:bookmarkStart w:id="61" w:name="page62"/>
    <w:bookmarkEnd w:id="6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Summary of Risk Factors</w:t>
      </w:r>
    </w:p>
    <w:p>
      <w:pPr>
        <w:spacing w:after="0" w:line="229"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Our business is subject to a number of risks and uncertainties including those described at length in the Risk Factors section below. We consider the following to be our most material risks:</w:t>
      </w:r>
    </w:p>
    <w:p>
      <w:pPr>
        <w:spacing w:after="0" w:line="168" w:lineRule="exact"/>
        <w:rPr>
          <w:sz w:val="20"/>
          <w:szCs w:val="20"/>
          <w:color w:val="auto"/>
        </w:rPr>
      </w:pPr>
    </w:p>
    <w:p>
      <w:pPr>
        <w:ind w:left="560" w:hanging="275"/>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We might not grow in line with historical rates.</w:t>
      </w:r>
    </w:p>
    <w:p>
      <w:pPr>
        <w:spacing w:after="0" w:line="214"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Our results of operations and other operating metrics fluctuate from quarter to quarter, which makes these metrics difficult to predict.</w:t>
      </w:r>
    </w:p>
    <w:p>
      <w:pPr>
        <w:spacing w:after="0" w:line="214" w:lineRule="exact"/>
        <w:rPr>
          <w:rFonts w:ascii="Arial" w:cs="Arial" w:eastAsia="Arial" w:hAnsi="Arial"/>
          <w:sz w:val="15"/>
          <w:szCs w:val="15"/>
          <w:color w:val="auto"/>
        </w:rPr>
      </w:pPr>
    </w:p>
    <w:p>
      <w:pPr>
        <w:jc w:val="both"/>
        <w:ind w:left="560" w:right="20" w:hanging="275"/>
        <w:spacing w:after="0" w:line="247"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spacing w:after="0" w:line="182"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Unfavorable media coverage and other events that harm our brand and reputation could adversely affect our revenue and the size, engagement, and loyalty of our customer base.</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Our business has been and might continue to be harmed by changes in business, economic, or political conditions that impact global financial markets, or by a systemic market event.</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Our future success depends on the continuing efforts of our key employees and our ability to attract and retain senior management and other highly skilled personnel.</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2" w:name="page63"/>
    <w:bookmarkEnd w:id="6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We are involved in numerous litigation matters that are expensive and time consuming, and, if resolved adversely, could expose us to significant liability and reputational harm.</w:t>
      </w:r>
    </w:p>
    <w:p>
      <w:pPr>
        <w:spacing w:after="0" w:line="168" w:lineRule="exact"/>
        <w:rPr>
          <w:rFonts w:ascii="Arial" w:cs="Arial" w:eastAsia="Arial" w:hAnsi="Arial"/>
          <w:sz w:val="15"/>
          <w:szCs w:val="15"/>
          <w:color w:val="auto"/>
        </w:rPr>
      </w:pPr>
    </w:p>
    <w:p>
      <w:pPr>
        <w:jc w:val="both"/>
        <w:ind w:left="560" w:hanging="275"/>
        <w:spacing w:after="0" w:line="247"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w:t>
      </w:r>
    </w:p>
    <w:p>
      <w:pPr>
        <w:spacing w:after="0" w:line="182"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If we fail to retain existing customers or attract new customers, or if our customers decrease their use of our products and services, our revenue will decline.</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If we fail to provide and monetize new and innovative products and services that are adopted by customers, our business may become less competitive and our revenue might decline.</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We rely on third parties to perform some key functions, and their failure to perform those functions could adversely affect our business, financial condition and results of operations.</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We are incorporating AI technologies into some of our products and processes. These technologies may present business, compliance, and reputational risks.</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If we do not maintain the net capital levels required by regulators, our broker-dealer business may be restricted and we may be fined or subject to other disciplinary or corrective actions.</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68" w:lineRule="exact"/>
        <w:rPr>
          <w:rFonts w:ascii="Arial" w:cs="Arial" w:eastAsia="Arial" w:hAnsi="Arial"/>
          <w:sz w:val="15"/>
          <w:szCs w:val="15"/>
          <w:color w:val="auto"/>
        </w:rPr>
      </w:pPr>
    </w:p>
    <w:p>
      <w:pPr>
        <w:jc w:val="both"/>
        <w:ind w:left="560" w:hanging="275"/>
        <w:spacing w:after="0" w:line="247"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If the SEC, a state regulator or a private litigant alleges that our staking services offered in the U.S. involve unregistered offers and sales of securities or unregistered securities broker-dealer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182"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3" w:name="page64"/>
    <w:bookmarkEnd w:id="6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right="40" w:hanging="275"/>
        <w:spacing w:after="0" w:line="266"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Our introduction of Robinhood Stock Tokens in the EEA may expose us to significant regulatory, litigation, contractual, operational, and reputational risks.</w:t>
      </w:r>
    </w:p>
    <w:p>
      <w:pPr>
        <w:spacing w:after="0" w:line="168" w:lineRule="exact"/>
        <w:rPr>
          <w:rFonts w:ascii="Arial" w:cs="Arial" w:eastAsia="Arial" w:hAnsi="Arial"/>
          <w:sz w:val="15"/>
          <w:szCs w:val="15"/>
          <w:color w:val="auto"/>
        </w:rPr>
      </w:pPr>
    </w:p>
    <w:p>
      <w:pPr>
        <w:jc w:val="both"/>
        <w:ind w:left="560" w:hanging="275"/>
        <w:spacing w:after="0" w:line="247"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grow in line with historical rates.</w:t>
      </w:r>
    </w:p>
    <w:p>
      <w:pPr>
        <w:spacing w:after="0" w:line="214"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have slowed in recent years and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18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Our revenue growth rate has declined in the past and if our revenue growth rate were to decline in the future, investors’ perceptions of our business and the trading price of our Class A common stock could be adversely affected.</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52"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in recent years, including significant workforce reductions, and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189"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Such efforts to control costs have in the past resulted, and might in the future continue to result in reduced productivity and deteriorating workforce morale, which can cause our business initiatives to suffer. However, as market conditions improve, we also face a risk that renewed business growth could strain our existing resources, or that we are not able to effectively scale up in response, and we could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4" w:name="page65"/>
    <w:bookmarkEnd w:id="6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experience ongoing operating difficulties in managing our business across numerous jurisdictions, including difficulties in hiring, training, and managing a dispersed employee base.</w:t>
      </w:r>
    </w:p>
    <w:p>
      <w:pPr>
        <w:spacing w:after="0" w:line="168"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or face challenges with respect to new offerings or services we have not previously provided or have previously provided in a different capacity or smaller scale. For instance, as a result of our acquisition of Bitstamp in June 2025, we now provide additional cryptocurrency products and services to institutional customers both in the U.S. and internationally, including products and services such as on-exchange lending, off-exchange settlement, post-trade settlement, and perpetual futures. These offerings to certain institutional clients expose us to risks we have not historically faced at scale, including credit risk, regulations and laws. We might fail to adequately address these and other challenges we may face, and our business might be adversely affected if we do not manage these risks successfully.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and other operating metrics fluctuate from quarter to quarter, which makes these metrics difficult to predict.</w:t>
      </w:r>
    </w:p>
    <w:p>
      <w:pPr>
        <w:spacing w:after="0" w:line="214"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spacing w:after="0" w:line="189" w:lineRule="exact"/>
        <w:rPr>
          <w:sz w:val="20"/>
          <w:szCs w:val="20"/>
          <w:color w:val="auto"/>
        </w:rPr>
      </w:pPr>
    </w:p>
    <w:p>
      <w:pPr>
        <w:ind w:left="540" w:hanging="255"/>
        <w:spacing w:after="0"/>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our ability to retain and engage existing customers and attract new customers;</w:t>
      </w:r>
    </w:p>
    <w:p>
      <w:pPr>
        <w:spacing w:after="0" w:line="214" w:lineRule="exact"/>
        <w:rPr>
          <w:rFonts w:ascii="Arial" w:cs="Arial" w:eastAsia="Arial" w:hAnsi="Arial"/>
          <w:sz w:val="15"/>
          <w:szCs w:val="15"/>
          <w:i w:val="1"/>
          <w:iCs w:val="1"/>
          <w:color w:val="auto"/>
        </w:rPr>
      </w:pPr>
    </w:p>
    <w:p>
      <w:pPr>
        <w:ind w:left="560" w:hanging="275"/>
        <w:spacing w:after="0" w:line="253" w:lineRule="auto"/>
        <w:tabs>
          <w:tab w:leader="none" w:pos="537"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 timing and success of new product and service introductions by us or our competitors, or other changes in the competitive landscape of our market;</w:t>
      </w:r>
    </w:p>
    <w:p>
      <w:pPr>
        <w:spacing w:after="0" w:line="368" w:lineRule="exact"/>
        <w:rPr>
          <w:rFonts w:ascii="Arial" w:cs="Arial" w:eastAsia="Arial" w:hAnsi="Arial"/>
          <w:sz w:val="15"/>
          <w:szCs w:val="15"/>
          <w:i w:val="1"/>
          <w:iCs w:val="1"/>
          <w:color w:val="auto"/>
        </w:rPr>
      </w:pPr>
    </w:p>
    <w:p>
      <w:pPr>
        <w:jc w:val="both"/>
        <w:ind w:left="560" w:right="20" w:hanging="275"/>
        <w:spacing w:after="0" w:line="247" w:lineRule="auto"/>
        <w:tabs>
          <w:tab w:leader="none" w:pos="537"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volatility in the market, whether generally or as a result of certain or anticipated events (such as recent developments with respect to tariffs and trade policy shifts), or the occurrence of so-called “meme” trading in equities, options, cryptocurrencies, or futures (which includes options on futures, cleared swaps, and event contracts (“Futures”)) which can cause our trading volumes to fluctuate;</w:t>
      </w:r>
    </w:p>
    <w:p>
      <w:pPr>
        <w:spacing w:after="0" w:line="182" w:lineRule="exact"/>
        <w:rPr>
          <w:rFonts w:ascii="Arial" w:cs="Arial" w:eastAsia="Arial" w:hAnsi="Arial"/>
          <w:sz w:val="15"/>
          <w:szCs w:val="15"/>
          <w:i w:val="1"/>
          <w:iCs w:val="1"/>
          <w:color w:val="auto"/>
        </w:rPr>
      </w:pPr>
    </w:p>
    <w:p>
      <w:pPr>
        <w:ind w:left="540" w:hanging="255"/>
        <w:spacing w:after="0"/>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fluctuations in interest rates;</w:t>
      </w:r>
    </w:p>
    <w:p>
      <w:pPr>
        <w:spacing w:after="0" w:line="214" w:lineRule="exact"/>
        <w:rPr>
          <w:rFonts w:ascii="Arial" w:cs="Arial" w:eastAsia="Arial" w:hAnsi="Arial"/>
          <w:sz w:val="15"/>
          <w:szCs w:val="15"/>
          <w:i w:val="1"/>
          <w:iCs w:val="1"/>
          <w:color w:val="auto"/>
        </w:rPr>
      </w:pPr>
    </w:p>
    <w:p>
      <w:pPr>
        <w:ind w:left="560" w:hanging="275"/>
        <w:spacing w:after="0" w:line="266" w:lineRule="auto"/>
        <w:tabs>
          <w:tab w:leader="none" w:pos="537"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68" w:lineRule="exact"/>
        <w:rPr>
          <w:rFonts w:ascii="Arial" w:cs="Arial" w:eastAsia="Arial" w:hAnsi="Arial"/>
          <w:sz w:val="15"/>
          <w:szCs w:val="15"/>
          <w:i w:val="1"/>
          <w:iCs w:val="1"/>
          <w:color w:val="auto"/>
        </w:rPr>
      </w:pPr>
    </w:p>
    <w:p>
      <w:pPr>
        <w:ind w:left="540" w:hanging="255"/>
        <w:spacing w:after="0"/>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 timing and amount of non-cash expenses, such as SBC and asset impairments;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the success of our expansion into new markets 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5" w:name="page66"/>
    <w:bookmarkEnd w:id="6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hanging="255"/>
        <w:spacing w:after="0"/>
        <w:tabs>
          <w:tab w:leader="none" w:pos="54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trading volume and the prevailing trading prices for cryptocurrencies, which can be highly volatile;</w:t>
      </w:r>
    </w:p>
    <w:p>
      <w:pPr>
        <w:spacing w:after="0" w:line="214" w:lineRule="exact"/>
        <w:rPr>
          <w:rFonts w:ascii="Arial" w:cs="Arial" w:eastAsia="Arial" w:hAnsi="Arial"/>
          <w:sz w:val="15"/>
          <w:szCs w:val="15"/>
          <w:i w:val="1"/>
          <w:iCs w:val="1"/>
          <w:color w:val="auto"/>
        </w:rPr>
      </w:pPr>
    </w:p>
    <w:p>
      <w:pPr>
        <w:ind w:left="560" w:right="40" w:hanging="275"/>
        <w:spacing w:after="0" w:line="266" w:lineRule="auto"/>
        <w:tabs>
          <w:tab w:leader="none" w:pos="537"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ceasing support for certain cryptocurrencies on our RHC platform that the SEC or a court has asserted or determined are securities or proactively removing certain cryptocurrencies because they share similarities with such cryptocurrencies;</w:t>
      </w:r>
    </w:p>
    <w:p>
      <w:pPr>
        <w:spacing w:after="0" w:line="168" w:lineRule="exact"/>
        <w:rPr>
          <w:rFonts w:ascii="Arial" w:cs="Arial" w:eastAsia="Arial" w:hAnsi="Arial"/>
          <w:sz w:val="15"/>
          <w:szCs w:val="15"/>
          <w:i w:val="1"/>
          <w:iCs w:val="1"/>
          <w:color w:val="auto"/>
        </w:rPr>
      </w:pPr>
    </w:p>
    <w:p>
      <w:pPr>
        <w:ind w:left="540" w:hanging="255"/>
        <w:spacing w:after="0"/>
        <w:tabs>
          <w:tab w:leader="none" w:pos="54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changes in the public’s perception, adoption, and use of cryptocurrencies and other asset classes;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any inability of customers to place trades, due to system disruptions, outages, or trading restrictions;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any events that damage customer confidence in Robinhood, such as breaches of security or privacy;</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the impacts of public health threats (including pandemics such as COVID-19), unemployment, and inflation;</w:t>
      </w:r>
    </w:p>
    <w:p>
      <w:pPr>
        <w:spacing w:after="0" w:line="214"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changes in domestic or global business or macroeconomic conditions, including as a result of tariffs and trade policy shifts, geopolitical conflicts, banking instability, or responses to these events; and</w:t>
      </w:r>
    </w:p>
    <w:p>
      <w:pPr>
        <w:spacing w:after="0" w:line="168"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68" w:lineRule="exact"/>
        <w:rPr>
          <w:sz w:val="20"/>
          <w:szCs w:val="20"/>
          <w:color w:val="auto"/>
        </w:rPr>
      </w:pPr>
    </w:p>
    <w:p>
      <w:pPr>
        <w:ind w:right="20" w:firstLine="281"/>
        <w:spacing w:after="0" w:line="266" w:lineRule="auto"/>
        <w:rPr>
          <w:sz w:val="20"/>
          <w:szCs w:val="20"/>
          <w:color w:val="auto"/>
        </w:rPr>
      </w:pPr>
      <w:r>
        <w:rPr>
          <w:rFonts w:ascii="Arial" w:cs="Arial" w:eastAsia="Arial" w:hAnsi="Arial"/>
          <w:sz w:val="15"/>
          <w:szCs w:val="15"/>
          <w:color w:val="auto"/>
        </w:rPr>
        <w:t>Any of the factors above or listed elsewhere in this Risk Factors section, or the cumulative effect of some of those factors, could result in significant fluctuations in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most full year periods since our inception, we have incurred operating losses and might not be profitable in the future.</w:t>
      </w:r>
    </w:p>
    <w:p>
      <w:pPr>
        <w:spacing w:after="0" w:line="214"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w:t>
      </w:r>
    </w:p>
    <w:p>
      <w:pPr>
        <w:spacing w:after="0" w:line="182" w:lineRule="exact"/>
        <w:rPr>
          <w:sz w:val="20"/>
          <w:szCs w:val="20"/>
          <w:color w:val="auto"/>
        </w:rPr>
      </w:pPr>
    </w:p>
    <w:p>
      <w:pPr>
        <w:jc w:val="both"/>
        <w:ind w:right="40"/>
        <w:spacing w:after="0" w:line="252" w:lineRule="auto"/>
        <w:rPr>
          <w:sz w:val="20"/>
          <w:szCs w:val="20"/>
          <w:color w:val="auto"/>
        </w:rPr>
      </w:pPr>
      <w:r>
        <w:rPr>
          <w:rFonts w:ascii="Arial" w:cs="Arial" w:eastAsia="Arial" w:hAnsi="Arial"/>
          <w:sz w:val="15"/>
          <w:szCs w:val="15"/>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w:t>
      </w:r>
    </w:p>
    <w:p>
      <w:pPr>
        <w:spacing w:after="0" w:line="171" w:lineRule="exact"/>
        <w:rPr>
          <w:sz w:val="20"/>
          <w:szCs w:val="20"/>
          <w:color w:val="auto"/>
        </w:rPr>
      </w:pPr>
    </w:p>
    <w:p>
      <w:pPr>
        <w:jc w:val="both"/>
        <w:ind w:right="20" w:firstLine="281"/>
        <w:spacing w:after="0" w:line="233" w:lineRule="auto"/>
        <w:rPr>
          <w:sz w:val="20"/>
          <w:szCs w:val="20"/>
          <w:color w:val="auto"/>
        </w:rPr>
      </w:pPr>
      <w:r>
        <w:rPr>
          <w:rFonts w:ascii="Arial" w:cs="Arial" w:eastAsia="Arial" w:hAnsi="Arial"/>
          <w:sz w:val="15"/>
          <w:szCs w:val="15"/>
          <w:color w:val="auto"/>
        </w:rPr>
        <w:t>A large portion of our revenue is transaction-based, in that we receive consideration in exchange for routing our users’ equity, option, and cryptocurrency trade orders to market makers, wholesalers and other liquidity providers (together, the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Liquidity Providers. For example, the SEC recently adopted final rules (the “September 2024 Final Rules”) to, among other things, adopt an additional minimum pricing increment, or “tick size,” for the quoting of certain national market system (“NMS”) stocks under Rule 612 of Regulation NMS, reduce the access fee caps for protected quotations under Rule 610 of Regulation NMS and enhance the transparency of better priced orders. 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66" w:name="page67"/>
    <w:bookmarkEnd w:id="6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December 2024 the SEC granted a stay of the effectiveness of parts of the September 2024 Final Rules pending the completion of judicial review of the petition for review, which was denied on October 14, 2025. Following the denial, on October 15, 2025, SEC Chairman Paul Atkins issued a statement indicating that he intends to direct staff to evaluate whether potential adjustments to the compliance dates related to the amended access fee caps and minimum pricing increments are warranted given the potential uncertainty created by the litigation. Nevertheless, the December 2024 partial stay did not stay the effective date of the quote transparency rules in the September 2024 Final Rules. The quote transparency rules will make the information about smaller-sized orders publicly available and result in the contraction of spreads across several securities, which we expect could lead to a decrease in the PFOF earned from such orders once the rules go into effect in November 2025. In addition, the regulatory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Risks Related to our Business Relationships with Liquidity Providers</w:t>
      </w:r>
    </w:p>
    <w:p>
      <w:pPr>
        <w:spacing w:after="0" w:line="214"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to continue to receive orders from us or to pay us for those orders (including, for example, as a result of unusually high volatility), we might have little to no recourse and, if there are no other Liquidity Providers that are willing to receive such orders from us or to pay us for such orders, or if we are unable to find replacement Liquidity Providers in a timely manner, our transaction-based revenue would be negatively impacted. With respect to cryptocurrencies, for instance, fewer Liquidity Providers are currently able to execute cryptocurrency trades. For instance, in May 2023, two prominent Liquidity Providers announced their respective decisions to limit their offerings in cryptocurrency trading within the U.S. Although we have established relationships with third-party cryptocurrency exchanges that may provide additional access to Liquidity Providers that are able to execute cryptocurrency trades, without additional Liquidity Providers supporting cryptocurrencies entering the industry in the U.S., there is a risk that we may be unable to find suitable Liquidity Providers to support cryptocurrencies. Additionally, this risk is heightened for brokerage orders executed outside of regular market hours through Robinhood 24 Hour Market, as currently all brokerage trades executed overnight are routed through one Liquidity Provider - Virtu Financial, Inc. (“Virtu”). If Virtu becomes unwilling or unable to do business with us in the future, we may be unable to find additional Liquidity Providers to support Robinhood 24 Hour Market, which could negatively impact our transaction-based revenue. Furthermore, if any of our Liquidity Providers decide to alter our given fee arrangement, our transaction-based revenue could significantly decrease.</w:t>
      </w:r>
    </w:p>
    <w:p>
      <w:pPr>
        <w:spacing w:after="0" w:line="195"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Additionally, disruptions in the services provided by Liquidity Providers, whether due to technical malfunctions, operational mishaps, or financial instability of the Liquidity Providers, or external factors such as regulatory changes or market volatility, have in the past, and may in the future impair our ability to execute our client’s orders. Should a Liquidity Provider experience downtime or diminished performance, particularly during peak trading hours, our ability to execute customer orders could be compromised and could have an adverse impact on our business, financial condition, and results of operations.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Risks Related to Regulation of PFOF</w:t>
      </w:r>
    </w:p>
    <w:p>
      <w:pPr>
        <w:spacing w:after="0" w:line="214"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In recent years, PFOF practices have drawn heightened scrutiny from the U.S. Congress, the SEC, state regulators, and other regulatory and legislative authorities. For example, in December 2020, we settled an SEC investigation into our best execution and PFOF practices and are defending a consolidated putative class action in federal district court relating to the same factual allegations.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or which may otherwise impact, PFOF practices as a result of such heightened scrutiny or otherwise. For instance, in March 2024, the SEC adopted amendments to enhance order execution disclosures under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7" w:name="page68"/>
    <w:bookmarkEnd w:id="6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Rule 605 of Regulation NMS (the “Order Execution Disclosure Rules”), which will apply for the first time to RHF and RHS beginning in December 2025.</w:t>
      </w:r>
    </w:p>
    <w:p>
      <w:pPr>
        <w:spacing w:after="0" w:line="214" w:lineRule="exact"/>
        <w:rPr>
          <w:sz w:val="20"/>
          <w:szCs w:val="20"/>
          <w:color w:val="auto"/>
        </w:rPr>
      </w:pPr>
    </w:p>
    <w:p>
      <w:pPr>
        <w:jc w:val="both"/>
        <w:ind w:right="20" w:firstLine="281"/>
        <w:spacing w:after="0" w:line="235" w:lineRule="auto"/>
        <w:rPr>
          <w:sz w:val="20"/>
          <w:szCs w:val="20"/>
          <w:color w:val="auto"/>
        </w:rPr>
      </w:pPr>
      <w:r>
        <w:rPr>
          <w:rFonts w:ascii="Arial" w:cs="Arial" w:eastAsia="Arial" w:hAnsi="Arial"/>
          <w:sz w:val="15"/>
          <w:szCs w:val="15"/>
          <w:color w:val="auto"/>
        </w:rPr>
        <w:t>Beginning in December 2025,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spacing w:after="0" w:line="189" w:lineRule="exact"/>
        <w:rPr>
          <w:sz w:val="20"/>
          <w:szCs w:val="20"/>
          <w:color w:val="auto"/>
        </w:rPr>
      </w:pPr>
    </w:p>
    <w:p>
      <w:pPr>
        <w:jc w:val="both"/>
        <w:ind w:right="20" w:firstLine="281"/>
        <w:spacing w:after="0" w:line="234" w:lineRule="auto"/>
        <w:rPr>
          <w:sz w:val="20"/>
          <w:szCs w:val="20"/>
          <w:color w:val="auto"/>
        </w:rPr>
      </w:pPr>
      <w:r>
        <w:rPr>
          <w:rFonts w:ascii="Arial" w:cs="Arial" w:eastAsia="Arial" w:hAnsi="Arial"/>
          <w:sz w:val="15"/>
          <w:szCs w:val="15"/>
          <w:color w:val="auto"/>
        </w:rPr>
        <w:t>Beginning in November 2025, the Tick Size and Access Fee Cap Rules will make information about smaller-sized orders publicly available, which is likely to result in the contraction of spreads across many securities, and we expect will lead to a decrease in the PFOF earned from such orders. Any new or heightened PFOF regulation, including the September 2024 Final Rules will result in increased compliance costs and otherwise could materially decrease our transaction- based revenue, might make it more difficult for us to expand our platforms in certain jurisdictions, and could require us to make significant changes to our revenue model, which changes might not be successful. Because some of our competitors either do not engage in PFOF or derive a lower percentage of their revenues from PFOF than we do, any legal or regulatory change that impacts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Risks Related to Negative Publicity Associated with PFOF, Transaction Rebates or our Liquidity Providers</w:t>
      </w:r>
    </w:p>
    <w:p>
      <w:pPr>
        <w:spacing w:after="0" w:line="214"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Additionally, any negative publicity surrounding PFOF or Transaction Rebate practices generally, or our implementation of these practices, could harm our brand and reputation. For example, as a result of the Early 2021 Trading Restrictions (as defined in Note 14 - Commitments &amp; Contingencies to our unaudited condensed consolidated financial statements in this Quarterly Report), we faced allegations that our decision to temporarily prevent our customers from purchasing specified securities was influenced by our relationship with certain market makers. Furthermore, as registered broker- 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 day trading price of our Class A common stock fell as much as 5.3% on December 14, 2022, the day the SEC announced the proposal of four equity market structure rules related to best execution, order competition, order execution disclosure, and order tick size and access fee caps. The best execution and order competition proposals were subsequently withdrawn in June 2025.</w:t>
      </w:r>
    </w:p>
    <w:p>
      <w:pPr>
        <w:spacing w:after="0" w:line="190"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 differently than do we. Any such loss of customer engagement as a result of any negative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68" w:name="page69"/>
    <w:bookmarkEnd w:id="6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publicity associated with PFOF or Transaction Rebate practices could adversely affect our business, financial condition, and results of operations.</w:t>
      </w:r>
    </w:p>
    <w:p>
      <w:pPr>
        <w:spacing w:after="0" w:line="214"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RHC has started to allow customers to choose a fee-based model in lieu of a liquidity provider rebate-based model (under which RHC receives Transaction Rebates from Liquidity Providers) for cryptocurrency orders routed to cryptocurrency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Transaction Rebates with customer fees for cryptocurrency orders routed to cryptocurrency exchanges for execution. Any negative publicity associated with adopting this model may have an adverse impact on our business, financial condition and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193"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52"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As registered broker- 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may face additional investigations and/or a risk of penalties in the future related to our best execution practices.</w:t>
      </w:r>
    </w:p>
    <w:p>
      <w:pPr>
        <w:spacing w:after="0" w:line="182"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Liquidity Providers, can result in harm to customer execution quality. There is a risk that these bodies might adopt new laws 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69" w:name="page70"/>
    <w:bookmarkEnd w:id="6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regulations relating to PFOF practices and best execution requirements as a result of such heightened scrutiny or otherwise. For instance, the SEC previously proposed rules relating to best execution requirements in December 2022 but formally withdrew them in June 2025. Any such new laws or regulations could have a material adverse impact on our business and one of our primary sources of revenue.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Maintaining adequate liquidity is crucial to our securities brokerage, cryptocurrency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These amendments, which require broker-dealer compliance by June 2026, will increase the operational complexity and burden related to such calculations and funding. Additionally, there is no definitive guidance on whether or how these rules may apply to most cryptocurrencies, and we might be adversely affected in the future if the SEC determines that they do.</w:t>
      </w:r>
    </w:p>
    <w:p>
      <w:pPr>
        <w:spacing w:after="0" w:line="193"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In addition, our clearing and carrying broker -dealer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RHD.</w:t>
      </w:r>
    </w:p>
    <w:p>
      <w:pPr>
        <w:spacing w:after="0" w:line="193"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Further, Robinhood Europe, UAB (“RHEU”) and Bitstamp Europe S.A., are licensed crypto asset service providers under the EU’s Markets in Crypto-Assets Regulation (“MiCA”), the provisions of which went into effect as of December 30, 2024. Among other requirements, 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70" w:name="page71"/>
    <w:bookmarkEnd w:id="7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For example, in May 2025, the UK’s Financial Conduct Authority (“FCA”) published three papers which announced new proposals for certain aspects of the prudential requirements for crypto firms. These proposals are largely modelled on the requirements for investment firms and, if adopted, would, among other requirements, require authorized cryptoasset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spacing w:after="0" w:line="193"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189"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Unfavorable media coverage and other events that harm our brand and reputation could adversely affect our revenue and the size, engagement, and loyalty of our customer base.</w:t>
      </w:r>
    </w:p>
    <w:p>
      <w:pPr>
        <w:spacing w:after="0" w:line="152"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receive a high volume of media coverage, which has included, and might continue to include, negative coverage regarding our products and services</w:t>
      </w:r>
    </w:p>
    <w:p>
      <w:pPr>
        <w:spacing w:after="0" w:line="235" w:lineRule="auto"/>
        <w:rPr>
          <w:sz w:val="20"/>
          <w:szCs w:val="20"/>
          <w:color w:val="auto"/>
        </w:rPr>
      </w:pPr>
      <w:r>
        <w:rPr>
          <w:rFonts w:ascii="Arial" w:cs="Arial" w:eastAsia="Arial" w:hAnsi="Arial"/>
          <w:sz w:val="15"/>
          <w:szCs w:val="15"/>
          <w:color w:val="auto"/>
        </w:rPr>
        <w:t>and the risk of our customers’ misuse or misunderstanding of our products and services, inappropriate or otherwise unauthorized behavior by our</w:t>
      </w:r>
    </w:p>
    <w:p>
      <w:pPr>
        <w:spacing w:after="0" w:line="229" w:lineRule="auto"/>
        <w:rPr>
          <w:sz w:val="20"/>
          <w:szCs w:val="20"/>
          <w:color w:val="auto"/>
        </w:rPr>
      </w:pPr>
      <w:r>
        <w:rPr>
          <w:rFonts w:ascii="Arial" w:cs="Arial" w:eastAsia="Arial" w:hAnsi="Arial"/>
          <w:sz w:val="15"/>
          <w:szCs w:val="15"/>
          <w:color w:val="auto"/>
        </w:rPr>
        <w:t>customers and litigation or regulatory activity. In addition, given our public profile, any unanticipated system disruptions, outages, technical or security-related</w:t>
      </w:r>
    </w:p>
    <w:p>
      <w:pPr>
        <w:spacing w:after="0" w:line="228" w:lineRule="auto"/>
        <w:rPr>
          <w:sz w:val="20"/>
          <w:szCs w:val="20"/>
          <w:color w:val="auto"/>
        </w:rPr>
      </w:pPr>
      <w:r>
        <w:rPr>
          <w:rFonts w:ascii="Arial" w:cs="Arial" w:eastAsia="Arial" w:hAnsi="Arial"/>
          <w:sz w:val="15"/>
          <w:szCs w:val="15"/>
          <w:color w:val="auto"/>
        </w:rPr>
        <w:t>incidents, or other performance problems relating to our platforms, such as the November 2021 Data Security Incident (as defined in Note 14 - Commitments</w:t>
      </w:r>
    </w:p>
    <w:p>
      <w:pPr>
        <w:jc w:val="both"/>
        <w:ind w:right="40" w:firstLine="4"/>
        <w:spacing w:after="0" w:line="238" w:lineRule="auto"/>
        <w:tabs>
          <w:tab w:leader="none" w:pos="1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Contingencies to our unaudited condensed consolidated financial statements in this Quarterly Report)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1" w:name="page72"/>
    <w:bookmarkEnd w:id="7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which could result in unfavorable media coverage or publicity. For example, we received customer complaints and significant media attention as a result of the Early 2021 Trading Restrictions.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Damage to our brand and reputation could also be caused by:</w:t>
      </w:r>
    </w:p>
    <w:p>
      <w:pPr>
        <w:spacing w:after="0" w:line="214" w:lineRule="exact"/>
        <w:rPr>
          <w:sz w:val="20"/>
          <w:szCs w:val="20"/>
          <w:color w:val="auto"/>
        </w:rPr>
      </w:pPr>
    </w:p>
    <w:p>
      <w:pPr>
        <w:ind w:left="560" w:right="20" w:hanging="275"/>
        <w:spacing w:after="0" w:line="266"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cybersecurity attacks, privacy or data security breaches, or other security incidents, payment disruptions or other incidents that impact the reliability of our platforms;</w:t>
      </w:r>
    </w:p>
    <w:p>
      <w:pPr>
        <w:spacing w:after="0" w:line="168" w:lineRule="exact"/>
        <w:rPr>
          <w:rFonts w:ascii="Arial" w:cs="Arial" w:eastAsia="Arial" w:hAnsi="Arial"/>
          <w:sz w:val="15"/>
          <w:szCs w:val="15"/>
          <w:color w:val="auto"/>
        </w:rPr>
      </w:pPr>
    </w:p>
    <w:p>
      <w:pPr>
        <w:jc w:val="both"/>
        <w:ind w:left="560" w:hanging="275"/>
        <w:spacing w:after="0" w:line="249"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356"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future restructurings or any similar such reductions or activities in the future;</w:t>
      </w:r>
    </w:p>
    <w:p>
      <w:pPr>
        <w:spacing w:after="0" w:line="214"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repeat imposition of temporary trading restrictions (similar to our Early 2021 Trading Restrictions), or any outright failure to meet our deposit requirements;</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litigation, regulatory actions, settlements, or investigations involving our platforms or our business;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regulators requesting or requiring us to cease offering specific products or services;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failures to comply with legal, tax and regulatory requirements;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perceived or actual weakness in our financial strength or liquidity;</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regulatory action or settlement that results in changes to, or prohibits us from offering, certain features, products or services;</w:t>
      </w:r>
    </w:p>
    <w:p>
      <w:pPr>
        <w:spacing w:after="0" w:line="214"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new policies, features, products, or services, or changes to our policies, features, products, or services, that customers or others perceive as overly restrictive, unclear, inconsistent with our values or mission, or not clearly articulated;</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 failure to operate our business in a way that is consistent with our values and mission;</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inadequate or unsatisfactory customer support experiences;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negative responses by customers, regulators, or other third parties to our business model or to particular features, products or services;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 failure to adapt to new or changing customer preferences;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our decision to offer products viewed by some as controversial;</w:t>
      </w:r>
    </w:p>
    <w:p>
      <w:pPr>
        <w:spacing w:after="0" w:line="214" w:lineRule="exact"/>
        <w:rPr>
          <w:rFonts w:ascii="Arial" w:cs="Arial" w:eastAsia="Arial" w:hAnsi="Arial"/>
          <w:sz w:val="15"/>
          <w:szCs w:val="15"/>
          <w:color w:val="auto"/>
        </w:rPr>
      </w:pPr>
    </w:p>
    <w:p>
      <w:pPr>
        <w:ind w:left="560" w:hanging="275"/>
        <w:spacing w:after="0" w:line="253"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our inability to successfully expand into new markets or make successful acquisitions of, or investments in, other companies, products or technologies;</w:t>
      </w:r>
    </w:p>
    <w:p>
      <w:pPr>
        <w:spacing w:after="0" w:line="3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 prolonged weakness in popular equities or cryptocurrencies specifically or in U.S. or international equity and cryptocurrency markets generally, or a sustained downturn in the U.S. or international economies;</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negative claims or publicity involving our culture or businesses, regardless of whether such claims are accurate; and</w:t>
      </w:r>
    </w:p>
    <w:p>
      <w:pPr>
        <w:spacing w:after="0" w:line="214"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any of the foregoing with respect to our competitors, to the extent the resulting negative perception affects the public’s perception of us or our industry as a whole.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72" w:name="page73"/>
    <w:bookmarkEnd w:id="7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could incur substantial losses from our cash and investment accounts if one or more of the financial institutions that we use fails or is taken over by the FDIC.</w:t>
      </w:r>
    </w:p>
    <w:p>
      <w:pPr>
        <w:spacing w:after="0" w:line="152"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52"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As we are a financial services company, our business, results of operations, and reputation are directly and indirectly affected by elements beyond our control, such as financial market volatility (such as we previously experienced during the COVID- 19 pandemic or have experienced and may experience in the future due to recent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 in the markets in which such transactions occur,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w:t>
      </w:r>
    </w:p>
    <w:p>
      <w:pPr>
        <w:spacing w:after="0" w:line="193"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73" w:name="page74"/>
    <w:bookmarkEnd w:id="7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281"/>
        <w:spacing w:after="0" w:line="266" w:lineRule="auto"/>
        <w:rPr>
          <w:sz w:val="20"/>
          <w:szCs w:val="20"/>
          <w:color w:val="auto"/>
        </w:rPr>
      </w:pPr>
      <w:r>
        <w:rPr>
          <w:rFonts w:ascii="Arial" w:cs="Arial" w:eastAsia="Arial" w:hAnsi="Arial"/>
          <w:sz w:val="15"/>
          <w:szCs w:val="15"/>
          <w:color w:val="auto"/>
        </w:rPr>
        <w:t>Any of these changes could cause our future performance to be uncertain or unpredictable, and could have an adverse effect on our business and results of operations.</w:t>
      </w:r>
    </w:p>
    <w:p>
      <w:pPr>
        <w:spacing w:after="0" w:line="168" w:lineRule="exact"/>
        <w:rPr>
          <w:sz w:val="20"/>
          <w:szCs w:val="20"/>
          <w:color w:val="auto"/>
        </w:rPr>
      </w:pPr>
    </w:p>
    <w:p>
      <w:pPr>
        <w:jc w:val="both"/>
        <w:ind w:right="40"/>
        <w:spacing w:after="0" w:line="277" w:lineRule="auto"/>
        <w:rPr>
          <w:sz w:val="20"/>
          <w:szCs w:val="20"/>
          <w:color w:val="auto"/>
        </w:rPr>
      </w:pPr>
      <w:r>
        <w:rPr>
          <w:rFonts w:ascii="Arial" w:cs="Arial" w:eastAsia="Arial" w:hAnsi="Arial"/>
          <w:sz w:val="15"/>
          <w:szCs w:val="15"/>
          <w:b w:val="1"/>
          <w:bCs w:val="1"/>
          <w:i w:val="1"/>
          <w:iCs w:val="1"/>
          <w:color w:val="auto"/>
        </w:rPr>
        <w:t>Our future success depends on the continuing efforts of our key employees and our ability to attract and retain senior management and other highly skilled personnel.</w:t>
      </w:r>
    </w:p>
    <w:p>
      <w:pPr>
        <w:spacing w:after="0" w:line="152" w:lineRule="exact"/>
        <w:rPr>
          <w:sz w:val="20"/>
          <w:szCs w:val="20"/>
          <w:color w:val="auto"/>
        </w:rPr>
      </w:pPr>
    </w:p>
    <w:p>
      <w:pPr>
        <w:jc w:val="both"/>
        <w:ind w:right="40" w:firstLine="281"/>
        <w:spacing w:after="0" w:line="236" w:lineRule="auto"/>
        <w:rPr>
          <w:sz w:val="20"/>
          <w:szCs w:val="20"/>
          <w:color w:val="auto"/>
        </w:rPr>
      </w:pPr>
      <w:r>
        <w:rPr>
          <w:rFonts w:ascii="Arial" w:cs="Arial" w:eastAsia="Arial" w:hAnsi="Arial"/>
          <w:sz w:val="15"/>
          <w:szCs w:val="15"/>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189" w:lineRule="exact"/>
        <w:rPr>
          <w:sz w:val="20"/>
          <w:szCs w:val="20"/>
          <w:color w:val="auto"/>
        </w:rPr>
      </w:pPr>
    </w:p>
    <w:p>
      <w:pPr>
        <w:jc w:val="both"/>
        <w:ind w:right="20" w:firstLine="281"/>
        <w:spacing w:after="0" w:line="232" w:lineRule="auto"/>
        <w:rPr>
          <w:sz w:val="20"/>
          <w:szCs w:val="20"/>
          <w:color w:val="auto"/>
        </w:rPr>
      </w:pPr>
      <w:r>
        <w:rPr>
          <w:rFonts w:ascii="Arial" w:cs="Arial" w:eastAsia="Arial" w:hAnsi="Arial"/>
          <w:sz w:val="15"/>
          <w:szCs w:val="15"/>
          <w:color w:val="auto"/>
        </w:rPr>
        <w:t>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This competition is likely to increase further due to recent changes in U.S. immigration policies and enforcement practices, particularly given the foreign national employee population from which we and other companies hire for these positions, and is likely to present increased challenges to attracting, integrating or retaining qualified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 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past restructurings, we experienced higher rates of voluntary employee attrition and declines in reported employee job satisfaction. We might continue to experience difficulty in hiring and retaining highly skilled employees with appropriate qualifications.</w:t>
      </w:r>
    </w:p>
    <w:p>
      <w:pPr>
        <w:spacing w:after="0" w:line="190"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w:t>
      </w:r>
    </w:p>
    <w:p>
      <w:pPr>
        <w:spacing w:after="0" w:line="189" w:lineRule="exact"/>
        <w:rPr>
          <w:sz w:val="20"/>
          <w:szCs w:val="20"/>
          <w:color w:val="auto"/>
        </w:rPr>
      </w:pPr>
    </w:p>
    <w:p>
      <w:pPr>
        <w:ind w:right="40" w:firstLine="281"/>
        <w:spacing w:after="0" w:line="266" w:lineRule="auto"/>
        <w:rPr>
          <w:sz w:val="20"/>
          <w:szCs w:val="20"/>
          <w:color w:val="auto"/>
        </w:rPr>
      </w:pPr>
      <w:r>
        <w:rPr>
          <w:rFonts w:ascii="Arial" w:cs="Arial" w:eastAsia="Arial" w:hAnsi="Arial"/>
          <w:sz w:val="15"/>
          <w:szCs w:val="15"/>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i w:val="1"/>
          <w:iCs w:val="1"/>
          <w:color w:val="auto"/>
        </w:rPr>
        <w:t>Acquisitions of, or investments in, other companies, products or technologies have in the past and could in the future require significant management attention, disrupt our business, dilute stockholder value, and adversely affect our results of operations.</w:t>
      </w:r>
    </w:p>
    <w:p>
      <w:pPr>
        <w:spacing w:after="0" w:line="152"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4" w:name="page75"/>
    <w:bookmarkEnd w:id="7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pending transactions are not completed, we have in the past and could in the future be subject to losses from legal fees and other expenses as well as impairment charges.</w:t>
      </w:r>
    </w:p>
    <w:p>
      <w:pPr>
        <w:spacing w:after="0" w:line="168"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and Bitstamp,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spacing w:after="0" w:line="310"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189" w:lineRule="exact"/>
        <w:rPr>
          <w:sz w:val="20"/>
          <w:szCs w:val="20"/>
          <w:color w:val="auto"/>
        </w:rPr>
      </w:pPr>
    </w:p>
    <w:p>
      <w:pPr>
        <w:jc w:val="both"/>
        <w:ind w:right="40"/>
        <w:spacing w:after="0" w:line="277" w:lineRule="auto"/>
        <w:rPr>
          <w:sz w:val="20"/>
          <w:szCs w:val="20"/>
          <w:color w:val="auto"/>
        </w:rPr>
      </w:pPr>
      <w:r>
        <w:rPr>
          <w:rFonts w:ascii="Arial" w:cs="Arial" w:eastAsia="Arial" w:hAnsi="Arial"/>
          <w:sz w:val="15"/>
          <w:szCs w:val="15"/>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52"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We currently only offer select services to the public outside the U.S. in certain jurisdictions, including brokerage services in the U.K. through Robinhood U.K., Ltd., crypto and brokerage services in the EU, through RHEU,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 the U.K., EU, the United Arab Emirates, Singapore, and the British Virgin Islands, and also offers services in other countries globally.</w:t>
      </w:r>
    </w:p>
    <w:p>
      <w:pPr>
        <w:spacing w:after="0" w:line="187"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We intend to continue expanding our operations outside of the U.S. International expansion requires significant resources and management attention and subjects us to additional regulatory, economic, operational, and political risks on top of those we already face in the U.S. There are significant risks and costs inherent in establishing and doing business in international markets, including:</w:t>
      </w:r>
    </w:p>
    <w:p>
      <w:pPr>
        <w:spacing w:after="0" w:line="182" w:lineRule="exact"/>
        <w:rPr>
          <w:sz w:val="20"/>
          <w:szCs w:val="20"/>
          <w:color w:val="auto"/>
        </w:rPr>
      </w:pPr>
    </w:p>
    <w:p>
      <w:pPr>
        <w:ind w:left="560" w:right="20" w:hanging="275"/>
        <w:spacing w:after="0" w:line="266" w:lineRule="auto"/>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68" w:lineRule="exact"/>
        <w:rPr>
          <w:rFonts w:ascii="Arial" w:cs="Arial" w:eastAsia="Arial" w:hAnsi="Arial"/>
          <w:sz w:val="15"/>
          <w:szCs w:val="15"/>
          <w:color w:val="auto"/>
        </w:rPr>
      </w:pPr>
    </w:p>
    <w:p>
      <w:pPr>
        <w:jc w:val="both"/>
        <w:ind w:left="560" w:right="20" w:hanging="275"/>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need to understand, interpret and comply with local laws, regulations and customs in multiple jurisdictions, including laws and regulations governing cryptocurrency-related, credit, payments services, derivatives,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spacing w:after="0" w:line="188" w:lineRule="exact"/>
        <w:rPr>
          <w:rFonts w:ascii="Arial" w:cs="Arial" w:eastAsia="Arial" w:hAnsi="Arial"/>
          <w:sz w:val="15"/>
          <w:szCs w:val="15"/>
          <w:color w:val="auto"/>
        </w:rPr>
      </w:pPr>
    </w:p>
    <w:p>
      <w:pPr>
        <w:ind w:left="560" w:right="60" w:hanging="275"/>
        <w:spacing w:after="0" w:line="266" w:lineRule="auto"/>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additional complexities of any merger or acquisition activity internationally, which could subject us to additional regulatory scrutiny, approvals, obligations, costs and penalties or risk;</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need to adapt, localize, and position our products for specific countries (also known as “product-market fit”);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5" w:name="page76"/>
    <w:bookmarkEnd w:id="7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hanging="275"/>
        <w:spacing w:after="0"/>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increased exposure to foreign fraud vectors;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increased competition from local providers of similar products and services;</w:t>
      </w:r>
    </w:p>
    <w:p>
      <w:pPr>
        <w:spacing w:after="0" w:line="214"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need to offer customer support and other aspects of our offering (including websites, articles, blog posts, and customer support documentation) in various languages or locations;</w:t>
      </w:r>
    </w:p>
    <w:p>
      <w:pPr>
        <w:spacing w:after="0" w:line="168" w:lineRule="exact"/>
        <w:rPr>
          <w:rFonts w:ascii="Arial" w:cs="Arial" w:eastAsia="Arial" w:hAnsi="Arial"/>
          <w:sz w:val="15"/>
          <w:szCs w:val="15"/>
          <w:color w:val="auto"/>
        </w:rPr>
      </w:pPr>
    </w:p>
    <w:p>
      <w:pPr>
        <w:ind w:left="560" w:right="6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compliance with anti-bribery and anti-corruption laws, such as the Foreign Corrupt Practices Act (“FCPA”) and equivalent anti-money laundering (“AML”) and sanctions rules and requirements in local markets, by us, our employees, and our business partners;</w:t>
      </w:r>
    </w:p>
    <w:p>
      <w:pPr>
        <w:spacing w:after="0" w:line="168" w:lineRule="exact"/>
        <w:rPr>
          <w:rFonts w:ascii="Arial" w:cs="Arial" w:eastAsia="Arial" w:hAnsi="Arial"/>
          <w:sz w:val="15"/>
          <w:szCs w:val="15"/>
          <w:color w:val="auto"/>
        </w:rPr>
      </w:pPr>
    </w:p>
    <w:p>
      <w:pPr>
        <w:ind w:left="560" w:right="4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need to recruit and manage staff in new countries and regions to support international operations, and comply with employment law, tax, payroll, and benefits requirements in multiple countries;</w:t>
      </w:r>
    </w:p>
    <w:p>
      <w:pPr>
        <w:spacing w:after="0" w:line="168" w:lineRule="exact"/>
        <w:rPr>
          <w:rFonts w:ascii="Arial" w:cs="Arial" w:eastAsia="Arial" w:hAnsi="Arial"/>
          <w:sz w:val="15"/>
          <w:szCs w:val="15"/>
          <w:color w:val="auto"/>
        </w:rPr>
      </w:pPr>
    </w:p>
    <w:p>
      <w:pPr>
        <w:ind w:left="560" w:right="4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need to enter into new business partnerships with third-party service providers in order to provide products and services in the local market, or to meet regulatory obligations;</w:t>
      </w:r>
    </w:p>
    <w:p>
      <w:pPr>
        <w:spacing w:after="0" w:line="168"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varying levels of internet technology adoption and infrastructure, and increased or varying network and hosting service provider costs and differences in technology service delivery in different countries;</w:t>
      </w:r>
    </w:p>
    <w:p>
      <w:pPr>
        <w:spacing w:after="0" w:line="168" w:lineRule="exact"/>
        <w:rPr>
          <w:rFonts w:ascii="Arial" w:cs="Arial" w:eastAsia="Arial" w:hAnsi="Arial"/>
          <w:sz w:val="15"/>
          <w:szCs w:val="15"/>
          <w:color w:val="auto"/>
        </w:rPr>
      </w:pPr>
    </w:p>
    <w:p>
      <w:pPr>
        <w:ind w:left="560" w:right="4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spacing w:after="0" w:line="168" w:lineRule="exact"/>
        <w:rPr>
          <w:rFonts w:ascii="Arial" w:cs="Arial" w:eastAsia="Arial" w:hAnsi="Arial"/>
          <w:sz w:val="15"/>
          <w:szCs w:val="15"/>
          <w:color w:val="auto"/>
        </w:rPr>
      </w:pPr>
    </w:p>
    <w:p>
      <w:pPr>
        <w:ind w:left="560" w:right="40" w:hanging="275"/>
        <w:spacing w:after="0" w:line="266" w:lineRule="auto"/>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requirements of or changes in the income and other tax laws of the U.S. or the international jurisdictions in which we operate; and</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political or social change or unrest or economic instability in a specific country or region in which we operate.</w:t>
      </w:r>
    </w:p>
    <w:p>
      <w:pPr>
        <w:spacing w:after="0" w:line="214" w:lineRule="exact"/>
        <w:rPr>
          <w:sz w:val="20"/>
          <w:szCs w:val="20"/>
          <w:color w:val="auto"/>
        </w:rPr>
      </w:pPr>
    </w:p>
    <w:p>
      <w:pPr>
        <w:jc w:val="both"/>
        <w:ind w:right="40" w:firstLine="281"/>
        <w:spacing w:after="0" w:line="247" w:lineRule="auto"/>
        <w:rPr>
          <w:sz w:val="20"/>
          <w:szCs w:val="20"/>
          <w:color w:val="auto"/>
        </w:rPr>
      </w:pPr>
      <w:r>
        <w:rPr>
          <w:rFonts w:ascii="Arial" w:cs="Arial" w:eastAsia="Arial" w:hAnsi="Arial"/>
          <w:sz w:val="15"/>
          <w:szCs w:val="15"/>
          <w:color w:val="auto"/>
        </w:rPr>
        <w:t>We have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funding transaction losses due to reversals or insufficient funds.</w:t>
      </w:r>
    </w:p>
    <w:p>
      <w:pPr>
        <w:spacing w:after="0" w:line="214"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87"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6" w:name="page77"/>
    <w:bookmarkEnd w:id="7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risks may be amplified as we continue to expand our operations internationally and increase our exposure to foreign fraud vectors.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working model, which allows a subset of our employees to work remotely, subjects us to heightened operational risks.</w:t>
      </w:r>
    </w:p>
    <w:p>
      <w:pPr>
        <w:spacing w:after="0" w:line="214" w:lineRule="exact"/>
        <w:rPr>
          <w:sz w:val="20"/>
          <w:szCs w:val="20"/>
          <w:color w:val="auto"/>
        </w:rPr>
      </w:pPr>
    </w:p>
    <w:p>
      <w:pPr>
        <w:jc w:val="both"/>
        <w:ind w:right="20" w:firstLine="281"/>
        <w:spacing w:after="0" w:line="233" w:lineRule="auto"/>
        <w:rPr>
          <w:sz w:val="20"/>
          <w:szCs w:val="20"/>
          <w:color w:val="auto"/>
        </w:rPr>
      </w:pPr>
      <w:r>
        <w:rPr>
          <w:rFonts w:ascii="Arial" w:cs="Arial" w:eastAsia="Arial" w:hAnsi="Arial"/>
          <w:sz w:val="15"/>
          <w:szCs w:val="15"/>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spacing w:after="0" w:line="192"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Regulation and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extensive, complex and changing laws and regulations, and related regulatory proceedings and investigations.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these laws and regulations, or our failure to comply with these laws and regulations, could harm our business.</w:t>
      </w:r>
    </w:p>
    <w:p>
      <w:pPr>
        <w:spacing w:after="0" w:line="200" w:lineRule="exact"/>
        <w:rPr>
          <w:sz w:val="20"/>
          <w:szCs w:val="20"/>
          <w:color w:val="auto"/>
        </w:rPr>
      </w:pPr>
    </w:p>
    <w:p>
      <w:pPr>
        <w:jc w:val="both"/>
        <w:ind w:right="40" w:firstLine="281"/>
        <w:spacing w:after="0" w:line="234" w:lineRule="auto"/>
        <w:rPr>
          <w:sz w:val="20"/>
          <w:szCs w:val="20"/>
          <w:color w:val="auto"/>
        </w:rPr>
      </w:pPr>
      <w:r>
        <w:rPr>
          <w:rFonts w:ascii="Arial" w:cs="Arial" w:eastAsia="Arial" w:hAnsi="Arial"/>
          <w:sz w:val="15"/>
          <w:szCs w:val="15"/>
          <w:color w:val="auto"/>
        </w:rPr>
        <w:t>We are subject to a wide variety of local, state, federal, and international laws, regulations, licensing schemes, and industry standards in the U.S., the U.K., the EU, the United Arab Emirates, Singapore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payments services and products (such as payment processing, settlement services, and credit cards), cryptocurrency (including crypto-asset perpetuals), derivatives, trading in shares and fractional shares, fraud detection, consumer protection, AML, escheatment, sanctions regimes and export controls, data privacy, data protection, data security, as well as climate risk and environmental impact, including with respect to disclosure of greenhouse gas emissions and other metrics related to climate change.</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7" w:name="page78"/>
    <w:bookmarkEnd w:id="7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47" w:lineRule="auto"/>
        <w:rPr>
          <w:sz w:val="20"/>
          <w:szCs w:val="20"/>
          <w:color w:val="auto"/>
        </w:rPr>
      </w:pPr>
      <w:r>
        <w:rPr>
          <w:rFonts w:ascii="Arial" w:cs="Arial" w:eastAsia="Arial" w:hAnsi="Arial"/>
          <w:sz w:val="15"/>
          <w:szCs w:val="15"/>
          <w:color w:val="auto"/>
        </w:rPr>
        <w:t>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182"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Furthermore, the U.S. Congress continues to consider potential legislation relating to digital assets. For example, on July 17, 2025, the House of Representatives passed the CLARITY Act, which seeks to provide for a system of regulation of the offer and sale of digital assets by the SEC and CFTC and establish a provisional registration regime. The CLARITY Act is currently under consideration by the U.S. Senate, which released preliminary discussion drafts on July 22, 2025, and September 5, 2025, of its proposed Responsible Financial Innovation Act of 2025 (“RFIA”) that builds upon the CLARITY Act. Additionally, on July 18, 2025, the President signed into law the GENIUS Act, which establishes a federal regulatory framework for “payment stablecoins” and their issuers, as well as contemplates scope for state-only regulation. If the CLARITY Act is enacted, or as the GENIUS Act is implemented, we could be required to make significant operational changes and incur increased compliance costs.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Broker-Dealer, FCM, Investment Adviser, and Insurance Regulations</w:t>
      </w:r>
    </w:p>
    <w:p>
      <w:pPr>
        <w:spacing w:after="0" w:line="214"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As broker -dealers, our subsidiaries RHF, RHS, and TradePMR are subject to extensive regulation by federal and state regulators and SROs (and our broker-dealer subsidiary in the U.K., Robinhood U.K. Ltd (“RHUK”), is subject to extensive regulation by the FCA, and are subject to laws and regulations covering all aspects of the securities industry. Our TradePMR insurance agency subsidiary is subject to regulation by state insurance regulators. Federal and state regulators (and, in the case of RHUK, the FCA),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Our subsidiary RHD, which is registered with the CFTC as a FCM, is also subject to extensive regulation by federal and state regulators and SROs related to offering our customers Futures products.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Our subsidiaries, Robinhood Asset Management (“RAM”) and Robinhood Ventures DE, LLC (“RHV”), are or will be, as applicable, registered as investment advisers with the SEC under the Investment Advisers Act of 1940 (the “Advisers Act”). The Advisers Act mandates a variety of requirements for RIAs, including fiduciary duties, record- keeping, operational protocols, and disclosure obligations. The Advisers Act grants regulatory bodies such as the SEC significant administrative authority to govern investment advisory firms. If the SEC or other government agencies determine that RAM or RHV have not complied with relevant laws or regulations, they can impose fines, suspend registrants and individual employees, or enact other sanctions, which may include revoking RAM’s and RHV’s registration under the Advisers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78" w:name="page79"/>
    <w:bookmarkEnd w:id="7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Money-Transmitter Regulation</w:t>
      </w:r>
    </w:p>
    <w:p>
      <w:pPr>
        <w:spacing w:after="0" w:line="214"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in the U.S.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Certain Non-U.S. Regulations</w:t>
      </w:r>
    </w:p>
    <w:p>
      <w:pPr>
        <w:spacing w:after="0" w:line="214"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As investment firms and crypto-asset service providers, our subsidiaries RHEU, Bitstamp Europe S.A., Bitstamp Financial Services Ltd, Bitstamp Asia Pte. Ltd., and Bitstamp UK Limited are subject to extensive regulation by regulators in Lithuania, Luxembourg, Slovenia, Singapore, and the United Kingdom,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 asset service providers, including requirements related to governance, reserves, capital, asset safeguarding, segregation and security. In addition, our subsidiaries, RHEU and Bitstamp Financial Services Ltd. are licensed under the Markets in Financial Instruments Directive II (“MiFID”) to provide brokerage, multilateral trading facilities and/or investment advisory services. Compliance with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spacing w:after="0" w:line="187"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Certain of our subsidiaries, including Bitstamp Asia Pte. Ltd. and Bitstamp UK Limited, are registered or regulated in a number of other foreign jurisdictions and subject to oversight by the applicable regulators, including the Monetary Authority of Singapore (“MAS”) and the FCA.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 expansions of business activities, require significant and costly operational changes, impose restrictions, limitation or additional requirements on our business, products and services, or prevent us from providing our products or services in any given market. In addition, we could be subject to fines, enforcement actions and litigation if we are found to violate any of the requirements of such licenses, qualifications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79" w:name="page80"/>
    <w:bookmarkEnd w:id="7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approvals. There can be no assurance that we will be able to (or decide to) continue to apply for or obtain any such licenses, renewals, qualifications and approvals in any jurisdictions.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52"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National Futures Association or other federal agencies such as the Office of Foreign Assets Control (“OFAC”), the Financial Crimes Enforcement Network (“FinCEN”), the FDIC or CFPB, state regulatory agencies, such as the MSD, the California Attorney General’s Office, the New York State Department of Financial Services (“NYDFS”), and international regulatory agencies, such as the U.K.’s Financial Conduct Authority, Luxembourg’s Commission de Surveillance du Secteur Financier, Slovenia’s Agencija za trg vrednostnih papirjev, the Monetary Authority of Singapore, and the Bank of Lithuania,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w:t>
      </w:r>
    </w:p>
    <w:p>
      <w:pPr>
        <w:spacing w:after="0" w:line="192" w:lineRule="exact"/>
        <w:rPr>
          <w:sz w:val="20"/>
          <w:szCs w:val="20"/>
          <w:color w:val="auto"/>
        </w:rPr>
      </w:pPr>
    </w:p>
    <w:p>
      <w:pPr>
        <w:jc w:val="both"/>
        <w:ind w:left="560" w:right="20" w:hanging="275"/>
        <w:spacing w:after="0" w:line="233" w:lineRule="auto"/>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spacing w:after="0" w:line="188" w:lineRule="exact"/>
        <w:rPr>
          <w:rFonts w:ascii="Arial" w:cs="Arial" w:eastAsia="Arial" w:hAnsi="Arial"/>
          <w:sz w:val="15"/>
          <w:szCs w:val="15"/>
          <w:color w:val="auto"/>
        </w:rPr>
      </w:pPr>
    </w:p>
    <w:p>
      <w:pPr>
        <w:jc w:val="both"/>
        <w:ind w:left="560" w:hanging="275"/>
        <w:spacing w:after="0" w:line="238" w:lineRule="auto"/>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w:t>
      </w:r>
    </w:p>
    <w:p>
      <w:pPr>
        <w:spacing w:after="0" w:line="187" w:lineRule="exact"/>
        <w:rPr>
          <w:rFonts w:ascii="Arial" w:cs="Arial" w:eastAsia="Arial" w:hAnsi="Arial"/>
          <w:sz w:val="15"/>
          <w:szCs w:val="15"/>
          <w:color w:val="auto"/>
        </w:rPr>
      </w:pPr>
    </w:p>
    <w:p>
      <w:pPr>
        <w:jc w:val="both"/>
        <w:ind w:left="560" w:hanging="275"/>
        <w:spacing w:after="0" w:line="247" w:lineRule="auto"/>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August 2024, we settled a matter with the California Attorney General’s Office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182" w:lineRule="exact"/>
        <w:rPr>
          <w:rFonts w:ascii="Arial" w:cs="Arial" w:eastAsia="Arial" w:hAnsi="Arial"/>
          <w:sz w:val="15"/>
          <w:szCs w:val="15"/>
          <w:color w:val="auto"/>
        </w:rPr>
      </w:pPr>
    </w:p>
    <w:p>
      <w:pPr>
        <w:jc w:val="both"/>
        <w:ind w:left="560" w:hanging="275"/>
        <w:spacing w:after="0"/>
        <w:tabs>
          <w:tab w:leader="none" w:pos="5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January 2025, we settled multiple matters with the SEC (including investigations into Regulation SHO, the timeliness of our broker-dealers’ suspicious activity reporting (“SAR”) filings, Electronic Blue Sheets (“EBS”) submissions, various brokerage recordkeeping issues, the November 2021 Data Security Incident, and Regulation S-ID violations) in which RHF and RHS paid penalties totaling $45 million, and agreed to certain undertakings (together, the “January 2025 SEC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0" w:name="page81"/>
    <w:bookmarkEnd w:id="8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60" w:right="20" w:hanging="275"/>
        <w:spacing w:after="0" w:line="233" w:lineRule="auto"/>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March 2025, we settled multiple matters with FINRA (including investigations into RHF’s historical practice of collaring market orders, customer identification program (“CIP”), use of certain social media influencers, delivery of certain regulatory required documents to customers, and origin code designations for professional customers; RHS’s supervision of its clearing system technology, improper rejection of certain Automated Customer Account Transfer Service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Trade Reporting Facilities (“TRF”), Consolidated Audit Trail (“CAT”) Central Repository, and the OCC; and both broker-dealers’ AML programs, registration of required personnel, and supervision of trading in associated persons’ brokerage accounts) (together, the “March 2025 FINRA Settlement”). RHF and RHS paid a penalty totaling $26 million, and agreed to pay restitution of approximately $3.76 million to customers plus interest and certain undertakings.</w:t>
      </w:r>
    </w:p>
    <w:p>
      <w:pPr>
        <w:spacing w:after="0" w:line="19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These and other proceedings, some of which are described in Note 14 - Commitments &amp; Contingencies 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AML and other financial crimes regulations, cybersecurity matters, a particular cryptocurrency’s status as a “security,” and our licensing status, among other topics. These sorts of proceedings, inquiries, examinations, investigations, and other regulatory matters have in the past and might in the future subject 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w:t>
      </w:r>
    </w:p>
    <w:p>
      <w:pPr>
        <w:spacing w:after="0" w:line="190"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spacing w:after="0" w:line="353"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1" w:name="page82"/>
    <w:bookmarkEnd w:id="8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had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spacing w:after="0" w:line="187"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 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are involved in numerous litigation matters that are expensive and time consuming, and, if resolved adversely, could expose us to significant liability and reputational harm.</w:t>
      </w:r>
    </w:p>
    <w:p>
      <w:pPr>
        <w:spacing w:after="0" w:line="152"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2" w:name="page83"/>
    <w:bookmarkEnd w:id="8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182"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For more information about the legal proceedings in which we are currently involved, see Note 14 - Commitments &amp; Contingencies to our unaudited condensed consolidated financial statements in this Quarterly Report.</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are subject to governmental laws and requirements regarding anti-corruption, anti-bribery, economic and trade sanctions, AML, and counter-terror financing that could impair our ability to compete in international markets or subject us to criminal or civil liability if we violate them.</w:t>
      </w:r>
    </w:p>
    <w:p>
      <w:pPr>
        <w:spacing w:after="0" w:line="152"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We are required to comply with U.S. economic and trade sanctions administered by OFAC and we have processes in place to facilitate compliance with the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187"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are subject to the FCPA, U.S. and foreign bribery laws, and other U.S. and foreign anti-corruption laws. Anti-corruption and anti- bribery 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189"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are also subject to various AML and counter -terrorist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 primarily to AML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Although our operations are currently concentrated in the U.S., we have expanded our operations outside of the U.S. As we have started to expand internationally, we have become subject to additional non-U.S. laws, rules, regulations, and other requirements regarding economic and trade sanctions, AML, and counter-terror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336"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i w:val="1"/>
          <w:iCs w:val="1"/>
          <w:color w:val="auto"/>
        </w:rPr>
        <w:t>Our ability to offer event contracts is subject to the outcome of currently ongoing and potential future regulatory enforcement actions and litigation, as well as potential changes in federal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3" w:name="page84"/>
    <w:bookmarkEnd w:id="8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law, that could immediately or subsequently prevent us from offering, or continuing to offer, event contracts.</w:t>
      </w:r>
    </w:p>
    <w:p>
      <w:pPr>
        <w:spacing w:after="0" w:line="214" w:lineRule="exact"/>
        <w:rPr>
          <w:sz w:val="20"/>
          <w:szCs w:val="20"/>
          <w:color w:val="auto"/>
        </w:rPr>
      </w:pPr>
    </w:p>
    <w:p>
      <w:pPr>
        <w:ind w:firstLine="12"/>
        <w:spacing w:after="0" w:line="266" w:lineRule="auto"/>
        <w:rPr>
          <w:sz w:val="20"/>
          <w:szCs w:val="20"/>
          <w:color w:val="auto"/>
        </w:rPr>
      </w:pPr>
      <w:r>
        <w:rPr>
          <w:rFonts w:ascii="Arial" w:cs="Arial" w:eastAsia="Arial" w:hAnsi="Arial"/>
          <w:sz w:val="15"/>
          <w:szCs w:val="15"/>
          <w:color w:val="auto"/>
        </w:rPr>
        <w:t>Event contracts, whether offered by us or others, have drawn scrutiny from federal and state regulators and resulted in litigation that we are party to as well as litigation against other companies that offer event contracts. In particular:</w:t>
      </w:r>
    </w:p>
    <w:p>
      <w:pPr>
        <w:spacing w:after="0" w:line="168" w:lineRule="exact"/>
        <w:rPr>
          <w:sz w:val="20"/>
          <w:szCs w:val="20"/>
          <w:color w:val="auto"/>
        </w:rPr>
      </w:pPr>
    </w:p>
    <w:p>
      <w:pPr>
        <w:ind w:left="560" w:hanging="275"/>
        <w:spacing w:after="0" w:line="266"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After we began to offer certain event contracts in October 2024 related to the U.S. presidential election and in March 2025 related to the annual NCAA college basketball tournaments, we received requests for information and a subpoena from the MSD, respectively.</w:t>
      </w:r>
    </w:p>
    <w:p>
      <w:pPr>
        <w:spacing w:after="0" w:line="168" w:lineRule="exact"/>
        <w:rPr>
          <w:rFonts w:ascii="Arial" w:cs="Arial" w:eastAsia="Arial" w:hAnsi="Arial"/>
          <w:sz w:val="15"/>
          <w:szCs w:val="15"/>
          <w:color w:val="auto"/>
        </w:rPr>
      </w:pPr>
    </w:p>
    <w:p>
      <w:pPr>
        <w:jc w:val="both"/>
        <w:ind w:left="560" w:hanging="275"/>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February 2025 after we began offering sports-related event contracts tied to the pro football championship, the CFTC formally requested that RHD “not permit customers to access” sports-related event contracts “until staff can complete a review,” leading us to suspend the rollout of that product. After we began offering sports event contracts tied to the annual NCAA college basketball tournaments in March 2025 and provided the CFTC with certain information and documents, the CFTC indicated it lacked a “legal justification” to prevent us from offering access to those event contracts.</w:t>
      </w:r>
    </w:p>
    <w:p>
      <w:pPr>
        <w:spacing w:after="0" w:line="188" w:lineRule="exact"/>
        <w:rPr>
          <w:rFonts w:ascii="Arial" w:cs="Arial" w:eastAsia="Arial" w:hAnsi="Arial"/>
          <w:sz w:val="15"/>
          <w:szCs w:val="15"/>
          <w:color w:val="auto"/>
        </w:rPr>
      </w:pPr>
    </w:p>
    <w:p>
      <w:pPr>
        <w:jc w:val="both"/>
        <w:ind w:left="560" w:hanging="275"/>
        <w:spacing w:after="0"/>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addition to the MSD subpoena described above, the New Jersey Division of Gaming Enforcement issued a letter in March 2025 to RHM demanding that we, among other things, cease and desist from offering the sports event contracts, which it views as unlicensed sports wagering under state law. Other state regulators with authority over sports wagering, including in Maryland and Ohio, among others, have since sent RHM and/or RHD similar demand letters.</w:t>
      </w:r>
    </w:p>
    <w:p>
      <w:pPr>
        <w:spacing w:after="0" w:line="188" w:lineRule="exact"/>
        <w:rPr>
          <w:rFonts w:ascii="Arial" w:cs="Arial" w:eastAsia="Arial" w:hAnsi="Arial"/>
          <w:sz w:val="15"/>
          <w:szCs w:val="15"/>
          <w:color w:val="auto"/>
        </w:rPr>
      </w:pPr>
    </w:p>
    <w:p>
      <w:pPr>
        <w:jc w:val="both"/>
        <w:ind w:left="560" w:hanging="275"/>
        <w:spacing w:after="0" w:line="230"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April 8, 2025, a federal district court in Nevada issued a preliminary injunction in KalshiEx, LLC v. Hendrick, et al. preventing the Nevada Gaming Commission and Nevada Gaming Control Board from enforcing applicable Nevada state laws and pursuing civil or criminal liability against KalshiEx, LLC for offering sports-related event contracts because the Commodity Exchange Act (“CEA”) grants the CFTC exclusive jurisdiction over event contracts that are traded or executed on a designated contract market and the CFTC has approved (or at least has not disapproved) the contracts. KalshiEx filed for similar injunctive relief in New Jersey, Maryland, Ohio, and New York. On April 28, 2025, the federal district court in the New Jersey lawsuit, KalshiEx LLC v. Flaherty, et al., issued a preliminary injunction against the New Jersey gaming regulators concluding that KalshiEx has demonstrated a reasonable chance of prevailing on its preemption arguments. The New Jersey gaming regulators have appealed this decision to the Third Circuit Court of Appeals, which heard oral argument in September 2025. The U.S. District Court for the District of Maryland denied Kalshi’s motion for injunctive relief and Kalshi has appealed this decision to the Fourth Circuit Court of Appeals. Kalshi has also been sued by the Massachusetts Attorney General seeking to enforce Massachusetts state gaming laws.</w:t>
      </w:r>
    </w:p>
    <w:p>
      <w:pPr>
        <w:spacing w:after="0" w:line="1" w:lineRule="exact"/>
        <w:rPr>
          <w:rFonts w:ascii="Arial" w:cs="Arial" w:eastAsia="Arial" w:hAnsi="Arial"/>
          <w:sz w:val="15"/>
          <w:szCs w:val="15"/>
          <w:color w:val="auto"/>
        </w:rPr>
      </w:pPr>
    </w:p>
    <w:p>
      <w:pPr>
        <w:jc w:val="both"/>
        <w:ind w:left="560" w:hanging="275"/>
        <w:spacing w:after="0" w:line="234"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October 14, 2025, the U.S. District Court for the District of Nevada denied motions by North American Derivatives Exchange, Inc. (“Crypto.com”) for a judgment on the pleadings and a preliminary injunction because the Court found Crypto.com’s event contract offerings which turn on the outcome of live events, such as sports-related event contracts, as opposed to the “occurrence, nonoccurrence, or the extent of the occurrence of an event,” are not “swaps” falling within the CFTC’s exclusive jurisdiction. The district court found that Crypto.com was unlikely to prevail on its argument that the CFTC has exclusive jurisdiction over its sports-related event contracts.</w:t>
      </w:r>
    </w:p>
    <w:p>
      <w:pPr>
        <w:spacing w:after="0" w:line="187" w:lineRule="exact"/>
        <w:rPr>
          <w:rFonts w:ascii="Arial" w:cs="Arial" w:eastAsia="Arial" w:hAnsi="Arial"/>
          <w:sz w:val="15"/>
          <w:szCs w:val="15"/>
          <w:color w:val="auto"/>
        </w:rPr>
      </w:pPr>
    </w:p>
    <w:p>
      <w:pPr>
        <w:jc w:val="both"/>
        <w:ind w:left="560" w:hanging="275"/>
        <w:spacing w:after="0" w:line="238" w:lineRule="auto"/>
        <w:tabs>
          <w:tab w:leader="none" w:pos="5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August 19, 2025, RHD filed suits in the U.S. District Court for the District of Nevada and the U.S. District Court for the District of New Jersey seeking injunctive relief similar to the relief sought by Kalshi. On September 15, 2025, RHD filed suit in the U.S. District Court for the District of Massachusetts seeking similar injunctive relief. New Jersey has agreed to a preliminary injunction pending the outcome of its appeal in the Third Circuit. In Nevada and Massachusetts, the states have agreed to refrain from enforcing their state gaming laws pending the outcome of RHD’s preliminary injunction motions.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4" w:name="page85"/>
    <w:bookmarkEnd w:id="8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560" w:hanging="275"/>
        <w:spacing w:after="0" w:line="247" w:lineRule="auto"/>
        <w:tabs>
          <w:tab w:leader="none" w:pos="5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are also subject to and have been named as a defendant in lawsuits by private plaintiffs and certain Indian tribes alleging statutory and regulatory violations, including that our sports event contracts constitute illegal sports betting, and seeking, among other things, damages (including under “statute of Anne” laws providing for triple damages) and injunctive relief.</w:t>
      </w:r>
    </w:p>
    <w:p>
      <w:pPr>
        <w:spacing w:after="0" w:line="182" w:lineRule="exact"/>
        <w:rPr>
          <w:sz w:val="20"/>
          <w:szCs w:val="20"/>
          <w:color w:val="auto"/>
        </w:rPr>
      </w:pPr>
    </w:p>
    <w:p>
      <w:pPr>
        <w:jc w:val="both"/>
        <w:ind w:right="20" w:firstLine="12"/>
        <w:spacing w:after="0" w:line="231" w:lineRule="auto"/>
        <w:rPr>
          <w:sz w:val="20"/>
          <w:szCs w:val="20"/>
          <w:color w:val="auto"/>
        </w:rPr>
      </w:pPr>
      <w:r>
        <w:rPr>
          <w:rFonts w:ascii="Arial" w:cs="Arial" w:eastAsia="Arial" w:hAnsi="Arial"/>
          <w:sz w:val="15"/>
          <w:szCs w:val="15"/>
          <w:color w:val="auto"/>
        </w:rPr>
        <w:t>The outcome of these cases or new laws or regulations, changes in the interpretation of existing laws or regulations, or more rigorous 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 state laws attempting to prevent the trading of CFTC-regulated sports-related event contracts are not preempted by the CEA, or that outcome based event contracts are not “swaps” falling within the jurisdiction of the CFTC, which would likely require us to cease offering certain event contracts in one or more states (or across all jurisdictions in which we operate) and could lead to adverse litigation and regulatory actions against us for doing so. Any such decision could also result in us becoming subject to various new state-specific regulations relating to or implicating other event contracts, which would further limit our ability to offer access to event contracts within such state(s). 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advanced notice to customers. While the CFTC has previously proposed a rule amendment that has not been finalized that, if adopted by the CFTC as proposed, would likely have prohibited us from offering election event contracts (similar to the ones we offered in November 2024) in the future, the CFTC could also take broader and more expansive actions with respect to these or other event contracts without notice at any time. 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Attracting, Retaining, and Engaging Customers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52" w:lineRule="exact"/>
        <w:rPr>
          <w:sz w:val="20"/>
          <w:szCs w:val="20"/>
          <w:color w:val="auto"/>
        </w:rPr>
      </w:pPr>
    </w:p>
    <w:p>
      <w:pPr>
        <w:jc w:val="both"/>
        <w:ind w:right="20" w:firstLine="281"/>
        <w:spacing w:after="0" w:line="231" w:lineRule="auto"/>
        <w:rPr>
          <w:sz w:val="20"/>
          <w:szCs w:val="20"/>
          <w:color w:val="auto"/>
        </w:rPr>
      </w:pPr>
      <w:r>
        <w:rPr>
          <w:rFonts w:ascii="Arial" w:cs="Arial" w:eastAsia="Arial" w:hAnsi="Arial"/>
          <w:sz w:val="15"/>
          <w:szCs w:val="15"/>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85" w:name="page86"/>
    <w:bookmarkEnd w:id="8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Arial" w:cs="Arial" w:eastAsia="Arial" w:hAnsi="Arial"/>
          <w:sz w:val="15"/>
          <w:szCs w:val="15"/>
          <w:color w:val="auto"/>
        </w:rPr>
        <w:t>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ability to compete successfully in the financial services and cryptocurrency markets depends on a number of factors, including, among other things:</w:t>
      </w:r>
    </w:p>
    <w:p>
      <w:pPr>
        <w:spacing w:after="0" w:line="214" w:lineRule="exact"/>
        <w:rPr>
          <w:sz w:val="20"/>
          <w:szCs w:val="20"/>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maintaining competitive pricing;</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providing easy-to-use, innovative, and attractive products and services that are adopted by customers;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retaining customers (such as by providing effective customer support and avoiding outages, security breaches, and trading restrictions);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recruiting and retaining highly skilled personnel and senior management;</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maintaining and improving our reputation and the market perception of our brand and overall value;</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maintaining our relationships with our counterparties; and</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adjusting to a dynamic regulatory environment.</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competitive position within our markets could be adversely affected if we are unable to adequately address these factors.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If we fail to retain existing customers or attract new customers, or if our customers decrease their use of our products and services, our revenue will decline.</w:t>
      </w:r>
    </w:p>
    <w:p>
      <w:pPr>
        <w:spacing w:after="0" w:line="152" w:lineRule="exact"/>
        <w:rPr>
          <w:sz w:val="20"/>
          <w:szCs w:val="20"/>
          <w:color w:val="auto"/>
        </w:rPr>
      </w:pPr>
    </w:p>
    <w:p>
      <w:pPr>
        <w:jc w:val="both"/>
        <w:ind w:right="20" w:firstLine="281"/>
        <w:spacing w:after="0" w:line="234" w:lineRule="auto"/>
        <w:rPr>
          <w:sz w:val="20"/>
          <w:szCs w:val="20"/>
          <w:color w:val="auto"/>
        </w:rPr>
      </w:pPr>
      <w:r>
        <w:rPr>
          <w:rFonts w:ascii="Arial" w:cs="Arial" w:eastAsia="Arial" w:hAnsi="Arial"/>
          <w:sz w:val="15"/>
          <w:szCs w:val="15"/>
          <w:color w:val="auto"/>
        </w:rPr>
        <w:t>We have experienced customer growth in recent years, including a significant faction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189" w:lineRule="exact"/>
        <w:rPr>
          <w:sz w:val="20"/>
          <w:szCs w:val="20"/>
          <w:color w:val="auto"/>
        </w:rPr>
      </w:pPr>
    </w:p>
    <w:p>
      <w:pPr>
        <w:ind w:left="540" w:hanging="255"/>
        <w:spacing w:after="0"/>
        <w:tabs>
          <w:tab w:leader="none" w:pos="54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a decline in our brand and reputation;</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increased pricing for our products and services;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a shift in pricing models, including allowing customers to choose a fee-based model for cryptocurrency orders;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ineffective marketing efforts or a reduction in marketing activity;</w:t>
      </w:r>
    </w:p>
    <w:p>
      <w:pPr>
        <w:spacing w:after="0" w:line="214" w:lineRule="exact"/>
        <w:rPr>
          <w:rFonts w:ascii="Arial" w:cs="Arial" w:eastAsia="Arial" w:hAnsi="Arial"/>
          <w:sz w:val="15"/>
          <w:szCs w:val="15"/>
          <w:i w:val="1"/>
          <w:iCs w:val="1"/>
          <w:color w:val="auto"/>
        </w:rPr>
      </w:pPr>
    </w:p>
    <w:p>
      <w:pPr>
        <w:ind w:left="560" w:right="160" w:hanging="275"/>
        <w:spacing w:after="0" w:line="266" w:lineRule="auto"/>
        <w:tabs>
          <w:tab w:leader="none" w:pos="537"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certain of our customers, due to being new and inexperienced, might be less loyal to our product or less likely to maintain historical trading patterns and interest 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6" w:name="page87"/>
    <w:bookmarkEnd w:id="8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right="180" w:hanging="275"/>
        <w:spacing w:after="0" w:line="247" w:lineRule="auto"/>
        <w:tabs>
          <w:tab w:leader="none" w:pos="537"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a broad decline in the equity or other financial markets, which could result in many of these investors feeling discouraged and exiting the markets altogether (such as the bear markets that developed for equities and crypto in the second quarter of 2022 and continued into 2023 (the “2022 Bear Markets”));</w:t>
      </w:r>
    </w:p>
    <w:p>
      <w:pPr>
        <w:spacing w:after="0" w:line="182" w:lineRule="exact"/>
        <w:rPr>
          <w:rFonts w:ascii="Arial" w:cs="Arial" w:eastAsia="Arial" w:hAnsi="Arial"/>
          <w:sz w:val="15"/>
          <w:szCs w:val="15"/>
          <w:i w:val="1"/>
          <w:iCs w:val="1"/>
          <w:color w:val="auto"/>
        </w:rPr>
      </w:pPr>
    </w:p>
    <w:p>
      <w:pPr>
        <w:ind w:left="540" w:hanging="255"/>
        <w:spacing w:after="0"/>
        <w:tabs>
          <w:tab w:leader="none" w:pos="5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rising inflation resulting in less disposable income for our customers to invest;</w:t>
      </w:r>
    </w:p>
    <w:p>
      <w:pPr>
        <w:spacing w:after="0" w:line="214" w:lineRule="exact"/>
        <w:rPr>
          <w:rFonts w:ascii="Arial" w:cs="Arial" w:eastAsia="Arial" w:hAnsi="Arial"/>
          <w:sz w:val="15"/>
          <w:szCs w:val="15"/>
          <w:i w:val="1"/>
          <w:iCs w:val="1"/>
          <w:color w:val="auto"/>
        </w:rPr>
      </w:pPr>
    </w:p>
    <w:p>
      <w:pPr>
        <w:ind w:left="560" w:right="100" w:hanging="275"/>
        <w:spacing w:after="0" w:line="266" w:lineRule="auto"/>
        <w:tabs>
          <w:tab w:leader="none" w:pos="537"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our customers experiencing difficulties using the Robinhood app as intended, due to any number of reasons such as design errors, service outages, or trading restrictions imposed by us;</w:t>
      </w:r>
    </w:p>
    <w:p>
      <w:pPr>
        <w:spacing w:after="0" w:line="168" w:lineRule="exact"/>
        <w:rPr>
          <w:rFonts w:ascii="Arial" w:cs="Arial" w:eastAsia="Arial" w:hAnsi="Arial"/>
          <w:sz w:val="15"/>
          <w:szCs w:val="15"/>
          <w:i w:val="1"/>
          <w:iCs w:val="1"/>
          <w:color w:val="auto"/>
        </w:rPr>
      </w:pPr>
    </w:p>
    <w:p>
      <w:pPr>
        <w:ind w:left="540" w:hanging="255"/>
        <w:spacing w:after="0"/>
        <w:tabs>
          <w:tab w:leader="none" w:pos="5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our customers experiencing security or data breaches, account intrusions, or other unauthorized access;</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our failure to provide adequate customer service;</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customer resistance to and non-acceptance of cryptocurrencies; and</w:t>
      </w:r>
    </w:p>
    <w:p>
      <w:pPr>
        <w:spacing w:after="0" w:line="214" w:lineRule="exact"/>
        <w:rPr>
          <w:rFonts w:ascii="Arial" w:cs="Arial" w:eastAsia="Arial" w:hAnsi="Arial"/>
          <w:sz w:val="15"/>
          <w:szCs w:val="15"/>
          <w:i w:val="1"/>
          <w:iCs w:val="1"/>
          <w:color w:val="auto"/>
        </w:rPr>
      </w:pPr>
    </w:p>
    <w:p>
      <w:pPr>
        <w:ind w:left="560" w:right="80" w:hanging="275"/>
        <w:spacing w:after="0" w:line="247" w:lineRule="auto"/>
        <w:tabs>
          <w:tab w:leader="none" w:pos="537" w:val="left"/>
        </w:tabs>
        <w:numPr>
          <w:ilvl w:val="0"/>
          <w:numId w:val="36"/>
        </w:numPr>
        <w:rPr>
          <w:rFonts w:ascii="Arial" w:cs="Arial" w:eastAsia="Arial" w:hAnsi="Arial"/>
          <w:sz w:val="15"/>
          <w:szCs w:val="15"/>
          <w:i w:val="1"/>
          <w:iCs w:val="1"/>
          <w:color w:val="auto"/>
        </w:rPr>
      </w:pPr>
      <w:r>
        <w:rPr>
          <w:rFonts w:ascii="Arial" w:cs="Arial" w:eastAsia="Arial" w:hAnsi="Arial"/>
          <w:sz w:val="15"/>
          <w:szCs w:val="15"/>
          <w:i w:val="1"/>
          <w:iCs w:val="1"/>
          <w:color w:val="auto"/>
        </w:rPr>
        <w:t>customer dissatisfaction with the limited number of cryptocurrencies available on our platforms or with our ceasing support for cryptocurrencies on our RHC platform because they failed our regular listing committee review, or because the SEC or a court has asserted or determined are securities or our proactively removing certain cryptocurrencies from our RHC platform because they share similarities with such cryptocurrencies.</w:t>
      </w:r>
    </w:p>
    <w:p>
      <w:pPr>
        <w:spacing w:after="0" w:line="182"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If we fail to provide and monetize new and innovative products and services that are adopted by customers, our business may become less competitive and our revenue might decline.</w:t>
      </w:r>
    </w:p>
    <w:p>
      <w:pPr>
        <w:spacing w:after="0" w:line="152"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 Risks Related to Our Business-We currently operate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7" w:name="page88"/>
    <w:bookmarkEnd w:id="8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Platforms, Systems, and Technology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71"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rely on technology, including the internet and mobile services, to conduct much of our business activity and allow our customers to conduct financial transactions on our platforms. Our systems and operations, including our cloud -based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310"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19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193" w:lineRule="exact"/>
        <w:rPr>
          <w:sz w:val="20"/>
          <w:szCs w:val="20"/>
          <w:color w:val="auto"/>
        </w:rPr>
      </w:pPr>
    </w:p>
    <w:p>
      <w:pPr>
        <w:jc w:val="both"/>
        <w:ind w:firstLine="281"/>
        <w:spacing w:after="0" w:line="266" w:lineRule="auto"/>
        <w:rPr>
          <w:sz w:val="20"/>
          <w:szCs w:val="20"/>
          <w:color w:val="auto"/>
        </w:rPr>
      </w:pPr>
      <w:r>
        <w:rPr>
          <w:rFonts w:ascii="Arial" w:cs="Arial" w:eastAsia="Arial" w:hAnsi="Arial"/>
          <w:sz w:val="15"/>
          <w:szCs w:val="15"/>
          <w:color w:val="auto"/>
        </w:rPr>
        <w:t>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88" w:name="page89"/>
    <w:bookmarkEnd w:id="8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w:t>
      </w:r>
    </w:p>
    <w:p>
      <w:pPr>
        <w:spacing w:after="0" w:line="2" w:lineRule="exact"/>
        <w:rPr>
          <w:sz w:val="20"/>
          <w:szCs w:val="20"/>
          <w:color w:val="auto"/>
        </w:rPr>
      </w:pPr>
    </w:p>
    <w:p>
      <w:pPr>
        <w:jc w:val="both"/>
        <w:ind w:right="20"/>
        <w:spacing w:after="0" w:line="230" w:lineRule="auto"/>
        <w:rPr>
          <w:sz w:val="20"/>
          <w:szCs w:val="20"/>
          <w:color w:val="auto"/>
        </w:rPr>
      </w:pPr>
      <w:r>
        <w:rPr>
          <w:rFonts w:ascii="Arial" w:cs="Arial" w:eastAsia="Arial" w:hAnsi="Arial"/>
          <w:sz w:val="15"/>
          <w:szCs w:val="15"/>
          <w:color w:val="auto"/>
        </w:rPr>
        <w:t>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 -clearing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152"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193" w:lineRule="exact"/>
        <w:rPr>
          <w:sz w:val="20"/>
          <w:szCs w:val="20"/>
          <w:color w:val="auto"/>
        </w:rPr>
      </w:pPr>
    </w:p>
    <w:p>
      <w:pPr>
        <w:jc w:val="both"/>
        <w:ind w:right="40" w:firstLine="281"/>
        <w:spacing w:after="0"/>
        <w:rPr>
          <w:sz w:val="20"/>
          <w:szCs w:val="20"/>
          <w:color w:val="auto"/>
        </w:rPr>
      </w:pPr>
      <w:r>
        <w:rPr>
          <w:rFonts w:ascii="Arial" w:cs="Arial" w:eastAsia="Arial" w:hAnsi="Arial"/>
          <w:sz w:val="15"/>
          <w:szCs w:val="15"/>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89" w:name="page90"/>
    <w:bookmarkEnd w:id="8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We rely on certain third-party computer systems or third- party service providers, including several cloud technology providers such as Amazon Web Services (on which we primarily rely to deliver our services to customers on our platforms), internet service providers, payment services providers, market and third-party data providers, regulatory services providers, clearing systems, Liquidity Providers, securities and cryptocurrency exchanges, facilitators of cryptocurrency staking services, alternative trading systems (such as BOATS with respect to Robinhood 24 Hour Market), exchange systems (such as ForecastEx, LLC and KalshiEx LLC, with respect to certain event contracts), banking systems, payment gateways that link us to the payment card and bank clearing networks to process transactions, co-location facilities, communications facilities, and other third -party facilities to run our platforms, facilitate trades by our customers (such as Wells Fargo Clearing Services, LLC for TradePMR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spacing w:after="0" w:line="190"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face a risk that our third-party service providers might be unable or unwilling to continue to provide these services to meet our current needs in an efficient, cost- 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are incorporating AI technologies into some of our products and processes. These technologies may present business, compliance, and reputational risks.</w:t>
      </w:r>
    </w:p>
    <w:p>
      <w:pPr>
        <w:spacing w:after="0" w:line="152" w:lineRule="exact"/>
        <w:rPr>
          <w:sz w:val="20"/>
          <w:szCs w:val="20"/>
          <w:color w:val="auto"/>
        </w:rPr>
      </w:pPr>
    </w:p>
    <w:p>
      <w:pPr>
        <w:jc w:val="both"/>
        <w:ind w:right="20" w:firstLine="281"/>
        <w:spacing w:after="0" w:line="234" w:lineRule="auto"/>
        <w:rPr>
          <w:sz w:val="20"/>
          <w:szCs w:val="20"/>
          <w:color w:val="auto"/>
        </w:rPr>
      </w:pPr>
      <w:r>
        <w:rPr>
          <w:rFonts w:ascii="Arial" w:cs="Arial" w:eastAsia="Arial" w:hAnsi="Arial"/>
          <w:sz w:val="15"/>
          <w:szCs w:val="15"/>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This is also via our acquisition of Pluto Capital, an AI powered investment research platform,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0" w:name="page91"/>
    <w:bookmarkEnd w:id="9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w:t>
      </w:r>
    </w:p>
    <w:p>
      <w:pPr>
        <w:spacing w:after="0" w:line="189" w:lineRule="exact"/>
        <w:rPr>
          <w:sz w:val="20"/>
          <w:szCs w:val="20"/>
          <w:color w:val="auto"/>
        </w:rPr>
      </w:pPr>
    </w:p>
    <w:p>
      <w:pPr>
        <w:jc w:val="both"/>
        <w:ind w:right="20" w:firstLine="281"/>
        <w:spacing w:after="0" w:line="234" w:lineRule="auto"/>
        <w:rPr>
          <w:sz w:val="20"/>
          <w:szCs w:val="20"/>
          <w:color w:val="auto"/>
        </w:rPr>
      </w:pPr>
      <w:r>
        <w:rPr>
          <w:rFonts w:ascii="Arial" w:cs="Arial" w:eastAsia="Arial" w:hAnsi="Arial"/>
          <w:sz w:val="15"/>
          <w:szCs w:val="15"/>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Cybersecurity and Data Privacy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52"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Our systems, including those of companies we have acquired or may seek to acquire in the future,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192"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Cybersecurity attacks and other malicious internet -based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1" w:name="page92"/>
    <w:bookmarkEnd w:id="9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Additionally, there is an increased risk that we might experience cybersecurity- 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w:t>
      </w:r>
    </w:p>
    <w:p>
      <w:pPr>
        <w:spacing w:after="0" w:line="187" w:lineRule="exact"/>
        <w:rPr>
          <w:sz w:val="20"/>
          <w:szCs w:val="20"/>
          <w:color w:val="auto"/>
        </w:rPr>
      </w:pPr>
    </w:p>
    <w:p>
      <w:pPr>
        <w:jc w:val="both"/>
        <w:ind w:firstLine="281"/>
        <w:spacing w:after="0" w:line="230" w:lineRule="auto"/>
        <w:rPr>
          <w:sz w:val="20"/>
          <w:szCs w:val="20"/>
          <w:color w:val="auto"/>
        </w:rPr>
      </w:pPr>
      <w:r>
        <w:rPr>
          <w:rFonts w:ascii="Arial" w:cs="Arial" w:eastAsia="Arial" w:hAnsi="Arial"/>
          <w:sz w:val="15"/>
          <w:szCs w:val="15"/>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late October 2024, a cyberattack occurred on our Newsroom in which a cyber 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that this third 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 party service provider’s software or systems, a failure of our third-party service providers’ safeguards, policies or procedures, or a breach of a third -party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196"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2" w:name="page93"/>
    <w:bookmarkEnd w:id="9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spacing w:after="0" w:line="168"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77"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14 - Commitments &amp; Contingencies,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w:t>
      </w:r>
    </w:p>
    <w:p>
      <w:pPr>
        <w:spacing w:after="0" w:line="217"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3" w:name="page94"/>
    <w:bookmarkEnd w:id="9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action privacy litigation in certain jurisdictions and negative publicity and reputational harm, one or all of which could have an adverse effect on our reputation,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Brokerage Products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15c3 -3, which require certain broker-dealers, including RHF and RHS, by June 2026 to increase the frequency with which they perform computations of the net cash they owe to customers and other broker-dealers from weekly to daily. A large operating loss or charge against net capital could have adverse effects on our ability to maintain or expand our business.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 -to-date,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193"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4" w:name="page95"/>
    <w:bookmarkEnd w:id="9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SEC’s investigation into these practices as part of the January 2025 SEC Settlement, paying penalties totaling $8 million and agreeing to complete an internal audit review of electronic communications retention.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potential losses as a result of our clearing and execution activities.</w:t>
      </w:r>
    </w:p>
    <w:p>
      <w:pPr>
        <w:spacing w:after="0" w:line="214" w:lineRule="exact"/>
        <w:rPr>
          <w:sz w:val="20"/>
          <w:szCs w:val="20"/>
          <w:color w:val="auto"/>
        </w:rPr>
      </w:pPr>
    </w:p>
    <w:p>
      <w:pPr>
        <w:jc w:val="both"/>
        <w:ind w:right="20" w:firstLine="281"/>
        <w:spacing w:after="0" w:line="231" w:lineRule="auto"/>
        <w:rPr>
          <w:sz w:val="20"/>
          <w:szCs w:val="20"/>
          <w:color w:val="auto"/>
        </w:rPr>
      </w:pPr>
      <w:r>
        <w:rPr>
          <w:rFonts w:ascii="Arial" w:cs="Arial" w:eastAsia="Arial" w:hAnsi="Arial"/>
          <w:sz w:val="15"/>
          <w:szCs w:val="15"/>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 -clearing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 -channel communications, retention of brokerage data, failure to maintain certain templated customer communications, EBS submissions and Regulation SHO in 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OCC, and RHS’s AML program, registration of required personnel, and supervision of trading in associated persons’ brokerage accounts. RHS, along with RHF, paid a penalty totaling $26 million and agreed to pay restitution and to certain undertakings to resolve these investigations, among others.</w:t>
      </w:r>
    </w:p>
    <w:p>
      <w:pPr>
        <w:spacing w:after="0" w:line="191" w:lineRule="exact"/>
        <w:rPr>
          <w:sz w:val="20"/>
          <w:szCs w:val="20"/>
          <w:color w:val="auto"/>
        </w:rPr>
      </w:pPr>
    </w:p>
    <w:p>
      <w:pPr>
        <w:jc w:val="both"/>
        <w:ind w:right="20" w:firstLine="281"/>
        <w:spacing w:after="0" w:line="232" w:lineRule="auto"/>
        <w:rPr>
          <w:sz w:val="20"/>
          <w:szCs w:val="20"/>
          <w:color w:val="auto"/>
        </w:rPr>
      </w:pPr>
      <w:r>
        <w:rPr>
          <w:rFonts w:ascii="Arial" w:cs="Arial" w:eastAsia="Arial" w:hAnsi="Arial"/>
          <w:sz w:val="15"/>
          <w:szCs w:val="15"/>
          <w:color w:val="auto"/>
        </w:rPr>
        <w:t>All customers can place limit orders to buy whole shares of the most traded exchange-traded funds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Liquidity Providers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spacing w:after="0" w:line="190"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95" w:name="page96"/>
    <w:bookmarkEnd w:id="9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182"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In addition, as a clearing member firm of securities and derivatives clearinghouses in the U.S.,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credit risk with customers, Liquidity Providers, and other counterparties could result in losses.</w:t>
      </w:r>
    </w:p>
    <w:p>
      <w:pPr>
        <w:spacing w:after="0" w:line="214"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We also lend and borrow securities in connection with our broker- 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192"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spacing w:after="0" w:line="188"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Additionally, RHD is obligated to establish and maintain an appropriate Residual Interest Targeted Amount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6" w:name="page97"/>
    <w:bookmarkEnd w:id="9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As a result of our acquisition of Bitstamp, we now provide additional cryptocurrency products and services to institutional customers both in the U.S. and internationally, including products and services such as retail lending, on -exchange lending, off-exchange settlement, post-trade settlement, and perpetual futures exchange. These offerings to certain institutional clients expose us to risks we have not historically faced at scale, including credit risk.</w:t>
      </w:r>
    </w:p>
    <w:p>
      <w:pPr>
        <w:spacing w:after="0" w:line="182" w:lineRule="exact"/>
        <w:rPr>
          <w:sz w:val="20"/>
          <w:szCs w:val="20"/>
          <w:color w:val="auto"/>
        </w:rPr>
      </w:pPr>
    </w:p>
    <w:p>
      <w:pPr>
        <w:jc w:val="both"/>
        <w:ind w:firstLine="281"/>
        <w:spacing w:after="0" w:line="266" w:lineRule="auto"/>
        <w:rPr>
          <w:sz w:val="20"/>
          <w:szCs w:val="20"/>
          <w:color w:val="auto"/>
        </w:rPr>
      </w:pPr>
      <w:r>
        <w:rPr>
          <w:rFonts w:ascii="Arial" w:cs="Arial" w:eastAsia="Arial" w:hAnsi="Arial"/>
          <w:sz w:val="15"/>
          <w:szCs w:val="15"/>
          <w:color w:val="auto"/>
        </w:rPr>
        <w:t>We have policies and procedures designed to manage credit risk, but we face a risk that such policies and procedures might not be fully effective. We regularly update our risk management framework and practices, but eliminating credit risk entirely is difficult.</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i w:val="1"/>
          <w:iCs w:val="1"/>
          <w:color w:val="auto"/>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171"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advisory clients. Other regulations, such as the SEC’s Regulation Best Interest and certain state broker-dealer regulations, impose heightened conduct standards and requirements on recommendations to retail investors. For example, the North American Securities Administrators Association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w:t>
      </w:r>
    </w:p>
    <w:p>
      <w:pPr>
        <w:spacing w:after="0" w:line="192"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also provide customers with a variety of educational materials in various jurisdictions,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members have access to Cortex, which is an AI-powered assistant that enhances Robinhood product offerings with tailored insights and information, stock research reports prepared by our third-party collaborator, Morningstar, Inc., and Level II market data from Nasdaq.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If services that we do not consider to be recommendations (such as educational materials, and our editorial offerings, including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 these services or discontinue them altogether, one or more of which could have an adverse effect on our ability to attract and retain customers.</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7" w:name="page98"/>
    <w:bookmarkEnd w:id="9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i w:val="1"/>
          <w:iCs w:val="1"/>
          <w:color w:val="auto"/>
        </w:rPr>
        <w:t>Our wholly- owned subsidiary, RHV, will serve as the investment adviser to Robinhood Ventures Fund I, a closed-end investment company, which will subject us to additional burdens and risks and could subject us to potential liability.</w:t>
      </w:r>
    </w:p>
    <w:p>
      <w:pPr>
        <w:spacing w:after="0" w:line="152"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RHV, which has applied for registration as an investment adviser with the SEC under the Advisers Act, will serve as Robinhood Ventures Fund I’s (the “Fund”) investment adviser. The Fund is a newly organized Delaware statutory trust registered under the Investment Company Act of 1940, as amended (the “1940 Act”), as an externally managed, non- diversified, closed-end investment company. RHV will be responsible for making investment decisions for the Fund’s portfolio. RHV was formed in August 2025 and has limited investing history. RHV’s service as an investment adviser to the Fund will subject us to additional burdens risks and could subject us to potential liability, including but not limited to:</w:t>
      </w:r>
    </w:p>
    <w:p>
      <w:pPr>
        <w:spacing w:after="0" w:line="187" w:lineRule="exact"/>
        <w:rPr>
          <w:sz w:val="20"/>
          <w:szCs w:val="20"/>
          <w:color w:val="auto"/>
        </w:rPr>
      </w:pPr>
    </w:p>
    <w:p>
      <w:pPr>
        <w:ind w:left="1120" w:hanging="273"/>
        <w:spacing w:after="0"/>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will become further subject to additional regulatory and compliance burdens. For example, the Fund is registered under the 1940 Act as an investment company. The Fund and its investment adviser, RHV, are subject to the Investment Company Act and the rules thereunder, which, among other things, regulate the relationship between a registered investment company and its investment adviser and prohibit or severely restrict principal transactions and joint transactions.</w:t>
      </w:r>
    </w:p>
    <w:p>
      <w:pPr>
        <w:spacing w:after="0" w:line="188" w:lineRule="exact"/>
        <w:rPr>
          <w:rFonts w:ascii="Arial" w:cs="Arial" w:eastAsia="Arial" w:hAnsi="Arial"/>
          <w:sz w:val="15"/>
          <w:szCs w:val="15"/>
          <w:color w:val="auto"/>
        </w:rPr>
      </w:pPr>
    </w:p>
    <w:p>
      <w:pPr>
        <w:ind w:left="1120" w:right="20" w:hanging="273"/>
        <w:spacing w:after="0" w:line="26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RHV was recently formed and while its personnel have investment experience, RHV and its management have limited experience managing a closed-end investment company registered under the 1940 Act.</w:t>
      </w:r>
    </w:p>
    <w:p>
      <w:pPr>
        <w:spacing w:after="0" w:line="168" w:lineRule="exact"/>
        <w:rPr>
          <w:rFonts w:ascii="Arial" w:cs="Arial" w:eastAsia="Arial" w:hAnsi="Arial"/>
          <w:sz w:val="15"/>
          <w:szCs w:val="15"/>
          <w:color w:val="auto"/>
        </w:rPr>
      </w:pPr>
    </w:p>
    <w:p>
      <w:pPr>
        <w:ind w:left="1120" w:hanging="273"/>
        <w:spacing w:after="0" w:line="26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RHV or its directors, officers or employees and its affiliates, successors or other legal representatives may be liable for any error of judgment, for any mistake of law or for certain types of acts or omissions by such person.</w:t>
      </w:r>
    </w:p>
    <w:p>
      <w:pPr>
        <w:spacing w:after="0" w:line="168" w:lineRule="exact"/>
        <w:rPr>
          <w:rFonts w:ascii="Arial" w:cs="Arial" w:eastAsia="Arial" w:hAnsi="Arial"/>
          <w:sz w:val="15"/>
          <w:szCs w:val="15"/>
          <w:color w:val="auto"/>
        </w:rPr>
      </w:pPr>
    </w:p>
    <w:p>
      <w:pPr>
        <w:jc w:val="both"/>
        <w:ind w:left="1120" w:right="20" w:hanging="273"/>
        <w:spacing w:after="0" w:line="238"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RHV will provide certain investment advisory, management and administrative services to the Fund pursuant to an investment advisory agreement but its provision of those services to the Fund can be terminated without penalty as specified in the investment advisory agreement. In addition, if the investors in the Fund were to be dissatisfied with the investment performance or disagree with investment strategies employed by RHV, they may seek to cause the board of directors of the Fund to terminate its investment management agreement with us or change the terms of such agreement in a manner that is less favorable to us.</w:t>
      </w:r>
    </w:p>
    <w:p>
      <w:pPr>
        <w:spacing w:after="0" w:line="187" w:lineRule="exact"/>
        <w:rPr>
          <w:rFonts w:ascii="Arial" w:cs="Arial" w:eastAsia="Arial" w:hAnsi="Arial"/>
          <w:sz w:val="15"/>
          <w:szCs w:val="15"/>
          <w:color w:val="auto"/>
        </w:rPr>
      </w:pPr>
    </w:p>
    <w:p>
      <w:pPr>
        <w:ind w:left="1120" w:hanging="273"/>
        <w:spacing w:after="0" w:line="26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timing and amount of management fees generated by the Fund are uncertain and depend on the Fund’s investment performance and opportunities for realizing gains, which may be limited.</w:t>
      </w:r>
    </w:p>
    <w:p>
      <w:pPr>
        <w:spacing w:after="0" w:line="168" w:lineRule="exact"/>
        <w:rPr>
          <w:rFonts w:ascii="Arial" w:cs="Arial" w:eastAsia="Arial" w:hAnsi="Arial"/>
          <w:sz w:val="15"/>
          <w:szCs w:val="15"/>
          <w:color w:val="auto"/>
        </w:rPr>
      </w:pPr>
    </w:p>
    <w:p>
      <w:pPr>
        <w:jc w:val="both"/>
        <w:ind w:left="1120" w:hanging="273"/>
        <w:spacing w:after="0" w:line="247"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Shareholder activism involving closed-end funds has increased, including public campaigns to demand that a fund consider significant transactions such as a tender offer, merger or liquidation or seek other actions such as the termination of the fund’s investment management contract.</w:t>
      </w:r>
    </w:p>
    <w:p>
      <w:pPr>
        <w:spacing w:after="0" w:line="182" w:lineRule="exact"/>
        <w:rPr>
          <w:rFonts w:ascii="Arial" w:cs="Arial" w:eastAsia="Arial" w:hAnsi="Arial"/>
          <w:sz w:val="15"/>
          <w:szCs w:val="15"/>
          <w:color w:val="auto"/>
        </w:rPr>
      </w:pPr>
    </w:p>
    <w:p>
      <w:pPr>
        <w:ind w:left="1120" w:hanging="273"/>
        <w:spacing w:after="0" w:line="26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timing and amount of management fees generated by the Fund are uncertain and depend on the Fund’s investment performance and opportunities for realizing gains, which may be limited.</w:t>
      </w:r>
    </w:p>
    <w:p>
      <w:pPr>
        <w:spacing w:after="0" w:line="168" w:lineRule="exact"/>
        <w:rPr>
          <w:rFonts w:ascii="Arial" w:cs="Arial" w:eastAsia="Arial" w:hAnsi="Arial"/>
          <w:sz w:val="15"/>
          <w:szCs w:val="15"/>
          <w:color w:val="auto"/>
        </w:rPr>
      </w:pPr>
    </w:p>
    <w:p>
      <w:pPr>
        <w:jc w:val="both"/>
        <w:ind w:left="1120" w:hanging="273"/>
        <w:spacing w:after="0" w:line="238"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Fund is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the Fund. RHV and its affiliates will be permitted to market, organize, sponsor, act as general partner or as the primary source for transactions for other pooled investment vehicles and other accounts, which may be offered on a public or private placement basis, and to engage 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8" w:name="page99"/>
    <w:bookmarkEnd w:id="9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0" w:right="20"/>
        <w:spacing w:after="0" w:line="266" w:lineRule="auto"/>
        <w:rPr>
          <w:sz w:val="20"/>
          <w:szCs w:val="20"/>
          <w:color w:val="auto"/>
        </w:rPr>
      </w:pPr>
      <w:r>
        <w:rPr>
          <w:rFonts w:ascii="Arial" w:cs="Arial" w:eastAsia="Arial" w:hAnsi="Arial"/>
          <w:sz w:val="15"/>
          <w:szCs w:val="15"/>
          <w:color w:val="auto"/>
        </w:rPr>
        <w:t>other investment and business activities. Some of these funds and accounts may have investment strategies that overlap with the investment strategies of the Fund. Such activities may raise conflicts of interest for which the resolution may not be determinable.</w:t>
      </w:r>
    </w:p>
    <w:p>
      <w:pPr>
        <w:spacing w:after="0" w:line="168" w:lineRule="exact"/>
        <w:rPr>
          <w:sz w:val="20"/>
          <w:szCs w:val="20"/>
          <w:color w:val="auto"/>
        </w:rPr>
      </w:pPr>
    </w:p>
    <w:p>
      <w:pPr>
        <w:ind w:left="1120" w:hanging="273"/>
        <w:spacing w:after="0" w:line="266"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the Fund performs poorly or does not achieve expected returns, investors may decline to invest in any future closed-end funds we may raise or otherwise attribute the Fund’s performance to Robinhood more generally.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Any of these additional burdens and risks could subject us to potential liability and could harm our reputation and business.</w:t>
      </w:r>
    </w:p>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Our provision of brokerage and custodial services to RIAs exposes us to operational, regulatory and reputational risks.</w:t>
      </w:r>
    </w:p>
    <w:p>
      <w:pPr>
        <w:spacing w:after="0" w:line="214"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spacing w:after="0" w:line="353"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We rely heavily on proprietary and third-party technology platforms to provide brokerage, custodial, and administrative services. A failure in these systems, including outages, cyberattacks, data breaches, or programming errors, could interrupt our operations or those of our RIA clients, resulting in financial losses, regulatory exposure, or damage to our relationships with advisors and end clients.</w:t>
      </w:r>
    </w:p>
    <w:p>
      <w:pPr>
        <w:spacing w:after="0" w:line="182" w:lineRule="exact"/>
        <w:rPr>
          <w:sz w:val="20"/>
          <w:szCs w:val="20"/>
          <w:color w:val="auto"/>
        </w:rPr>
      </w:pPr>
    </w:p>
    <w:p>
      <w:pPr>
        <w:jc w:val="both"/>
        <w:ind w:firstLine="281"/>
        <w:spacing w:after="0" w:line="241" w:lineRule="auto"/>
        <w:rPr>
          <w:sz w:val="20"/>
          <w:szCs w:val="20"/>
          <w:color w:val="auto"/>
        </w:rPr>
      </w:pPr>
      <w:r>
        <w:rPr>
          <w:rFonts w:ascii="Arial" w:cs="Arial" w:eastAsia="Arial" w:hAnsi="Arial"/>
          <w:sz w:val="15"/>
          <w:szCs w:val="15"/>
          <w:color w:val="auto"/>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spacing w:after="0" w:line="359"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We may be subject to legal claims and arbitration proceedings arising from the actions or omissions of RIAs to whom we provide custodial support. Although we do not provide investment advice to end clients, disputes may arise regarding account management, trade execution, or data integrity. Any such claims could result in costly litigation, adverse judgments, or settlements.</w:t>
      </w:r>
    </w:p>
    <w:p>
      <w:pPr>
        <w:spacing w:after="0" w:line="182"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spacing w:after="0" w:line="182"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Our ability to retain and grow our RIA client base depends in part on our reputation for service quality, platform stability, and regulatory compliance. Negative publicity arising from operational failures, regulatory sanctions, or advisor misconduct may harm our brand and result in the loss of key relationships or reduced advisor onboarding.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Cryptocurrency Products and Services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99" w:name="page100"/>
    <w:bookmarkEnd w:id="9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We hold all settled cryptocurrencies in custody on behalf of customers in two types of wallets: (i) hot wallets, which are managed online, and (ii) 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 settlement operations to its wallets. As noted, Bitstamp does use third party custodians. Failures, problems or issues at these third party custodians could subject Bitstamp to various forms of risk and may have a significant impact on Bitstamp’s business and reputation, which, in turn, could harm Robinhood’s business and reputation more broadly.</w:t>
      </w:r>
    </w:p>
    <w:p>
      <w:pPr>
        <w:spacing w:after="0" w:line="189" w:lineRule="exact"/>
        <w:rPr>
          <w:sz w:val="20"/>
          <w:szCs w:val="20"/>
          <w:color w:val="auto"/>
        </w:rPr>
      </w:pPr>
    </w:p>
    <w:p>
      <w:pPr>
        <w:jc w:val="both"/>
        <w:ind w:firstLine="281"/>
        <w:spacing w:after="0" w:line="230" w:lineRule="auto"/>
        <w:rPr>
          <w:sz w:val="20"/>
          <w:szCs w:val="20"/>
          <w:color w:val="auto"/>
        </w:rPr>
      </w:pPr>
      <w:r>
        <w:rPr>
          <w:rFonts w:ascii="Arial" w:cs="Arial" w:eastAsia="Arial" w:hAnsi="Arial"/>
          <w:sz w:val="15"/>
          <w:szCs w:val="15"/>
          <w:color w:val="auto"/>
        </w:rPr>
        <w:t>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we currently expect to exclude Bitstamp, which we acquired in June 2025, from such assessment for 2025) .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including targeted physical attacks. For example, in August 2021, hackers were able to momentarily take over the Bitcoin SV (“BSV”) network, allowing them to spend coins they did not have and prevent transactions from completing. Any exposure or loss of private keys relating to, or hack or other compromise of, the hot wallets or cold wallets we use to store our customers’ cryptocurrencies could result in total loss of customers’ cryptocurrencies (because customers’ cryptocurrency balances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0" w:name="page101"/>
    <w:bookmarkEnd w:id="10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Liquidity Providers might affect the ability or willingness of our customers to trade or hold cryptocurrencies on our platforms, might result in litigation and regulatory enforcement actions, and could harm customer trust in us and our products generally.</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71"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spacing w:after="0" w:line="189" w:lineRule="exact"/>
        <w:rPr>
          <w:sz w:val="20"/>
          <w:szCs w:val="20"/>
          <w:color w:val="auto"/>
        </w:rPr>
      </w:pPr>
    </w:p>
    <w:p>
      <w:pPr>
        <w:jc w:val="both"/>
        <w:ind w:left="560" w:right="20" w:hanging="275"/>
        <w:spacing w:after="0"/>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188" w:lineRule="exact"/>
        <w:rPr>
          <w:rFonts w:ascii="Arial" w:cs="Arial" w:eastAsia="Arial" w:hAnsi="Arial"/>
          <w:sz w:val="15"/>
          <w:szCs w:val="15"/>
          <w:i w:val="1"/>
          <w:iCs w:val="1"/>
          <w:color w:val="auto"/>
        </w:rPr>
      </w:pPr>
    </w:p>
    <w:p>
      <w:pPr>
        <w:ind w:left="56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68" w:lineRule="exact"/>
        <w:rPr>
          <w:rFonts w:ascii="Arial" w:cs="Arial" w:eastAsia="Arial" w:hAnsi="Arial"/>
          <w:sz w:val="15"/>
          <w:szCs w:val="15"/>
          <w:i w:val="1"/>
          <w:iCs w:val="1"/>
          <w:color w:val="auto"/>
        </w:rPr>
      </w:pPr>
    </w:p>
    <w:p>
      <w:pPr>
        <w:ind w:left="540" w:hanging="255"/>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Changes in the rights, obligations, incentives, or rewards for the various participants in a blockchain network.</w:t>
      </w:r>
    </w:p>
    <w:p>
      <w:pPr>
        <w:spacing w:after="0" w:line="214" w:lineRule="exact"/>
        <w:rPr>
          <w:rFonts w:ascii="Arial" w:cs="Arial" w:eastAsia="Arial" w:hAnsi="Arial"/>
          <w:sz w:val="15"/>
          <w:szCs w:val="15"/>
          <w:i w:val="1"/>
          <w:iCs w:val="1"/>
          <w:color w:val="auto"/>
        </w:rPr>
      </w:pPr>
    </w:p>
    <w:p>
      <w:pPr>
        <w:ind w:left="540" w:hanging="255"/>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The maintenance and development of the software protocol of cryptocurrencies.</w:t>
      </w:r>
    </w:p>
    <w:p>
      <w:pPr>
        <w:spacing w:after="0" w:line="214"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Cryptocurrency exchanges’ deposit and withdrawal policies and practices, liquidity on such exchanges and interruptions in service from or failures of such exchanges.</w:t>
      </w:r>
    </w:p>
    <w:p>
      <w:pPr>
        <w:spacing w:after="0" w:line="168"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Regulatory measures, if any, that affect the use and value of cryptocurrencies or regulatory or judicial assertions or determinations that certain cryptocurrencies are securities.</w:t>
      </w:r>
    </w:p>
    <w:p>
      <w:pPr>
        <w:spacing w:after="0" w:line="168" w:lineRule="exact"/>
        <w:rPr>
          <w:rFonts w:ascii="Arial" w:cs="Arial" w:eastAsia="Arial" w:hAnsi="Arial"/>
          <w:sz w:val="15"/>
          <w:szCs w:val="15"/>
          <w:i w:val="1"/>
          <w:iCs w:val="1"/>
          <w:color w:val="auto"/>
        </w:rPr>
      </w:pPr>
    </w:p>
    <w:p>
      <w:pPr>
        <w:ind w:left="56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Competition for and among various cryptocurrencies that exist and market preferences and expectations with respect to adoption of individual currencies.</w:t>
      </w:r>
    </w:p>
    <w:p>
      <w:pPr>
        <w:spacing w:after="0" w:line="168" w:lineRule="exact"/>
        <w:rPr>
          <w:rFonts w:ascii="Arial" w:cs="Arial" w:eastAsia="Arial" w:hAnsi="Arial"/>
          <w:sz w:val="15"/>
          <w:szCs w:val="15"/>
          <w:i w:val="1"/>
          <w:iCs w:val="1"/>
          <w:color w:val="auto"/>
        </w:rPr>
      </w:pPr>
    </w:p>
    <w:p>
      <w:pPr>
        <w:ind w:left="540" w:hanging="255"/>
        <w:spacing w:after="0"/>
        <w:tabs>
          <w:tab w:leader="none" w:pos="5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Actual or perceived manipulation of the markets for cryptocurrencies.</w:t>
      </w:r>
    </w:p>
    <w:p>
      <w:pPr>
        <w:spacing w:after="0" w:line="214" w:lineRule="exact"/>
        <w:rPr>
          <w:rFonts w:ascii="Arial" w:cs="Arial" w:eastAsia="Arial" w:hAnsi="Arial"/>
          <w:sz w:val="15"/>
          <w:szCs w:val="15"/>
          <w:i w:val="1"/>
          <w:iCs w:val="1"/>
          <w:color w:val="auto"/>
        </w:rPr>
      </w:pPr>
    </w:p>
    <w:p>
      <w:pPr>
        <w:ind w:left="560" w:hanging="275"/>
        <w:spacing w:after="0" w:line="253"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Actual or perceived connections between cryptocurrencies (and related activities such as mining) and adverse environmental effects or illegal activities.</w:t>
      </w:r>
    </w:p>
    <w:p>
      <w:pPr>
        <w:spacing w:after="0" w:line="368"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68" w:lineRule="exact"/>
        <w:rPr>
          <w:rFonts w:ascii="Arial" w:cs="Arial" w:eastAsia="Arial" w:hAnsi="Arial"/>
          <w:sz w:val="15"/>
          <w:szCs w:val="15"/>
          <w:i w:val="1"/>
          <w:iCs w:val="1"/>
          <w:color w:val="auto"/>
        </w:rPr>
      </w:pPr>
    </w:p>
    <w:p>
      <w:pPr>
        <w:ind w:left="560" w:right="20" w:hanging="275"/>
        <w:spacing w:after="0" w:line="266" w:lineRule="auto"/>
        <w:tabs>
          <w:tab w:leader="none" w:pos="537"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Expectations with respect to the rate of inflation in the economy, monetary policies of governments, trade restrictions, and currency devaluations and revaluations.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1" w:name="page102"/>
    <w:bookmarkEnd w:id="10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 internal listing 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302" w:lineRule="exact"/>
        <w:rPr>
          <w:sz w:val="20"/>
          <w:szCs w:val="20"/>
          <w:color w:val="auto"/>
        </w:rPr>
      </w:pPr>
    </w:p>
    <w:p>
      <w:pPr>
        <w:ind w:right="20" w:firstLine="281"/>
        <w:spacing w:after="0" w:line="266" w:lineRule="auto"/>
        <w:rPr>
          <w:sz w:val="20"/>
          <w:szCs w:val="20"/>
          <w:color w:val="auto"/>
        </w:rPr>
      </w:pPr>
      <w:r>
        <w:rPr>
          <w:rFonts w:ascii="Arial" w:cs="Arial" w:eastAsia="Arial" w:hAnsi="Arial"/>
          <w:sz w:val="15"/>
          <w:szCs w:val="15"/>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168"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Although neither our board of directors nor management have to date identified any material gaps or weaknesses with respect to our existing risk management processes and policies in light of recent cryptocurrency market conditions, 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Enterprise Risk Management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Risk and Regulatory Committee of the board of directors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190"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In light of events in 2022,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187" w:lineRule="exact"/>
        <w:rPr>
          <w:sz w:val="20"/>
          <w:szCs w:val="20"/>
          <w:color w:val="auto"/>
        </w:rPr>
      </w:pPr>
    </w:p>
    <w:p>
      <w:pPr>
        <w:jc w:val="both"/>
        <w:ind w:firstLine="281"/>
        <w:spacing w:after="0" w:line="247" w:lineRule="auto"/>
        <w:rPr>
          <w:sz w:val="20"/>
          <w:szCs w:val="20"/>
          <w:color w:val="auto"/>
        </w:rPr>
      </w:pPr>
      <w:r>
        <w:rPr>
          <w:rFonts w:ascii="Arial" w:cs="Arial" w:eastAsia="Arial" w:hAnsi="Arial"/>
          <w:sz w:val="15"/>
          <w:szCs w:val="15"/>
          <w:color w:val="auto"/>
        </w:rPr>
        <w:t>In June 2025, we started offering leverage to customers of RHEU and Bitstamp Financial Services Ltd investing in crypto-asset perpetuals. By permitting customers to invest in crypto-asset perpetuals with the use of leverage, both our customers and we are subject to certain risks, especially during periods of extreme volatility in the crypto-asset markets.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2" w:name="page103"/>
    <w:bookmarkEnd w:id="10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In the U.S.,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52"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We currently facilitate customer trades for certain cryptocurrencies that we have analyzed under applicable internal policies and procedures and, for cryptocurrencies supported on our RHC and Bitstamp US platforms, that we believe are not securities under relevant U.S. federal and state securities laws. Determining whether any given cryptocurrency is a security is a highly complex, fact-driven analysis, which may change and evolve over time based on changes in the cryptocurrency and its related ecosystem and on evolving legal and regulatory developments. Different parties may reach different conclusions about the outcome of this analysis based on the same facts. The analysis may become clearer depending on the outcome in certain cases currently pending in varying stages of litigation. Further, guidance and statements from the SEC and states, including recent SEC Division of Corporation Finance (“Corp Fin”) staff statements and no-action relief, have provided some degree of additional clarity concerning the analysis for specific cryptocurrencies, although much uncertainty still exists. The SEC Staff has indicated that the determination of whether or not a cryptocurrency is a security depends on the characteristics and use of that particular asset. The SEC and the SEC Staff have previously taken positions that certain cryptocurrencies are “securities” in the context of settled or litigated enforcement actions. Although the SEC had not historically provided advance confirmation on the status of any particular cryptocurrency as a security, (i) Corp Fin staff recently published statements that they do not view the offers and sales of certain “stablecoins” and “meme coins” to constitute the offer and sale of securities under the federal securities laws;(ii) Corp Fin staff granted no-action relief on September 29, 2025 regarding the issuance of a token in connection with a decentralized physical infrastructure project and (iii) senior officials at the SEC have previously indicated that the SEC does not intend to take the position that Bitcoin or Ethereum are securities (in their current forms). However, such statements and views are not official policy statements by the SEC and reflect only the SEC Staff’s and speakers’ views, which are not binding on the SEC or any court or other agency (including, for instance, the NYDFS, which recently published a consumer alert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provides guidelines for the regulation of stablecoins in the U.S., which may differ from the views set forth in the Corp Fin staff statement). With respect to all cryptocurrencies other than Bitcoin and Ethereum, there is less certainty about whether they would be viewed as securities under the applicable federal and state securities laws. Furthermore, U.S. regulators have expressed concerns about cryptocurrency platforms adding multiple new coins, some of which they may view as unregistered securities. Additionally, the current presidential administration and control of Congress in the U.S. present considerable uncertainty as to cryptocurrency regulations and how regulators will apply the securities laws to cryptocurrencies and what changes Congress may enact with respect to cryptocurrencies. Although our policies and procedures are intended to enable us to make risk -based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w:t>
      </w:r>
    </w:p>
    <w:p>
      <w:pPr>
        <w:spacing w:after="0" w:line="197"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For example, in June 2023, the SEC charged Binance Holdings Ltd., and its affiliated U.S. entity, among others (collectively, “Binance”) and, separately, Coinbase Global, Inc., and Coinbase, Inc. (collectively,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In November 2023, the SEC brought similar charges against Payward, Inc. and Payward Ventures Inc.) (collectively,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3" w:name="page104"/>
    <w:bookmarkEnd w:id="10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Several other digital assets market participants, including us, have also announced that the SEC informed them that the SEC was terminating its investigation or enforcement action into their 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 crypto task force dedicated to developing a comprehensive and clear regulatory framework for crypto assets.” The task force will be focused on helping the SEC “draw clear regulatory lines, provide realistic paths to registration, craft sensible disclosure frameworks, and deploy enforcement resources judiciously.” The SEC formed the Crypto Task Force to provide clarity on the application of the federal securities laws to the crypto asset market and to recommend practical policy measures that aim to foster innovation and protect investors. Since formation, the Crypto Task Force has accepted written submissions on various cryptocurrency-related topics from industry participants; hosted roundtables on topics relating to security status, trading, custody, tokenization, and DeFi; and has held meetings with interested stakeholders. On July 31, 2025, SEC Chairman Paul Atkins announced the launch of “Project Crypto,” described as “a Commission-wide initiative to modernize the securities rules and regulations to enable America’s financial markets to move on-chain.” In connection with this initiative, Chairman Atkins indicated that he has asked the Crypto Task Force to work on developing proposals to implement recommendations in the July 30, 2025, President’s Working Group on Digital Asset Markets Report, as well as a potential innovation exemption. While these developments are positive, the Crypto Task Force’s work remains in the early stages and no formal rulemaking or exemptions have been proposed or adopted to date.</w:t>
      </w:r>
    </w:p>
    <w:p>
      <w:pPr>
        <w:spacing w:after="0" w:line="198"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From time to time, we also have received with respect to our RHC platform, and might in the future receive, SEC inquiries regarding specific cryptocurrencies supported on our RHC or Bitstamp US platforms and added features and since December 2022, we have received investigative subpoenas from the SEC regarding, among other topics, RHC’s supported cryptocurrencies, custody of cryptocurrencies, and platform operations. During our discussions with the SEC Staff in the fourth quarter of 2023, the Staff asserted that they are considering whether, and may recommend that the SEC find that, certain cryptocurrencies supported by our RHC platform are securities, and in the second quarter of 2024, we received a “Wells Notice” stating that the SEC Staff made a “preliminary determination” to recommend that the SEC file an enforcement action against RHC alleging violations of Sections 15(a) and 17A of the Exchange Act. On February 21, 2025, SEC Enforcement closed the investigation, advising RHC in writing that it had concluded its investigation and did not intend to move forward with recommending an enforcement action.</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4" w:name="page105"/>
    <w:bookmarkEnd w:id="10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Arial" w:cs="Arial" w:eastAsia="Arial" w:hAnsi="Arial"/>
          <w:sz w:val="15"/>
          <w:szCs w:val="15"/>
          <w:color w:val="auto"/>
        </w:rPr>
        <w:t>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327"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We continue to analyze the cryptocurrencies supported on the RHC and Bitstamp US platforms under our Crypto Listing Frameworks and Bitstamp’s similar internal policies, respectively, on a periodic basis to ensure that they continue to meet the applicable internal requirements for continued support on the RHC and Bitstamp US platforms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w:t>
      </w:r>
    </w:p>
    <w:p>
      <w:pPr>
        <w:spacing w:after="0" w:line="193"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In addition, in June 2025, we launched “Robinhood Stock Tokens” in certain jurisdictions in the EEA, which are designed to provide eligible customers in the EEA with exposure to certain U.S. exchange-listed stocks and exchange- traded funds (“ETFs”). While we currently only offer Robinhood Stock Tokens in the EEA, because the assets underlying the tokens are certain U.S. stocks and ETFs, the SEC could assert jurisdiction over our Robinhood Stock Token offering and claim that transactions in our Robinhood Stock Tokens must be conducted in compliance with applicable federal laws and regulations. See “- Our introduction of Robinhood Stock Tokens in the EEA may expose us to significant regulatory, litigation, contractual, operational, and reputational risks” for more information.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5"/>
          <w:szCs w:val="15"/>
          <w:b w:val="1"/>
          <w:bCs w:val="1"/>
          <w:i w:val="1"/>
          <w:iCs w:val="1"/>
          <w:color w:val="auto"/>
        </w:rPr>
        <w:t>If the SEC, a state regulator or a private litigant alleges that our staking services offered in the U.S. involve unregistered offers and sales of securities or unregistered securities broker -dealer activity in violation of the Securities Act, the Exchange Act or applicable state laws or regulations, and the courts agree with such plaintiff, we may be required to cease our staking activities and may be subject to monetary and other penalties.</w:t>
      </w:r>
    </w:p>
    <w:p>
      <w:pPr>
        <w:spacing w:after="0" w:line="177"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In June 2025, we announced that RHC will be offering crypto staking services to eligible customers in certain jurisdictions in the U.S.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 described under “-Risks Related to Cryptocurrency Products and Services- In the U.S., any particular cryptocurrency’s status as a “security” is subject to a high degree of uncertainty and if we have not properly characterized one or more cryptocurrencies, we might be subject to 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5" w:name="page106"/>
    <w:bookmarkEnd w:id="10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unregistered securities in violation of the Securities Act and as an unregistered broker in violation of the Exchange Act by marketing the Lido and Rocket Pool third-party liquid staking -as-a-service programs to retail customers through Consensys’ “Metamask Staking” platform. As noted above, the litigation against Binance, Coinbase, and Kraken has been dismissed, and the SEC filed a stipulation to dismiss its lawsuit against Consensys with prejudice in March 2025.</w:t>
      </w:r>
    </w:p>
    <w:p>
      <w:pPr>
        <w:spacing w:after="0" w:line="182"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believe that our staking services do not offer or sell any “securities” subject to the securities laws or SEC regulations. We also believe that the structure, terms and other characteristics of the staking services offered by RHC generally align with those described in the Staff’s Statement on Certain Protocol Staking Activities issued in May 2025, wherein the Staff stated that it is the Staff’s view that the staking services of the nature described therein do not involve the offer and sale of “securities” within the meaning of the Securities Act and the Exchange Act. However, the Staff’s statement does not constitute a rule, regulation, guidance or statement of the SEC, and may be withdrawn at any time without notice and comment by the Staff or the SEC. Accordingly, we do not know if the SEC will agree with our interpretation of the applicable federal laws or regulations, or if we will be successful if we seek relief from the courts.</w:t>
      </w:r>
    </w:p>
    <w:p>
      <w:pPr>
        <w:spacing w:after="0" w:line="336"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 services constitute unregistered securities offerings under applicable state laws and regulations. While certain of the state regulators have since dismissed their lawsuits against Coinbase with respect to its staking services, not all state regulators have done so.</w:t>
      </w:r>
    </w:p>
    <w:p>
      <w:pPr>
        <w:spacing w:after="0" w:line="189"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If the SEC, a state regulator or a private litigant were to prevail on claims that our staking services offered in the U.S. violate the Securities Act, Exchange Act or applicable state laws and regulations, we may be subject to monetary penalties, liabilities, reputational harm, and may be required to cease offering these services.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71"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Domestic and foreign regulators and governments are increasingly focused on the regulation of cryptocurrencies. In the U.S., cryptocurrencies are regulated by both federal and state authorities, depending on the context of their usage. For example, on October 13, 2023, California enacted the DFAL, which, upon effectiveness on July 1, 2026, will prohibit any person or entity engaging in digital financial asset business activity or holding itself out as being engaged in digital financial asset business activity, with or on behalf of a resident of California (including businesses with a place of business in California), unless that person or entity either (i) holds a license under the DFAL, (ii) has submitted an application for such license on or before July 1, 2026 and is awaiting approval or denial of that application, or (iii) is exempt from licensure. Once licensed, the licensee must comply with requirements related to record maintenance, fee and risk disclosures, cybersecurity, customer protection, and anti-fraud and AML. We expect to apply for a license under DFAL in connection with our cryptocurrency trading operations in California. In addition, the NYDFS requires that any persons or entity engaging in virtual currency activity for third parties in or involving New York, excluding merchants and consumers, must apply for a license, commonly referred to as a BitLicense, from the NYDFS and must comply with AML, cybersecurity, consumer protection, and financial and reporting requirements, among others, or must be chartered under the New York Banking Law and be approved by the NYDFS to engage in virtual currency business activity.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The current presidential administration and control of Congress in the U.S. also present considerable uncertainty as to future cryptocurrency regulations. Additionally,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6" w:name="page107"/>
    <w:bookmarkEnd w:id="10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regulation in response to the climate impact of cryptocurrency mining could negatively impact cryptocurrency trading on our platforms.</w:t>
      </w:r>
    </w:p>
    <w:p>
      <w:pPr>
        <w:spacing w:after="0" w:line="214" w:lineRule="exact"/>
        <w:rPr>
          <w:sz w:val="20"/>
          <w:szCs w:val="20"/>
          <w:color w:val="auto"/>
        </w:rPr>
      </w:pPr>
    </w:p>
    <w:p>
      <w:pPr>
        <w:jc w:val="both"/>
        <w:ind w:right="20" w:firstLine="281"/>
        <w:spacing w:after="0" w:line="233" w:lineRule="auto"/>
        <w:rPr>
          <w:sz w:val="20"/>
          <w:szCs w:val="20"/>
          <w:color w:val="auto"/>
        </w:rPr>
      </w:pPr>
      <w:r>
        <w:rPr>
          <w:rFonts w:ascii="Arial" w:cs="Arial" w:eastAsia="Arial" w:hAnsi="Arial"/>
          <w:sz w:val="15"/>
          <w:szCs w:val="15"/>
          <w:color w:val="auto"/>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while the staff of the SEC’s Division of Trading and Markets provided certain limited FAQ guidance on May 15, 2025 with respect to net capital considerations, no formal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spacing w:after="0" w:line="188"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RFIA, CLARITY Act and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cryptocurrency trading and might materially decrease our revenue derived from Transaction Rebates in absolute terms and as a proportion of our total revenues.</w:t>
      </w:r>
    </w:p>
    <w:p>
      <w:pPr>
        <w:spacing w:after="0" w:line="310"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In January 2023, the Bankruptcy Court for the Southern District of New York issued a ruling in In re Celsius Network LLC, that certain crypto assets held by Celsius customer accounts were the property of Celsius’s estate and that the holders of such accounts are unsecured creditors. 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18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 assets that are treated as “covered securities” if acquired on or after January 1, 2026. The implementation of these requirements, and any further legislative changes or related guidance from the Internal Revenue Service and the Treasury Department,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7" w:name="page108"/>
    <w:bookmarkEnd w:id="10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182" w:lineRule="exact"/>
        <w:rPr>
          <w:sz w:val="20"/>
          <w:szCs w:val="20"/>
          <w:color w:val="auto"/>
        </w:rPr>
      </w:pPr>
    </w:p>
    <w:p>
      <w:pPr>
        <w:jc w:val="both"/>
        <w:ind w:firstLine="281"/>
        <w:spacing w:after="0" w:line="230" w:lineRule="auto"/>
        <w:rPr>
          <w:sz w:val="20"/>
          <w:szCs w:val="20"/>
          <w:color w:val="auto"/>
        </w:rPr>
      </w:pPr>
      <w:r>
        <w:rPr>
          <w:rFonts w:ascii="Arial" w:cs="Arial" w:eastAsia="Arial" w:hAnsi="Arial"/>
          <w:sz w:val="15"/>
          <w:szCs w:val="15"/>
          <w:color w:val="auto"/>
        </w:rPr>
        <w:t>Our continued efforts to expand our business internationally also subject us to additional laws, regulations, or other government or regulatory scrutiny as discussed in “-Risks Related to Our Business-We currently operate in certain international markets and plan to further expand our international operations, which exposes us to significant new risks, and our international expansion efforts 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 crypto-asset industry participants, the crypto-asset markets, and their users, particularly trading platforms and service providers that fall within such jurisdictions’ regulatory scope. For example, the provisions of MiCA went into effect as of December 30, 2024 and the FCA announced new proposals for certain aspects of the prudential requirements for crypto firms. See “Risks Related to Our Business- We might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us to expend significant resources. In addition, any failure to comply with any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which, in turn could have a material adverse effect on our results of operations, financial condition or business. In addition, new laws or regulations, or new interpretations of existing laws or regulations, could have a materially adverse impact on our ability to operate as currently intended, or require us to obtain additional or newly -created registrations or licenses in the future and cause us to incur significant expense in order to ensure compliance. Additionally, under recommendations from FinCEN, and the Financial Action Task Force, the U.S. and several international jurisdictions in which RHEU or Bitstamp operate have imposed the Funds Travel Rule and the Funds Transfer Rule (commonly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Our Crypto Transfers, crypto staking and lending, Robinhood Wallet, and Robinhood Connect features could result in loss of customer assets, customer disputes, and other liabilities, which could harm our reputation and adversely impact trading volumes and transaction-based revenues.</w:t>
      </w:r>
    </w:p>
    <w:p>
      <w:pPr>
        <w:spacing w:after="0" w:line="375"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In the U.S., we allow customers to deposit and withdraw cryptocurrencies to and from our RHC and Bitstamp platforms through our Crypto Transfers feature in the states in which RHC or Bitstamp operates (other than New York for RHC, where RHC’s regulatory application is still pending). Since the third quarter of 2024,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 customers have access to Robinhood Connect, allowing their customers to use their RHC accounts to buy and transfer crypto, and fund their self-custody wallets.</w:t>
      </w:r>
    </w:p>
    <w:p>
      <w:pPr>
        <w:spacing w:after="0" w:line="189"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Crypto Transfers initiated by users are subject to a heightened risk of user error. Under blockchain protocol, recording a transfer of cryptocurrency on the blockchain involves both the private key of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08" w:name="page109"/>
    <w:bookmarkEnd w:id="10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w:t>
      </w:r>
    </w:p>
    <w:p>
      <w:pPr>
        <w:spacing w:after="0" w:line="187"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 -party service provider are slashed by the underlying blockchain network,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 we experience a high volume of such staking requests from customers on an ongoing basis, we could incur significant costs.</w:t>
      </w:r>
    </w:p>
    <w:p>
      <w:pPr>
        <w:spacing w:after="0" w:line="195"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Bitstamp Europe S.A., Bitstamp Limited and Bitstamp Global Limited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w:t>
      </w:r>
    </w:p>
    <w:p>
      <w:pPr>
        <w:spacing w:after="0" w:line="189" w:lineRule="exact"/>
        <w:rPr>
          <w:sz w:val="20"/>
          <w:szCs w:val="20"/>
          <w:color w:val="auto"/>
        </w:rPr>
      </w:pPr>
    </w:p>
    <w:p>
      <w:pPr>
        <w:jc w:val="both"/>
        <w:ind w:right="40" w:firstLine="281"/>
        <w:spacing w:after="0"/>
        <w:rPr>
          <w:sz w:val="20"/>
          <w:szCs w:val="20"/>
          <w:color w:val="auto"/>
        </w:rPr>
      </w:pPr>
      <w:r>
        <w:rPr>
          <w:rFonts w:ascii="Arial" w:cs="Arial" w:eastAsia="Arial" w:hAnsi="Arial"/>
          <w:sz w:val="15"/>
          <w:szCs w:val="15"/>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 negatively. Although our account agreements for Crypto Transfers and licensing agreements for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109" w:name="page110"/>
    <w:bookmarkEnd w:id="10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Robinhood Wallet disclaim responsibility for losses caused by user errors, such incidents could result in user disputes, damage to our brand and reputation, legal claims against us, and financial liabilities.</w:t>
      </w:r>
    </w:p>
    <w:p>
      <w:pPr>
        <w:spacing w:after="0" w:line="168"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AML and counter- 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temporary or permanent blockchain “fork” could adversely affect our business.</w:t>
      </w:r>
    </w:p>
    <w:p>
      <w:pPr>
        <w:spacing w:after="0" w:line="214"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 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Both Bitcoin and Ethereum protocols have been subject to “forks” that resulted in the creation of new networks, including, among others, Bitcoin Cash, BSV, Bitcoin Diamond, Bitcoin Gold, Ethereum Classic, and Ethereum Proof -of -Work.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327"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 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w:t>
      </w:r>
    </w:p>
    <w:p>
      <w:pPr>
        <w:spacing w:after="0" w:line="189" w:lineRule="exact"/>
        <w:rPr>
          <w:sz w:val="20"/>
          <w:szCs w:val="20"/>
          <w:color w:val="auto"/>
        </w:rPr>
      </w:pPr>
    </w:p>
    <w:p>
      <w:pPr>
        <w:ind w:right="20" w:firstLine="281"/>
        <w:spacing w:after="0" w:line="266" w:lineRule="auto"/>
        <w:rPr>
          <w:sz w:val="20"/>
          <w:szCs w:val="20"/>
          <w:color w:val="auto"/>
        </w:rPr>
      </w:pPr>
      <w:r>
        <w:rPr>
          <w:rFonts w:ascii="Arial" w:cs="Arial" w:eastAsia="Arial" w:hAnsi="Arial"/>
          <w:sz w:val="15"/>
          <w:szCs w:val="15"/>
          <w:color w:val="auto"/>
        </w:rPr>
        <w:t>Moreover, we might decide not to or not be able to support a cryptocurrency resulting from the fork of a network which might cause our customers to lose confidence in us or reduce their engagement on our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0" w:name="page111"/>
    <w:bookmarkEnd w:id="11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18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b w:val="1"/>
          <w:bCs w:val="1"/>
          <w:i w:val="1"/>
          <w:iCs w:val="1"/>
          <w:color w:val="auto"/>
        </w:rPr>
        <w:t>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w:t>
      </w:r>
    </w:p>
    <w:p>
      <w:pPr>
        <w:spacing w:after="0" w:line="345"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We rely heavily on third- 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cryptocurrency exchanges after customer trades are executed. Accordingly, we rely on third-party banks to facilitate cash settlements with customers’ brokerage accounts and we rely on the ability of Liquidity Providers and Bitstamp, where applicable,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68"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Liquidity Providers announced their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1" w:name="page112"/>
    <w:bookmarkEnd w:id="11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respective decisions to limit their offerings in cryptocurrency trading 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187"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We might also be harmed by the loss of any of our liquidity partners. Unlike our customers’ orders for other cryptocurrencies, which are currently fulfilled by Liquidity Providers, our RHC customers’ orders for USD Coin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52"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Our introduction of Robinhood Stock Tokens in the EEA may expose us to significant regulatory, litigation, contractual, operational, and reputational risks.</w:t>
      </w:r>
    </w:p>
    <w:p>
      <w:pPr>
        <w:spacing w:after="0" w:line="152"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In June 2025, we launched Robinhood Stock Tokens for eligible customers in certain EEA jurisdictions. These products are designed to provide economic exposure to the price performance of certain U.S. stocks issued by publicly-listed U.S. companies and certain U.S. ETFs, without conveying legal ownership or shareholder rights, such as voting rights, related to such underlying stocks and ETFs. From time to time, we have offered, and may offer, token products that reference privately-held U.S. companies in connection with certain limited promotional initiatives in certain EEA jurisdictions (the “Private Company Stock Token Promotion”). Such tokens and Robinhood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w:t>
      </w:r>
    </w:p>
    <w:p>
      <w:pPr>
        <w:spacing w:after="0" w:line="189"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The cryptocurrency industry is rapidly evolving, and the tokenization of real-world assets is a nascent development in the industry. Accordingly, there remains considerable regulatory uncertainty regarding how transactions, products, services or offerings involving tokenized real-world assets, including tokenized financial instruments,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SEC Commissioner Hester M. Peirce issued a statement noting that tokenized securities are still securities, and therefore transactions involving tokenized securities are subject to federal securities laws. Advisory committees and staff of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2" w:name="page113"/>
    <w:bookmarkEnd w:id="11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CFTC have also discussed exploring a potential regulatory framework for tokenization of assets, including tokenized collateral.</w:t>
      </w:r>
    </w:p>
    <w:p>
      <w:pPr>
        <w:spacing w:after="0" w:line="214" w:lineRule="exact"/>
        <w:rPr>
          <w:sz w:val="20"/>
          <w:szCs w:val="20"/>
          <w:color w:val="auto"/>
        </w:rPr>
      </w:pPr>
    </w:p>
    <w:p>
      <w:pPr>
        <w:jc w:val="both"/>
        <w:ind w:right="20" w:firstLine="281"/>
        <w:spacing w:after="0" w:line="235" w:lineRule="auto"/>
        <w:rPr>
          <w:sz w:val="20"/>
          <w:szCs w:val="20"/>
          <w:color w:val="auto"/>
        </w:rPr>
      </w:pPr>
      <w:r>
        <w:rPr>
          <w:rFonts w:ascii="Arial" w:cs="Arial" w:eastAsia="Arial" w:hAnsi="Arial"/>
          <w:sz w:val="15"/>
          <w:szCs w:val="15"/>
          <w:color w:val="auto"/>
        </w:rPr>
        <w:t>Regulatory approaches to tokenized real-world assets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real-world asset. In Singapore, the MAS has issued guidance stating that a crypto-asset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w:t>
      </w:r>
    </w:p>
    <w:p>
      <w:pPr>
        <w:spacing w:after="0" w:line="189"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We have offered Robinhood Stock Tokens and the Private Company Stock Token Promotion to eligible customers of RHEU in certain 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 to the extent we offer similar tokens or promotions in different jurisdictions in the future), we cannot ensure that regulators would agree with our conclusions. For example, we have received requests for clarifications from the Bank of Lithuania, which has issued RHEU licenses under MiCA and MiFID, regarding our Robinhood Stock Tokens and the Private Company Stock Token Promotion in connection with the launch of that offering. Responding to such requests may divert management attention and require us to expend additional resources. If the Bank of Lithuania determines that our Robinhood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Robinhood Stock Token offering), loss or non- renewal of existing licenses or authorizations, increased scrutiny from other regulators, loss of our customers and reputational harm. In addition, any change in applicable laws or regulations, or change in interpretations of existing laws or regulations, could have a materially adverse impact on our ability to operate our Robinhood Stock Token offering as currently intended. In addition, because the assets underlying our Robinhood Stock Tokens and the Private Company Stock Token Promotion are certain U.S. securities, the SEC or other U.S. regulators, including the CFTC, could assert jurisdiction over our Robinhood Stock Token offering or the Private Company Stock Token Promotion and claim that transactions in related tokens must be conducted in compliance with applicable U.S. laws and regulations. Such a determination could result in lawsuits, regulatory action and enforcement 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spacing w:after="0" w:line="189"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We may also face contractual or legal challenges from the issuers of the referenced securities. Some companies, particularly private companies with transfer restrictions, may object to the creation of synthetic instruments such as tokens which reference the companies’ securities and are facilitated by Robinhood or one of its affiliates holding an interest in a special purpose vehicle (“SPV”) that holds the referenced securities or instruments representing a contingent interest in the referenced securities. In such cases, the issuer may assert that our interest in the SPV is invalid, 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or the need to suspend or revise affected offerings.</w:t>
      </w:r>
    </w:p>
    <w:p>
      <w:pPr>
        <w:spacing w:after="0" w:line="188" w:lineRule="exact"/>
        <w:rPr>
          <w:sz w:val="20"/>
          <w:szCs w:val="20"/>
          <w:color w:val="auto"/>
        </w:rPr>
      </w:pPr>
    </w:p>
    <w:p>
      <w:pPr>
        <w:ind w:right="40" w:firstLine="281"/>
        <w:spacing w:after="0" w:line="266" w:lineRule="auto"/>
        <w:rPr>
          <w:sz w:val="20"/>
          <w:szCs w:val="20"/>
          <w:color w:val="auto"/>
        </w:rPr>
      </w:pPr>
      <w:r>
        <w:rPr>
          <w:rFonts w:ascii="Arial" w:cs="Arial" w:eastAsia="Arial" w:hAnsi="Arial"/>
          <w:sz w:val="15"/>
          <w:szCs w:val="15"/>
          <w:color w:val="auto"/>
        </w:rPr>
        <w:t>The Robinhood Stock Token offering and the Private Company Stock Token Promotion also involved, and could involve, operational risks, in addition to existing cryptocurrency risks. They have relied on,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3" w:name="page114"/>
    <w:bookmarkEnd w:id="11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could rely on, accurate and timely price data, functioning systems for custody and valuation, and clear communication to customers about how the tokens work. If these systems fail, or if customers misunderstand that the tokens don’t represent actual securities, we could face regulatory action, legal exposure, or reputational harm.</w:t>
      </w:r>
    </w:p>
    <w:p>
      <w:pPr>
        <w:spacing w:after="0" w:line="182"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If we are unable to adequately manage these risks, or if regulators, issuers, or other counterparties take adverse action, our Robinhood Stock Token or similar initiatives in the future could be curtailed or terminated, which could adversely affect our crypto and international business operations, expose us to significant liability and harm our brand.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Spending and Payments Products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Our spending, payments and banking products and services subject us to risks related to bank partnerships, FDIC pass-through insurance and other regulatory obligations.</w:t>
      </w:r>
    </w:p>
    <w:p>
      <w:pPr>
        <w:spacing w:after="0" w:line="152"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We offer a Spending Account (in connection with a partnership with J.P. Morgan Chase Bank, N.A.), and we have also partnered, on a non-exclusive basis, with Sutton Bank (“Sutton”), an Ohio-chartered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Additionally, Robinhood branded credit cards are issued by Coastal Bank, a Washington-chartered bank, pursuant to a partnership with Visa U.S.A. Inc. We recently began employee testing on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Our partner banks are members of the FDIC.</w:t>
      </w:r>
    </w:p>
    <w:p>
      <w:pPr>
        <w:spacing w:after="0" w:line="18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We believe our record 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As a result of the stored 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 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4" w:name="page115"/>
    <w:bookmarkEnd w:id="11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i w:val="1"/>
          <w:iCs w:val="1"/>
          <w:color w:val="auto"/>
        </w:rPr>
        <w:t>The offering of consumer credit cards through Robinhood Credit increases our exposure to customer defaults and credit risk and could result in losses.</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or public health threats (like the COVID- 19 pandemic). Additionally, if any of these factors make it economically unfeasible for us to continue to offer the Robinhood Gold Card Rewards Program and we cease to offer such rewards, it might make Robinhood Credit products less desirable to customers. Any material increase in credit losses and defaults or inability to retain existing or attract new Robinhood Credit customers could have adverse effects on our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Use of our spending, payments, and banking services for illegal activities or improper purposes could harm our business </w:t>
      </w:r>
      <w:r>
        <w:rPr>
          <w:rFonts w:ascii="Arial" w:cs="Arial" w:eastAsia="Arial" w:hAnsi="Arial"/>
          <w:sz w:val="15"/>
          <w:szCs w:val="15"/>
          <w:i w:val="1"/>
          <w:iCs w:val="1"/>
          <w:color w:val="auto"/>
        </w:rPr>
        <w:t>.</w:t>
      </w:r>
    </w:p>
    <w:p>
      <w:pPr>
        <w:spacing w:after="0" w:line="214" w:lineRule="exact"/>
        <w:rPr>
          <w:sz w:val="20"/>
          <w:szCs w:val="20"/>
          <w:color w:val="auto"/>
        </w:rPr>
      </w:pPr>
    </w:p>
    <w:p>
      <w:pPr>
        <w:jc w:val="both"/>
        <w:ind w:right="20" w:firstLine="281"/>
        <w:spacing w:after="0" w:line="232" w:lineRule="auto"/>
        <w:rPr>
          <w:sz w:val="20"/>
          <w:szCs w:val="20"/>
          <w:color w:val="auto"/>
        </w:rPr>
      </w:pPr>
      <w:r>
        <w:rPr>
          <w:rFonts w:ascii="Arial" w:cs="Arial" w:eastAsia="Arial" w:hAnsi="Arial"/>
          <w:sz w:val="15"/>
          <w:szCs w:val="15"/>
          <w:color w:val="auto"/>
        </w:rPr>
        <w:t>The highly automated nature of, and liquidity offered by, our spending and payments services to move money make us and our customers a target for illegal or improper uses, including scams and fraud directed at our stored value Spending Account, Robinhood Cash Card, Robinhood Banking accounts,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spacing w:after="0" w:line="193" w:lineRule="exact"/>
        <w:rPr>
          <w:sz w:val="20"/>
          <w:szCs w:val="20"/>
          <w:color w:val="auto"/>
        </w:rPr>
      </w:pPr>
    </w:p>
    <w:p>
      <w:pPr>
        <w:jc w:val="both"/>
        <w:ind w:right="40" w:firstLine="281"/>
        <w:spacing w:after="0" w:line="236" w:lineRule="auto"/>
        <w:rPr>
          <w:sz w:val="20"/>
          <w:szCs w:val="20"/>
          <w:color w:val="auto"/>
        </w:rPr>
      </w:pPr>
      <w:r>
        <w:rPr>
          <w:rFonts w:ascii="Arial" w:cs="Arial" w:eastAsia="Arial" w:hAnsi="Arial"/>
          <w:sz w:val="15"/>
          <w:szCs w:val="15"/>
          <w:color w:val="auto"/>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to obtain, maintain, protect, defend or enforce our intellectual property rights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115" w:name="page116"/>
    <w:bookmarkEnd w:id="11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 protection in non-U.S. countries as they would in the U.S.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spacing w:after="0" w:line="285"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 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193"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189"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We have been, and might in the future be, subject to claims that we violated third- party intellectual property rights, which, even where meritless, can be costly to defend and could materially adversely affect our business, results of operations, and financial condition.</w:t>
      </w:r>
    </w:p>
    <w:p>
      <w:pPr>
        <w:spacing w:after="0" w:line="152" w:lineRule="exact"/>
        <w:rPr>
          <w:sz w:val="20"/>
          <w:szCs w:val="20"/>
          <w:color w:val="auto"/>
        </w:rPr>
      </w:pPr>
    </w:p>
    <w:p>
      <w:pPr>
        <w:jc w:val="both"/>
        <w:ind w:firstLine="281"/>
        <w:spacing w:after="0" w:line="266" w:lineRule="auto"/>
        <w:rPr>
          <w:sz w:val="20"/>
          <w:szCs w:val="20"/>
          <w:color w:val="auto"/>
        </w:rPr>
      </w:pPr>
      <w:r>
        <w:rPr>
          <w:rFonts w:ascii="Arial" w:cs="Arial" w:eastAsia="Arial" w:hAnsi="Arial"/>
          <w:sz w:val="15"/>
          <w:szCs w:val="15"/>
          <w:color w:val="auto"/>
        </w:rPr>
        <w:t>Our success depends, in part, on our ability to develop and commercialize our products and services without infringing, misappropriating or otherwise violating the intellectual property rights of third parties.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6" w:name="page117"/>
    <w:bookmarkEnd w:id="11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187" w:lineRule="exact"/>
        <w:rPr>
          <w:sz w:val="20"/>
          <w:szCs w:val="20"/>
          <w:color w:val="auto"/>
        </w:rPr>
      </w:pPr>
    </w:p>
    <w:p>
      <w:pPr>
        <w:jc w:val="both"/>
        <w:ind w:firstLine="281"/>
        <w:spacing w:after="0" w:line="266" w:lineRule="auto"/>
        <w:rPr>
          <w:sz w:val="20"/>
          <w:szCs w:val="20"/>
          <w:color w:val="auto"/>
        </w:rPr>
      </w:pPr>
      <w:r>
        <w:rPr>
          <w:rFonts w:ascii="Arial" w:cs="Arial" w:eastAsia="Arial" w:hAnsi="Arial"/>
          <w:sz w:val="15"/>
          <w:szCs w:val="15"/>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68"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From time to time, our competitors or other third parties might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189"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52"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 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7" w:name="page118"/>
    <w:bookmarkEnd w:id="11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Arial" w:cs="Arial" w:eastAsia="Arial" w:hAnsi="Arial"/>
          <w:sz w:val="15"/>
          <w:szCs w:val="15"/>
          <w:color w:val="auto"/>
        </w:rPr>
        <w:t>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Finance, Accounting and Tax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52"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187"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coverage might be inadequate or expensive.</w:t>
      </w:r>
    </w:p>
    <w:p>
      <w:pPr>
        <w:spacing w:after="0" w:line="214"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and foreign tax laws and policies could adversely impact our tax liabilities.</w:t>
      </w:r>
    </w:p>
    <w:p>
      <w:pPr>
        <w:spacing w:after="0" w:line="214" w:lineRule="exact"/>
        <w:rPr>
          <w:sz w:val="20"/>
          <w:szCs w:val="20"/>
          <w:color w:val="auto"/>
        </w:rPr>
      </w:pPr>
    </w:p>
    <w:p>
      <w:pPr>
        <w:jc w:val="both"/>
        <w:ind w:right="20" w:firstLine="281"/>
        <w:spacing w:after="0" w:line="266" w:lineRule="auto"/>
        <w:rPr>
          <w:sz w:val="20"/>
          <w:szCs w:val="20"/>
          <w:color w:val="auto"/>
        </w:rPr>
      </w:pPr>
      <w:r>
        <w:rPr>
          <w:rFonts w:ascii="Arial" w:cs="Arial" w:eastAsia="Arial" w:hAnsi="Arial"/>
          <w:sz w:val="15"/>
          <w:szCs w:val="15"/>
          <w:color w:val="auto"/>
        </w:rPr>
        <w:t>We are, and may in the future become, subject to complex and evolving U.S. and foreign tax laws and regulations, which might in the future make changes to corporate income tax rates, the treatment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18" w:name="page119"/>
    <w:bookmarkEnd w:id="11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foreign earnings, or other income tax laws that could have an adverse impact on our business, result of operations, financial condition and cash flows.</w:t>
      </w:r>
    </w:p>
    <w:p>
      <w:pPr>
        <w:spacing w:after="0" w:line="214" w:lineRule="exact"/>
        <w:rPr>
          <w:sz w:val="20"/>
          <w:szCs w:val="20"/>
          <w:color w:val="auto"/>
        </w:rPr>
      </w:pPr>
    </w:p>
    <w:p>
      <w:pPr>
        <w:jc w:val="both"/>
        <w:ind w:right="20" w:firstLine="281"/>
        <w:spacing w:after="0" w:line="238" w:lineRule="auto"/>
        <w:rPr>
          <w:sz w:val="20"/>
          <w:szCs w:val="20"/>
          <w:color w:val="auto"/>
        </w:rPr>
      </w:pPr>
      <w:r>
        <w:rPr>
          <w:rFonts w:ascii="Arial" w:cs="Arial" w:eastAsia="Arial" w:hAnsi="Arial"/>
          <w:sz w:val="15"/>
          <w:szCs w:val="15"/>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187"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189" w:lineRule="exact"/>
        <w:rPr>
          <w:sz w:val="20"/>
          <w:szCs w:val="20"/>
          <w:color w:val="auto"/>
        </w:rPr>
      </w:pPr>
    </w:p>
    <w:p>
      <w:pPr>
        <w:jc w:val="both"/>
        <w:ind w:right="20" w:firstLine="281"/>
        <w:spacing w:after="0" w:line="235" w:lineRule="auto"/>
        <w:rPr>
          <w:sz w:val="20"/>
          <w:szCs w:val="20"/>
          <w:color w:val="auto"/>
        </w:rPr>
      </w:pPr>
      <w:r>
        <w:rPr>
          <w:rFonts w:ascii="Arial" w:cs="Arial" w:eastAsia="Arial" w:hAnsi="Arial"/>
          <w:sz w:val="15"/>
          <w:szCs w:val="15"/>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189" w:lineRule="exact"/>
        <w:rPr>
          <w:sz w:val="20"/>
          <w:szCs w:val="20"/>
          <w:color w:val="auto"/>
        </w:rPr>
      </w:pPr>
    </w:p>
    <w:p>
      <w:pPr>
        <w:jc w:val="both"/>
        <w:ind w:right="20" w:firstLine="281"/>
        <w:spacing w:after="0"/>
        <w:rPr>
          <w:sz w:val="20"/>
          <w:szCs w:val="20"/>
          <w:color w:val="auto"/>
        </w:rPr>
      </w:pPr>
      <w:r>
        <w:rPr>
          <w:rFonts w:ascii="Arial" w:cs="Arial" w:eastAsia="Arial" w:hAnsi="Arial"/>
          <w:sz w:val="15"/>
          <w:szCs w:val="15"/>
          <w:color w:val="auto"/>
        </w:rPr>
        <w:t>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net operating losses to offset future taxable income could be subject to certain limitations.</w:t>
      </w:r>
    </w:p>
    <w:p>
      <w:pPr>
        <w:spacing w:after="0" w:line="214"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5"/>
          <w:szCs w:val="15"/>
          <w:color w:val="auto"/>
        </w:rPr>
        <w:t>As of September 30, 2025, we have U.S. federal, state and non-U.S. net operating loss carryforwards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tax information reporting obligations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119" w:name="page120"/>
    <w:bookmarkEnd w:id="11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281"/>
        <w:spacing w:after="0" w:line="238" w:lineRule="auto"/>
        <w:rPr>
          <w:sz w:val="20"/>
          <w:szCs w:val="20"/>
          <w:color w:val="auto"/>
        </w:rPr>
      </w:pPr>
      <w:r>
        <w:rPr>
          <w:rFonts w:ascii="Arial" w:cs="Arial" w:eastAsia="Arial" w:hAnsi="Arial"/>
          <w:sz w:val="15"/>
          <w:szCs w:val="15"/>
          <w:color w:val="auto"/>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52" w:lineRule="exact"/>
        <w:rPr>
          <w:sz w:val="20"/>
          <w:szCs w:val="20"/>
          <w:color w:val="auto"/>
        </w:rPr>
      </w:pPr>
    </w:p>
    <w:p>
      <w:pPr>
        <w:jc w:val="both"/>
        <w:ind w:firstLine="281"/>
        <w:spacing w:after="0" w:line="231" w:lineRule="auto"/>
        <w:rPr>
          <w:sz w:val="20"/>
          <w:szCs w:val="20"/>
          <w:color w:val="auto"/>
        </w:rPr>
      </w:pPr>
      <w:r>
        <w:rPr>
          <w:rFonts w:ascii="Arial" w:cs="Arial" w:eastAsia="Arial" w:hAnsi="Arial"/>
          <w:sz w:val="15"/>
          <w:szCs w:val="15"/>
          <w:color w:val="auto"/>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 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195"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52"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0" w:name="page121"/>
    <w:bookmarkEnd w:id="12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rPr>
          <w:sz w:val="20"/>
          <w:szCs w:val="20"/>
          <w:color w:val="auto"/>
        </w:rPr>
      </w:pPr>
      <w:r>
        <w:rPr>
          <w:rFonts w:ascii="Arial" w:cs="Arial" w:eastAsia="Arial" w:hAnsi="Arial"/>
          <w:sz w:val="15"/>
          <w:szCs w:val="15"/>
          <w:color w:val="auto"/>
        </w:rPr>
        <w:t>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344"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for our Class A common stock has been and might continue to be volatile and you could lose all or part of your investment.</w:t>
      </w:r>
    </w:p>
    <w:p>
      <w:pPr>
        <w:spacing w:after="0" w:line="214"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189" w:lineRule="exact"/>
        <w:rPr>
          <w:sz w:val="20"/>
          <w:szCs w:val="20"/>
          <w:color w:val="auto"/>
        </w:rPr>
      </w:pPr>
    </w:p>
    <w:p>
      <w:pPr>
        <w:ind w:left="560" w:right="20" w:hanging="275"/>
        <w:spacing w:after="0" w:line="266" w:lineRule="auto"/>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168" w:lineRule="exact"/>
        <w:rPr>
          <w:rFonts w:ascii="Arial" w:cs="Arial" w:eastAsia="Arial" w:hAnsi="Arial"/>
          <w:sz w:val="15"/>
          <w:szCs w:val="15"/>
          <w:color w:val="auto"/>
        </w:rPr>
      </w:pPr>
    </w:p>
    <w:p>
      <w:pPr>
        <w:ind w:left="560" w:hanging="275"/>
        <w:spacing w:after="0"/>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announcements by us or our competitors of new offerings or platform features;</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the public’s perception of the quality and accuracy of our key metrics on our customer base and engagement;</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the public’s reaction to our media statements, other public announcements and filings with the SEC;</w:t>
      </w:r>
    </w:p>
    <w:p>
      <w:pPr>
        <w:spacing w:after="0" w:line="214" w:lineRule="exact"/>
        <w:rPr>
          <w:rFonts w:ascii="Arial" w:cs="Arial" w:eastAsia="Arial" w:hAnsi="Arial"/>
          <w:sz w:val="15"/>
          <w:szCs w:val="15"/>
          <w:color w:val="auto"/>
        </w:rPr>
      </w:pPr>
    </w:p>
    <w:p>
      <w:pPr>
        <w:ind w:left="560" w:hanging="275"/>
        <w:spacing w:after="0"/>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rumors and market speculation involving us or other companies in our industry;</w:t>
      </w:r>
    </w:p>
    <w:p>
      <w:pPr>
        <w:spacing w:after="0" w:line="214" w:lineRule="exact"/>
        <w:rPr>
          <w:rFonts w:ascii="Arial" w:cs="Arial" w:eastAsia="Arial" w:hAnsi="Arial"/>
          <w:sz w:val="15"/>
          <w:szCs w:val="15"/>
          <w:color w:val="auto"/>
        </w:rPr>
      </w:pPr>
    </w:p>
    <w:p>
      <w:pPr>
        <w:ind w:left="560" w:right="20" w:hanging="275"/>
        <w:spacing w:after="0" w:line="266" w:lineRule="auto"/>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the extent to which retail and other individual investors (as distinguished from institutional investors), including our customers, invest in our Class A common stock, which might result in increased volatility; and</w:t>
      </w:r>
    </w:p>
    <w:p>
      <w:pPr>
        <w:spacing w:after="0" w:line="168" w:lineRule="exact"/>
        <w:rPr>
          <w:rFonts w:ascii="Arial" w:cs="Arial" w:eastAsia="Arial" w:hAnsi="Arial"/>
          <w:sz w:val="15"/>
          <w:szCs w:val="15"/>
          <w:color w:val="auto"/>
        </w:rPr>
      </w:pPr>
    </w:p>
    <w:p>
      <w:pPr>
        <w:ind w:left="560" w:hanging="275"/>
        <w:spacing w:after="0" w:line="266" w:lineRule="auto"/>
        <w:tabs>
          <w:tab w:leader="none" w:pos="5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media coverage related to certain individuals and entities identified as having owned our stock, and any speculation related to plans to dispose of their holdings.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1" w:name="page122"/>
    <w:bookmarkEnd w:id="12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5"/>
          <w:szCs w:val="15"/>
          <w:color w:val="auto"/>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spacing w:after="0" w:line="182" w:lineRule="exact"/>
        <w:rPr>
          <w:sz w:val="20"/>
          <w:szCs w:val="20"/>
          <w:color w:val="auto"/>
        </w:rPr>
      </w:pPr>
    </w:p>
    <w:p>
      <w:pPr>
        <w:jc w:val="both"/>
        <w:ind w:right="60" w:firstLine="281"/>
        <w:spacing w:after="0" w:line="247" w:lineRule="auto"/>
        <w:rPr>
          <w:sz w:val="20"/>
          <w:szCs w:val="20"/>
          <w:color w:val="auto"/>
        </w:rPr>
      </w:pPr>
      <w:r>
        <w:rPr>
          <w:rFonts w:ascii="Arial" w:cs="Arial" w:eastAsia="Arial" w:hAnsi="Arial"/>
          <w:sz w:val="15"/>
          <w:szCs w:val="15"/>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5"/>
          <w:szCs w:val="15"/>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71" w:lineRule="exact"/>
        <w:rPr>
          <w:sz w:val="20"/>
          <w:szCs w:val="20"/>
          <w:color w:val="auto"/>
        </w:rPr>
      </w:pPr>
    </w:p>
    <w:p>
      <w:pPr>
        <w:jc w:val="both"/>
        <w:ind w:firstLine="281"/>
        <w:spacing w:after="0"/>
        <w:rPr>
          <w:sz w:val="20"/>
          <w:szCs w:val="20"/>
          <w:color w:val="auto"/>
        </w:rPr>
      </w:pPr>
      <w:r>
        <w:rPr>
          <w:rFonts w:ascii="Arial" w:cs="Arial" w:eastAsia="Arial" w:hAnsi="Arial"/>
          <w:sz w:val="15"/>
          <w:szCs w:val="15"/>
          <w:color w:val="auto"/>
        </w:rPr>
        <w:t>As of September 30, 2025, our founders and their related entities hold approximately 13% of our outstanding common stock (and, as described in the following risk factor, over 50% of the voting power of our outstanding capital stock). If our founders or other significant stockholders sell, or indicate an intent to sell, large amounts of stock in the public market, such sales, or the perception that these sales might occur, could cause the trading price of our Class A common stock to decline substantially.</w:t>
      </w:r>
    </w:p>
    <w:p>
      <w:pPr>
        <w:spacing w:after="0" w:line="189"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11 - Common Stock and Stockholders’ Equity to our unaudited condensed consolidated financial statements in this Quarterly Report) and for issuance under our Employee Share Purchase Plan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189"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5"/>
          <w:szCs w:val="15"/>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b w:val="1"/>
          <w:bCs w:val="1"/>
          <w:i w:val="1"/>
          <w:iCs w:val="1"/>
          <w:color w:val="auto"/>
        </w:rPr>
        <w:t>There are no guarantees that we will repurchase shares under the Repurchase Program or that the Repurchase Program will result in increased shareholder value.</w:t>
      </w:r>
    </w:p>
    <w:p>
      <w:pPr>
        <w:spacing w:after="0" w:line="152" w:lineRule="exact"/>
        <w:rPr>
          <w:sz w:val="20"/>
          <w:szCs w:val="20"/>
          <w:color w:val="auto"/>
        </w:rPr>
      </w:pPr>
    </w:p>
    <w:p>
      <w:pPr>
        <w:jc w:val="both"/>
        <w:ind w:firstLine="281"/>
        <w:spacing w:after="0" w:line="234" w:lineRule="auto"/>
        <w:rPr>
          <w:sz w:val="20"/>
          <w:szCs w:val="20"/>
          <w:color w:val="auto"/>
        </w:rPr>
      </w:pPr>
      <w:r>
        <w:rPr>
          <w:rFonts w:ascii="Arial" w:cs="Arial" w:eastAsia="Arial" w:hAnsi="Arial"/>
          <w:sz w:val="15"/>
          <w:szCs w:val="15"/>
          <w:color w:val="auto"/>
        </w:rPr>
        <w:t>On May 28, 2024, Robinhood announced that its board of directors approved the Repurchase Program authorizing the Company to repurchase up to $1 billion of its outstanding Class A common stock to return value to shareholders. In July 2024, Robinhood began to execute on the Repurchase Program and on April 30, 2025, we announced that the board of directors has authorized an additional $500 million, bringing the Repurchase Program authorization to a total of $1.5 billion. As of September 30, 2025, Robinhood has made share repurchases of $810 million under the Repurchase Program. While the Repurchase Program does not have an expiration date, the Company’s management expects to complete the remainder of the authorization over the next roughly two years, with flexibility to accelerate if market conditions warrant. The timing and amount of repurchase transactions will be determined by the Company from time to time at its discretion based on its evaluation of market conditions, share price, and other factors, and repurchase transactions may be made using a variety of methods, such as open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2" w:name="page123"/>
    <w:bookmarkEnd w:id="12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36" w:lineRule="auto"/>
        <w:rPr>
          <w:sz w:val="20"/>
          <w:szCs w:val="20"/>
          <w:color w:val="auto"/>
        </w:rPr>
      </w:pPr>
      <w:r>
        <w:rPr>
          <w:rFonts w:ascii="Arial" w:cs="Arial" w:eastAsia="Arial" w:hAnsi="Arial"/>
          <w:sz w:val="15"/>
          <w:szCs w:val="15"/>
          <w:color w:val="auto"/>
        </w:rPr>
        <w:t>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189"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189"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5"/>
          <w:szCs w:val="15"/>
          <w:b w:val="1"/>
          <w:bCs w:val="1"/>
          <w:i w:val="1"/>
          <w:iCs w:val="1"/>
          <w:color w:val="auto"/>
        </w:rPr>
        <w:t>The multi -class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171"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Our Class A common stock has one vote per share, our Class B common stock has 10 votes per share and our Class C common stock has no voting rights, except as otherwise required by law. Our founders and certain of their related entities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Amended and Restated Bylaws (our “Bylaws”) and the approval of any merger, consolidation, sale of all or substantially all of our assets or other major corporate transaction.</w:t>
      </w:r>
    </w:p>
    <w:p>
      <w:pPr>
        <w:spacing w:after="0" w:line="189" w:lineRule="exact"/>
        <w:rPr>
          <w:sz w:val="20"/>
          <w:szCs w:val="20"/>
          <w:color w:val="auto"/>
        </w:rPr>
      </w:pPr>
    </w:p>
    <w:p>
      <w:pPr>
        <w:jc w:val="both"/>
        <w:ind w:right="20" w:firstLine="281"/>
        <w:spacing w:after="0" w:line="235" w:lineRule="auto"/>
        <w:rPr>
          <w:sz w:val="20"/>
          <w:szCs w:val="20"/>
          <w:color w:val="auto"/>
        </w:rPr>
      </w:pPr>
      <w:r>
        <w:rPr>
          <w:rFonts w:ascii="Arial" w:cs="Arial" w:eastAsia="Arial" w:hAnsi="Arial"/>
          <w:sz w:val="15"/>
          <w:szCs w:val="15"/>
          <w:color w:val="auto"/>
        </w:rPr>
        <w:t>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123" w:name="page124"/>
    <w:bookmarkEnd w:id="12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Charter. The Founders’ Voting Agreement has the effect of concentrating voting power in our founders (or either one of them).</w:t>
      </w:r>
    </w:p>
    <w:p>
      <w:pPr>
        <w:spacing w:after="0" w:line="214" w:lineRule="exact"/>
        <w:rPr>
          <w:sz w:val="20"/>
          <w:szCs w:val="20"/>
          <w:color w:val="auto"/>
        </w:rPr>
      </w:pPr>
    </w:p>
    <w:p>
      <w:pPr>
        <w:jc w:val="both"/>
        <w:ind w:right="60" w:firstLine="281"/>
        <w:spacing w:after="0"/>
        <w:rPr>
          <w:sz w:val="20"/>
          <w:szCs w:val="20"/>
          <w:color w:val="auto"/>
        </w:rPr>
      </w:pPr>
      <w:r>
        <w:rPr>
          <w:rFonts w:ascii="Arial" w:cs="Arial" w:eastAsia="Arial" w:hAnsi="Arial"/>
          <w:sz w:val="15"/>
          <w:szCs w:val="15"/>
          <w:color w:val="auto"/>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spacing w:after="0" w:line="189"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5"/>
          <w:szCs w:val="15"/>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189" w:lineRule="exact"/>
        <w:rPr>
          <w:sz w:val="20"/>
          <w:szCs w:val="20"/>
          <w:color w:val="auto"/>
        </w:rPr>
      </w:pPr>
    </w:p>
    <w:p>
      <w:pPr>
        <w:jc w:val="both"/>
        <w:ind w:right="40" w:firstLine="281"/>
        <w:spacing w:after="0" w:line="247" w:lineRule="auto"/>
        <w:rPr>
          <w:sz w:val="20"/>
          <w:szCs w:val="20"/>
          <w:color w:val="auto"/>
        </w:rPr>
      </w:pPr>
      <w:r>
        <w:rPr>
          <w:rFonts w:ascii="Arial" w:cs="Arial" w:eastAsia="Arial" w:hAnsi="Arial"/>
          <w:sz w:val="15"/>
          <w:szCs w:val="15"/>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182" w:lineRule="exact"/>
        <w:rPr>
          <w:sz w:val="20"/>
          <w:szCs w:val="20"/>
          <w:color w:val="auto"/>
        </w:rPr>
      </w:pPr>
    </w:p>
    <w:p>
      <w:pPr>
        <w:jc w:val="both"/>
        <w:ind w:right="60"/>
        <w:spacing w:after="0" w:line="277" w:lineRule="auto"/>
        <w:rPr>
          <w:sz w:val="20"/>
          <w:szCs w:val="20"/>
          <w:color w:val="auto"/>
        </w:rPr>
      </w:pPr>
      <w:r>
        <w:rPr>
          <w:rFonts w:ascii="Arial" w:cs="Arial" w:eastAsia="Arial" w:hAnsi="Arial"/>
          <w:sz w:val="15"/>
          <w:szCs w:val="15"/>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52" w:lineRule="exact"/>
        <w:rPr>
          <w:sz w:val="20"/>
          <w:szCs w:val="20"/>
          <w:color w:val="auto"/>
        </w:rPr>
      </w:pPr>
    </w:p>
    <w:p>
      <w:pPr>
        <w:jc w:val="both"/>
        <w:ind w:firstLine="281"/>
        <w:spacing w:after="0" w:line="232" w:lineRule="auto"/>
        <w:rPr>
          <w:sz w:val="20"/>
          <w:szCs w:val="20"/>
          <w:color w:val="auto"/>
        </w:rPr>
      </w:pPr>
      <w:r>
        <w:rPr>
          <w:rFonts w:ascii="Arial" w:cs="Arial" w:eastAsia="Arial" w:hAnsi="Arial"/>
          <w:sz w:val="15"/>
          <w:szCs w:val="15"/>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187" w:lineRule="exact"/>
        <w:rPr>
          <w:sz w:val="20"/>
          <w:szCs w:val="20"/>
          <w:color w:val="auto"/>
        </w:rPr>
      </w:pPr>
    </w:p>
    <w:p>
      <w:pPr>
        <w:jc w:val="both"/>
        <w:ind w:right="60" w:firstLine="281"/>
        <w:spacing w:after="0" w:line="236" w:lineRule="auto"/>
        <w:rPr>
          <w:sz w:val="20"/>
          <w:szCs w:val="20"/>
          <w:color w:val="auto"/>
        </w:rPr>
      </w:pPr>
      <w:r>
        <w:rPr>
          <w:rFonts w:ascii="Arial" w:cs="Arial" w:eastAsia="Arial" w:hAnsi="Arial"/>
          <w:sz w:val="15"/>
          <w:szCs w:val="15"/>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20"/>
          </w:cols>
          <w:pgMar w:left="660" w:top="558" w:right="620" w:bottom="1440" w:gutter="0" w:footer="0" w:header="0"/>
        </w:sectPr>
      </w:pPr>
    </w:p>
    <w:bookmarkStart w:id="124" w:name="page125"/>
    <w:bookmarkEnd w:id="12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168"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52"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5"/>
          <w:szCs w:val="15"/>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189" w:lineRule="exact"/>
        <w:rPr>
          <w:sz w:val="20"/>
          <w:szCs w:val="20"/>
          <w:color w:val="auto"/>
        </w:rPr>
      </w:pPr>
    </w:p>
    <w:p>
      <w:pPr>
        <w:jc w:val="both"/>
        <w:ind w:right="20" w:firstLine="281"/>
        <w:spacing w:after="0" w:line="235" w:lineRule="auto"/>
        <w:rPr>
          <w:sz w:val="20"/>
          <w:szCs w:val="20"/>
          <w:color w:val="auto"/>
        </w:rPr>
      </w:pPr>
      <w:r>
        <w:rPr>
          <w:rFonts w:ascii="Arial" w:cs="Arial" w:eastAsia="Arial" w:hAnsi="Arial"/>
          <w:sz w:val="15"/>
          <w:szCs w:val="15"/>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Sales of Unregistered Securities</w:t>
      </w:r>
    </w:p>
    <w:p>
      <w:pPr>
        <w:spacing w:after="0" w:line="17" w:lineRule="exact"/>
        <w:rPr>
          <w:sz w:val="20"/>
          <w:szCs w:val="20"/>
          <w:color w:val="auto"/>
        </w:rPr>
      </w:pPr>
    </w:p>
    <w:p>
      <w:pPr>
        <w:jc w:val="both"/>
        <w:ind w:right="20" w:firstLine="281"/>
        <w:spacing w:after="0" w:line="248" w:lineRule="auto"/>
        <w:rPr>
          <w:sz w:val="20"/>
          <w:szCs w:val="20"/>
          <w:color w:val="auto"/>
        </w:rPr>
      </w:pPr>
      <w:r>
        <w:rPr>
          <w:rFonts w:ascii="Arial" w:cs="Arial" w:eastAsia="Arial" w:hAnsi="Arial"/>
          <w:sz w:val="15"/>
          <w:szCs w:val="15"/>
          <w:color w:val="auto"/>
        </w:rPr>
        <w:t>On February 26, 2025, the Company completed the acquisition of TradePMR. The acquisition date fair value of the consideration transferred for TradePMR was approximately $175 million following customary purchase price adjustments and was entirely paid in cash. The post -close compensation consisted of 2,049,711 unvested shares of the Company's Class A common stock, valued at approximately $100 million as of the closing date of the acquisition, which will vest over a four-year period post-acquisition, subject to the terms of a vesting agreement, in a transaction exempt from registration pursuant to Section 4(a)(2) of the Securities Act. Refer to Note 3 - Business Combinations to our unaudited condensed consolidated financial statements in this Quarterly Report for more information on this transaction.</w:t>
      </w:r>
    </w:p>
    <w:p>
      <w:pPr>
        <w:spacing w:after="0" w:line="194" w:lineRule="exact"/>
        <w:rPr>
          <w:sz w:val="20"/>
          <w:szCs w:val="20"/>
          <w:color w:val="auto"/>
        </w:rPr>
      </w:pPr>
    </w:p>
    <w:p>
      <w:pPr>
        <w:ind w:right="60" w:firstLine="281"/>
        <w:spacing w:after="0" w:line="282" w:lineRule="auto"/>
        <w:rPr>
          <w:sz w:val="20"/>
          <w:szCs w:val="20"/>
          <w:color w:val="auto"/>
        </w:rPr>
      </w:pPr>
      <w:r>
        <w:rPr>
          <w:rFonts w:ascii="Arial" w:cs="Arial" w:eastAsia="Arial" w:hAnsi="Arial"/>
          <w:sz w:val="15"/>
          <w:szCs w:val="15"/>
          <w:color w:val="auto"/>
        </w:rPr>
        <w:t>Other than the above, from January 1, 2025 through September 30, 2025, the Company did not sell any shares of Class A common stock (or other equity securities of RHM)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600"/>
          </w:cols>
          <w:pgMar w:left="660" w:top="558" w:right="640" w:bottom="1440" w:gutter="0" w:footer="0" w:header="0"/>
        </w:sectPr>
      </w:pPr>
    </w:p>
    <w:bookmarkStart w:id="125" w:name="page126"/>
    <w:bookmarkEnd w:id="12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Issuer Purchases of Equity Securities</w:t>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repurchases of shares of our Class A common stock during the three months ended September 30,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8"/>
              </w:rPr>
              <w:t>Total Number of Shares</w:t>
            </w:r>
          </w:p>
        </w:tc>
        <w:tc>
          <w:tcPr>
            <w:tcW w:w="1800" w:type="dxa"/>
            <w:vAlign w:val="bottom"/>
            <w:gridSpan w:val="2"/>
          </w:tcPr>
          <w:p>
            <w:pPr>
              <w:jc w:val="center"/>
              <w:ind w:left="9"/>
              <w:spacing w:after="0"/>
              <w:rPr>
                <w:sz w:val="20"/>
                <w:szCs w:val="20"/>
                <w:color w:val="auto"/>
              </w:rPr>
            </w:pPr>
            <w:r>
              <w:rPr>
                <w:rFonts w:ascii="Arial" w:cs="Arial" w:eastAsia="Arial" w:hAnsi="Arial"/>
                <w:sz w:val="13"/>
                <w:szCs w:val="13"/>
                <w:b w:val="1"/>
                <w:bCs w:val="1"/>
                <w:color w:val="auto"/>
                <w:w w:val="98"/>
              </w:rPr>
              <w:t>Approximate Dollar Value</w:t>
            </w: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44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Total Number of</w:t>
            </w:r>
          </w:p>
        </w:tc>
        <w:tc>
          <w:tcPr>
            <w:tcW w:w="13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Average Price Paid</w:t>
            </w:r>
          </w:p>
        </w:tc>
        <w:tc>
          <w:tcPr>
            <w:tcW w:w="18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8"/>
              </w:rPr>
              <w:t>Purchased as Part of</w:t>
            </w:r>
          </w:p>
        </w:tc>
        <w:tc>
          <w:tcPr>
            <w:tcW w:w="180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8"/>
              </w:rPr>
              <w:t>of Shares that May Yet Be</w:t>
            </w:r>
          </w:p>
        </w:tc>
        <w:tc>
          <w:tcPr>
            <w:tcW w:w="0" w:type="dxa"/>
            <w:vAlign w:val="bottom"/>
          </w:tcPr>
          <w:p>
            <w:pPr>
              <w:spacing w:after="0"/>
              <w:rPr>
                <w:sz w:val="1"/>
                <w:szCs w:val="1"/>
                <w:color w:val="auto"/>
              </w:rPr>
            </w:pPr>
          </w:p>
        </w:tc>
      </w:tr>
      <w:tr>
        <w:trPr>
          <w:trHeight w:val="129"/>
        </w:trPr>
        <w:tc>
          <w:tcPr>
            <w:tcW w:w="4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44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9"/>
              </w:rPr>
              <w:t>Publicly Announced Plans</w:t>
            </w:r>
          </w:p>
        </w:tc>
        <w:tc>
          <w:tcPr>
            <w:tcW w:w="180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w w:val="99"/>
              </w:rPr>
              <w:t>Purchased Under the Plans</w:t>
            </w:r>
          </w:p>
        </w:tc>
        <w:tc>
          <w:tcPr>
            <w:tcW w:w="0" w:type="dxa"/>
            <w:vAlign w:val="bottom"/>
          </w:tcPr>
          <w:p>
            <w:pPr>
              <w:spacing w:after="0"/>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1440" w:type="dxa"/>
            <w:vAlign w:val="bottom"/>
          </w:tcPr>
          <w:p>
            <w:pPr>
              <w:jc w:val="right"/>
              <w:ind w:right="88"/>
              <w:spacing w:after="0"/>
              <w:rPr>
                <w:sz w:val="20"/>
                <w:szCs w:val="20"/>
                <w:color w:val="auto"/>
              </w:rPr>
            </w:pPr>
            <w:r>
              <w:rPr>
                <w:rFonts w:ascii="Arial" w:cs="Arial" w:eastAsia="Arial" w:hAnsi="Arial"/>
                <w:sz w:val="13"/>
                <w:szCs w:val="13"/>
                <w:b w:val="1"/>
                <w:bCs w:val="1"/>
                <w:color w:val="auto"/>
              </w:rPr>
              <w:t>Shares Purchased</w:t>
            </w:r>
          </w:p>
        </w:tc>
        <w:tc>
          <w:tcPr>
            <w:tcW w:w="260" w:type="dxa"/>
            <w:vAlign w:val="bottom"/>
          </w:tcPr>
          <w:p>
            <w:pPr>
              <w:spacing w:after="0"/>
              <w:rPr>
                <w:sz w:val="15"/>
                <w:szCs w:val="15"/>
                <w:color w:val="auto"/>
              </w:rPr>
            </w:pPr>
          </w:p>
        </w:tc>
        <w:tc>
          <w:tcPr>
            <w:tcW w:w="1120" w:type="dxa"/>
            <w:vAlign w:val="bottom"/>
          </w:tcPr>
          <w:p>
            <w:pPr>
              <w:jc w:val="right"/>
              <w:ind w:right="246"/>
              <w:spacing w:after="0"/>
              <w:rPr>
                <w:sz w:val="20"/>
                <w:szCs w:val="20"/>
                <w:color w:val="auto"/>
              </w:rPr>
            </w:pPr>
            <w:r>
              <w:rPr>
                <w:rFonts w:ascii="Arial" w:cs="Arial" w:eastAsia="Arial" w:hAnsi="Arial"/>
                <w:sz w:val="13"/>
                <w:szCs w:val="13"/>
                <w:b w:val="1"/>
                <w:bCs w:val="1"/>
                <w:color w:val="auto"/>
              </w:rPr>
              <w:t xml:space="preserve">per Share </w:t>
            </w:r>
            <w:r>
              <w:rPr>
                <w:rFonts w:ascii="Arial" w:cs="Arial" w:eastAsia="Arial" w:hAnsi="Arial"/>
                <w:sz w:val="8"/>
                <w:szCs w:val="8"/>
                <w:b w:val="1"/>
                <w:bCs w:val="1"/>
                <w:color w:val="auto"/>
              </w:rPr>
              <w:t>(1)</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 xml:space="preserve">or Programs </w:t>
            </w:r>
            <w:r>
              <w:rPr>
                <w:rFonts w:ascii="Arial" w:cs="Arial" w:eastAsia="Arial" w:hAnsi="Arial"/>
                <w:sz w:val="8"/>
                <w:szCs w:val="8"/>
                <w:b w:val="1"/>
                <w:bCs w:val="1"/>
                <w:color w:val="auto"/>
                <w:w w:val="96"/>
              </w:rPr>
              <w:t>(2)</w:t>
            </w:r>
          </w:p>
        </w:tc>
        <w:tc>
          <w:tcPr>
            <w:tcW w:w="340" w:type="dxa"/>
            <w:vAlign w:val="bottom"/>
          </w:tcPr>
          <w:p>
            <w:pPr>
              <w:spacing w:after="0"/>
              <w:rPr>
                <w:sz w:val="15"/>
                <w:szCs w:val="15"/>
                <w:color w:val="auto"/>
              </w:rPr>
            </w:pPr>
          </w:p>
        </w:tc>
        <w:tc>
          <w:tcPr>
            <w:tcW w:w="1460" w:type="dxa"/>
            <w:vAlign w:val="bottom"/>
          </w:tcPr>
          <w:p>
            <w:pPr>
              <w:jc w:val="center"/>
              <w:ind w:right="188"/>
              <w:spacing w:after="0"/>
              <w:rPr>
                <w:sz w:val="20"/>
                <w:szCs w:val="20"/>
                <w:color w:val="auto"/>
              </w:rPr>
            </w:pPr>
            <w:r>
              <w:rPr>
                <w:rFonts w:ascii="Arial" w:cs="Arial" w:eastAsia="Arial" w:hAnsi="Arial"/>
                <w:sz w:val="13"/>
                <w:szCs w:val="13"/>
                <w:b w:val="1"/>
                <w:bCs w:val="1"/>
                <w:color w:val="auto"/>
                <w:w w:val="96"/>
              </w:rPr>
              <w:t xml:space="preserve">or Programs </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center"/>
              <w:ind w:right="188"/>
              <w:spacing w:after="0"/>
              <w:rPr>
                <w:sz w:val="20"/>
                <w:szCs w:val="20"/>
                <w:color w:val="auto"/>
              </w:rPr>
            </w:pPr>
            <w:r>
              <w:rPr>
                <w:rFonts w:ascii="Arial" w:cs="Arial" w:eastAsia="Arial" w:hAnsi="Arial"/>
                <w:sz w:val="13"/>
                <w:szCs w:val="13"/>
                <w:i w:val="1"/>
                <w:iCs w:val="1"/>
                <w:color w:val="auto"/>
                <w:w w:val="97"/>
              </w:rPr>
              <w:t>(in millions)</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 1, 2025 - July 31, 2025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254,239</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100.09</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254,239</w:t>
            </w:r>
          </w:p>
        </w:tc>
        <w:tc>
          <w:tcPr>
            <w:tcW w:w="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199"/>
        </w:trPr>
        <w:tc>
          <w:tcPr>
            <w:tcW w:w="4160" w:type="dxa"/>
            <w:vAlign w:val="bottom"/>
          </w:tcPr>
          <w:p>
            <w:pPr>
              <w:ind w:left="20"/>
              <w:spacing w:after="0"/>
              <w:rPr>
                <w:sz w:val="20"/>
                <w:szCs w:val="20"/>
                <w:color w:val="auto"/>
              </w:rPr>
            </w:pPr>
            <w:r>
              <w:rPr>
                <w:rFonts w:ascii="Arial" w:cs="Arial" w:eastAsia="Arial" w:hAnsi="Arial"/>
                <w:sz w:val="15"/>
                <w:szCs w:val="15"/>
                <w:color w:val="auto"/>
              </w:rPr>
              <w:t>August 1, 2025 - August 31, 2025</w:t>
            </w:r>
          </w:p>
        </w:tc>
        <w:tc>
          <w:tcPr>
            <w:tcW w:w="1440" w:type="dxa"/>
            <w:vAlign w:val="bottom"/>
          </w:tcPr>
          <w:p>
            <w:pPr>
              <w:jc w:val="right"/>
              <w:spacing w:after="0"/>
              <w:rPr>
                <w:sz w:val="20"/>
                <w:szCs w:val="20"/>
                <w:color w:val="auto"/>
              </w:rPr>
            </w:pPr>
            <w:r>
              <w:rPr>
                <w:rFonts w:ascii="Arial" w:cs="Arial" w:eastAsia="Arial" w:hAnsi="Arial"/>
                <w:sz w:val="15"/>
                <w:szCs w:val="15"/>
                <w:color w:val="auto"/>
              </w:rPr>
              <w:t>388,356</w:t>
            </w:r>
          </w:p>
        </w:tc>
        <w:tc>
          <w:tcPr>
            <w:tcW w:w="260" w:type="dxa"/>
            <w:vAlign w:val="bottom"/>
          </w:tcPr>
          <w:p>
            <w:pPr>
              <w:ind w:lef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104.53</w:t>
            </w:r>
          </w:p>
        </w:tc>
        <w:tc>
          <w:tcPr>
            <w:tcW w:w="1800" w:type="dxa"/>
            <w:vAlign w:val="bottom"/>
          </w:tcPr>
          <w:p>
            <w:pPr>
              <w:jc w:val="right"/>
              <w:ind w:right="10"/>
              <w:spacing w:after="0"/>
              <w:rPr>
                <w:sz w:val="20"/>
                <w:szCs w:val="20"/>
                <w:color w:val="auto"/>
              </w:rPr>
            </w:pPr>
            <w:r>
              <w:rPr>
                <w:rFonts w:ascii="Arial" w:cs="Arial" w:eastAsia="Arial" w:hAnsi="Arial"/>
                <w:sz w:val="15"/>
                <w:szCs w:val="15"/>
                <w:color w:val="auto"/>
              </w:rPr>
              <w:t>388,356</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8"/>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 1, 2025 - September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374,114</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108.70</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374,114</w:t>
            </w:r>
          </w:p>
        </w:tc>
        <w:tc>
          <w:tcPr>
            <w:tcW w:w="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91"/>
        </w:trPr>
        <w:tc>
          <w:tcPr>
            <w:tcW w:w="4160" w:type="dxa"/>
            <w:vAlign w:val="bottom"/>
          </w:tcPr>
          <w:p>
            <w:pPr>
              <w:ind w:left="220"/>
              <w:spacing w:after="0"/>
              <w:rPr>
                <w:sz w:val="20"/>
                <w:szCs w:val="20"/>
                <w:color w:val="auto"/>
              </w:rPr>
            </w:pPr>
            <w:r>
              <w:rPr>
                <w:rFonts w:ascii="Arial" w:cs="Arial" w:eastAsia="Arial" w:hAnsi="Arial"/>
                <w:sz w:val="15"/>
                <w:szCs w:val="15"/>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1,016,709</w:t>
            </w:r>
          </w:p>
        </w:tc>
        <w:tc>
          <w:tcPr>
            <w:tcW w:w="260" w:type="dxa"/>
            <w:vAlign w:val="bottom"/>
          </w:tcPr>
          <w:p>
            <w:pPr>
              <w:ind w:left="10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104.95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1,016,709</w:t>
            </w:r>
          </w:p>
        </w:tc>
        <w:tc>
          <w:tcPr>
            <w:tcW w:w="340" w:type="dxa"/>
            <w:vAlign w:val="bottom"/>
          </w:tcPr>
          <w:p>
            <w:pPr>
              <w:ind w:left="10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8"/>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140" w:hanging="136"/>
        <w:spacing w:after="0"/>
        <w:tabs>
          <w:tab w:leader="none" w:pos="140" w:val="left"/>
        </w:tabs>
        <w:numPr>
          <w:ilvl w:val="0"/>
          <w:numId w:val="41"/>
        </w:numPr>
        <w:rPr>
          <w:rFonts w:ascii="Arial" w:cs="Arial" w:eastAsia="Arial" w:hAnsi="Arial"/>
          <w:sz w:val="8"/>
          <w:szCs w:val="8"/>
          <w:color w:val="auto"/>
        </w:rPr>
      </w:pPr>
      <w:r>
        <w:rPr>
          <w:rFonts w:ascii="Arial" w:cs="Arial" w:eastAsia="Arial" w:hAnsi="Arial"/>
          <w:sz w:val="13"/>
          <w:szCs w:val="13"/>
          <w:color w:val="auto"/>
        </w:rPr>
        <w:t>The average cost per share excludes the 1% excise tax on net share repurchase and commissions.</w:t>
      </w:r>
    </w:p>
    <w:p>
      <w:pPr>
        <w:spacing w:after="0" w:line="2" w:lineRule="exact"/>
        <w:rPr>
          <w:rFonts w:ascii="Arial" w:cs="Arial" w:eastAsia="Arial" w:hAnsi="Arial"/>
          <w:sz w:val="8"/>
          <w:szCs w:val="8"/>
          <w:color w:val="auto"/>
        </w:rPr>
      </w:pPr>
    </w:p>
    <w:p>
      <w:pPr>
        <w:jc w:val="both"/>
        <w:ind w:left="140" w:hanging="136"/>
        <w:spacing w:after="0" w:line="246" w:lineRule="auto"/>
        <w:tabs>
          <w:tab w:leader="none" w:pos="140" w:val="left"/>
        </w:tabs>
        <w:numPr>
          <w:ilvl w:val="0"/>
          <w:numId w:val="41"/>
        </w:numPr>
        <w:rPr>
          <w:rFonts w:ascii="Arial" w:cs="Arial" w:eastAsia="Arial" w:hAnsi="Arial"/>
          <w:sz w:val="8"/>
          <w:szCs w:val="8"/>
          <w:color w:val="auto"/>
        </w:rPr>
      </w:pPr>
      <w:r>
        <w:rPr>
          <w:rFonts w:ascii="Arial" w:cs="Arial" w:eastAsia="Arial" w:hAnsi="Arial"/>
          <w:sz w:val="13"/>
          <w:szCs w:val="13"/>
          <w:color w:val="auto"/>
        </w:rPr>
        <w:t>On May 28, 2024, we announced that the board of directors approved the Repurchase Program authorizing the Company to repurchase up to $1 billion of its outstanding Class A common stock. On April 30, 2025, we announced that the board of directors has authorized an additional $500 million, bringing the Repurchase Program authorization to a total of $1.5 billion.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11 - Common Stock and Stockholders’ Equity of our unaudited condensed consolidated financial statements in this Quarterly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6" w:name="page127"/>
    <w:bookmarkEnd w:id="12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ITEM 3. DEFAULTS UPON SENIOR SECURITIES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ITEM 4. MINE SAFETY DISCLOSURES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ITEM 5. OTHER INFORMATION</w:t>
      </w:r>
    </w:p>
    <w:p>
      <w:pPr>
        <w:spacing w:after="0" w:line="194" w:lineRule="exact"/>
        <w:rPr>
          <w:sz w:val="20"/>
          <w:szCs w:val="20"/>
          <w:color w:val="auto"/>
        </w:rPr>
      </w:pPr>
    </w:p>
    <w:p>
      <w:pPr>
        <w:jc w:val="both"/>
        <w:ind w:right="20" w:firstLine="285"/>
        <w:spacing w:after="0" w:line="263" w:lineRule="auto"/>
        <w:tabs>
          <w:tab w:leader="none" w:pos="514" w:val="left"/>
        </w:tabs>
        <w:numPr>
          <w:ilvl w:val="0"/>
          <w:numId w:val="42"/>
        </w:numPr>
        <w:rPr>
          <w:rFonts w:ascii="Arial" w:cs="Arial" w:eastAsia="Arial" w:hAnsi="Arial"/>
          <w:sz w:val="15"/>
          <w:szCs w:val="15"/>
          <w:color w:val="auto"/>
        </w:rPr>
      </w:pPr>
      <w:r>
        <w:rPr>
          <w:rFonts w:ascii="Arial" w:cs="Arial" w:eastAsia="Arial" w:hAnsi="Arial"/>
          <w:sz w:val="15"/>
          <w:szCs w:val="15"/>
          <w:color w:val="auto"/>
        </w:rPr>
        <w:t>On August 4, 2025, the Jonathan J. Rubinstein Trust, an entity controlled by Jonathan Rubinstein, a member of our Board of Directors, adopted a “Rule 10b5-1 trading arrangement” (as defined in Item 408(a) of Regulation S-K) intended to satisfy the affirmative defense of Rule 10b5-1(c) under the Exchange Act pursuant to which he may sell up to 42,430 shares of our Class A common stock on or prior to July 31, 2027.</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August 4, 2025, Jason Warnick, our Chief Financial Officer, adopted a “Rule 10b5-1 trading arrangement” (as defined in Item 408(a) of Regulation S-</w:t>
      </w:r>
    </w:p>
    <w:p>
      <w:pPr>
        <w:spacing w:after="0" w:line="17" w:lineRule="exact"/>
        <w:rPr>
          <w:sz w:val="20"/>
          <w:szCs w:val="20"/>
          <w:color w:val="auto"/>
        </w:rPr>
      </w:pPr>
    </w:p>
    <w:p>
      <w:pPr>
        <w:ind w:firstLine="4"/>
        <w:spacing w:after="0" w:line="263" w:lineRule="auto"/>
        <w:tabs>
          <w:tab w:leader="none" w:pos="194"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intended to satisfy the affirmative defense of Rule 10b5-1(c) under the Exchange Act pursuant to which he may sell up to (i) 175,000 shares of our Class A common stock underlying stock options; and (ii) 500,000 shares of our Class A common stock, in each case on or prior to August 28, 2026.</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On August 8, 2025, Daniel Gallagher, our Chief Legal, Compliance, and Corporate Affairs Officer, adopted a “Rule 10b5-1 trading arrangement” (as defined in Item 408(a) of Regulation S-K) intended to satisfy the affirmative defense of Rule 10b5-1(c) under the Exchange Act pursuant to which he may sell up to 430,000 shares of our Class A common stock on or prior to November 20, 2026.</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On September 5, 2025, Vlad Tenev, our Chair and Chief Executive Officer, adopted a “Rule 10b5-1 trading arrangement” (as defined in Item 408(a) of Regulation S-K) intended to satisfy the affirmative defense of Rule 10b5-1(c) under the Exchange Act pursuant to which he may sell up to 2,500,000 shares of our Class A common stock on or prior to November 20, 2026.</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In addition, certain of our officers may, from time to time, make elections to participate in our ESPP and to have shares withheld or sold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12" w:lineRule="exact"/>
        <w:rPr>
          <w:sz w:val="20"/>
          <w:szCs w:val="20"/>
          <w:color w:val="auto"/>
        </w:rPr>
      </w:pPr>
    </w:p>
    <w:p>
      <w:pPr>
        <w:jc w:val="both"/>
        <w:ind w:firstLine="281"/>
        <w:spacing w:after="0" w:line="282" w:lineRule="auto"/>
        <w:rPr>
          <w:sz w:val="20"/>
          <w:szCs w:val="20"/>
          <w:color w:val="auto"/>
        </w:rPr>
      </w:pPr>
      <w:r>
        <w:rPr>
          <w:rFonts w:ascii="Arial" w:cs="Arial" w:eastAsia="Arial" w:hAnsi="Arial"/>
          <w:sz w:val="15"/>
          <w:szCs w:val="15"/>
          <w:color w:val="auto"/>
        </w:rPr>
        <w:t>In Part II, Item 5 of our Quarterly Report on Form 10-Q for the quarter ended September 30, 2024, we inadvertently omitted the disclosure of the following Rule 10b5-1 trading arrangements:</w:t>
      </w:r>
    </w:p>
    <w:p>
      <w:pPr>
        <w:spacing w:after="0" w:line="98"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On August 12, 2024, Baiju Prafulkumar Bhatt Living Trust, an entity controlled by Baiju Bhatt, a member of our Board of Directors, adopted a “Rule 10b5-1 trading arrangement” (as defined in Item 408(a) of Regulation S-K) intended to satisfy the affirmative defense of Rule 10b5-1(c) under the Exchange Act pursuant to which he may sell up to 5,020,056 shares of our Class A common stock on or prior to December 10, 2025.</w:t>
      </w:r>
    </w:p>
    <w:p>
      <w:pPr>
        <w:spacing w:after="0" w:line="112" w:lineRule="exact"/>
        <w:rPr>
          <w:sz w:val="20"/>
          <w:szCs w:val="20"/>
          <w:color w:val="auto"/>
        </w:rPr>
      </w:pPr>
    </w:p>
    <w:p>
      <w:pPr>
        <w:jc w:val="both"/>
        <w:ind w:right="20" w:firstLine="281"/>
        <w:spacing w:after="0" w:line="263" w:lineRule="auto"/>
        <w:rPr>
          <w:sz w:val="20"/>
          <w:szCs w:val="20"/>
          <w:color w:val="auto"/>
        </w:rPr>
      </w:pPr>
      <w:r>
        <w:rPr>
          <w:rFonts w:ascii="Arial" w:cs="Arial" w:eastAsia="Arial" w:hAnsi="Arial"/>
          <w:sz w:val="15"/>
          <w:szCs w:val="15"/>
          <w:color w:val="auto"/>
        </w:rPr>
        <w:t>On August 19, 2024, Vlad Tenev, our Chair and Chief Executive Officer adopted a “Rule 10b5- 1 trading arrangement” (as defined in Item 408(a) of Regulation S-K) intended to satisfy the affirmative defense of Rule 10b5-1(c) under the Exchange Act pursuant to which he may sell up to 4,000,000 shares of our Class A common stock on or prior to 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7" w:name="page128"/>
    <w:bookmarkEnd w:id="12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ITEM 6. EXHIBIT INDEX</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documents listed below are filed (or furnished, as noted) as exhibits to this Quarterly Report on Form 10-Q:</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9"/>
              </w:rPr>
              <w:t>Incorporated by Reference</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7"/>
        </w:trPr>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Exhibit Number</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8"/>
          </w:tcPr>
          <w:p>
            <w:pPr>
              <w:ind w:left="70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Borders>
              <w:bottom w:val="single" w:sz="8" w:color="CCEEFF"/>
            </w:tcBorders>
            <w:gridSpan w:val="2"/>
          </w:tcPr>
          <w:p>
            <w:pPr>
              <w:spacing w:after="0"/>
              <w:rPr>
                <w:sz w:val="14"/>
                <w:szCs w:val="14"/>
                <w:color w:val="auto"/>
              </w:rPr>
            </w:pPr>
          </w:p>
        </w:tc>
        <w:tc>
          <w:tcPr>
            <w:tcW w:w="680" w:type="dxa"/>
            <w:vAlign w:val="bottom"/>
            <w:tcBorders>
              <w:bottom w:val="single" w:sz="8" w:color="auto"/>
            </w:tcBorders>
          </w:tcPr>
          <w:p>
            <w:pPr>
              <w:jc w:val="center"/>
              <w:ind w:left="46"/>
              <w:spacing w:after="0"/>
              <w:rPr>
                <w:sz w:val="20"/>
                <w:szCs w:val="20"/>
                <w:color w:val="auto"/>
              </w:rPr>
            </w:pPr>
            <w:r>
              <w:rPr>
                <w:rFonts w:ascii="Arial" w:cs="Arial" w:eastAsia="Arial" w:hAnsi="Arial"/>
                <w:sz w:val="13"/>
                <w:szCs w:val="13"/>
                <w:b w:val="1"/>
                <w:bCs w:val="1"/>
                <w:color w:val="auto"/>
                <w:w w:val="95"/>
              </w:rPr>
              <w:t>Form*</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Filing Date</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6"/>
              </w:rPr>
              <w:t>Exhibit</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156"/>
        </w:trPr>
        <w:tc>
          <w:tcPr>
            <w:tcW w:w="11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40" w:type="dxa"/>
            <w:vAlign w:val="bottom"/>
            <w:gridSpan w:val="11"/>
            <w:shd w:val="clear" w:color="auto" w:fill="CCEEFF"/>
          </w:tcPr>
          <w:p>
            <w:pPr>
              <w:spacing w:after="0" w:line="156" w:lineRule="exact"/>
              <w:rPr>
                <w:rFonts w:ascii="Arial" w:cs="Arial" w:eastAsia="Arial" w:hAnsi="Arial"/>
                <w:sz w:val="15"/>
                <w:szCs w:val="15"/>
                <w:color w:val="0000FF"/>
              </w:rPr>
            </w:pPr>
            <w:hyperlink r:id="rId149">
              <w:r>
                <w:rPr>
                  <w:rFonts w:ascii="Arial" w:cs="Arial" w:eastAsia="Arial" w:hAnsi="Arial"/>
                  <w:sz w:val="15"/>
                  <w:szCs w:val="15"/>
                  <w:color w:val="0000FF"/>
                </w:rPr>
                <w:t>Amended and Restated Certificate of Incorporation of Robinhood</w:t>
              </w:r>
            </w:hyperlink>
          </w:p>
        </w:tc>
        <w:tc>
          <w:tcPr>
            <w:tcW w:w="680" w:type="dxa"/>
            <w:vAlign w:val="bottom"/>
            <w:shd w:val="clear" w:color="auto" w:fill="CCEEFF"/>
          </w:tcPr>
          <w:p>
            <w:pPr>
              <w:jc w:val="center"/>
              <w:ind w:left="46"/>
              <w:spacing w:after="0" w:line="156" w:lineRule="exact"/>
              <w:rPr>
                <w:sz w:val="20"/>
                <w:szCs w:val="20"/>
                <w:color w:val="auto"/>
              </w:rPr>
            </w:pPr>
            <w:r>
              <w:rPr>
                <w:rFonts w:ascii="Arial" w:cs="Arial" w:eastAsia="Arial" w:hAnsi="Arial"/>
                <w:sz w:val="15"/>
                <w:szCs w:val="15"/>
                <w:color w:val="auto"/>
              </w:rPr>
              <w:t>8-K</w:t>
            </w:r>
          </w:p>
        </w:tc>
        <w:tc>
          <w:tcPr>
            <w:tcW w:w="1380" w:type="dxa"/>
            <w:vAlign w:val="bottom"/>
            <w:gridSpan w:val="3"/>
            <w:shd w:val="clear" w:color="auto" w:fill="CCEEFF"/>
          </w:tcPr>
          <w:p>
            <w:pPr>
              <w:jc w:val="center"/>
              <w:ind w:left="126"/>
              <w:spacing w:after="0" w:line="156" w:lineRule="exact"/>
              <w:rPr>
                <w:sz w:val="20"/>
                <w:szCs w:val="20"/>
                <w:color w:val="auto"/>
              </w:rPr>
            </w:pPr>
            <w:r>
              <w:rPr>
                <w:rFonts w:ascii="Arial" w:cs="Arial" w:eastAsia="Arial" w:hAnsi="Arial"/>
                <w:sz w:val="15"/>
                <w:szCs w:val="15"/>
                <w:color w:val="auto"/>
              </w:rPr>
              <w:t>2021-08-02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center"/>
              <w:ind w:right="186"/>
              <w:spacing w:after="0" w:line="156" w:lineRule="exact"/>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47"/>
        </w:trPr>
        <w:tc>
          <w:tcPr>
            <w:tcW w:w="1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0" w:type="dxa"/>
            <w:vAlign w:val="bottom"/>
            <w:tcBorders>
              <w:top w:val="single" w:sz="8" w:color="0000FF"/>
              <w:bottom w:val="single" w:sz="8" w:color="0000FF"/>
            </w:tcBorders>
            <w:gridSpan w:val="2"/>
            <w:shd w:val="clear" w:color="auto" w:fill="CCEEFF"/>
          </w:tcPr>
          <w:p>
            <w:pPr>
              <w:spacing w:after="0" w:line="133" w:lineRule="exact"/>
              <w:rPr>
                <w:rFonts w:ascii="Arial" w:cs="Arial" w:eastAsia="Arial" w:hAnsi="Arial"/>
                <w:sz w:val="15"/>
                <w:szCs w:val="15"/>
                <w:color w:val="0000FF"/>
              </w:rPr>
            </w:pPr>
            <w:hyperlink r:id="rId149">
              <w:r>
                <w:rPr>
                  <w:rFonts w:ascii="Arial" w:cs="Arial" w:eastAsia="Arial" w:hAnsi="Arial"/>
                  <w:sz w:val="15"/>
                  <w:szCs w:val="15"/>
                  <w:color w:val="0000FF"/>
                </w:rPr>
                <w:t>Markets, Inc., dated August 2, 2021</w:t>
              </w:r>
            </w:hyperlink>
          </w:p>
        </w:tc>
        <w:tc>
          <w:tcPr>
            <w:tcW w:w="1960" w:type="dxa"/>
            <w:vAlign w:val="bottom"/>
            <w:tcBorders>
              <w:top w:val="single" w:sz="8" w:color="0000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6"/>
        </w:trPr>
        <w:tc>
          <w:tcPr>
            <w:tcW w:w="1180" w:type="dxa"/>
            <w:vAlign w:val="bottom"/>
          </w:tcPr>
          <w:p>
            <w:pPr>
              <w:ind w:left="20"/>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11"/>
          </w:tcPr>
          <w:p>
            <w:pPr>
              <w:spacing w:after="0"/>
              <w:rPr>
                <w:rFonts w:ascii="Arial" w:cs="Arial" w:eastAsia="Arial" w:hAnsi="Arial"/>
                <w:sz w:val="15"/>
                <w:szCs w:val="15"/>
                <w:color w:val="0000FF"/>
              </w:rPr>
            </w:pPr>
            <w:hyperlink r:id="rId150">
              <w:r>
                <w:rPr>
                  <w:rFonts w:ascii="Arial" w:cs="Arial" w:eastAsia="Arial" w:hAnsi="Arial"/>
                  <w:sz w:val="15"/>
                  <w:szCs w:val="15"/>
                  <w:color w:val="0000FF"/>
                </w:rPr>
                <w:t>Amended and Restated Bylaws of Robinhood Markets, Inc., dated</w:t>
              </w:r>
            </w:hyperlink>
          </w:p>
        </w:tc>
        <w:tc>
          <w:tcPr>
            <w:tcW w:w="680" w:type="dxa"/>
            <w:vAlign w:val="bottom"/>
          </w:tcPr>
          <w:p>
            <w:pPr>
              <w:jc w:val="center"/>
              <w:ind w:left="46"/>
              <w:spacing w:after="0"/>
              <w:rPr>
                <w:sz w:val="20"/>
                <w:szCs w:val="20"/>
                <w:color w:val="auto"/>
              </w:rPr>
            </w:pPr>
            <w:r>
              <w:rPr>
                <w:rFonts w:ascii="Arial" w:cs="Arial" w:eastAsia="Arial" w:hAnsi="Arial"/>
                <w:sz w:val="15"/>
                <w:szCs w:val="15"/>
                <w:color w:val="auto"/>
              </w:rPr>
              <w:t>8-K</w:t>
            </w:r>
          </w:p>
        </w:tc>
        <w:tc>
          <w:tcPr>
            <w:tcW w:w="1380" w:type="dxa"/>
            <w:vAlign w:val="bottom"/>
            <w:gridSpan w:val="3"/>
          </w:tcPr>
          <w:p>
            <w:pPr>
              <w:jc w:val="center"/>
              <w:ind w:left="126"/>
              <w:spacing w:after="0"/>
              <w:rPr>
                <w:sz w:val="20"/>
                <w:szCs w:val="20"/>
                <w:color w:val="auto"/>
              </w:rPr>
            </w:pPr>
            <w:r>
              <w:rPr>
                <w:rFonts w:ascii="Arial" w:cs="Arial" w:eastAsia="Arial" w:hAnsi="Arial"/>
                <w:sz w:val="15"/>
                <w:szCs w:val="15"/>
                <w:color w:val="auto"/>
              </w:rPr>
              <w:t>2022-12-16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center"/>
              <w:ind w:right="186"/>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4"/>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tcBorders>
            <w:gridSpan w:val="5"/>
          </w:tcPr>
          <w:p>
            <w:pPr>
              <w:spacing w:after="0" w:line="144" w:lineRule="exact"/>
              <w:rPr>
                <w:rFonts w:ascii="Arial" w:cs="Arial" w:eastAsia="Arial" w:hAnsi="Arial"/>
                <w:sz w:val="15"/>
                <w:szCs w:val="15"/>
                <w:color w:val="0000FF"/>
              </w:rPr>
            </w:pPr>
            <w:hyperlink r:id="rId150">
              <w:r>
                <w:rPr>
                  <w:rFonts w:ascii="Arial" w:cs="Arial" w:eastAsia="Arial" w:hAnsi="Arial"/>
                  <w:sz w:val="15"/>
                  <w:szCs w:val="15"/>
                  <w:color w:val="0000FF"/>
                </w:rPr>
                <w:t>December 14, 2022</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8"/>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7"/>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0" w:type="dxa"/>
            <w:vAlign w:val="bottom"/>
            <w:tcBorders>
              <w:bottom w:val="single" w:sz="8" w:color="0000FF"/>
            </w:tcBorders>
            <w:gridSpan w:val="10"/>
            <w:shd w:val="clear" w:color="auto" w:fill="CCEEFF"/>
          </w:tcPr>
          <w:p>
            <w:pPr>
              <w:spacing w:after="0"/>
              <w:rPr>
                <w:rFonts w:ascii="Arial" w:cs="Arial" w:eastAsia="Arial" w:hAnsi="Arial"/>
                <w:sz w:val="15"/>
                <w:szCs w:val="15"/>
                <w:color w:val="0000FF"/>
              </w:rPr>
            </w:pPr>
            <w:hyperlink r:id="rId151">
              <w:r>
                <w:rPr>
                  <w:rFonts w:ascii="Arial" w:cs="Arial" w:eastAsia="Arial" w:hAnsi="Arial"/>
                  <w:sz w:val="15"/>
                  <w:szCs w:val="15"/>
                  <w:color w:val="0000FF"/>
                </w:rPr>
                <w:t>Form of Class A Common Stock Certificate of Robinhood Markets, Inc.</w:t>
              </w:r>
            </w:hyperlink>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ind w:left="66"/>
              <w:spacing w:after="0"/>
              <w:rPr>
                <w:sz w:val="20"/>
                <w:szCs w:val="20"/>
                <w:color w:val="auto"/>
              </w:rPr>
            </w:pPr>
            <w:r>
              <w:rPr>
                <w:rFonts w:ascii="Arial" w:cs="Arial" w:eastAsia="Arial" w:hAnsi="Arial"/>
                <w:sz w:val="15"/>
                <w:szCs w:val="15"/>
                <w:color w:val="auto"/>
              </w:rPr>
              <w:t>S-1/A</w:t>
            </w:r>
          </w:p>
        </w:tc>
        <w:tc>
          <w:tcPr>
            <w:tcW w:w="1380" w:type="dxa"/>
            <w:vAlign w:val="bottom"/>
            <w:tcBorders>
              <w:bottom w:val="single" w:sz="8" w:color="CCEEFF"/>
            </w:tcBorders>
            <w:gridSpan w:val="3"/>
            <w:shd w:val="clear" w:color="auto" w:fill="CCEEFF"/>
          </w:tcPr>
          <w:p>
            <w:pPr>
              <w:jc w:val="center"/>
              <w:ind w:left="126"/>
              <w:spacing w:after="0"/>
              <w:rPr>
                <w:sz w:val="20"/>
                <w:szCs w:val="20"/>
                <w:color w:val="auto"/>
              </w:rPr>
            </w:pPr>
            <w:r>
              <w:rPr>
                <w:rFonts w:ascii="Arial" w:cs="Arial" w:eastAsia="Arial" w:hAnsi="Arial"/>
                <w:sz w:val="15"/>
                <w:szCs w:val="15"/>
                <w:color w:val="auto"/>
              </w:rPr>
              <w:t>2021-07-19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ind w:right="186"/>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64"/>
        </w:trPr>
        <w:tc>
          <w:tcPr>
            <w:tcW w:w="1180" w:type="dxa"/>
            <w:vAlign w:val="bottom"/>
          </w:tcPr>
          <w:p>
            <w:pPr>
              <w:ind w:left="20"/>
              <w:spacing w:after="0" w:line="164" w:lineRule="exact"/>
              <w:rPr>
                <w:sz w:val="20"/>
                <w:szCs w:val="20"/>
                <w:color w:val="auto"/>
              </w:rPr>
            </w:pPr>
            <w:r>
              <w:rPr>
                <w:rFonts w:ascii="Arial" w:cs="Arial" w:eastAsia="Arial" w:hAnsi="Arial"/>
                <w:sz w:val="15"/>
                <w:szCs w:val="15"/>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11"/>
          </w:tcPr>
          <w:p>
            <w:pPr>
              <w:spacing w:after="0" w:line="164" w:lineRule="exact"/>
              <w:rPr>
                <w:rFonts w:ascii="Arial" w:cs="Arial" w:eastAsia="Arial" w:hAnsi="Arial"/>
                <w:sz w:val="15"/>
                <w:szCs w:val="15"/>
                <w:color w:val="0000FF"/>
              </w:rPr>
            </w:pPr>
            <w:hyperlink r:id="rId152">
              <w:r>
                <w:rPr>
                  <w:rFonts w:ascii="Arial" w:cs="Arial" w:eastAsia="Arial" w:hAnsi="Arial"/>
                  <w:sz w:val="15"/>
                  <w:szCs w:val="15"/>
                  <w:color w:val="0000FF"/>
                </w:rPr>
                <w:t>Form of ten-year Warrant to Purchase Stock of Robinhood Markets,</w:t>
              </w:r>
            </w:hyperlink>
          </w:p>
        </w:tc>
        <w:tc>
          <w:tcPr>
            <w:tcW w:w="680" w:type="dxa"/>
            <w:vAlign w:val="bottom"/>
          </w:tcPr>
          <w:p>
            <w:pPr>
              <w:jc w:val="center"/>
              <w:ind w:left="46"/>
              <w:spacing w:after="0" w:line="164" w:lineRule="exact"/>
              <w:rPr>
                <w:sz w:val="20"/>
                <w:szCs w:val="20"/>
                <w:color w:val="auto"/>
              </w:rPr>
            </w:pPr>
            <w:r>
              <w:rPr>
                <w:rFonts w:ascii="Arial" w:cs="Arial" w:eastAsia="Arial" w:hAnsi="Arial"/>
                <w:sz w:val="15"/>
                <w:szCs w:val="15"/>
                <w:color w:val="auto"/>
              </w:rPr>
              <w:t>S-1</w:t>
            </w:r>
          </w:p>
        </w:tc>
        <w:tc>
          <w:tcPr>
            <w:tcW w:w="1380" w:type="dxa"/>
            <w:vAlign w:val="bottom"/>
            <w:gridSpan w:val="3"/>
          </w:tcPr>
          <w:p>
            <w:pPr>
              <w:jc w:val="center"/>
              <w:ind w:left="126"/>
              <w:spacing w:after="0" w:line="164" w:lineRule="exact"/>
              <w:rPr>
                <w:sz w:val="20"/>
                <w:szCs w:val="20"/>
                <w:color w:val="auto"/>
              </w:rPr>
            </w:pPr>
            <w:r>
              <w:rPr>
                <w:rFonts w:ascii="Arial" w:cs="Arial" w:eastAsia="Arial" w:hAnsi="Arial"/>
                <w:sz w:val="15"/>
                <w:szCs w:val="15"/>
                <w:color w:val="auto"/>
              </w:rPr>
              <w:t>2021-07-01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center"/>
              <w:ind w:right="186"/>
              <w:spacing w:after="0" w:line="164" w:lineRule="exact"/>
              <w:rPr>
                <w:sz w:val="20"/>
                <w:szCs w:val="20"/>
                <w:color w:val="auto"/>
              </w:rPr>
            </w:pPr>
            <w:r>
              <w:rPr>
                <w:rFonts w:ascii="Arial" w:cs="Arial" w:eastAsia="Arial" w:hAnsi="Arial"/>
                <w:sz w:val="15"/>
                <w:szCs w:val="15"/>
                <w:color w:val="auto"/>
              </w:rPr>
              <w:t>4.2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40" w:type="dxa"/>
            <w:vAlign w:val="bottom"/>
            <w:tcBorders>
              <w:top w:val="single" w:sz="8" w:color="0000FF"/>
            </w:tcBorders>
            <w:gridSpan w:val="6"/>
          </w:tcPr>
          <w:p>
            <w:pPr>
              <w:spacing w:after="0" w:line="133" w:lineRule="exact"/>
              <w:rPr>
                <w:rFonts w:ascii="Arial" w:cs="Arial" w:eastAsia="Arial" w:hAnsi="Arial"/>
                <w:sz w:val="15"/>
                <w:szCs w:val="15"/>
                <w:color w:val="0000FF"/>
              </w:rPr>
            </w:pPr>
            <w:hyperlink r:id="rId152">
              <w:r>
                <w:rPr>
                  <w:rFonts w:ascii="Arial" w:cs="Arial" w:eastAsia="Arial" w:hAnsi="Arial"/>
                  <w:sz w:val="15"/>
                  <w:szCs w:val="15"/>
                  <w:color w:val="0000FF"/>
                </w:rPr>
                <w:t>Inc., issued to multiple investors on February 12, 2021</w:t>
              </w:r>
            </w:hyperlink>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8"/>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7"/>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0000FF"/>
            </w:tcBorders>
            <w:gridSpan w:val="8"/>
            <w:shd w:val="clear" w:color="auto" w:fill="CCEEFF"/>
          </w:tcPr>
          <w:p>
            <w:pPr>
              <w:spacing w:after="0"/>
              <w:rPr>
                <w:rFonts w:ascii="Arial" w:cs="Arial" w:eastAsia="Arial" w:hAnsi="Arial"/>
                <w:sz w:val="15"/>
                <w:szCs w:val="15"/>
                <w:color w:val="0000FF"/>
              </w:rPr>
            </w:pPr>
            <w:hyperlink w:anchor="page1">
              <w:r>
                <w:rPr>
                  <w:rFonts w:ascii="Arial" w:cs="Arial" w:eastAsia="Arial" w:hAnsi="Arial"/>
                  <w:sz w:val="15"/>
                  <w:szCs w:val="15"/>
                  <w:color w:val="0000FF"/>
                </w:rPr>
                <w:t>CEO Certification pursuant to Section 302 of the Sarbanes-Oxley Act</w:t>
              </w:r>
            </w:hyperlink>
          </w:p>
        </w:tc>
        <w:tc>
          <w:tcPr>
            <w:tcW w:w="14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X</w:t>
            </w:r>
          </w:p>
        </w:tc>
      </w:tr>
      <w:tr>
        <w:trPr>
          <w:trHeight w:val="172"/>
        </w:trPr>
        <w:tc>
          <w:tcPr>
            <w:tcW w:w="1180" w:type="dxa"/>
            <w:vAlign w:val="bottom"/>
          </w:tcPr>
          <w:p>
            <w:pPr>
              <w:ind w:left="20"/>
              <w:spacing w:after="0" w:line="164" w:lineRule="exact"/>
              <w:rPr>
                <w:sz w:val="20"/>
                <w:szCs w:val="20"/>
                <w:color w:val="auto"/>
              </w:rPr>
            </w:pPr>
            <w:r>
              <w:rPr>
                <w:rFonts w:ascii="Arial" w:cs="Arial" w:eastAsia="Arial" w:hAnsi="Arial"/>
                <w:sz w:val="15"/>
                <w:szCs w:val="15"/>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bottom w:val="single" w:sz="8" w:color="0000FF"/>
            </w:tcBorders>
            <w:gridSpan w:val="7"/>
          </w:tcPr>
          <w:p>
            <w:pPr>
              <w:spacing w:after="0" w:line="164" w:lineRule="exact"/>
              <w:rPr>
                <w:rFonts w:ascii="Arial" w:cs="Arial" w:eastAsia="Arial" w:hAnsi="Arial"/>
                <w:sz w:val="15"/>
                <w:szCs w:val="15"/>
                <w:color w:val="0000FF"/>
              </w:rPr>
            </w:pPr>
            <w:hyperlink w:anchor="page1">
              <w:r>
                <w:rPr>
                  <w:rFonts w:ascii="Arial" w:cs="Arial" w:eastAsia="Arial" w:hAnsi="Arial"/>
                  <w:sz w:val="15"/>
                  <w:szCs w:val="15"/>
                  <w:color w:val="0000FF"/>
                </w:rPr>
                <w:t>CFO Certification pursuant to Section 302 of the Sarbanes-Oxley Act</w:t>
              </w:r>
            </w:hyperlink>
          </w:p>
        </w:tc>
        <w:tc>
          <w:tcPr>
            <w:tcW w:w="16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4" w:lineRule="exact"/>
              <w:rPr>
                <w:sz w:val="20"/>
                <w:szCs w:val="20"/>
                <w:color w:val="auto"/>
              </w:rPr>
            </w:pPr>
            <w:r>
              <w:rPr>
                <w:rFonts w:ascii="Arial" w:cs="Arial" w:eastAsia="Arial" w:hAnsi="Arial"/>
                <w:sz w:val="15"/>
                <w:szCs w:val="15"/>
                <w:color w:val="auto"/>
              </w:rPr>
              <w:t>X</w:t>
            </w:r>
          </w:p>
        </w:tc>
      </w:tr>
      <w:tr>
        <w:trPr>
          <w:trHeight w:val="187"/>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32.1‡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0000FF"/>
            </w:tcBorders>
            <w:gridSpan w:val="8"/>
            <w:shd w:val="clear" w:color="auto" w:fill="CCEEFF"/>
          </w:tcPr>
          <w:p>
            <w:pPr>
              <w:spacing w:after="0"/>
              <w:rPr>
                <w:rFonts w:ascii="Arial" w:cs="Arial" w:eastAsia="Arial" w:hAnsi="Arial"/>
                <w:sz w:val="15"/>
                <w:szCs w:val="15"/>
                <w:color w:val="0000FF"/>
              </w:rPr>
            </w:pPr>
            <w:hyperlink w:anchor="page1">
              <w:r>
                <w:rPr>
                  <w:rFonts w:ascii="Arial" w:cs="Arial" w:eastAsia="Arial" w:hAnsi="Arial"/>
                  <w:sz w:val="15"/>
                  <w:szCs w:val="15"/>
                  <w:color w:val="0000FF"/>
                </w:rPr>
                <w:t>CEO Certification pursuant to Section 906 of the Sarbanes-Oxley Act</w:t>
              </w:r>
            </w:hyperlink>
          </w:p>
        </w:tc>
        <w:tc>
          <w:tcPr>
            <w:tcW w:w="14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X</w:t>
            </w:r>
          </w:p>
        </w:tc>
      </w:tr>
      <w:tr>
        <w:trPr>
          <w:trHeight w:val="172"/>
        </w:trPr>
        <w:tc>
          <w:tcPr>
            <w:tcW w:w="1180" w:type="dxa"/>
            <w:vAlign w:val="bottom"/>
          </w:tcPr>
          <w:p>
            <w:pPr>
              <w:ind w:left="20"/>
              <w:spacing w:after="0" w:line="164" w:lineRule="exact"/>
              <w:rPr>
                <w:sz w:val="20"/>
                <w:szCs w:val="20"/>
                <w:color w:val="auto"/>
              </w:rPr>
            </w:pPr>
            <w:r>
              <w:rPr>
                <w:rFonts w:ascii="Arial" w:cs="Arial" w:eastAsia="Arial" w:hAnsi="Arial"/>
                <w:sz w:val="15"/>
                <w:szCs w:val="15"/>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bottom w:val="single" w:sz="8" w:color="0000FF"/>
            </w:tcBorders>
            <w:gridSpan w:val="7"/>
          </w:tcPr>
          <w:p>
            <w:pPr>
              <w:spacing w:after="0" w:line="164" w:lineRule="exact"/>
              <w:rPr>
                <w:rFonts w:ascii="Arial" w:cs="Arial" w:eastAsia="Arial" w:hAnsi="Arial"/>
                <w:sz w:val="15"/>
                <w:szCs w:val="15"/>
                <w:color w:val="0000FF"/>
              </w:rPr>
            </w:pPr>
            <w:hyperlink w:anchor="page1">
              <w:r>
                <w:rPr>
                  <w:rFonts w:ascii="Arial" w:cs="Arial" w:eastAsia="Arial" w:hAnsi="Arial"/>
                  <w:sz w:val="15"/>
                  <w:szCs w:val="15"/>
                  <w:color w:val="0000FF"/>
                </w:rPr>
                <w:t>CFO Certification pursuant to Section 906 of the Sarbanes-Oxley Act</w:t>
              </w:r>
            </w:hyperlink>
          </w:p>
        </w:tc>
        <w:tc>
          <w:tcPr>
            <w:tcW w:w="16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4" w:lineRule="exact"/>
              <w:rPr>
                <w:sz w:val="20"/>
                <w:szCs w:val="20"/>
                <w:color w:val="auto"/>
              </w:rPr>
            </w:pPr>
            <w:r>
              <w:rPr>
                <w:rFonts w:ascii="Arial" w:cs="Arial" w:eastAsia="Arial" w:hAnsi="Arial"/>
                <w:sz w:val="15"/>
                <w:szCs w:val="15"/>
                <w:color w:val="auto"/>
              </w:rPr>
              <w:t>X</w:t>
            </w:r>
          </w:p>
        </w:tc>
      </w:tr>
      <w:tr>
        <w:trPr>
          <w:trHeight w:val="160"/>
        </w:trPr>
        <w:tc>
          <w:tcPr>
            <w:tcW w:w="118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101.INS</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40" w:type="dxa"/>
            <w:vAlign w:val="bottom"/>
            <w:gridSpan w:val="11"/>
            <w:shd w:val="clear" w:color="auto" w:fill="CCEEFF"/>
          </w:tcPr>
          <w:p>
            <w:pPr>
              <w:spacing w:after="0" w:line="161" w:lineRule="exact"/>
              <w:rPr>
                <w:sz w:val="20"/>
                <w:szCs w:val="20"/>
                <w:color w:val="auto"/>
              </w:rPr>
            </w:pPr>
            <w:r>
              <w:rPr>
                <w:rFonts w:ascii="Arial" w:cs="Arial" w:eastAsia="Arial" w:hAnsi="Arial"/>
                <w:sz w:val="15"/>
                <w:szCs w:val="15"/>
                <w:color w:val="auto"/>
              </w:rPr>
              <w:t>iXBRL (Inline eXtensible Business Reporting Language) Instance</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61" w:lineRule="exact"/>
              <w:rPr>
                <w:sz w:val="20"/>
                <w:szCs w:val="20"/>
                <w:color w:val="auto"/>
              </w:rPr>
            </w:pPr>
            <w:r>
              <w:rPr>
                <w:rFonts w:ascii="Arial" w:cs="Arial" w:eastAsia="Arial" w:hAnsi="Arial"/>
                <w:sz w:val="15"/>
                <w:szCs w:val="15"/>
                <w:color w:val="auto"/>
              </w:rPr>
              <w:t>X</w:t>
            </w: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40" w:type="dxa"/>
            <w:vAlign w:val="bottom"/>
            <w:gridSpan w:val="11"/>
            <w:shd w:val="clear" w:color="auto" w:fill="CCEEFF"/>
          </w:tcPr>
          <w:p>
            <w:pPr>
              <w:spacing w:after="0" w:line="152" w:lineRule="exact"/>
              <w:rPr>
                <w:sz w:val="20"/>
                <w:szCs w:val="20"/>
                <w:color w:val="auto"/>
              </w:rPr>
            </w:pPr>
            <w:r>
              <w:rPr>
                <w:rFonts w:ascii="Arial" w:cs="Arial" w:eastAsia="Arial" w:hAnsi="Arial"/>
                <w:sz w:val="15"/>
                <w:szCs w:val="15"/>
                <w:color w:val="auto"/>
              </w:rPr>
              <w:t>Document - the instance document does not appear in the Interactive</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2"/>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40" w:type="dxa"/>
            <w:vAlign w:val="bottom"/>
            <w:gridSpan w:val="11"/>
            <w:shd w:val="clear" w:color="auto" w:fill="CCEEFF"/>
          </w:tcPr>
          <w:p>
            <w:pPr>
              <w:spacing w:after="0" w:line="152" w:lineRule="exact"/>
              <w:rPr>
                <w:sz w:val="20"/>
                <w:szCs w:val="20"/>
                <w:color w:val="auto"/>
              </w:rPr>
            </w:pPr>
            <w:r>
              <w:rPr>
                <w:rFonts w:ascii="Arial" w:cs="Arial" w:eastAsia="Arial" w:hAnsi="Arial"/>
                <w:sz w:val="15"/>
                <w:szCs w:val="15"/>
                <w:color w:val="auto"/>
              </w:rPr>
              <w:t>Data File because its XBRL tags are embedded within the Inline</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99"/>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40" w:type="dxa"/>
            <w:vAlign w:val="bottom"/>
            <w:gridSpan w:val="11"/>
            <w:shd w:val="clear" w:color="auto" w:fill="CCEEFF"/>
          </w:tcPr>
          <w:p>
            <w:pPr>
              <w:spacing w:after="0"/>
              <w:rPr>
                <w:sz w:val="20"/>
                <w:szCs w:val="20"/>
                <w:color w:val="auto"/>
              </w:rPr>
            </w:pPr>
            <w:r>
              <w:rPr>
                <w:rFonts w:ascii="Arial" w:cs="Arial" w:eastAsia="Arial" w:hAnsi="Arial"/>
                <w:sz w:val="15"/>
                <w:szCs w:val="15"/>
                <w:color w:val="auto"/>
              </w:rPr>
              <w:t>XBRL document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9"/>
        </w:trPr>
        <w:tc>
          <w:tcPr>
            <w:tcW w:w="1180" w:type="dxa"/>
            <w:vAlign w:val="bottom"/>
          </w:tcPr>
          <w:p>
            <w:pPr>
              <w:ind w:left="20"/>
              <w:spacing w:after="0"/>
              <w:rPr>
                <w:sz w:val="20"/>
                <w:szCs w:val="20"/>
                <w:color w:val="auto"/>
              </w:rPr>
            </w:pPr>
            <w:r>
              <w:rPr>
                <w:rFonts w:ascii="Arial" w:cs="Arial" w:eastAsia="Arial" w:hAnsi="Arial"/>
                <w:sz w:val="15"/>
                <w:szCs w:val="15"/>
                <w:color w:val="auto"/>
              </w:rPr>
              <w:t>101.SCH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1"/>
          </w:tcPr>
          <w:p>
            <w:pPr>
              <w:spacing w:after="0"/>
              <w:rPr>
                <w:sz w:val="20"/>
                <w:szCs w:val="20"/>
                <w:color w:val="auto"/>
              </w:rPr>
            </w:pPr>
            <w:r>
              <w:rPr>
                <w:rFonts w:ascii="Arial" w:cs="Arial" w:eastAsia="Arial" w:hAnsi="Arial"/>
                <w:sz w:val="15"/>
                <w:szCs w:val="15"/>
                <w:color w:val="auto"/>
              </w:rPr>
              <w:t>iXBRL Taxonomy Extension Schema Document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X</w:t>
            </w:r>
          </w:p>
        </w:tc>
      </w:tr>
      <w:tr>
        <w:trPr>
          <w:trHeight w:val="199"/>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101.CAL</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40" w:type="dxa"/>
            <w:vAlign w:val="bottom"/>
            <w:gridSpan w:val="11"/>
            <w:shd w:val="clear" w:color="auto" w:fill="CCEEFF"/>
          </w:tcPr>
          <w:p>
            <w:pPr>
              <w:spacing w:after="0"/>
              <w:rPr>
                <w:sz w:val="20"/>
                <w:szCs w:val="20"/>
                <w:color w:val="auto"/>
              </w:rPr>
            </w:pPr>
            <w:r>
              <w:rPr>
                <w:rFonts w:ascii="Arial" w:cs="Arial" w:eastAsia="Arial" w:hAnsi="Arial"/>
                <w:sz w:val="15"/>
                <w:szCs w:val="15"/>
                <w:color w:val="auto"/>
              </w:rPr>
              <w:t>iXBRL Taxonomy Extension Calculation Linkbase Document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X</w:t>
            </w:r>
          </w:p>
        </w:tc>
      </w:tr>
      <w:tr>
        <w:trPr>
          <w:trHeight w:val="199"/>
        </w:trPr>
        <w:tc>
          <w:tcPr>
            <w:tcW w:w="1180" w:type="dxa"/>
            <w:vAlign w:val="bottom"/>
          </w:tcPr>
          <w:p>
            <w:pPr>
              <w:ind w:left="20"/>
              <w:spacing w:after="0"/>
              <w:rPr>
                <w:sz w:val="20"/>
                <w:szCs w:val="20"/>
                <w:color w:val="auto"/>
              </w:rPr>
            </w:pPr>
            <w:r>
              <w:rPr>
                <w:rFonts w:ascii="Arial" w:cs="Arial" w:eastAsia="Arial" w:hAnsi="Arial"/>
                <w:sz w:val="15"/>
                <w:szCs w:val="15"/>
                <w:color w:val="auto"/>
              </w:rPr>
              <w:t>101.DEF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1"/>
          </w:tcPr>
          <w:p>
            <w:pPr>
              <w:spacing w:after="0"/>
              <w:rPr>
                <w:sz w:val="20"/>
                <w:szCs w:val="20"/>
                <w:color w:val="auto"/>
              </w:rPr>
            </w:pPr>
            <w:r>
              <w:rPr>
                <w:rFonts w:ascii="Arial" w:cs="Arial" w:eastAsia="Arial" w:hAnsi="Arial"/>
                <w:sz w:val="15"/>
                <w:szCs w:val="15"/>
                <w:color w:val="auto"/>
              </w:rPr>
              <w:t>iXBRL Taxonomy Extension Definition Linkbase Document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X</w:t>
            </w:r>
          </w:p>
        </w:tc>
      </w:tr>
      <w:tr>
        <w:trPr>
          <w:trHeight w:val="199"/>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101.LAB</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40" w:type="dxa"/>
            <w:vAlign w:val="bottom"/>
            <w:gridSpan w:val="11"/>
            <w:shd w:val="clear" w:color="auto" w:fill="CCEEFF"/>
          </w:tcPr>
          <w:p>
            <w:pPr>
              <w:spacing w:after="0"/>
              <w:rPr>
                <w:sz w:val="20"/>
                <w:szCs w:val="20"/>
                <w:color w:val="auto"/>
              </w:rPr>
            </w:pPr>
            <w:r>
              <w:rPr>
                <w:rFonts w:ascii="Arial" w:cs="Arial" w:eastAsia="Arial" w:hAnsi="Arial"/>
                <w:sz w:val="15"/>
                <w:szCs w:val="15"/>
                <w:color w:val="auto"/>
              </w:rPr>
              <w:t>iXBRL Taxonomy Extension Label Linkbase Document.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X</w:t>
            </w:r>
          </w:p>
        </w:tc>
      </w:tr>
      <w:tr>
        <w:trPr>
          <w:trHeight w:val="199"/>
        </w:trPr>
        <w:tc>
          <w:tcPr>
            <w:tcW w:w="1180" w:type="dxa"/>
            <w:vAlign w:val="bottom"/>
          </w:tcPr>
          <w:p>
            <w:pPr>
              <w:ind w:left="20"/>
              <w:spacing w:after="0"/>
              <w:rPr>
                <w:sz w:val="20"/>
                <w:szCs w:val="20"/>
                <w:color w:val="auto"/>
              </w:rPr>
            </w:pPr>
            <w:r>
              <w:rPr>
                <w:rFonts w:ascii="Arial" w:cs="Arial" w:eastAsia="Arial" w:hAnsi="Arial"/>
                <w:sz w:val="15"/>
                <w:szCs w:val="15"/>
                <w:color w:val="auto"/>
              </w:rPr>
              <w:t>101.PRE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1"/>
          </w:tcPr>
          <w:p>
            <w:pPr>
              <w:spacing w:after="0"/>
              <w:rPr>
                <w:sz w:val="20"/>
                <w:szCs w:val="20"/>
                <w:color w:val="auto"/>
              </w:rPr>
            </w:pPr>
            <w:r>
              <w:rPr>
                <w:rFonts w:ascii="Arial" w:cs="Arial" w:eastAsia="Arial" w:hAnsi="Arial"/>
                <w:sz w:val="15"/>
                <w:szCs w:val="15"/>
                <w:color w:val="auto"/>
              </w:rPr>
              <w:t>iXBRL Taxonomy Extension Presentation Linkbase Document.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X</w:t>
            </w:r>
          </w:p>
        </w:tc>
      </w:tr>
      <w:tr>
        <w:trPr>
          <w:trHeight w:val="199"/>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40" w:type="dxa"/>
            <w:vAlign w:val="bottom"/>
            <w:gridSpan w:val="11"/>
            <w:shd w:val="clear" w:color="auto" w:fill="CCEEFF"/>
          </w:tcPr>
          <w:p>
            <w:pPr>
              <w:spacing w:after="0"/>
              <w:rPr>
                <w:sz w:val="20"/>
                <w:szCs w:val="20"/>
                <w:color w:val="auto"/>
              </w:rPr>
            </w:pPr>
            <w:r>
              <w:rPr>
                <w:rFonts w:ascii="Arial" w:cs="Arial" w:eastAsia="Arial" w:hAnsi="Arial"/>
                <w:sz w:val="15"/>
                <w:szCs w:val="15"/>
                <w:color w:val="auto"/>
              </w:rPr>
              <w:t>Cover Page Interactive Data File (contained in Exhibit 101)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X</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55" w:lineRule="exact"/>
        <w:rPr>
          <w:sz w:val="20"/>
          <w:szCs w:val="20"/>
          <w:color w:val="auto"/>
        </w:rPr>
      </w:pPr>
    </w:p>
    <w:p>
      <w:pPr>
        <w:ind w:right="5560" w:firstLine="4"/>
        <w:spacing w:after="0" w:line="319" w:lineRule="auto"/>
        <w:tabs>
          <w:tab w:leader="none" w:pos="193" w:val="left"/>
        </w:tabs>
        <w:numPr>
          <w:ilvl w:val="0"/>
          <w:numId w:val="44"/>
        </w:numPr>
        <w:rPr>
          <w:rFonts w:ascii="Arial" w:cs="Arial" w:eastAsia="Arial" w:hAnsi="Arial"/>
          <w:sz w:val="13"/>
          <w:szCs w:val="13"/>
          <w:color w:val="auto"/>
        </w:rPr>
      </w:pPr>
      <w:r>
        <w:rPr>
          <w:rFonts w:ascii="Arial" w:cs="Arial" w:eastAsia="Arial" w:hAnsi="Arial"/>
          <w:sz w:val="13"/>
          <w:szCs w:val="13"/>
          <w:color w:val="auto"/>
        </w:rPr>
        <w:t>File number is 001-40691 except that the S-1 (and S-1/A) file number is 333-257602. + Indicates a management contract or compensatory plan.</w:t>
      </w:r>
    </w:p>
    <w:p>
      <w:pPr>
        <w:spacing w:after="0" w:line="1" w:lineRule="exact"/>
        <w:rPr>
          <w:sz w:val="20"/>
          <w:szCs w:val="20"/>
          <w:color w:val="auto"/>
        </w:rPr>
      </w:pPr>
    </w:p>
    <w:p>
      <w:pPr>
        <w:jc w:val="both"/>
        <w:ind w:left="140" w:right="20" w:hanging="136"/>
        <w:spacing w:after="0" w:line="259" w:lineRule="auto"/>
        <w:tabs>
          <w:tab w:leader="none" w:pos="266"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153035</wp:posOffset>
            </wp:positionV>
            <wp:extent cx="673608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8" w:name="page129"/>
    <w:bookmarkEnd w:id="12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SIGNATURES</w:t>
      </w:r>
    </w:p>
    <w:p>
      <w:pPr>
        <w:spacing w:after="0" w:line="183" w:lineRule="exact"/>
        <w:rPr>
          <w:sz w:val="20"/>
          <w:szCs w:val="20"/>
          <w:color w:val="auto"/>
        </w:rPr>
      </w:pPr>
    </w:p>
    <w:p>
      <w:pPr>
        <w:ind w:right="20" w:firstLine="281"/>
        <w:spacing w:after="0" w:line="282" w:lineRule="auto"/>
        <w:rPr>
          <w:sz w:val="20"/>
          <w:szCs w:val="20"/>
          <w:color w:val="auto"/>
        </w:rPr>
      </w:pPr>
      <w:r>
        <w:rPr>
          <w:rFonts w:ascii="Arial" w:cs="Arial" w:eastAsia="Arial" w:hAnsi="Arial"/>
          <w:sz w:val="15"/>
          <w:szCs w:val="15"/>
          <w:color w:val="auto"/>
        </w:rPr>
        <w:t>Pursuant to the requirements of the Securities Exchange Act of 1934, the Registrant has duly signed this report to be signed on its behalf by the undersigned, thereunto duly authorized, in Menlo Park, California, on November 5, 2025.</w:t>
      </w:r>
    </w:p>
    <w:p>
      <w:pPr>
        <w:spacing w:after="0" w:line="134"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Robinhood Markets, Inc.</w:t>
      </w:r>
    </w:p>
    <w:p>
      <w:pPr>
        <w:spacing w:after="0" w:line="261" w:lineRule="exact"/>
        <w:rPr>
          <w:sz w:val="20"/>
          <w:szCs w:val="20"/>
          <w:color w:val="auto"/>
        </w:rPr>
      </w:pPr>
    </w:p>
    <w:tbl>
      <w:tblPr>
        <w:tblLayout w:type="fixed"/>
        <w:tblInd w:w="6160" w:type="dxa"/>
        <w:tblCellMar>
          <w:top w:w="0" w:type="dxa"/>
          <w:left w:w="0" w:type="dxa"/>
          <w:bottom w:w="0" w:type="dxa"/>
          <w:right w:w="0" w:type="dxa"/>
        </w:tblCellMar>
      </w:tblPr>
      <w:tr>
        <w:trPr>
          <w:trHeight w:val="199"/>
        </w:trPr>
        <w:tc>
          <w:tcPr>
            <w:tcW w:w="920" w:type="dxa"/>
            <w:vAlign w:val="bottom"/>
          </w:tcPr>
          <w:p>
            <w:pPr>
              <w:spacing w:after="0"/>
              <w:rPr>
                <w:sz w:val="20"/>
                <w:szCs w:val="20"/>
                <w:color w:val="auto"/>
              </w:rPr>
            </w:pPr>
            <w:r>
              <w:rPr>
                <w:rFonts w:ascii="Arial" w:cs="Arial" w:eastAsia="Arial" w:hAnsi="Arial"/>
                <w:sz w:val="15"/>
                <w:szCs w:val="15"/>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Vladimir Tenev</w:t>
            </w:r>
          </w:p>
        </w:tc>
      </w:tr>
      <w:tr>
        <w:trPr>
          <w:trHeight w:val="191"/>
        </w:trPr>
        <w:tc>
          <w:tcPr>
            <w:tcW w:w="920" w:type="dxa"/>
            <w:vAlign w:val="bottom"/>
          </w:tcPr>
          <w:p>
            <w:pPr>
              <w:spacing w:after="0"/>
              <w:rPr>
                <w:sz w:val="20"/>
                <w:szCs w:val="20"/>
                <w:color w:val="auto"/>
              </w:rPr>
            </w:pPr>
            <w:r>
              <w:rPr>
                <w:rFonts w:ascii="Arial" w:cs="Arial" w:eastAsia="Arial" w:hAnsi="Arial"/>
                <w:sz w:val="15"/>
                <w:szCs w:val="15"/>
                <w:color w:val="auto"/>
              </w:rPr>
              <w:t>Name:</w:t>
            </w:r>
          </w:p>
        </w:tc>
        <w:tc>
          <w:tcPr>
            <w:tcW w:w="3500" w:type="dxa"/>
            <w:vAlign w:val="bottom"/>
          </w:tcPr>
          <w:p>
            <w:pPr>
              <w:ind w:left="20"/>
              <w:spacing w:after="0"/>
              <w:rPr>
                <w:sz w:val="20"/>
                <w:szCs w:val="20"/>
                <w:color w:val="auto"/>
              </w:rPr>
            </w:pPr>
            <w:r>
              <w:rPr>
                <w:rFonts w:ascii="Arial" w:cs="Arial" w:eastAsia="Arial" w:hAnsi="Arial"/>
                <w:sz w:val="15"/>
                <w:szCs w:val="15"/>
                <w:color w:val="auto"/>
              </w:rPr>
              <w:t>Vladimir Tenev</w:t>
            </w:r>
          </w:p>
        </w:tc>
      </w:tr>
      <w:tr>
        <w:trPr>
          <w:trHeight w:val="200"/>
        </w:trPr>
        <w:tc>
          <w:tcPr>
            <w:tcW w:w="920" w:type="dxa"/>
            <w:vAlign w:val="bottom"/>
          </w:tcPr>
          <w:p>
            <w:pPr>
              <w:spacing w:after="0"/>
              <w:rPr>
                <w:sz w:val="20"/>
                <w:szCs w:val="20"/>
                <w:color w:val="auto"/>
              </w:rPr>
            </w:pPr>
            <w:r>
              <w:rPr>
                <w:rFonts w:ascii="Arial" w:cs="Arial" w:eastAsia="Arial" w:hAnsi="Arial"/>
                <w:sz w:val="15"/>
                <w:szCs w:val="15"/>
                <w:color w:val="auto"/>
              </w:rPr>
              <w:t>Title:</w:t>
            </w:r>
          </w:p>
        </w:tc>
        <w:tc>
          <w:tcPr>
            <w:tcW w:w="3500" w:type="dxa"/>
            <w:vAlign w:val="bottom"/>
          </w:tcPr>
          <w:p>
            <w:pPr>
              <w:ind w:left="20"/>
              <w:spacing w:after="0"/>
              <w:rPr>
                <w:sz w:val="20"/>
                <w:szCs w:val="20"/>
                <w:color w:val="auto"/>
              </w:rPr>
            </w:pPr>
            <w:r>
              <w:rPr>
                <w:rFonts w:ascii="Arial" w:cs="Arial" w:eastAsia="Arial" w:hAnsi="Arial"/>
                <w:sz w:val="15"/>
                <w:szCs w:val="15"/>
                <w:color w:val="auto"/>
              </w:rPr>
              <w:t>Chief Executive Officer and President</w:t>
            </w:r>
          </w:p>
        </w:tc>
      </w:tr>
      <w:tr>
        <w:trPr>
          <w:trHeight w:val="573"/>
        </w:trPr>
        <w:tc>
          <w:tcPr>
            <w:tcW w:w="920" w:type="dxa"/>
            <w:vAlign w:val="bottom"/>
          </w:tcPr>
          <w:p>
            <w:pPr>
              <w:spacing w:after="0"/>
              <w:rPr>
                <w:sz w:val="20"/>
                <w:szCs w:val="20"/>
                <w:color w:val="auto"/>
              </w:rPr>
            </w:pPr>
            <w:r>
              <w:rPr>
                <w:rFonts w:ascii="Arial" w:cs="Arial" w:eastAsia="Arial" w:hAnsi="Arial"/>
                <w:sz w:val="15"/>
                <w:szCs w:val="15"/>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Jason Warnick</w:t>
            </w:r>
          </w:p>
        </w:tc>
      </w:tr>
      <w:tr>
        <w:trPr>
          <w:trHeight w:val="191"/>
        </w:trPr>
        <w:tc>
          <w:tcPr>
            <w:tcW w:w="920" w:type="dxa"/>
            <w:vAlign w:val="bottom"/>
          </w:tcPr>
          <w:p>
            <w:pPr>
              <w:spacing w:after="0"/>
              <w:rPr>
                <w:sz w:val="20"/>
                <w:szCs w:val="20"/>
                <w:color w:val="auto"/>
              </w:rPr>
            </w:pPr>
            <w:r>
              <w:rPr>
                <w:rFonts w:ascii="Arial" w:cs="Arial" w:eastAsia="Arial" w:hAnsi="Arial"/>
                <w:sz w:val="15"/>
                <w:szCs w:val="15"/>
                <w:color w:val="auto"/>
              </w:rPr>
              <w:t>Name:</w:t>
            </w:r>
          </w:p>
        </w:tc>
        <w:tc>
          <w:tcPr>
            <w:tcW w:w="3500" w:type="dxa"/>
            <w:vAlign w:val="bottom"/>
          </w:tcPr>
          <w:p>
            <w:pPr>
              <w:ind w:left="20"/>
              <w:spacing w:after="0"/>
              <w:rPr>
                <w:sz w:val="20"/>
                <w:szCs w:val="20"/>
                <w:color w:val="auto"/>
              </w:rPr>
            </w:pPr>
            <w:r>
              <w:rPr>
                <w:rFonts w:ascii="Arial" w:cs="Arial" w:eastAsia="Arial" w:hAnsi="Arial"/>
                <w:sz w:val="15"/>
                <w:szCs w:val="15"/>
                <w:color w:val="auto"/>
              </w:rPr>
              <w:t>Jason Warnick</w:t>
            </w:r>
          </w:p>
        </w:tc>
      </w:tr>
      <w:tr>
        <w:trPr>
          <w:trHeight w:val="152"/>
        </w:trPr>
        <w:tc>
          <w:tcPr>
            <w:tcW w:w="920" w:type="dxa"/>
            <w:vAlign w:val="bottom"/>
          </w:tcPr>
          <w:p>
            <w:pPr>
              <w:spacing w:after="0" w:line="152" w:lineRule="exact"/>
              <w:rPr>
                <w:sz w:val="20"/>
                <w:szCs w:val="20"/>
                <w:color w:val="auto"/>
              </w:rPr>
            </w:pPr>
            <w:r>
              <w:rPr>
                <w:rFonts w:ascii="Arial" w:cs="Arial" w:eastAsia="Arial" w:hAnsi="Arial"/>
                <w:sz w:val="15"/>
                <w:szCs w:val="15"/>
                <w:color w:val="auto"/>
              </w:rPr>
              <w:t>Title:</w:t>
            </w:r>
          </w:p>
        </w:tc>
        <w:tc>
          <w:tcPr>
            <w:tcW w:w="3500" w:type="dxa"/>
            <w:vAlign w:val="bottom"/>
          </w:tcPr>
          <w:p>
            <w:pPr>
              <w:ind w:left="20"/>
              <w:spacing w:after="0" w:line="152" w:lineRule="exact"/>
              <w:rPr>
                <w:sz w:val="20"/>
                <w:szCs w:val="20"/>
                <w:color w:val="auto"/>
              </w:rPr>
            </w:pPr>
            <w:r>
              <w:rPr>
                <w:rFonts w:ascii="Arial" w:cs="Arial" w:eastAsia="Arial" w:hAnsi="Arial"/>
                <w:sz w:val="15"/>
                <w:szCs w:val="15"/>
                <w:color w:val="auto"/>
              </w:rPr>
              <w:t>Chief Financial Officer</w:t>
            </w:r>
          </w:p>
        </w:tc>
      </w:tr>
      <w:tr>
        <w:trPr>
          <w:trHeight w:val="152"/>
        </w:trPr>
        <w:tc>
          <w:tcPr>
            <w:tcW w:w="920" w:type="dxa"/>
            <w:vAlign w:val="bottom"/>
          </w:tcPr>
          <w:p>
            <w:pPr>
              <w:spacing w:after="0"/>
              <w:rPr>
                <w:sz w:val="13"/>
                <w:szCs w:val="13"/>
                <w:color w:val="auto"/>
              </w:rPr>
            </w:pPr>
          </w:p>
        </w:tc>
        <w:tc>
          <w:tcPr>
            <w:tcW w:w="3500" w:type="dxa"/>
            <w:vAlign w:val="bottom"/>
          </w:tcPr>
          <w:p>
            <w:pPr>
              <w:ind w:left="20"/>
              <w:spacing w:after="0" w:line="152" w:lineRule="exact"/>
              <w:rPr>
                <w:sz w:val="20"/>
                <w:szCs w:val="20"/>
                <w:color w:val="auto"/>
              </w:rPr>
            </w:pPr>
            <w:r>
              <w:rPr>
                <w:rFonts w:ascii="Arial" w:cs="Arial" w:eastAsia="Arial" w:hAnsi="Arial"/>
                <w:sz w:val="15"/>
                <w:szCs w:val="15"/>
                <w:i w:val="1"/>
                <w:iCs w:val="1"/>
                <w:color w:val="auto"/>
              </w:rPr>
              <w:t>(Principal Financial Officer and Principal</w:t>
            </w:r>
          </w:p>
        </w:tc>
      </w:tr>
      <w:tr>
        <w:trPr>
          <w:trHeight w:val="200"/>
        </w:trPr>
        <w:tc>
          <w:tcPr>
            <w:tcW w:w="920" w:type="dxa"/>
            <w:vAlign w:val="bottom"/>
          </w:tcPr>
          <w:p>
            <w:pPr>
              <w:spacing w:after="0"/>
              <w:rPr>
                <w:sz w:val="17"/>
                <w:szCs w:val="17"/>
                <w:color w:val="auto"/>
              </w:rPr>
            </w:pPr>
          </w:p>
        </w:tc>
        <w:tc>
          <w:tcPr>
            <w:tcW w:w="3500" w:type="dxa"/>
            <w:vAlign w:val="bottom"/>
          </w:tcPr>
          <w:p>
            <w:pPr>
              <w:ind w:left="20"/>
              <w:spacing w:after="0"/>
              <w:rPr>
                <w:sz w:val="20"/>
                <w:szCs w:val="20"/>
                <w:color w:val="auto"/>
              </w:rPr>
            </w:pPr>
            <w:r>
              <w:rPr>
                <w:rFonts w:ascii="Arial" w:cs="Arial" w:eastAsia="Arial" w:hAnsi="Arial"/>
                <w:sz w:val="15"/>
                <w:szCs w:val="15"/>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128</w:t>
      </w:r>
    </w:p>
    <w:p>
      <w:pPr>
        <w:sectPr>
          <w:pgSz w:w="11900" w:h="16840" w:orient="portrait"/>
          <w:cols w:equalWidth="0" w:num="1">
            <w:col w:w="10580"/>
          </w:cols>
          <w:pgMar w:left="660" w:top="558" w:right="660" w:bottom="1440" w:gutter="0" w:footer="0" w:header="0"/>
        </w:sectPr>
      </w:pPr>
    </w:p>
    <w:bookmarkStart w:id="129" w:name="page130"/>
    <w:bookmarkEnd w:id="129"/>
    <w:p>
      <w:pPr>
        <w:ind w:left="9780"/>
        <w:spacing w:after="0"/>
        <w:rPr>
          <w:sz w:val="20"/>
          <w:szCs w:val="20"/>
          <w:color w:val="auto"/>
        </w:rPr>
      </w:pPr>
      <w:r>
        <w:rPr>
          <w:rFonts w:ascii="Arial" w:cs="Arial" w:eastAsia="Arial" w:hAnsi="Arial"/>
          <w:sz w:val="15"/>
          <w:szCs w:val="15"/>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83" w:lineRule="auto"/>
        <w:rPr>
          <w:sz w:val="20"/>
          <w:szCs w:val="20"/>
          <w:color w:val="auto"/>
        </w:rPr>
      </w:pPr>
      <w:r>
        <w:rPr>
          <w:rFonts w:ascii="Arial" w:cs="Arial" w:eastAsia="Arial" w:hAnsi="Arial"/>
          <w:sz w:val="15"/>
          <w:szCs w:val="15"/>
          <w:b w:val="1"/>
          <w:bCs w:val="1"/>
          <w:color w:val="auto"/>
        </w:rPr>
        <w:t>CERTIFICATION PURSUANT TO RULE 13a-14(a) AND 15d-14(a) OF THE SECURITIES EXCHANGE ACT OF 1934, AS ADOPTED PURSUANT TO SECTION 302 OF THE SARBANES-OXLEY ACT OF 2002</w:t>
      </w:r>
    </w:p>
    <w:p>
      <w:pPr>
        <w:spacing w:after="0"/>
        <w:rPr>
          <w:sz w:val="20"/>
          <w:szCs w:val="20"/>
          <w:color w:val="auto"/>
        </w:rPr>
      </w:pPr>
      <w:r>
        <w:rPr>
          <w:rFonts w:ascii="Arial" w:cs="Arial" w:eastAsia="Arial" w:hAnsi="Arial"/>
          <w:sz w:val="15"/>
          <w:szCs w:val="15"/>
          <w:color w:val="auto"/>
        </w:rPr>
        <w:t>I, Vladimir Tenev, certify that:</w:t>
      </w:r>
    </w:p>
    <w:p>
      <w:pPr>
        <w:spacing w:after="0" w:line="19" w:lineRule="exact"/>
        <w:rPr>
          <w:sz w:val="20"/>
          <w:szCs w:val="20"/>
          <w:color w:val="auto"/>
        </w:rPr>
      </w:pPr>
    </w:p>
    <w:p>
      <w:pPr>
        <w:ind w:left="340" w:hanging="336"/>
        <w:spacing w:after="0"/>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Robinhood Markets, Inc.;</w:t>
      </w:r>
    </w:p>
    <w:p>
      <w:pPr>
        <w:spacing w:after="0" w:line="26" w:lineRule="exact"/>
        <w:rPr>
          <w:rFonts w:ascii="Arial" w:cs="Arial" w:eastAsia="Arial" w:hAnsi="Arial"/>
          <w:sz w:val="15"/>
          <w:szCs w:val="15"/>
          <w:color w:val="auto"/>
        </w:rPr>
      </w:pPr>
    </w:p>
    <w:p>
      <w:pPr>
        <w:ind w:right="280" w:firstLine="4"/>
        <w:spacing w:after="0" w:line="277" w:lineRule="auto"/>
        <w:tabs>
          <w:tab w:leader="none" w:pos="333"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20" w:firstLine="4"/>
        <w:spacing w:after="0" w:line="277" w:lineRule="auto"/>
        <w:tabs>
          <w:tab w:leader="none" w:pos="333"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40" w:firstLine="4"/>
        <w:spacing w:after="0" w:line="277" w:lineRule="auto"/>
        <w:tabs>
          <w:tab w:leader="none" w:pos="33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169"/>
        <w:spacing w:after="0" w:line="277" w:lineRule="auto"/>
        <w:rPr>
          <w:rFonts w:ascii="Arial" w:cs="Arial" w:eastAsia="Arial" w:hAnsi="Arial"/>
          <w:sz w:val="15"/>
          <w:szCs w:val="15"/>
          <w:color w:val="auto"/>
        </w:rPr>
      </w:pPr>
      <w:r>
        <w:rPr>
          <w:rFonts w:ascii="Arial" w:cs="Arial" w:eastAsia="Arial" w:hAnsi="Arial"/>
          <w:sz w:val="15"/>
          <w:szCs w:val="15"/>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180"/>
        <w:spacing w:after="0" w:line="277" w:lineRule="auto"/>
        <w:rPr>
          <w:rFonts w:ascii="Arial" w:cs="Arial" w:eastAsia="Arial" w:hAnsi="Arial"/>
          <w:sz w:val="15"/>
          <w:szCs w:val="15"/>
          <w:color w:val="auto"/>
        </w:rPr>
      </w:pPr>
      <w:r>
        <w:rPr>
          <w:rFonts w:ascii="Arial" w:cs="Arial" w:eastAsia="Arial" w:hAnsi="Arial"/>
          <w:sz w:val="15"/>
          <w:szCs w:val="15"/>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firstLine="173"/>
        <w:spacing w:after="0" w:line="277" w:lineRule="auto"/>
        <w:tabs>
          <w:tab w:leader="none" w:pos="497"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173"/>
        <w:spacing w:after="0" w:line="277" w:lineRule="auto"/>
        <w:tabs>
          <w:tab w:leader="none" w:pos="509" w:val="left"/>
        </w:tabs>
        <w:numPr>
          <w:ilvl w:val="1"/>
          <w:numId w:val="4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60" w:firstLine="4"/>
        <w:spacing w:after="0" w:line="277" w:lineRule="auto"/>
        <w:tabs>
          <w:tab w:leader="none" w:pos="333"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firstLine="173"/>
        <w:spacing w:after="0" w:line="277" w:lineRule="auto"/>
        <w:tabs>
          <w:tab w:leader="none" w:pos="509" w:val="left"/>
        </w:tabs>
        <w:numPr>
          <w:ilvl w:val="1"/>
          <w:numId w:val="4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60" w:firstLine="173"/>
        <w:spacing w:after="0" w:line="314" w:lineRule="auto"/>
        <w:tabs>
          <w:tab w:leader="none" w:pos="509" w:val="left"/>
        </w:tabs>
        <w:numPr>
          <w:ilvl w:val="1"/>
          <w:numId w:val="4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ectPr>
          <w:pgSz w:w="11900" w:h="16840" w:orient="portrait"/>
          <w:cols w:equalWidth="0" w:num="1">
            <w:col w:w="10580"/>
          </w:cols>
          <w:pgMar w:left="660" w:top="558" w:right="660" w:bottom="1440" w:gutter="0" w:footer="0" w:header="0"/>
        </w:sectPr>
      </w:pPr>
    </w:p>
    <w:bookmarkStart w:id="130" w:name="page131"/>
    <w:bookmarkEnd w:id="130"/>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1D1C1D"/>
        </w:rPr>
        <w:t>Date: November 5, 2025</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/s/</w:t>
      </w:r>
      <w:r>
        <w:rPr>
          <w:rFonts w:ascii="Arial" w:cs="Arial" w:eastAsia="Arial" w:hAnsi="Arial"/>
          <w:sz w:val="15"/>
          <w:szCs w:val="15"/>
          <w:color w:val="000000"/>
        </w:rPr>
        <w:t>Vladimir Tenev</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Vladimir Tenev</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ectPr>
          <w:pgSz w:w="11900" w:h="16840" w:orient="portrait"/>
          <w:cols w:equalWidth="0" w:num="1">
            <w:col w:w="9800"/>
          </w:cols>
          <w:pgMar w:left="660" w:top="1440" w:right="1440" w:bottom="1440" w:gutter="0" w:footer="0" w:header="0"/>
        </w:sectPr>
      </w:pPr>
    </w:p>
    <w:bookmarkStart w:id="131" w:name="page132"/>
    <w:bookmarkEnd w:id="131"/>
    <w:p>
      <w:pPr>
        <w:ind w:left="9780"/>
        <w:spacing w:after="0"/>
        <w:rPr>
          <w:sz w:val="20"/>
          <w:szCs w:val="20"/>
          <w:color w:val="auto"/>
        </w:rPr>
      </w:pPr>
      <w:r>
        <w:rPr>
          <w:rFonts w:ascii="Arial" w:cs="Arial" w:eastAsia="Arial" w:hAnsi="Arial"/>
          <w:sz w:val="15"/>
          <w:szCs w:val="15"/>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83" w:lineRule="auto"/>
        <w:rPr>
          <w:sz w:val="20"/>
          <w:szCs w:val="20"/>
          <w:color w:val="auto"/>
        </w:rPr>
      </w:pPr>
      <w:r>
        <w:rPr>
          <w:rFonts w:ascii="Arial" w:cs="Arial" w:eastAsia="Arial" w:hAnsi="Arial"/>
          <w:sz w:val="15"/>
          <w:szCs w:val="15"/>
          <w:b w:val="1"/>
          <w:bCs w:val="1"/>
          <w:color w:val="auto"/>
        </w:rPr>
        <w:t>CERTIFICATION PURSUANT TO RULE 13a-14(a) AND 15d-14(a) OF THE SECURITIES EXCHANGE ACT OF 1934, AS ADOPTED PURSUANT TO SECTION 302 OF THE SARBANES-OXLEY ACT OF 2002</w:t>
      </w:r>
    </w:p>
    <w:p>
      <w:pPr>
        <w:spacing w:after="0"/>
        <w:rPr>
          <w:sz w:val="20"/>
          <w:szCs w:val="20"/>
          <w:color w:val="auto"/>
        </w:rPr>
      </w:pPr>
      <w:r>
        <w:rPr>
          <w:rFonts w:ascii="Arial" w:cs="Arial" w:eastAsia="Arial" w:hAnsi="Arial"/>
          <w:sz w:val="15"/>
          <w:szCs w:val="15"/>
          <w:color w:val="auto"/>
        </w:rPr>
        <w:t>I, Jason Warnick, certify that:</w:t>
      </w:r>
    </w:p>
    <w:p>
      <w:pPr>
        <w:spacing w:after="0" w:line="19" w:lineRule="exact"/>
        <w:rPr>
          <w:sz w:val="20"/>
          <w:szCs w:val="20"/>
          <w:color w:val="auto"/>
        </w:rPr>
      </w:pPr>
    </w:p>
    <w:p>
      <w:pPr>
        <w:ind w:left="340" w:hanging="336"/>
        <w:spacing w:after="0"/>
        <w:tabs>
          <w:tab w:leader="none" w:pos="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Robinhood Markets, Inc.;</w:t>
      </w:r>
    </w:p>
    <w:p>
      <w:pPr>
        <w:spacing w:after="0" w:line="26" w:lineRule="exact"/>
        <w:rPr>
          <w:rFonts w:ascii="Arial" w:cs="Arial" w:eastAsia="Arial" w:hAnsi="Arial"/>
          <w:sz w:val="15"/>
          <w:szCs w:val="15"/>
          <w:color w:val="auto"/>
        </w:rPr>
      </w:pPr>
    </w:p>
    <w:p>
      <w:pPr>
        <w:ind w:right="280" w:firstLine="4"/>
        <w:spacing w:after="0" w:line="277" w:lineRule="auto"/>
        <w:tabs>
          <w:tab w:leader="none" w:pos="333"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20" w:firstLine="4"/>
        <w:spacing w:after="0" w:line="277" w:lineRule="auto"/>
        <w:tabs>
          <w:tab w:leader="none" w:pos="333"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40" w:firstLine="4"/>
        <w:spacing w:after="0" w:line="277" w:lineRule="auto"/>
        <w:tabs>
          <w:tab w:leader="none" w:pos="333"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169"/>
        <w:spacing w:after="0" w:line="277" w:lineRule="auto"/>
        <w:rPr>
          <w:rFonts w:ascii="Arial" w:cs="Arial" w:eastAsia="Arial" w:hAnsi="Arial"/>
          <w:sz w:val="15"/>
          <w:szCs w:val="15"/>
          <w:color w:val="auto"/>
        </w:rPr>
      </w:pPr>
      <w:r>
        <w:rPr>
          <w:rFonts w:ascii="Arial" w:cs="Arial" w:eastAsia="Arial" w:hAnsi="Arial"/>
          <w:sz w:val="15"/>
          <w:szCs w:val="15"/>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180"/>
        <w:spacing w:after="0" w:line="277" w:lineRule="auto"/>
        <w:rPr>
          <w:rFonts w:ascii="Arial" w:cs="Arial" w:eastAsia="Arial" w:hAnsi="Arial"/>
          <w:sz w:val="15"/>
          <w:szCs w:val="15"/>
          <w:color w:val="auto"/>
        </w:rPr>
      </w:pPr>
      <w:r>
        <w:rPr>
          <w:rFonts w:ascii="Arial" w:cs="Arial" w:eastAsia="Arial" w:hAnsi="Arial"/>
          <w:sz w:val="15"/>
          <w:szCs w:val="15"/>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firstLine="173"/>
        <w:spacing w:after="0" w:line="277" w:lineRule="auto"/>
        <w:tabs>
          <w:tab w:leader="none" w:pos="497"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173"/>
        <w:spacing w:after="0" w:line="277" w:lineRule="auto"/>
        <w:tabs>
          <w:tab w:leader="none" w:pos="509" w:val="left"/>
        </w:tabs>
        <w:numPr>
          <w:ilvl w:val="1"/>
          <w:numId w:val="5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60" w:firstLine="4"/>
        <w:spacing w:after="0" w:line="277" w:lineRule="auto"/>
        <w:tabs>
          <w:tab w:leader="none" w:pos="333"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firstLine="173"/>
        <w:spacing w:after="0" w:line="277" w:lineRule="auto"/>
        <w:tabs>
          <w:tab w:leader="none" w:pos="509" w:val="left"/>
        </w:tabs>
        <w:numPr>
          <w:ilvl w:val="1"/>
          <w:numId w:val="5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60" w:firstLine="173"/>
        <w:spacing w:after="0" w:line="314" w:lineRule="auto"/>
        <w:tabs>
          <w:tab w:leader="none" w:pos="509"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ectPr>
          <w:pgSz w:w="11900" w:h="16840" w:orient="portrait"/>
          <w:cols w:equalWidth="0" w:num="1">
            <w:col w:w="10580"/>
          </w:cols>
          <w:pgMar w:left="660" w:top="558" w:right="660" w:bottom="1440" w:gutter="0" w:footer="0" w:header="0"/>
        </w:sectPr>
      </w:pPr>
    </w:p>
    <w:bookmarkStart w:id="132" w:name="page133"/>
    <w:bookmarkEnd w:id="132"/>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1D1C1D"/>
        </w:rPr>
        <w:t>Date: November 5, 2025</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/s/Jason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Chief Financial Officer</w:t>
      </w:r>
    </w:p>
    <w:p>
      <w:pPr>
        <w:sectPr>
          <w:pgSz w:w="11900" w:h="16840" w:orient="portrait"/>
          <w:cols w:equalWidth="0" w:num="1">
            <w:col w:w="9800"/>
          </w:cols>
          <w:pgMar w:left="660" w:top="1440" w:right="1440" w:bottom="1440" w:gutter="0" w:footer="0" w:header="0"/>
        </w:sectPr>
      </w:pPr>
    </w:p>
    <w:bookmarkStart w:id="133" w:name="page134"/>
    <w:bookmarkEnd w:id="133"/>
    <w:p>
      <w:pPr>
        <w:ind w:left="9780"/>
        <w:spacing w:after="0"/>
        <w:rPr>
          <w:sz w:val="20"/>
          <w:szCs w:val="20"/>
          <w:color w:val="auto"/>
        </w:rPr>
      </w:pPr>
      <w:r>
        <w:rPr>
          <w:rFonts w:ascii="Arial" w:cs="Arial" w:eastAsia="Arial" w:hAnsi="Arial"/>
          <w:sz w:val="15"/>
          <w:szCs w:val="15"/>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69" w:lineRule="auto"/>
        <w:rPr>
          <w:sz w:val="20"/>
          <w:szCs w:val="20"/>
          <w:color w:val="auto"/>
        </w:rPr>
      </w:pPr>
      <w:r>
        <w:rPr>
          <w:rFonts w:ascii="Arial" w:cs="Arial" w:eastAsia="Arial" w:hAnsi="Arial"/>
          <w:sz w:val="15"/>
          <w:szCs w:val="15"/>
          <w:b w:val="1"/>
          <w:bCs w:val="1"/>
          <w:color w:val="1D1C1D"/>
        </w:rPr>
        <w:t>CERTIFICATION BY THE CHIEF EXECUTIVE OFFICER PURSUANT TO 18 U.S.C. SECTION 1350, AS ADOPTED PURSUANT TO SECTION 906 OF THE SARBANES-OXLEY ACT OF 2002</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Pursuant to 18 U.S.C. Section 1350, I, Vladimir Tenev, hereby certify that, to the best of my knowledge, Robinhood Markets, Inc.’s Quarterly Report on Form 10-Q for the quarterly period ended </w:t>
      </w:r>
      <w:r>
        <w:rPr>
          <w:rFonts w:ascii="Arial" w:cs="Arial" w:eastAsia="Arial" w:hAnsi="Arial"/>
          <w:sz w:val="15"/>
          <w:szCs w:val="15"/>
          <w:color w:val="1D1C1D"/>
        </w:rPr>
        <w:t>September 30, 2025</w:t>
      </w:r>
      <w:r>
        <w:rPr>
          <w:rFonts w:ascii="Arial" w:cs="Arial" w:eastAsia="Arial" w:hAnsi="Arial"/>
          <w:sz w:val="15"/>
          <w:szCs w:val="15"/>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D1C1D"/>
        </w:rPr>
        <w:t>Date: November 5, 2025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/s/Vladimir Tenev</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1D1C1D"/>
        </w:rPr>
        <w:t>Vladimir Tenev</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1D1C1D"/>
        </w:rPr>
        <w:t>Chief Executive Officer</w:t>
      </w:r>
    </w:p>
    <w:p>
      <w:pPr>
        <w:sectPr>
          <w:pgSz w:w="11900" w:h="16840" w:orient="portrait"/>
          <w:cols w:equalWidth="0" w:num="1">
            <w:col w:w="10580"/>
          </w:cols>
          <w:pgMar w:left="660" w:top="558" w:right="660" w:bottom="1440" w:gutter="0" w:footer="0" w:header="0"/>
        </w:sectPr>
      </w:pPr>
    </w:p>
    <w:bookmarkStart w:id="134" w:name="page135"/>
    <w:bookmarkEnd w:id="134"/>
    <w:p>
      <w:pPr>
        <w:ind w:left="9780"/>
        <w:spacing w:after="0"/>
        <w:rPr>
          <w:sz w:val="20"/>
          <w:szCs w:val="20"/>
          <w:color w:val="auto"/>
        </w:rPr>
      </w:pPr>
      <w:r>
        <w:rPr>
          <w:rFonts w:ascii="Arial" w:cs="Arial" w:eastAsia="Arial" w:hAnsi="Arial"/>
          <w:sz w:val="15"/>
          <w:szCs w:val="15"/>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line="256" w:lineRule="auto"/>
        <w:rPr>
          <w:sz w:val="20"/>
          <w:szCs w:val="20"/>
          <w:color w:val="auto"/>
        </w:rPr>
      </w:pPr>
      <w:r>
        <w:rPr>
          <w:rFonts w:ascii="Arial" w:cs="Arial" w:eastAsia="Arial" w:hAnsi="Arial"/>
          <w:sz w:val="15"/>
          <w:szCs w:val="15"/>
          <w:b w:val="1"/>
          <w:bCs w:val="1"/>
          <w:color w:val="1D1C1D"/>
        </w:rPr>
        <w:t>CERTIFICATION BY THE CHIEF FINANCIAL OFFICER PURSUANT TO 18 U.S.C. SECTION 1350, AS ADOPTED PURSUANT TO SECTION 906 OF THE SARBANES-OXLEY ACT OF 2002</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Pursuant to 18 U.S.C. Section 1350, I, Jason Warnick, hereby certify that, to the best of my knowledge, Robinhood Markets, Inc.’s Quarterly Report on Form 10-Q for the quarterly period ended </w:t>
      </w:r>
      <w:r>
        <w:rPr>
          <w:rFonts w:ascii="Arial" w:cs="Arial" w:eastAsia="Arial" w:hAnsi="Arial"/>
          <w:sz w:val="15"/>
          <w:szCs w:val="15"/>
          <w:color w:val="1D1C1D"/>
        </w:rPr>
        <w:t>September 30, 2025</w:t>
      </w:r>
      <w:r>
        <w:rPr>
          <w:rFonts w:ascii="Arial" w:cs="Arial" w:eastAsia="Arial" w:hAnsi="Arial"/>
          <w:sz w:val="15"/>
          <w:szCs w:val="15"/>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D1C1D"/>
        </w:rPr>
        <w:t>Date: November 5, 2025</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/s/Jason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Jason Warnick</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1D1C1D"/>
        </w:rPr>
        <w:t>Chief Financial Officer</w:t>
      </w:r>
    </w:p>
    <w:p>
      <w:pPr>
        <w:sectPr>
          <w:pgSz w:w="11900" w:h="16840" w:orient="portrait"/>
          <w:cols w:equalWidth="0" w:num="1">
            <w:col w:w="10580"/>
          </w:cols>
          <w:pgMar w:left="660" w:top="558" w:right="660" w:bottom="1440" w:gutter="0" w:footer="0" w:header="0"/>
        </w:sectPr>
      </w:pPr>
    </w:p>
    <w:bookmarkStart w:id="135" w:name="page136"/>
    <w:bookmarkEnd w:id="13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lvl w:ilvl="1">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amp;"/>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lowerLetter"/>
      <w:start w:val="3"/>
    </w:lvl>
  </w:abstractNum>
  <w:abstractNum w:abstractNumId="42">
    <w:nsid w:val="6DE91B18"/>
    <w:multiLevelType w:val="hybridMultilevel"/>
    <w:lvl w:ilvl="0">
      <w:lvlJc w:val="left"/>
      <w:lvlText w:val="%1)"/>
      <w:numFmt w:val="upperLetter"/>
      <w:start w:val="1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3"/>
    </w:lvl>
  </w:abstractNum>
  <w:abstractNum w:abstractNumId="47">
    <w:nsid w:val="579478FE"/>
    <w:multiLevelType w:val="hybridMultilevel"/>
    <w:lvl w:ilvl="0">
      <w:lvlJc w:val="left"/>
      <w:lvlText w:val="%1."/>
      <w:numFmt w:val="decimal"/>
      <w:start w:val="5"/>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3"/>
    </w:lvl>
  </w:abstractNum>
  <w:abstractNum w:abstractNumId="50">
    <w:nsid w:val="1BA026F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3" Type="http://schemas.openxmlformats.org/officeDocument/2006/relationships/image" Target="media/image142.png"/><Relationship Id="rId149" Type="http://schemas.openxmlformats.org/officeDocument/2006/relationships/hyperlink" Target="https://www.sec.gov/Archives/edgar/data/0001783879/000162828021015177/exhibit31-8xkx8221.htm" TargetMode="External"/><Relationship Id="rId150" Type="http://schemas.openxmlformats.org/officeDocument/2006/relationships/hyperlink" Target="https://www.sec.gov/Archives/edgar/data/1783879/000178387922000044/exhibit32.htm" TargetMode="External"/><Relationship Id="rId151" Type="http://schemas.openxmlformats.org/officeDocument/2006/relationships/hyperlink" Target="https://www.sec.gov/Archives/edgar/data/1783879/000162828021013986/exhibit41-sx1a1.htm" TargetMode="External"/><Relationship Id="rId152" Type="http://schemas.openxmlformats.org/officeDocument/2006/relationships/hyperlink" Target="https://www.sec.gov/Archives/edgar/data/1783879/000162828021013318/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2025-11-06T05:24:45Z</dcterms:created>
  <dcterms:modified xsi:type="dcterms:W3CDTF">2025-11-06T05:24:45Z</dcterms:modified>
</cp:coreProperties>
</file>