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3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82"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10-Q</w:t>
      </w:r>
    </w:p>
    <w:p>
      <w:pPr>
        <w:spacing w:after="0" w:line="59"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rPr>
          <w:sz w:val="20"/>
          <w:szCs w:val="20"/>
          <w:color w:val="auto"/>
        </w:rPr>
      </w:pPr>
      <w:r>
        <w:rPr>
          <w:rFonts w:ascii="Arial" w:cs="Arial" w:eastAsia="Arial" w:hAnsi="Arial"/>
          <w:sz w:val="16"/>
          <w:szCs w:val="16"/>
          <w:color w:val="auto"/>
        </w:rPr>
        <w:t>(Mark One)</w:t>
      </w:r>
    </w:p>
    <w:p>
      <w:pPr>
        <w:spacing w:after="0" w:line="124" w:lineRule="exact"/>
        <w:rPr>
          <w:sz w:val="24"/>
          <w:szCs w:val="24"/>
          <w:color w:val="auto"/>
        </w:rPr>
      </w:pPr>
    </w:p>
    <w:p>
      <w:pPr>
        <w:ind w:left="800" w:hanging="450"/>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8"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September 30, 2024</w:t>
      </w:r>
    </w:p>
    <w:p>
      <w:pPr>
        <w:spacing w:after="0" w:line="18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800" w:hanging="450"/>
        <w:spacing w:after="0"/>
        <w:tabs>
          <w:tab w:leader="none" w:pos="8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4" w:lineRule="exact"/>
        <w:rPr>
          <w:rFonts w:ascii="MS PGothic" w:cs="MS PGothic" w:eastAsia="MS PGothic" w:hAnsi="MS PGothic"/>
          <w:sz w:val="16"/>
          <w:szCs w:val="16"/>
          <w:color w:val="auto"/>
        </w:rPr>
      </w:pPr>
    </w:p>
    <w:p>
      <w:pPr>
        <w:ind w:left="3680"/>
        <w:spacing w:after="0"/>
        <w:rPr>
          <w:rFonts w:ascii="MS PGothic" w:cs="MS PGothic" w:eastAsia="MS PGothic" w:hAnsi="MS PGothic"/>
          <w:sz w:val="16"/>
          <w:szCs w:val="16"/>
          <w:color w:val="auto"/>
        </w:rPr>
      </w:pPr>
      <w:r>
        <w:rPr>
          <w:rFonts w:ascii="Arial" w:cs="Arial" w:eastAsia="Arial" w:hAnsi="Arial"/>
          <w:sz w:val="18"/>
          <w:szCs w:val="18"/>
          <w:color w:val="auto"/>
        </w:rPr>
        <w:t>For the transition period from ________ to ________</w:t>
      </w:r>
    </w:p>
    <w:p>
      <w:pPr>
        <w:spacing w:after="0" w:line="225"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001-40691</w:t>
      </w:r>
    </w:p>
    <w:p>
      <w:pPr>
        <w:spacing w:after="0" w:line="35"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83"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Robinhood Markets, Inc.</w:t>
      </w:r>
    </w:p>
    <w:p>
      <w:pPr>
        <w:spacing w:after="0" w:line="107"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(Exact name of registrant as specified in its charter)</w:t>
      </w:r>
    </w:p>
    <w:p>
      <w:pPr>
        <w:spacing w:after="0" w:line="63"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3140" w:type="dxa"/>
            <w:vAlign w:val="bottom"/>
          </w:tcPr>
          <w:p>
            <w:pPr>
              <w:jc w:val="center"/>
              <w:ind w:left="264"/>
              <w:spacing w:after="0"/>
              <w:rPr>
                <w:sz w:val="20"/>
                <w:szCs w:val="20"/>
                <w:color w:val="auto"/>
              </w:rPr>
            </w:pPr>
            <w:r>
              <w:rPr>
                <w:rFonts w:ascii="Arial" w:cs="Arial" w:eastAsia="Arial" w:hAnsi="Arial"/>
                <w:sz w:val="18"/>
                <w:szCs w:val="18"/>
                <w:b w:val="1"/>
                <w:bCs w:val="1"/>
                <w:color w:val="auto"/>
              </w:rPr>
              <w:t>Delaware</w:t>
            </w:r>
          </w:p>
        </w:tc>
        <w:tc>
          <w:tcPr>
            <w:tcW w:w="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2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46-4364776</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3140" w:type="dxa"/>
            <w:vAlign w:val="bottom"/>
          </w:tcPr>
          <w:p>
            <w:pPr>
              <w:jc w:val="center"/>
              <w:ind w:left="264"/>
              <w:spacing w:after="0" w:line="149" w:lineRule="exact"/>
              <w:rPr>
                <w:sz w:val="20"/>
                <w:szCs w:val="20"/>
                <w:color w:val="auto"/>
              </w:rPr>
            </w:pPr>
            <w:r>
              <w:rPr>
                <w:rFonts w:ascii="Arial" w:cs="Arial" w:eastAsia="Arial" w:hAnsi="Arial"/>
                <w:sz w:val="14"/>
                <w:szCs w:val="14"/>
                <w:color w:val="auto"/>
              </w:rPr>
              <w:t>(State or other jurisdiction of</w:t>
            </w:r>
          </w:p>
        </w:tc>
        <w:tc>
          <w:tcPr>
            <w:tcW w:w="8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20" w:type="dxa"/>
            <w:vAlign w:val="bottom"/>
          </w:tcPr>
          <w:p>
            <w:pPr>
              <w:jc w:val="center"/>
              <w:ind w:right="44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3140" w:type="dxa"/>
            <w:vAlign w:val="bottom"/>
          </w:tcPr>
          <w:p>
            <w:pPr>
              <w:jc w:val="center"/>
              <w:ind w:left="264"/>
              <w:spacing w:after="0"/>
              <w:rPr>
                <w:sz w:val="20"/>
                <w:szCs w:val="20"/>
                <w:color w:val="auto"/>
              </w:rPr>
            </w:pPr>
            <w:r>
              <w:rPr>
                <w:rFonts w:ascii="Arial" w:cs="Arial" w:eastAsia="Arial" w:hAnsi="Arial"/>
                <w:sz w:val="14"/>
                <w:szCs w:val="14"/>
                <w:color w:val="auto"/>
              </w:rPr>
              <w:t>incorporation or organization)</w:t>
            </w:r>
          </w:p>
        </w:tc>
        <w:tc>
          <w:tcPr>
            <w:tcW w:w="8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20" w:type="dxa"/>
            <w:vAlign w:val="bottom"/>
          </w:tcPr>
          <w:p>
            <w:pPr>
              <w:jc w:val="center"/>
              <w:ind w:right="46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86"/>
        </w:trPr>
        <w:tc>
          <w:tcPr>
            <w:tcW w:w="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85 Willow Rd</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Menlo Park, CA 94025</w:t>
            </w: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280" w:type="dxa"/>
            <w:vAlign w:val="bottom"/>
            <w:gridSpan w:val="3"/>
          </w:tcPr>
          <w:p>
            <w:pPr>
              <w:jc w:val="center"/>
              <w:ind w:right="3123"/>
              <w:spacing w:after="0"/>
              <w:rPr>
                <w:sz w:val="20"/>
                <w:szCs w:val="20"/>
                <w:color w:val="auto"/>
              </w:rPr>
            </w:pPr>
            <w:r>
              <w:rPr>
                <w:rFonts w:ascii="Arial" w:cs="Arial" w:eastAsia="Arial" w:hAnsi="Arial"/>
                <w:sz w:val="14"/>
                <w:szCs w:val="14"/>
                <w:color w:val="auto"/>
              </w:rPr>
              <w:t>(Address of principal executive offices, including zip code)</w:t>
            </w:r>
          </w:p>
        </w:tc>
        <w:tc>
          <w:tcPr>
            <w:tcW w:w="0" w:type="dxa"/>
            <w:vAlign w:val="bottom"/>
          </w:tcPr>
          <w:p>
            <w:pPr>
              <w:spacing w:after="0"/>
              <w:rPr>
                <w:sz w:val="1"/>
                <w:szCs w:val="1"/>
                <w:color w:val="auto"/>
              </w:rPr>
            </w:pPr>
          </w:p>
        </w:tc>
      </w:tr>
      <w:tr>
        <w:trPr>
          <w:trHeight w:val="309"/>
        </w:trPr>
        <w:tc>
          <w:tcPr>
            <w:tcW w:w="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60" w:type="dxa"/>
            <w:vAlign w:val="bottom"/>
            <w:gridSpan w:val="2"/>
          </w:tcPr>
          <w:p>
            <w:pPr>
              <w:jc w:val="center"/>
              <w:ind w:left="762"/>
              <w:spacing w:after="0"/>
              <w:rPr>
                <w:sz w:val="20"/>
                <w:szCs w:val="20"/>
                <w:color w:val="auto"/>
              </w:rPr>
            </w:pPr>
            <w:r>
              <w:rPr>
                <w:rFonts w:ascii="Arial" w:cs="Arial" w:eastAsia="Arial" w:hAnsi="Arial"/>
                <w:sz w:val="18"/>
                <w:szCs w:val="18"/>
                <w:b w:val="1"/>
                <w:bCs w:val="1"/>
                <w:color w:val="auto"/>
                <w:w w:val="99"/>
              </w:rPr>
              <w:t>(844) 428-5411</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280" w:type="dxa"/>
            <w:vAlign w:val="bottom"/>
            <w:gridSpan w:val="3"/>
          </w:tcPr>
          <w:p>
            <w:pPr>
              <w:jc w:val="center"/>
              <w:ind w:right="310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438"/>
        </w:trPr>
        <w:tc>
          <w:tcPr>
            <w:tcW w:w="700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140" w:type="dxa"/>
            <w:vAlign w:val="bottom"/>
            <w:tcBorders>
              <w:bottom w:val="single" w:sz="8" w:color="auto"/>
            </w:tcBorders>
          </w:tcPr>
          <w:p>
            <w:pPr>
              <w:jc w:val="center"/>
              <w:ind w:left="764"/>
              <w:spacing w:after="0"/>
              <w:rPr>
                <w:sz w:val="20"/>
                <w:szCs w:val="20"/>
                <w:color w:val="auto"/>
              </w:rPr>
            </w:pPr>
            <w:r>
              <w:rPr>
                <w:rFonts w:ascii="Arial" w:cs="Arial" w:eastAsia="Arial" w:hAnsi="Arial"/>
                <w:sz w:val="16"/>
                <w:szCs w:val="16"/>
                <w:color w:val="auto"/>
              </w:rPr>
              <w:t>Title of each class</w:t>
            </w:r>
          </w:p>
        </w:tc>
        <w:tc>
          <w:tcPr>
            <w:tcW w:w="88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c>
          <w:tcPr>
            <w:tcW w:w="0" w:type="dxa"/>
            <w:vAlign w:val="bottom"/>
          </w:tcPr>
          <w:p>
            <w:pPr>
              <w:spacing w:after="0"/>
              <w:rPr>
                <w:sz w:val="1"/>
                <w:szCs w:val="1"/>
                <w:color w:val="auto"/>
              </w:rPr>
            </w:pPr>
          </w:p>
        </w:tc>
      </w:tr>
      <w:tr>
        <w:trPr>
          <w:trHeight w:val="147"/>
        </w:trPr>
        <w:tc>
          <w:tcPr>
            <w:tcW w:w="600" w:type="dxa"/>
            <w:vAlign w:val="bottom"/>
            <w:tcBorders>
              <w:right w:val="single" w:sz="8" w:color="auto"/>
            </w:tcBorders>
          </w:tcPr>
          <w:p>
            <w:pPr>
              <w:spacing w:after="0"/>
              <w:rPr>
                <w:sz w:val="12"/>
                <w:szCs w:val="12"/>
                <w:color w:val="auto"/>
              </w:rPr>
            </w:pPr>
          </w:p>
        </w:tc>
        <w:tc>
          <w:tcPr>
            <w:tcW w:w="3140" w:type="dxa"/>
            <w:vAlign w:val="bottom"/>
          </w:tcPr>
          <w:p>
            <w:pPr>
              <w:jc w:val="center"/>
              <w:ind w:left="764"/>
              <w:spacing w:after="0" w:line="147" w:lineRule="exact"/>
              <w:rPr>
                <w:sz w:val="20"/>
                <w:szCs w:val="20"/>
                <w:color w:val="auto"/>
              </w:rPr>
            </w:pPr>
            <w:r>
              <w:rPr>
                <w:rFonts w:ascii="Arial" w:cs="Arial" w:eastAsia="Arial" w:hAnsi="Arial"/>
                <w:sz w:val="14"/>
                <w:szCs w:val="14"/>
                <w:b w:val="1"/>
                <w:bCs w:val="1"/>
                <w:color w:val="auto"/>
              </w:rPr>
              <w:t>Class A Common Stock</w:t>
            </w:r>
          </w:p>
        </w:tc>
        <w:tc>
          <w:tcPr>
            <w:tcW w:w="880" w:type="dxa"/>
            <w:vAlign w:val="bottom"/>
            <w:tcBorders>
              <w:right w:val="single" w:sz="8" w:color="auto"/>
            </w:tcBorders>
          </w:tcPr>
          <w:p>
            <w:pPr>
              <w:spacing w:after="0"/>
              <w:rPr>
                <w:sz w:val="12"/>
                <w:szCs w:val="12"/>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HOOD</w:t>
            </w:r>
          </w:p>
        </w:tc>
        <w:tc>
          <w:tcPr>
            <w:tcW w:w="4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r>
        <w:trPr>
          <w:trHeight w:val="115"/>
        </w:trPr>
        <w:tc>
          <w:tcPr>
            <w:tcW w:w="600" w:type="dxa"/>
            <w:vAlign w:val="bottom"/>
            <w:tcBorders>
              <w:right w:val="single" w:sz="8" w:color="auto"/>
            </w:tcBorders>
          </w:tcPr>
          <w:p>
            <w:pPr>
              <w:spacing w:after="0"/>
              <w:rPr>
                <w:sz w:val="10"/>
                <w:szCs w:val="10"/>
                <w:color w:val="auto"/>
              </w:rPr>
            </w:pPr>
          </w:p>
        </w:tc>
        <w:tc>
          <w:tcPr>
            <w:tcW w:w="3140" w:type="dxa"/>
            <w:vAlign w:val="bottom"/>
            <w:vMerge w:val="restart"/>
          </w:tcPr>
          <w:p>
            <w:pPr>
              <w:jc w:val="center"/>
              <w:ind w:left="784"/>
              <w:spacing w:after="0"/>
              <w:rPr>
                <w:sz w:val="20"/>
                <w:szCs w:val="20"/>
                <w:color w:val="auto"/>
              </w:rPr>
            </w:pPr>
            <w:r>
              <w:rPr>
                <w:rFonts w:ascii="Arial" w:cs="Arial" w:eastAsia="Arial" w:hAnsi="Arial"/>
                <w:sz w:val="14"/>
                <w:szCs w:val="14"/>
                <w:b w:val="1"/>
                <w:bCs w:val="1"/>
                <w:color w:val="auto"/>
              </w:rPr>
              <w:t>$0.0001 par value per share</w:t>
            </w:r>
          </w:p>
        </w:tc>
        <w:tc>
          <w:tcPr>
            <w:tcW w:w="88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0" w:type="dxa"/>
            <w:vAlign w:val="bottom"/>
            <w:tcBorders>
              <w:right w:val="single" w:sz="8" w:color="auto"/>
            </w:tcBorders>
          </w:tcPr>
          <w:p>
            <w:pPr>
              <w:spacing w:after="0"/>
              <w:rPr>
                <w:sz w:val="6"/>
                <w:szCs w:val="6"/>
                <w:color w:val="auto"/>
              </w:rPr>
            </w:pPr>
          </w:p>
        </w:tc>
        <w:tc>
          <w:tcPr>
            <w:tcW w:w="314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4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96"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96"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9" w:lineRule="exact"/>
        <w:rPr>
          <w:sz w:val="24"/>
          <w:szCs w:val="24"/>
          <w:color w:val="auto"/>
        </w:rPr>
      </w:pPr>
    </w:p>
    <w:p>
      <w:pPr>
        <w:jc w:val="center"/>
        <w:ind w:right="-19"/>
        <w:spacing w:after="0" w:line="184" w:lineRule="exact"/>
        <w:tabs>
          <w:tab w:leader="none" w:pos="220" w:val="left"/>
          <w:tab w:leader="none" w:pos="1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ab/>
        <w:t xml:space="preserve">Non-accelerated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both"/>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24, 2024, the numbers of shares of the issuer’s Class A and Class B common stock outstanding were 763,562,814 and 120,412,875.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1" w:name="page2"/>
    <w:bookmarkEnd w:id="1"/>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TABLE OF CONTENTS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shd w:val="clear" w:color="auto" w:fill="CCEEFF"/>
          </w:tcPr>
          <w:p>
            <w:pPr>
              <w:spacing w:after="0"/>
              <w:rPr>
                <w:sz w:val="19"/>
                <w:szCs w:val="19"/>
                <w:color w:val="auto"/>
              </w:rPr>
            </w:pPr>
          </w:p>
        </w:tc>
        <w:tc>
          <w:tcPr>
            <w:tcW w:w="9340" w:type="dxa"/>
            <w:vAlign w:val="bottom"/>
            <w:gridSpan w:val="35"/>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880" w:type="dxa"/>
            <w:vAlign w:val="bottom"/>
            <w:gridSpan w:val="8"/>
            <w:shd w:val="clear" w:color="auto" w:fill="CCEEFF"/>
          </w:tcPr>
          <w:p>
            <w:pPr>
              <w:ind w:left="104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00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8340" w:type="dxa"/>
            <w:vAlign w:val="bottom"/>
            <w:gridSpan w:val="34"/>
          </w:tcPr>
          <w:p>
            <w:pPr>
              <w:ind w:left="200"/>
              <w:spacing w:after="0" w:line="189" w:lineRule="exact"/>
              <w:rPr>
                <w:sz w:val="20"/>
                <w:szCs w:val="20"/>
                <w:color w:val="auto"/>
              </w:rPr>
            </w:pPr>
            <w:r>
              <w:rPr>
                <w:rFonts w:ascii="Arial" w:cs="Arial" w:eastAsia="Arial" w:hAnsi="Arial"/>
                <w:sz w:val="18"/>
                <w:szCs w:val="18"/>
                <w:color w:val="0000FF"/>
              </w:rPr>
              <w:t>Unaudited Financial Statements</w:t>
            </w: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4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Balance Sheets</w:t>
            </w:r>
          </w:p>
        </w:tc>
        <w:tc>
          <w:tcPr>
            <w:tcW w:w="4800" w:type="dxa"/>
            <w:vAlign w:val="bottom"/>
            <w:gridSpan w:val="17"/>
            <w:shd w:val="clear" w:color="auto" w:fill="CCEEFF"/>
          </w:tcPr>
          <w:p>
            <w:pPr>
              <w:spacing w:after="0"/>
              <w:rPr>
                <w:sz w:val="16"/>
                <w:szCs w:val="16"/>
                <w:color w:val="auto"/>
              </w:rPr>
            </w:pPr>
          </w:p>
        </w:tc>
        <w:tc>
          <w:tcPr>
            <w:tcW w:w="1400" w:type="dxa"/>
            <w:vAlign w:val="bottom"/>
            <w:gridSpan w:val="3"/>
            <w:shd w:val="clear" w:color="auto" w:fill="CCEEFF"/>
          </w:tcPr>
          <w:p>
            <w:pPr>
              <w:spacing w:after="0"/>
              <w:rPr>
                <w:sz w:val="16"/>
                <w:szCs w:val="16"/>
                <w:color w:val="auto"/>
              </w:rPr>
            </w:pPr>
          </w:p>
        </w:tc>
        <w:tc>
          <w:tcPr>
            <w:tcW w:w="14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0000FF"/>
                <w:w w:val="99"/>
              </w:rPr>
              <w:t>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40" w:type="dxa"/>
            <w:vAlign w:val="bottom"/>
            <w:gridSpan w:val="33"/>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1540" w:type="dxa"/>
            <w:vAlign w:val="bottom"/>
            <w:gridSpan w:val="5"/>
          </w:tcPr>
          <w:p>
            <w:pPr>
              <w:jc w:val="center"/>
              <w:ind w:left="1270"/>
              <w:spacing w:after="0" w:line="189" w:lineRule="exact"/>
              <w:rPr>
                <w:sz w:val="20"/>
                <w:szCs w:val="20"/>
                <w:color w:val="auto"/>
              </w:rPr>
            </w:pPr>
            <w:r>
              <w:rPr>
                <w:rFonts w:ascii="Arial" w:cs="Arial" w:eastAsia="Arial" w:hAnsi="Arial"/>
                <w:sz w:val="18"/>
                <w:szCs w:val="18"/>
                <w:color w:val="0000FF"/>
                <w:w w:val="99"/>
              </w:rPr>
              <w:t>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14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w:t>
            </w:r>
          </w:p>
        </w:tc>
        <w:tc>
          <w:tcPr>
            <w:tcW w:w="1540" w:type="dxa"/>
            <w:vAlign w:val="bottom"/>
            <w:gridSpan w:val="5"/>
            <w:shd w:val="clear" w:color="auto" w:fill="CCEEFF"/>
          </w:tcPr>
          <w:p>
            <w:pPr>
              <w:jc w:val="center"/>
              <w:ind w:left="1270"/>
              <w:spacing w:after="0" w:line="189" w:lineRule="exact"/>
              <w:rPr>
                <w:sz w:val="20"/>
                <w:szCs w:val="20"/>
                <w:color w:val="auto"/>
              </w:rPr>
            </w:pPr>
            <w:r>
              <w:rPr>
                <w:rFonts w:ascii="Arial" w:cs="Arial" w:eastAsia="Arial" w:hAnsi="Arial"/>
                <w:sz w:val="18"/>
                <w:szCs w:val="18"/>
                <w:color w:val="0000FF"/>
                <w:w w:val="99"/>
              </w:rPr>
              <w:t>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80" w:type="dxa"/>
            <w:vAlign w:val="bottom"/>
            <w:gridSpan w:val="30"/>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2460" w:type="dxa"/>
            <w:vAlign w:val="bottom"/>
            <w:gridSpan w:val="3"/>
          </w:tcPr>
          <w:p>
            <w:pPr>
              <w:spacing w:after="0"/>
              <w:rPr>
                <w:sz w:val="16"/>
                <w:szCs w:val="16"/>
                <w:color w:val="auto"/>
              </w:rPr>
            </w:pPr>
          </w:p>
        </w:tc>
        <w:tc>
          <w:tcPr>
            <w:tcW w:w="1400" w:type="dxa"/>
            <w:vAlign w:val="bottom"/>
            <w:gridSpan w:val="3"/>
          </w:tcPr>
          <w:p>
            <w:pPr>
              <w:spacing w:after="0"/>
              <w:rPr>
                <w:sz w:val="16"/>
                <w:szCs w:val="16"/>
                <w:color w:val="auto"/>
              </w:rPr>
            </w:pPr>
          </w:p>
        </w:tc>
        <w:tc>
          <w:tcPr>
            <w:tcW w:w="140" w:type="dxa"/>
            <w:vAlign w:val="bottom"/>
            <w:gridSpan w:val="2"/>
          </w:tcPr>
          <w:p>
            <w:pPr>
              <w:jc w:val="center"/>
              <w:ind w:right="40"/>
              <w:spacing w:after="0" w:line="189" w:lineRule="exact"/>
              <w:rPr>
                <w:sz w:val="20"/>
                <w:szCs w:val="20"/>
                <w:color w:val="auto"/>
              </w:rPr>
            </w:pPr>
            <w:r>
              <w:rPr>
                <w:rFonts w:ascii="Arial" w:cs="Arial" w:eastAsia="Arial" w:hAnsi="Arial"/>
                <w:sz w:val="18"/>
                <w:szCs w:val="18"/>
                <w:color w:val="0000FF"/>
                <w:w w:val="99"/>
              </w:rPr>
              <w:t>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14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Stockholders’ Equity</w:t>
            </w:r>
          </w:p>
        </w:tc>
        <w:tc>
          <w:tcPr>
            <w:tcW w:w="1540" w:type="dxa"/>
            <w:vAlign w:val="bottom"/>
            <w:gridSpan w:val="5"/>
            <w:shd w:val="clear" w:color="auto" w:fill="CCEEFF"/>
          </w:tcPr>
          <w:p>
            <w:pPr>
              <w:jc w:val="center"/>
              <w:ind w:left="1270"/>
              <w:spacing w:after="0" w:line="189" w:lineRule="exact"/>
              <w:rPr>
                <w:sz w:val="20"/>
                <w:szCs w:val="20"/>
                <w:color w:val="auto"/>
              </w:rPr>
            </w:pPr>
            <w:r>
              <w:rPr>
                <w:rFonts w:ascii="Arial" w:cs="Arial" w:eastAsia="Arial" w:hAnsi="Arial"/>
                <w:sz w:val="18"/>
                <w:szCs w:val="18"/>
                <w:color w:val="0000FF"/>
                <w:w w:val="99"/>
              </w:rPr>
              <w:t>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40" w:type="dxa"/>
            <w:vAlign w:val="bottom"/>
            <w:gridSpan w:val="33"/>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4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w w:val="99"/>
              </w:rPr>
              <w:t>Note 1 - Description of Business and Summary of Significant Accounting Policies</w:t>
            </w:r>
          </w:p>
        </w:tc>
        <w:tc>
          <w:tcPr>
            <w:tcW w:w="1480" w:type="dxa"/>
            <w:vAlign w:val="bottom"/>
            <w:gridSpan w:val="2"/>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200" w:type="dxa"/>
            <w:vAlign w:val="bottom"/>
            <w:gridSpan w:val="4"/>
            <w:shd w:val="clear" w:color="auto" w:fill="CCEEFF"/>
          </w:tcPr>
          <w:p>
            <w:pPr>
              <w:jc w:val="center"/>
              <w:ind w:right="20"/>
              <w:spacing w:after="0" w:line="189" w:lineRule="exact"/>
              <w:rPr>
                <w:sz w:val="20"/>
                <w:szCs w:val="20"/>
                <w:color w:val="auto"/>
              </w:rPr>
            </w:pPr>
            <w:r>
              <w:rPr>
                <w:rFonts w:ascii="Arial" w:cs="Arial" w:eastAsia="Arial" w:hAnsi="Arial"/>
                <w:sz w:val="18"/>
                <w:szCs w:val="18"/>
                <w:color w:val="0000FF"/>
                <w:w w:val="89"/>
              </w:rPr>
              <w:t>11</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40" w:type="dxa"/>
            <w:vAlign w:val="bottom"/>
            <w:gridSpan w:val="30"/>
          </w:tcPr>
          <w:p>
            <w:pPr>
              <w:spacing w:after="0" w:line="189" w:lineRule="exact"/>
              <w:rPr>
                <w:sz w:val="20"/>
                <w:szCs w:val="20"/>
                <w:color w:val="auto"/>
              </w:rPr>
            </w:pPr>
            <w:r>
              <w:rPr>
                <w:rFonts w:ascii="Arial" w:cs="Arial" w:eastAsia="Arial" w:hAnsi="Arial"/>
                <w:sz w:val="18"/>
                <w:szCs w:val="18"/>
                <w:color w:val="0000FF"/>
              </w:rPr>
              <w:t>Note 2 - Recent Accounting Pronouncements</w:t>
            </w:r>
          </w:p>
        </w:tc>
        <w:tc>
          <w:tcPr>
            <w:tcW w:w="1480" w:type="dxa"/>
            <w:vAlign w:val="bottom"/>
            <w:gridSpan w:val="2"/>
          </w:tcPr>
          <w:p>
            <w:pPr>
              <w:spacing w:after="0"/>
              <w:rPr>
                <w:sz w:val="16"/>
                <w:szCs w:val="16"/>
                <w:color w:val="auto"/>
              </w:rPr>
            </w:pPr>
          </w:p>
        </w:tc>
        <w:tc>
          <w:tcPr>
            <w:tcW w:w="1600" w:type="dxa"/>
            <w:vAlign w:val="bottom"/>
            <w:gridSpan w:val="7"/>
          </w:tcPr>
          <w:p>
            <w:pPr>
              <w:jc w:val="center"/>
              <w:ind w:left="1230"/>
              <w:spacing w:after="0" w:line="189" w:lineRule="exact"/>
              <w:rPr>
                <w:sz w:val="20"/>
                <w:szCs w:val="20"/>
                <w:color w:val="auto"/>
              </w:rPr>
            </w:pPr>
            <w:r>
              <w:rPr>
                <w:rFonts w:ascii="Arial" w:cs="Arial" w:eastAsia="Arial" w:hAnsi="Arial"/>
                <w:sz w:val="18"/>
                <w:szCs w:val="18"/>
                <w:color w:val="0000FF"/>
                <w:w w:val="99"/>
              </w:rPr>
              <w:t>13</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Note 3 - Revenues</w:t>
            </w:r>
          </w:p>
        </w:tc>
        <w:tc>
          <w:tcPr>
            <w:tcW w:w="1600" w:type="dxa"/>
            <w:vAlign w:val="bottom"/>
            <w:gridSpan w:val="7"/>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14</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2"/>
          </w:tcPr>
          <w:p>
            <w:pPr>
              <w:spacing w:after="0" w:line="189" w:lineRule="exact"/>
              <w:rPr>
                <w:sz w:val="20"/>
                <w:szCs w:val="20"/>
                <w:color w:val="auto"/>
              </w:rPr>
            </w:pPr>
            <w:r>
              <w:rPr>
                <w:rFonts w:ascii="Arial" w:cs="Arial" w:eastAsia="Arial" w:hAnsi="Arial"/>
                <w:sz w:val="18"/>
                <w:szCs w:val="18"/>
                <w:color w:val="0000FF"/>
              </w:rPr>
              <w:t>Note 4 - Business Combinations and Asset Acquisitions</w:t>
            </w:r>
          </w:p>
        </w:tc>
        <w:tc>
          <w:tcPr>
            <w:tcW w:w="1600" w:type="dxa"/>
            <w:vAlign w:val="bottom"/>
            <w:gridSpan w:val="7"/>
          </w:tcPr>
          <w:p>
            <w:pPr>
              <w:jc w:val="center"/>
              <w:ind w:left="1230"/>
              <w:spacing w:after="0" w:line="189" w:lineRule="exact"/>
              <w:rPr>
                <w:sz w:val="20"/>
                <w:szCs w:val="20"/>
                <w:color w:val="auto"/>
              </w:rPr>
            </w:pPr>
            <w:r>
              <w:rPr>
                <w:rFonts w:ascii="Arial" w:cs="Arial" w:eastAsia="Arial" w:hAnsi="Arial"/>
                <w:sz w:val="18"/>
                <w:szCs w:val="18"/>
                <w:color w:val="0000FF"/>
                <w:w w:val="99"/>
              </w:rPr>
              <w:t>15</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Note 5 - Allowance for Credit Losses</w:t>
            </w:r>
          </w:p>
        </w:tc>
        <w:tc>
          <w:tcPr>
            <w:tcW w:w="1600" w:type="dxa"/>
            <w:vAlign w:val="bottom"/>
            <w:gridSpan w:val="7"/>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16</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2"/>
          </w:tcPr>
          <w:p>
            <w:pPr>
              <w:spacing w:after="0" w:line="189" w:lineRule="exact"/>
              <w:rPr>
                <w:sz w:val="20"/>
                <w:szCs w:val="20"/>
                <w:color w:val="auto"/>
              </w:rPr>
            </w:pPr>
            <w:r>
              <w:rPr>
                <w:rFonts w:ascii="Arial" w:cs="Arial" w:eastAsia="Arial" w:hAnsi="Arial"/>
                <w:sz w:val="18"/>
                <w:szCs w:val="18"/>
                <w:color w:val="0000FF"/>
              </w:rPr>
              <w:t>Note 6 - Investments and Fair Value Measurement</w:t>
            </w:r>
          </w:p>
        </w:tc>
        <w:tc>
          <w:tcPr>
            <w:tcW w:w="1600" w:type="dxa"/>
            <w:vAlign w:val="bottom"/>
            <w:gridSpan w:val="7"/>
          </w:tcPr>
          <w:p>
            <w:pPr>
              <w:jc w:val="center"/>
              <w:ind w:left="1230"/>
              <w:spacing w:after="0" w:line="189" w:lineRule="exact"/>
              <w:rPr>
                <w:sz w:val="20"/>
                <w:szCs w:val="20"/>
                <w:color w:val="auto"/>
              </w:rPr>
            </w:pPr>
            <w:r>
              <w:rPr>
                <w:rFonts w:ascii="Arial" w:cs="Arial" w:eastAsia="Arial" w:hAnsi="Arial"/>
                <w:sz w:val="18"/>
                <w:szCs w:val="18"/>
                <w:color w:val="0000FF"/>
                <w:w w:val="99"/>
              </w:rPr>
              <w:t>17</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2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w w:val="99"/>
              </w:rPr>
              <w:t>Note 7 - Derivatives and Hedging Activities</w:t>
            </w:r>
          </w:p>
        </w:tc>
        <w:tc>
          <w:tcPr>
            <w:tcW w:w="4500" w:type="dxa"/>
            <w:vAlign w:val="bottom"/>
            <w:gridSpan w:val="14"/>
            <w:shd w:val="clear" w:color="auto" w:fill="CCEEFF"/>
          </w:tcPr>
          <w:p>
            <w:pPr>
              <w:spacing w:after="0"/>
              <w:rPr>
                <w:sz w:val="16"/>
                <w:szCs w:val="16"/>
                <w:color w:val="auto"/>
              </w:rPr>
            </w:pPr>
          </w:p>
        </w:tc>
        <w:tc>
          <w:tcPr>
            <w:tcW w:w="1600" w:type="dxa"/>
            <w:vAlign w:val="bottom"/>
            <w:gridSpan w:val="7"/>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22</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18"/>
          </w:tcPr>
          <w:p>
            <w:pPr>
              <w:spacing w:after="0" w:line="189" w:lineRule="exact"/>
              <w:rPr>
                <w:sz w:val="20"/>
                <w:szCs w:val="20"/>
                <w:color w:val="auto"/>
              </w:rPr>
            </w:pPr>
            <w:r>
              <w:rPr>
                <w:rFonts w:ascii="Arial" w:cs="Arial" w:eastAsia="Arial" w:hAnsi="Arial"/>
                <w:sz w:val="18"/>
                <w:szCs w:val="18"/>
                <w:color w:val="0000FF"/>
              </w:rPr>
              <w:t>Note 8 - Income Taxes</w:t>
            </w:r>
          </w:p>
        </w:tc>
        <w:tc>
          <w:tcPr>
            <w:tcW w:w="4500" w:type="dxa"/>
            <w:vAlign w:val="bottom"/>
            <w:gridSpan w:val="14"/>
          </w:tcPr>
          <w:p>
            <w:pPr>
              <w:spacing w:after="0"/>
              <w:rPr>
                <w:sz w:val="16"/>
                <w:szCs w:val="16"/>
                <w:color w:val="auto"/>
              </w:rPr>
            </w:pPr>
          </w:p>
        </w:tc>
        <w:tc>
          <w:tcPr>
            <w:tcW w:w="1600" w:type="dxa"/>
            <w:vAlign w:val="bottom"/>
            <w:gridSpan w:val="7"/>
          </w:tcPr>
          <w:p>
            <w:pPr>
              <w:jc w:val="center"/>
              <w:ind w:left="1230"/>
              <w:spacing w:after="0" w:line="189" w:lineRule="exact"/>
              <w:rPr>
                <w:sz w:val="20"/>
                <w:szCs w:val="20"/>
                <w:color w:val="auto"/>
              </w:rPr>
            </w:pPr>
            <w:r>
              <w:rPr>
                <w:rFonts w:ascii="Arial" w:cs="Arial" w:eastAsia="Arial" w:hAnsi="Arial"/>
                <w:sz w:val="18"/>
                <w:szCs w:val="18"/>
                <w:color w:val="0000FF"/>
                <w:w w:val="99"/>
              </w:rPr>
              <w:t>24</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Note 9 - Securities Borrowing and Lending</w:t>
            </w:r>
          </w:p>
        </w:tc>
        <w:tc>
          <w:tcPr>
            <w:tcW w:w="1600" w:type="dxa"/>
            <w:vAlign w:val="bottom"/>
            <w:gridSpan w:val="7"/>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24</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2"/>
          </w:tcPr>
          <w:p>
            <w:pPr>
              <w:spacing w:after="0" w:line="189" w:lineRule="exact"/>
              <w:rPr>
                <w:sz w:val="20"/>
                <w:szCs w:val="20"/>
                <w:color w:val="auto"/>
              </w:rPr>
            </w:pPr>
            <w:r>
              <w:rPr>
                <w:rFonts w:ascii="Arial" w:cs="Arial" w:eastAsia="Arial" w:hAnsi="Arial"/>
                <w:sz w:val="18"/>
                <w:szCs w:val="18"/>
                <w:color w:val="0000FF"/>
              </w:rPr>
              <w:t>Note 10 - Financing Activities and Off-Balance Sheet Risk</w:t>
            </w:r>
          </w:p>
        </w:tc>
        <w:tc>
          <w:tcPr>
            <w:tcW w:w="1600" w:type="dxa"/>
            <w:vAlign w:val="bottom"/>
            <w:gridSpan w:val="7"/>
          </w:tcPr>
          <w:p>
            <w:pPr>
              <w:jc w:val="center"/>
              <w:ind w:left="1230"/>
              <w:spacing w:after="0" w:line="189" w:lineRule="exact"/>
              <w:rPr>
                <w:sz w:val="20"/>
                <w:szCs w:val="20"/>
                <w:color w:val="auto"/>
              </w:rPr>
            </w:pPr>
            <w:r>
              <w:rPr>
                <w:rFonts w:ascii="Arial" w:cs="Arial" w:eastAsia="Arial" w:hAnsi="Arial"/>
                <w:sz w:val="18"/>
                <w:szCs w:val="18"/>
                <w:color w:val="0000FF"/>
                <w:w w:val="99"/>
              </w:rPr>
              <w:t>25</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Note 11- Common Stock and Stockholders' Equity</w:t>
            </w:r>
          </w:p>
        </w:tc>
        <w:tc>
          <w:tcPr>
            <w:tcW w:w="1600" w:type="dxa"/>
            <w:vAlign w:val="bottom"/>
            <w:gridSpan w:val="7"/>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28</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80" w:type="dxa"/>
            <w:vAlign w:val="bottom"/>
            <w:gridSpan w:val="22"/>
          </w:tcPr>
          <w:p>
            <w:pPr>
              <w:spacing w:after="0" w:line="189" w:lineRule="exact"/>
              <w:rPr>
                <w:sz w:val="20"/>
                <w:szCs w:val="20"/>
                <w:color w:val="auto"/>
              </w:rPr>
            </w:pPr>
            <w:r>
              <w:rPr>
                <w:rFonts w:ascii="Arial" w:cs="Arial" w:eastAsia="Arial" w:hAnsi="Arial"/>
                <w:sz w:val="18"/>
                <w:szCs w:val="18"/>
                <w:color w:val="0000FF"/>
              </w:rPr>
              <w:t>Note 12 - Net Income (Loss) per Share</w:t>
            </w:r>
          </w:p>
        </w:tc>
        <w:tc>
          <w:tcPr>
            <w:tcW w:w="3940" w:type="dxa"/>
            <w:vAlign w:val="bottom"/>
            <w:gridSpan w:val="10"/>
          </w:tcPr>
          <w:p>
            <w:pPr>
              <w:spacing w:after="0"/>
              <w:rPr>
                <w:sz w:val="16"/>
                <w:szCs w:val="16"/>
                <w:color w:val="auto"/>
              </w:rPr>
            </w:pPr>
          </w:p>
        </w:tc>
        <w:tc>
          <w:tcPr>
            <w:tcW w:w="1600" w:type="dxa"/>
            <w:vAlign w:val="bottom"/>
            <w:gridSpan w:val="7"/>
          </w:tcPr>
          <w:p>
            <w:pPr>
              <w:jc w:val="center"/>
              <w:ind w:left="1230"/>
              <w:spacing w:after="0" w:line="189" w:lineRule="exact"/>
              <w:rPr>
                <w:sz w:val="20"/>
                <w:szCs w:val="20"/>
                <w:color w:val="auto"/>
              </w:rPr>
            </w:pPr>
            <w:r>
              <w:rPr>
                <w:rFonts w:ascii="Arial" w:cs="Arial" w:eastAsia="Arial" w:hAnsi="Arial"/>
                <w:sz w:val="18"/>
                <w:szCs w:val="18"/>
                <w:color w:val="0000FF"/>
                <w:w w:val="99"/>
              </w:rPr>
              <w:t>31</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w w:val="99"/>
              </w:rPr>
              <w:t>Note 13 - Leases</w:t>
            </w:r>
          </w:p>
        </w:tc>
        <w:tc>
          <w:tcPr>
            <w:tcW w:w="6540" w:type="dxa"/>
            <w:vAlign w:val="bottom"/>
            <w:gridSpan w:val="25"/>
            <w:shd w:val="clear" w:color="auto" w:fill="CCEEFF"/>
          </w:tcPr>
          <w:p>
            <w:pPr>
              <w:spacing w:after="0"/>
              <w:rPr>
                <w:sz w:val="16"/>
                <w:szCs w:val="16"/>
                <w:color w:val="auto"/>
              </w:rPr>
            </w:pPr>
          </w:p>
        </w:tc>
        <w:tc>
          <w:tcPr>
            <w:tcW w:w="1600" w:type="dxa"/>
            <w:vAlign w:val="bottom"/>
            <w:gridSpan w:val="7"/>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32</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2"/>
          </w:tcPr>
          <w:p>
            <w:pPr>
              <w:spacing w:after="0" w:line="189" w:lineRule="exact"/>
              <w:rPr>
                <w:sz w:val="20"/>
                <w:szCs w:val="20"/>
                <w:color w:val="auto"/>
              </w:rPr>
            </w:pPr>
            <w:r>
              <w:rPr>
                <w:rFonts w:ascii="Arial" w:cs="Arial" w:eastAsia="Arial" w:hAnsi="Arial"/>
                <w:sz w:val="18"/>
                <w:szCs w:val="18"/>
                <w:color w:val="0000FF"/>
              </w:rPr>
              <w:t>Note 14 - Commitments &amp; Contingencies</w:t>
            </w:r>
          </w:p>
        </w:tc>
        <w:tc>
          <w:tcPr>
            <w:tcW w:w="1600" w:type="dxa"/>
            <w:vAlign w:val="bottom"/>
            <w:gridSpan w:val="7"/>
          </w:tcPr>
          <w:p>
            <w:pPr>
              <w:jc w:val="center"/>
              <w:ind w:left="1230"/>
              <w:spacing w:after="0" w:line="189" w:lineRule="exact"/>
              <w:rPr>
                <w:sz w:val="20"/>
                <w:szCs w:val="20"/>
                <w:color w:val="auto"/>
              </w:rPr>
            </w:pPr>
            <w:r>
              <w:rPr>
                <w:rFonts w:ascii="Arial" w:cs="Arial" w:eastAsia="Arial" w:hAnsi="Arial"/>
                <w:sz w:val="18"/>
                <w:szCs w:val="18"/>
                <w:color w:val="0000FF"/>
                <w:w w:val="99"/>
              </w:rPr>
              <w:t>32</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2.</w:t>
            </w:r>
          </w:p>
        </w:tc>
        <w:tc>
          <w:tcPr>
            <w:tcW w:w="200" w:type="dxa"/>
            <w:vAlign w:val="bottom"/>
            <w:shd w:val="clear" w:color="auto" w:fill="CCEEFF"/>
          </w:tcPr>
          <w:p>
            <w:pPr>
              <w:spacing w:after="0"/>
              <w:rPr>
                <w:sz w:val="16"/>
                <w:szCs w:val="16"/>
                <w:color w:val="auto"/>
              </w:rPr>
            </w:pPr>
          </w:p>
        </w:tc>
        <w:tc>
          <w:tcPr>
            <w:tcW w:w="814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00" w:type="dxa"/>
            <w:vAlign w:val="bottom"/>
            <w:gridSpan w:val="7"/>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38</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3.</w:t>
            </w:r>
          </w:p>
        </w:tc>
        <w:tc>
          <w:tcPr>
            <w:tcW w:w="200" w:type="dxa"/>
            <w:vAlign w:val="bottom"/>
          </w:tcPr>
          <w:p>
            <w:pPr>
              <w:spacing w:after="0"/>
              <w:rPr>
                <w:sz w:val="16"/>
                <w:szCs w:val="16"/>
                <w:color w:val="auto"/>
              </w:rPr>
            </w:pPr>
          </w:p>
        </w:tc>
        <w:tc>
          <w:tcPr>
            <w:tcW w:w="7080" w:type="dxa"/>
            <w:vAlign w:val="bottom"/>
            <w:gridSpan w:val="32"/>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060" w:type="dxa"/>
            <w:vAlign w:val="bottom"/>
          </w:tcPr>
          <w:p>
            <w:pPr>
              <w:spacing w:after="0"/>
              <w:rPr>
                <w:sz w:val="16"/>
                <w:szCs w:val="16"/>
                <w:color w:val="auto"/>
              </w:rPr>
            </w:pPr>
          </w:p>
        </w:tc>
        <w:tc>
          <w:tcPr>
            <w:tcW w:w="1600" w:type="dxa"/>
            <w:vAlign w:val="bottom"/>
            <w:gridSpan w:val="7"/>
          </w:tcPr>
          <w:p>
            <w:pPr>
              <w:jc w:val="center"/>
              <w:ind w:left="1230"/>
              <w:spacing w:after="0" w:line="189" w:lineRule="exact"/>
              <w:rPr>
                <w:sz w:val="20"/>
                <w:szCs w:val="20"/>
                <w:color w:val="auto"/>
              </w:rPr>
            </w:pPr>
            <w:r>
              <w:rPr>
                <w:rFonts w:ascii="Arial" w:cs="Arial" w:eastAsia="Arial" w:hAnsi="Arial"/>
                <w:sz w:val="18"/>
                <w:szCs w:val="18"/>
                <w:color w:val="0000FF"/>
                <w:w w:val="99"/>
              </w:rPr>
              <w:t>54</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4.</w:t>
            </w:r>
          </w:p>
        </w:tc>
        <w:tc>
          <w:tcPr>
            <w:tcW w:w="8340" w:type="dxa"/>
            <w:vAlign w:val="bottom"/>
            <w:gridSpan w:val="34"/>
            <w:shd w:val="clear" w:color="auto" w:fill="CCEEFF"/>
          </w:tcPr>
          <w:p>
            <w:pPr>
              <w:ind w:left="200"/>
              <w:spacing w:after="0" w:line="189" w:lineRule="exact"/>
              <w:rPr>
                <w:sz w:val="20"/>
                <w:szCs w:val="20"/>
                <w:color w:val="auto"/>
              </w:rPr>
            </w:pPr>
            <w:r>
              <w:rPr>
                <w:rFonts w:ascii="Arial" w:cs="Arial" w:eastAsia="Arial" w:hAnsi="Arial"/>
                <w:sz w:val="18"/>
                <w:szCs w:val="18"/>
                <w:color w:val="0000FF"/>
              </w:rPr>
              <w:t>Controls and Procedures</w:t>
            </w:r>
          </w:p>
        </w:tc>
        <w:tc>
          <w:tcPr>
            <w:tcW w:w="1600" w:type="dxa"/>
            <w:vAlign w:val="bottom"/>
            <w:gridSpan w:val="7"/>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55</w:t>
            </w:r>
          </w:p>
        </w:tc>
        <w:tc>
          <w:tcPr>
            <w:tcW w:w="280" w:type="dxa"/>
            <w:vAlign w:val="bottom"/>
            <w:shd w:val="clear" w:color="auto" w:fill="CCEEFF"/>
          </w:tcPr>
          <w:p>
            <w:pPr>
              <w:spacing w:after="0"/>
              <w:rPr>
                <w:sz w:val="18"/>
                <w:szCs w:val="18"/>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gridSpan w:val="2"/>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98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3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r>
      <w:tr>
        <w:trPr>
          <w:trHeight w:val="209"/>
        </w:trPr>
        <w:tc>
          <w:tcPr>
            <w:tcW w:w="20" w:type="dxa"/>
            <w:vAlign w:val="bottom"/>
            <w:shd w:val="clear" w:color="auto" w:fill="CCEEFF"/>
          </w:tcPr>
          <w:p>
            <w:pPr>
              <w:spacing w:after="0"/>
              <w:rPr>
                <w:sz w:val="18"/>
                <w:szCs w:val="18"/>
                <w:color w:val="auto"/>
              </w:rPr>
            </w:pPr>
          </w:p>
        </w:tc>
        <w:tc>
          <w:tcPr>
            <w:tcW w:w="9340" w:type="dxa"/>
            <w:vAlign w:val="bottom"/>
            <w:gridSpan w:val="35"/>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000" w:type="dxa"/>
            <w:vAlign w:val="bottom"/>
            <w:tcBorders>
              <w:top w:val="single" w:sz="8" w:color="0000FF"/>
            </w:tcBorders>
          </w:tcPr>
          <w:p>
            <w:pPr>
              <w:ind w:left="40"/>
              <w:spacing w:after="0" w:line="189" w:lineRule="exact"/>
              <w:rPr>
                <w:sz w:val="20"/>
                <w:szCs w:val="20"/>
                <w:color w:val="auto"/>
              </w:rPr>
            </w:pPr>
            <w:r>
              <w:rPr>
                <w:rFonts w:ascii="Arial" w:cs="Arial" w:eastAsia="Arial" w:hAnsi="Arial"/>
                <w:sz w:val="18"/>
                <w:szCs w:val="18"/>
                <w:color w:val="auto"/>
              </w:rPr>
              <w:t>ITEM 1.</w:t>
            </w:r>
          </w:p>
        </w:tc>
        <w:tc>
          <w:tcPr>
            <w:tcW w:w="1720" w:type="dxa"/>
            <w:vAlign w:val="bottom"/>
            <w:tcBorders>
              <w:top w:val="single" w:sz="8" w:color="0000FF"/>
            </w:tcBorders>
            <w:gridSpan w:val="8"/>
          </w:tcPr>
          <w:p>
            <w:pPr>
              <w:ind w:left="200"/>
              <w:spacing w:after="0" w:line="189" w:lineRule="exact"/>
              <w:rPr>
                <w:sz w:val="20"/>
                <w:szCs w:val="20"/>
                <w:color w:val="auto"/>
              </w:rPr>
            </w:pPr>
            <w:r>
              <w:rPr>
                <w:rFonts w:ascii="Arial" w:cs="Arial" w:eastAsia="Arial" w:hAnsi="Arial"/>
                <w:sz w:val="18"/>
                <w:szCs w:val="18"/>
                <w:color w:val="0000FF"/>
              </w:rPr>
              <w:t>Legal Proceedings</w:t>
            </w:r>
          </w:p>
        </w:tc>
        <w:tc>
          <w:tcPr>
            <w:tcW w:w="6620" w:type="dxa"/>
            <w:vAlign w:val="bottom"/>
            <w:tcBorders>
              <w:top w:val="single" w:sz="8" w:color="CCEEFF"/>
            </w:tcBorders>
            <w:gridSpan w:val="26"/>
          </w:tcPr>
          <w:p>
            <w:pPr>
              <w:spacing w:after="0"/>
              <w:rPr>
                <w:sz w:val="16"/>
                <w:szCs w:val="16"/>
                <w:color w:val="auto"/>
              </w:rPr>
            </w:pPr>
          </w:p>
        </w:tc>
        <w:tc>
          <w:tcPr>
            <w:tcW w:w="1600" w:type="dxa"/>
            <w:vAlign w:val="bottom"/>
            <w:tcBorders>
              <w:top w:val="single" w:sz="8" w:color="CCEEFF"/>
            </w:tcBorders>
            <w:gridSpan w:val="7"/>
          </w:tcPr>
          <w:p>
            <w:pPr>
              <w:jc w:val="center"/>
              <w:ind w:left="1230"/>
              <w:spacing w:after="0" w:line="189" w:lineRule="exact"/>
              <w:rPr>
                <w:sz w:val="20"/>
                <w:szCs w:val="20"/>
                <w:color w:val="auto"/>
              </w:rPr>
            </w:pPr>
            <w:r>
              <w:rPr>
                <w:rFonts w:ascii="Arial" w:cs="Arial" w:eastAsia="Arial" w:hAnsi="Arial"/>
                <w:sz w:val="18"/>
                <w:szCs w:val="18"/>
                <w:color w:val="0000FF"/>
                <w:w w:val="99"/>
              </w:rPr>
              <w:t>57</w:t>
            </w:r>
          </w:p>
        </w:tc>
        <w:tc>
          <w:tcPr>
            <w:tcW w:w="28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1A.</w:t>
            </w:r>
          </w:p>
        </w:tc>
        <w:tc>
          <w:tcPr>
            <w:tcW w:w="200" w:type="dxa"/>
            <w:vAlign w:val="bottom"/>
            <w:shd w:val="clear" w:color="auto" w:fill="CCEEFF"/>
          </w:tcPr>
          <w:p>
            <w:pPr>
              <w:spacing w:after="0"/>
              <w:rPr>
                <w:sz w:val="16"/>
                <w:szCs w:val="16"/>
                <w:color w:val="auto"/>
              </w:rPr>
            </w:pPr>
          </w:p>
        </w:tc>
        <w:tc>
          <w:tcPr>
            <w:tcW w:w="814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1600" w:type="dxa"/>
            <w:vAlign w:val="bottom"/>
            <w:gridSpan w:val="7"/>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58</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6"/>
                <w:szCs w:val="16"/>
                <w:color w:val="auto"/>
              </w:rPr>
            </w:pPr>
          </w:p>
        </w:tc>
        <w:tc>
          <w:tcPr>
            <w:tcW w:w="8140" w:type="dxa"/>
            <w:vAlign w:val="bottom"/>
            <w:gridSpan w:val="33"/>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1880" w:type="dxa"/>
            <w:vAlign w:val="bottom"/>
            <w:gridSpan w:val="8"/>
          </w:tcPr>
          <w:p>
            <w:pPr>
              <w:jc w:val="center"/>
              <w:ind w:left="950"/>
              <w:spacing w:after="0" w:line="189" w:lineRule="exact"/>
              <w:rPr>
                <w:sz w:val="20"/>
                <w:szCs w:val="20"/>
                <w:color w:val="auto"/>
              </w:rPr>
            </w:pPr>
            <w:r>
              <w:rPr>
                <w:rFonts w:ascii="Arial" w:cs="Arial" w:eastAsia="Arial" w:hAnsi="Arial"/>
                <w:sz w:val="18"/>
                <w:szCs w:val="18"/>
                <w:color w:val="0000FF"/>
                <w:w w:val="93"/>
              </w:rPr>
              <w:t>113</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3.</w:t>
            </w:r>
          </w:p>
        </w:tc>
        <w:tc>
          <w:tcPr>
            <w:tcW w:w="200" w:type="dxa"/>
            <w:vAlign w:val="bottom"/>
            <w:shd w:val="clear" w:color="auto" w:fill="CCEEFF"/>
          </w:tcPr>
          <w:p>
            <w:pPr>
              <w:spacing w:after="0"/>
              <w:rPr>
                <w:sz w:val="16"/>
                <w:szCs w:val="16"/>
                <w:color w:val="auto"/>
              </w:rPr>
            </w:pPr>
          </w:p>
        </w:tc>
        <w:tc>
          <w:tcPr>
            <w:tcW w:w="256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Defaults Upon Senior Securities</w:t>
            </w:r>
          </w:p>
        </w:tc>
        <w:tc>
          <w:tcPr>
            <w:tcW w:w="5580" w:type="dxa"/>
            <w:vAlign w:val="bottom"/>
            <w:gridSpan w:val="20"/>
            <w:shd w:val="clear" w:color="auto" w:fill="CCEEFF"/>
          </w:tcPr>
          <w:p>
            <w:pPr>
              <w:spacing w:after="0"/>
              <w:rPr>
                <w:sz w:val="16"/>
                <w:szCs w:val="16"/>
                <w:color w:val="auto"/>
              </w:rPr>
            </w:pPr>
          </w:p>
        </w:tc>
        <w:tc>
          <w:tcPr>
            <w:tcW w:w="1880" w:type="dxa"/>
            <w:vAlign w:val="bottom"/>
            <w:gridSpan w:val="8"/>
            <w:shd w:val="clear" w:color="auto" w:fill="CCEEFF"/>
          </w:tcPr>
          <w:p>
            <w:pPr>
              <w:jc w:val="center"/>
              <w:ind w:left="950"/>
              <w:spacing w:after="0" w:line="189" w:lineRule="exact"/>
              <w:rPr>
                <w:sz w:val="20"/>
                <w:szCs w:val="20"/>
                <w:color w:val="auto"/>
              </w:rPr>
            </w:pPr>
            <w:r>
              <w:rPr>
                <w:rFonts w:ascii="Arial" w:cs="Arial" w:eastAsia="Arial" w:hAnsi="Arial"/>
                <w:sz w:val="18"/>
                <w:szCs w:val="18"/>
                <w:color w:val="0000FF"/>
                <w:w w:val="93"/>
              </w:rPr>
              <w:t>115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6"/>
                <w:szCs w:val="16"/>
                <w:color w:val="auto"/>
              </w:rPr>
            </w:pPr>
          </w:p>
        </w:tc>
        <w:tc>
          <w:tcPr>
            <w:tcW w:w="2560" w:type="dxa"/>
            <w:vAlign w:val="bottom"/>
            <w:gridSpan w:val="13"/>
          </w:tcPr>
          <w:p>
            <w:pPr>
              <w:spacing w:after="0" w:line="189" w:lineRule="exact"/>
              <w:rPr>
                <w:sz w:val="20"/>
                <w:szCs w:val="20"/>
                <w:color w:val="auto"/>
              </w:rPr>
            </w:pPr>
            <w:r>
              <w:rPr>
                <w:rFonts w:ascii="Arial" w:cs="Arial" w:eastAsia="Arial" w:hAnsi="Arial"/>
                <w:sz w:val="18"/>
                <w:szCs w:val="18"/>
                <w:color w:val="0000FF"/>
              </w:rPr>
              <w:t>Mine Safety Disclosures</w:t>
            </w:r>
          </w:p>
        </w:tc>
        <w:tc>
          <w:tcPr>
            <w:tcW w:w="5580" w:type="dxa"/>
            <w:vAlign w:val="bottom"/>
            <w:gridSpan w:val="20"/>
          </w:tcPr>
          <w:p>
            <w:pPr>
              <w:spacing w:after="0"/>
              <w:rPr>
                <w:sz w:val="16"/>
                <w:szCs w:val="16"/>
                <w:color w:val="auto"/>
              </w:rPr>
            </w:pPr>
          </w:p>
        </w:tc>
        <w:tc>
          <w:tcPr>
            <w:tcW w:w="1880" w:type="dxa"/>
            <w:vAlign w:val="bottom"/>
            <w:gridSpan w:val="8"/>
          </w:tcPr>
          <w:p>
            <w:pPr>
              <w:jc w:val="center"/>
              <w:ind w:left="950"/>
              <w:spacing w:after="0" w:line="189" w:lineRule="exact"/>
              <w:rPr>
                <w:sz w:val="20"/>
                <w:szCs w:val="20"/>
                <w:color w:val="auto"/>
              </w:rPr>
            </w:pPr>
            <w:r>
              <w:rPr>
                <w:rFonts w:ascii="Arial" w:cs="Arial" w:eastAsia="Arial" w:hAnsi="Arial"/>
                <w:sz w:val="18"/>
                <w:szCs w:val="18"/>
                <w:color w:val="0000FF"/>
                <w:w w:val="93"/>
              </w:rPr>
              <w:t>115</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5.</w:t>
            </w:r>
          </w:p>
        </w:tc>
        <w:tc>
          <w:tcPr>
            <w:tcW w:w="200" w:type="dxa"/>
            <w:vAlign w:val="bottom"/>
            <w:shd w:val="clear" w:color="auto" w:fill="CCEEFF"/>
          </w:tcPr>
          <w:p>
            <w:pPr>
              <w:spacing w:after="0"/>
              <w:rPr>
                <w:sz w:val="16"/>
                <w:szCs w:val="16"/>
                <w:color w:val="auto"/>
              </w:rPr>
            </w:pPr>
          </w:p>
        </w:tc>
        <w:tc>
          <w:tcPr>
            <w:tcW w:w="814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1880" w:type="dxa"/>
            <w:vAlign w:val="bottom"/>
            <w:gridSpan w:val="8"/>
            <w:shd w:val="clear" w:color="auto" w:fill="CCEEFF"/>
          </w:tcPr>
          <w:p>
            <w:pPr>
              <w:jc w:val="center"/>
              <w:ind w:left="950"/>
              <w:spacing w:after="0" w:line="189" w:lineRule="exact"/>
              <w:rPr>
                <w:sz w:val="20"/>
                <w:szCs w:val="20"/>
                <w:color w:val="auto"/>
              </w:rPr>
            </w:pPr>
            <w:r>
              <w:rPr>
                <w:rFonts w:ascii="Arial" w:cs="Arial" w:eastAsia="Arial" w:hAnsi="Arial"/>
                <w:sz w:val="18"/>
                <w:szCs w:val="18"/>
                <w:color w:val="0000FF"/>
                <w:w w:val="93"/>
              </w:rPr>
              <w:t>115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6.</w:t>
            </w:r>
          </w:p>
        </w:tc>
        <w:tc>
          <w:tcPr>
            <w:tcW w:w="200" w:type="dxa"/>
            <w:vAlign w:val="bottom"/>
          </w:tcPr>
          <w:p>
            <w:pPr>
              <w:spacing w:after="0"/>
              <w:rPr>
                <w:sz w:val="16"/>
                <w:szCs w:val="16"/>
                <w:color w:val="auto"/>
              </w:rPr>
            </w:pPr>
          </w:p>
        </w:tc>
        <w:tc>
          <w:tcPr>
            <w:tcW w:w="1400" w:type="dxa"/>
            <w:vAlign w:val="bottom"/>
            <w:gridSpan w:val="5"/>
          </w:tcPr>
          <w:p>
            <w:pPr>
              <w:spacing w:after="0" w:line="189" w:lineRule="exact"/>
              <w:rPr>
                <w:sz w:val="20"/>
                <w:szCs w:val="20"/>
                <w:color w:val="auto"/>
              </w:rPr>
            </w:pPr>
            <w:r>
              <w:rPr>
                <w:rFonts w:ascii="Arial" w:cs="Arial" w:eastAsia="Arial" w:hAnsi="Arial"/>
                <w:sz w:val="18"/>
                <w:szCs w:val="18"/>
                <w:color w:val="0000FF"/>
              </w:rPr>
              <w:t>Exhibit Index</w:t>
            </w:r>
          </w:p>
        </w:tc>
        <w:tc>
          <w:tcPr>
            <w:tcW w:w="6740" w:type="dxa"/>
            <w:vAlign w:val="bottom"/>
            <w:gridSpan w:val="28"/>
          </w:tcPr>
          <w:p>
            <w:pPr>
              <w:spacing w:after="0"/>
              <w:rPr>
                <w:sz w:val="16"/>
                <w:szCs w:val="16"/>
                <w:color w:val="auto"/>
              </w:rPr>
            </w:pPr>
          </w:p>
        </w:tc>
        <w:tc>
          <w:tcPr>
            <w:tcW w:w="1880" w:type="dxa"/>
            <w:vAlign w:val="bottom"/>
            <w:gridSpan w:val="8"/>
          </w:tcPr>
          <w:p>
            <w:pPr>
              <w:jc w:val="center"/>
              <w:ind w:left="950"/>
              <w:spacing w:after="0" w:line="189" w:lineRule="exact"/>
              <w:rPr>
                <w:sz w:val="20"/>
                <w:szCs w:val="20"/>
                <w:color w:val="auto"/>
              </w:rPr>
            </w:pPr>
            <w:r>
              <w:rPr>
                <w:rFonts w:ascii="Arial" w:cs="Arial" w:eastAsia="Arial" w:hAnsi="Arial"/>
                <w:sz w:val="18"/>
                <w:szCs w:val="18"/>
                <w:color w:val="0000FF"/>
                <w:w w:val="93"/>
              </w:rPr>
              <w:t>116</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340" w:type="dxa"/>
            <w:vAlign w:val="bottom"/>
            <w:gridSpan w:val="34"/>
            <w:shd w:val="clear" w:color="auto" w:fill="CCEEFF"/>
          </w:tcPr>
          <w:p>
            <w:pPr>
              <w:ind w:left="200"/>
              <w:spacing w:after="0" w:line="189" w:lineRule="exact"/>
              <w:rPr>
                <w:sz w:val="20"/>
                <w:szCs w:val="20"/>
                <w:color w:val="auto"/>
              </w:rPr>
            </w:pPr>
            <w:r>
              <w:rPr>
                <w:rFonts w:ascii="Arial" w:cs="Arial" w:eastAsia="Arial" w:hAnsi="Arial"/>
                <w:sz w:val="18"/>
                <w:szCs w:val="18"/>
                <w:color w:val="0000FF"/>
              </w:rPr>
              <w:t>Signatures</w:t>
            </w:r>
          </w:p>
        </w:tc>
        <w:tc>
          <w:tcPr>
            <w:tcW w:w="1880" w:type="dxa"/>
            <w:vAlign w:val="bottom"/>
            <w:gridSpan w:val="8"/>
            <w:shd w:val="clear" w:color="auto" w:fill="CCEEFF"/>
          </w:tcPr>
          <w:p>
            <w:pPr>
              <w:jc w:val="center"/>
              <w:ind w:left="950"/>
              <w:spacing w:after="0" w:line="189" w:lineRule="exact"/>
              <w:rPr>
                <w:sz w:val="20"/>
                <w:szCs w:val="20"/>
                <w:color w:val="auto"/>
              </w:rPr>
            </w:pPr>
            <w:r>
              <w:rPr>
                <w:rFonts w:ascii="Arial" w:cs="Arial" w:eastAsia="Arial" w:hAnsi="Arial"/>
                <w:sz w:val="18"/>
                <w:szCs w:val="18"/>
                <w:color w:val="0000FF"/>
                <w:w w:val="93"/>
              </w:rPr>
              <w:t>117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67" w:lineRule="exact"/>
        <w:rPr>
          <w:sz w:val="20"/>
          <w:szCs w:val="20"/>
          <w:color w:val="auto"/>
        </w:rPr>
      </w:pPr>
    </w:p>
    <w:p>
      <w:pPr>
        <w:jc w:val="center"/>
        <w:spacing w:after="0" w:line="494" w:lineRule="exact"/>
        <w:rPr>
          <w:sz w:val="20"/>
          <w:szCs w:val="20"/>
          <w:color w:val="auto"/>
        </w:rPr>
      </w:pPr>
      <w:r>
        <w:rPr>
          <w:rFonts w:ascii="Arial" w:cs="Arial" w:eastAsia="Arial" w:hAnsi="Arial"/>
          <w:sz w:val="36"/>
          <w:szCs w:val="36"/>
          <w:color w:val="auto"/>
        </w:rPr>
        <w:t>CAUTIONARY NOTE REGARDING FORWARD</w:t>
      </w:r>
      <w:r>
        <w:rPr>
          <w:rFonts w:ascii="MS PGothic" w:cs="MS PGothic" w:eastAsia="MS PGothic" w:hAnsi="MS PGothic"/>
          <w:sz w:val="36"/>
          <w:szCs w:val="36"/>
          <w:color w:val="auto"/>
        </w:rPr>
        <w:t>‑</w:t>
      </w:r>
      <w:r>
        <w:rPr>
          <w:rFonts w:ascii="Arial" w:cs="Arial" w:eastAsia="Arial" w:hAnsi="Arial"/>
          <w:sz w:val="36"/>
          <w:szCs w:val="36"/>
          <w:color w:val="auto"/>
        </w:rPr>
        <w:t>LOOKING STATEMENTS</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Quarterly Report on Form 10-Q (this “Quarterly Report”) of Robinhood Markets, Inc. (together with its subsidiaries, “we”, “us”, “RHM”,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Quarterly Report includes, among others, forward-looking statements regarding:</w:t>
      </w:r>
    </w:p>
    <w:p>
      <w:pPr>
        <w:spacing w:after="0" w:line="14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legal and regulatory proceedings and investigations;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 to continue expanding our operations outside of the United States;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our pending acquisition of Bitstamp Ltd. (“Bitstamp”);</w:t>
      </w:r>
    </w:p>
    <w:p>
      <w:pPr>
        <w:spacing w:after="0" w:line="22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if the improvements in our U.S. operating results continue, our belief that a reasonable probability exists that, within the next 24 months, sufficient positive evidence may become available to reach a conclusion that a significant portion of the U.S. valuation allowance would no longer be required;</w:t>
      </w:r>
    </w:p>
    <w:p>
      <w:pPr>
        <w:spacing w:after="0" w:line="19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Repurchase Program (as defined below) and our current expectations with respect to timing; and</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based on our current level of operations, our primary sources of liquidity will be adequate to meet our current liquidity needs for the next 12 months.</w:t>
      </w:r>
    </w:p>
    <w:p>
      <w:pPr>
        <w:spacing w:after="0" w:line="12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forward-looking statements are subject to a number of known and unknown risks, uncertainties, assumptions, and other factors that may cause our actual future results, performance, or achievements to differ materially from any future results expressed or implied in this Quarterly Report. Reported results should not be considered an indication of future performance. Factors that contribute to the uncertain nature of our forward-looking statements include, among others:</w:t>
      </w:r>
    </w:p>
    <w:p>
      <w:pPr>
        <w:spacing w:after="0" w:line="13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experience at our current scale;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difficulty of managing our business effectively, including the size of our workforce, and the risk of declining or negative growth;</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fluctuations in our financial results and key metrics from quarter to quarter;</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transaction-based revenue, including payment for order flow (“PFOF”), and the implementation of new or proposed regulation or bans on PFOF and similar practices;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fluctuations in interest rates and rapidly changing interest rate environments;</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difficulty of raising additional capital (to provide liquidity needs and support business growth and objectives) on reasonable terms, if at all;</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maintain capital levels required by regulators and self-regulatory organizations (“SROs”);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might mishandle the cash, securities, and cryptocurrencies we hold on behalf of customers, and our exposure to liability for processing, operational, or technical errors in clearing functions;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negative publicity on our brand and reputation;</w:t>
      </w:r>
    </w:p>
    <w:p>
      <w:pPr>
        <w:spacing w:after="0" w:line="18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changes in business, economic, or political conditions that impact the global financial markets, or a systemic market event, might harm our business;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key employees and a skilled workforce;</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complying with an extensive, complex, and changing regulatory environment and the need to adjust our business model in response to new or modified laws and regulations;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adverse developments in pending litigation and regulatory investigations;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need to innovate and invest in new products, services, technologies and geographies in order to attract and retain customers and deepen their engagement with us in order to maintain growth;</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perform some key functions and the risk that processing, operational or technological failures could impair the availability or stability of our platforms;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cybersecurity incidents, theft, data breaches, and other online attacks;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processing customer data in compliance with privacy laws;</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need as a regulated financial services company to develop and maintain effective compliance and risk management infrastructures;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associated with incorporating artificial intelligence (“AI”) technologies into some of our products and processes;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volatility of cryptocurrency prices and trading volumes;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our platforms and services could be exploited to facilitate illegal payments; and</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substantial future sales of Class A common stock in the public market, or the perception that they may occur, could cause the price of our stock to fall.</w:t>
      </w:r>
    </w:p>
    <w:p>
      <w:pPr>
        <w:spacing w:after="0" w:line="12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Quarterly Report titled “Risk Factors” and our other filings with the U.S. Securities and Exchange Commission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Quarterly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Quarterly Report whether as a result of any new information, future events, changed circumstances, or otherwise. You should read this Quarterly Report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understanding that our actual future results, performance, events, and circumstances might be materially different from what we expect.</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the “Overview” tab of our Investor Relations website (accessible at investors.robinhood.com/overview) and its Newsroom, (accessible at newsroom.aboutrobinhood.com), as means of disclosing information to the public in a broad, non-exclusionary manner for purposes of the SEC’s Regulation Fair Disclosure (“Reg. FD”).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Quarterly Report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4,611</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Cash and cash equivalents segregated under federal and other regulations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5,547</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5,546</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borrowed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Deposits with clearing organizations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 related to user cryptocurrencies safeguarding obligation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19,456</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User-held fractional shares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Held-to-maturity investments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Prepaid expenses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customer match incentives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8"/>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00"/>
        </w:trPr>
        <w:tc>
          <w:tcPr>
            <w:tcW w:w="8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31,790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42,605</w:t>
            </w:r>
          </w:p>
        </w:tc>
        <w:tc>
          <w:tcPr>
            <w:tcW w:w="0" w:type="dxa"/>
            <w:vAlign w:val="bottom"/>
          </w:tcPr>
          <w:p>
            <w:pPr>
              <w:spacing w:after="0"/>
              <w:rPr>
                <w:sz w:val="1"/>
                <w:szCs w:val="1"/>
                <w:color w:val="auto"/>
              </w:rPr>
            </w:pPr>
          </w:p>
        </w:tc>
      </w:tr>
      <w:tr>
        <w:trPr>
          <w:trHeight w:val="192"/>
        </w:trPr>
        <w:tc>
          <w:tcPr>
            <w:tcW w:w="8060" w:type="dxa"/>
            <w:vAlign w:val="bottom"/>
          </w:tcPr>
          <w:p>
            <w:pPr>
              <w:ind w:left="240"/>
              <w:spacing w:after="0"/>
              <w:rPr>
                <w:sz w:val="20"/>
                <w:szCs w:val="20"/>
                <w:color w:val="auto"/>
              </w:rPr>
            </w:pPr>
            <w:r>
              <w:rPr>
                <w:rFonts w:ascii="Arial" w:cs="Arial" w:eastAsia="Arial" w:hAnsi="Arial"/>
                <w:sz w:val="14"/>
                <w:szCs w:val="14"/>
                <w:color w:val="auto"/>
              </w:rPr>
              <w:t>Property, software, and equipment,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Non-current held-to-maturity investments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Non-current deferred customer match incentives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57"/>
        </w:trPr>
        <w:tc>
          <w:tcPr>
            <w:tcW w:w="806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Other non-current assets, including non-current prepaid expenses of $4 as of December 31, 2023 and $22 as of</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September 30, 2024</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6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43,245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6,264</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User cryptocurrencies safeguarding obligation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19,456</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Fractional shares repurchase obligation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198"/>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00"/>
        </w:trPr>
        <w:tc>
          <w:tcPr>
            <w:tcW w:w="8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25,545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35,958</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0"/>
        </w:trPr>
        <w:tc>
          <w:tcPr>
            <w:tcW w:w="80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25,636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36,037</w:t>
            </w:r>
          </w:p>
        </w:tc>
        <w:tc>
          <w:tcPr>
            <w:tcW w:w="0" w:type="dxa"/>
            <w:vAlign w:val="bottom"/>
          </w:tcPr>
          <w:p>
            <w:pPr>
              <w:spacing w:after="0"/>
              <w:rPr>
                <w:sz w:val="1"/>
                <w:szCs w:val="1"/>
                <w:color w:val="auto"/>
              </w:rPr>
            </w:pPr>
          </w:p>
        </w:tc>
      </w:tr>
      <w:tr>
        <w:trPr>
          <w:trHeight w:val="178"/>
        </w:trPr>
        <w:tc>
          <w:tcPr>
            <w:tcW w:w="806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300"/>
              <w:spacing w:after="0" w:line="153" w:lineRule="exact"/>
              <w:rPr>
                <w:sz w:val="20"/>
                <w:szCs w:val="20"/>
                <w:color w:val="auto"/>
              </w:rPr>
            </w:pPr>
            <w:r>
              <w:rPr>
                <w:rFonts w:ascii="Arial" w:cs="Arial" w:eastAsia="Arial" w:hAnsi="Arial"/>
                <w:sz w:val="14"/>
                <w:szCs w:val="14"/>
                <w:color w:val="auto"/>
              </w:rPr>
              <w:t>Preferred stock, $0.0001 par value. 210,000,000 shares authorized, no shares issued and outstanding as of December</w:t>
            </w: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tcPr>
          <w:p>
            <w:pPr>
              <w:ind w:left="460"/>
              <w:spacing w:after="0"/>
              <w:rPr>
                <w:sz w:val="20"/>
                <w:szCs w:val="20"/>
                <w:color w:val="auto"/>
              </w:rPr>
            </w:pPr>
            <w:r>
              <w:rPr>
                <w:rFonts w:ascii="Arial" w:cs="Arial" w:eastAsia="Arial" w:hAnsi="Arial"/>
                <w:sz w:val="14"/>
                <w:szCs w:val="14"/>
                <w:color w:val="auto"/>
              </w:rPr>
              <w:t>31, 2023 and September 30, 2024.</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A common stock, $0.0001 par value. 21,000,000,000 shares authorized, 745,401,862 shares issued and</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outstanding as of December 31, 2023; 21,000,000,000 shares authorized, 761,992,964 shares issued and</w:t>
            </w:r>
          </w:p>
        </w:tc>
        <w:tc>
          <w:tcPr>
            <w:tcW w:w="16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outstanding as of September 30, 2024.</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300"/>
              <w:spacing w:after="0" w:line="153" w:lineRule="exact"/>
              <w:rPr>
                <w:sz w:val="20"/>
                <w:szCs w:val="20"/>
                <w:color w:val="auto"/>
              </w:rPr>
            </w:pPr>
            <w:r>
              <w:rPr>
                <w:rFonts w:ascii="Arial" w:cs="Arial" w:eastAsia="Arial" w:hAnsi="Arial"/>
                <w:sz w:val="14"/>
                <w:szCs w:val="14"/>
                <w:color w:val="auto"/>
              </w:rPr>
              <w:t>Class B common stock, $0.0001 par value. 700,000,000 shares authorized, 126,760,802 shares issued and outstanding</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460"/>
              <w:spacing w:after="0" w:line="149" w:lineRule="exact"/>
              <w:rPr>
                <w:sz w:val="20"/>
                <w:szCs w:val="20"/>
                <w:color w:val="auto"/>
              </w:rPr>
            </w:pPr>
            <w:r>
              <w:rPr>
                <w:rFonts w:ascii="Arial" w:cs="Arial" w:eastAsia="Arial" w:hAnsi="Arial"/>
                <w:sz w:val="14"/>
                <w:szCs w:val="14"/>
                <w:color w:val="auto"/>
              </w:rPr>
              <w:t>as of December 31, 2023; 700,000,000 shares authorized, 121,616,044 shares issued and outstanding as of</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tcPr>
          <w:p>
            <w:pPr>
              <w:ind w:left="460"/>
              <w:spacing w:after="0"/>
              <w:rPr>
                <w:sz w:val="20"/>
                <w:szCs w:val="20"/>
                <w:color w:val="auto"/>
              </w:rPr>
            </w:pPr>
            <w:r>
              <w:rPr>
                <w:rFonts w:ascii="Arial" w:cs="Arial" w:eastAsia="Arial" w:hAnsi="Arial"/>
                <w:sz w:val="14"/>
                <w:szCs w:val="14"/>
                <w:color w:val="auto"/>
              </w:rPr>
              <w:t>September 30, 2024.</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C common stock, $0.0001 par value. 7,000,000,000 shares authorized, no shares issued and outstanding as of</w:t>
            </w: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December 31, 2023 and September 30, 2024.</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12,158</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(4,951)</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7,208</w:t>
            </w:r>
          </w:p>
        </w:tc>
        <w:tc>
          <w:tcPr>
            <w:tcW w:w="0" w:type="dxa"/>
            <w:vAlign w:val="bottom"/>
          </w:tcPr>
          <w:p>
            <w:pPr>
              <w:spacing w:after="0"/>
              <w:rPr>
                <w:sz w:val="1"/>
                <w:szCs w:val="1"/>
                <w:color w:val="auto"/>
              </w:rPr>
            </w:pPr>
          </w:p>
        </w:tc>
      </w:tr>
      <w:tr>
        <w:trPr>
          <w:trHeight w:val="200"/>
        </w:trPr>
        <w:tc>
          <w:tcPr>
            <w:tcW w:w="8060" w:type="dxa"/>
            <w:vAlign w:val="bottom"/>
          </w:tcPr>
          <w:p>
            <w:pPr>
              <w:ind w:left="66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43,245</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6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5"/>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2600" w:type="dxa"/>
            <w:vAlign w:val="bottom"/>
            <w:gridSpan w:val="4"/>
          </w:tcPr>
          <w:p>
            <w:pPr>
              <w:jc w:val="right"/>
              <w:ind w:right="8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2"/>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4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54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color w:val="auto"/>
              </w:rPr>
              <w:t>Weighted-average shares used to compute net income (loss) per</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 attributable to common stockholders: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895,108,790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884,108,545</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898,999,464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880,182,573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895,108,790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905,544,750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898,999,464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903,555,592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2024</w:t>
            </w: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Net losses on hedging instruments: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loss on hedging instruments during the period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Pr>
          <w:p>
            <w:pPr>
              <w:ind w:left="560"/>
              <w:spacing w:after="0"/>
              <w:rPr>
                <w:sz w:val="20"/>
                <w:szCs w:val="20"/>
                <w:color w:val="auto"/>
              </w:rPr>
            </w:pPr>
            <w:r>
              <w:rPr>
                <w:rFonts w:ascii="Arial" w:cs="Arial" w:eastAsia="Arial" w:hAnsi="Arial"/>
                <w:sz w:val="18"/>
                <w:szCs w:val="18"/>
                <w:color w:val="auto"/>
              </w:rPr>
              <w:t>Reclassification adjustment for net gains included in net income</w:t>
            </w:r>
          </w:p>
        </w:tc>
        <w:tc>
          <w:tcPr>
            <w:tcW w:w="3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gain (loss) on hedging instruments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(571)</w:t>
            </w:r>
          </w:p>
        </w:tc>
        <w:tc>
          <w:tcPr>
            <w:tcW w:w="80" w:type="dxa"/>
            <w:vAlign w:val="bottom"/>
          </w:tcPr>
          <w:p>
            <w:pPr>
              <w:spacing w:after="0"/>
              <w:rPr>
                <w:sz w:val="17"/>
                <w:szCs w:val="17"/>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credit losses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3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borrowed</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and non-current prepaid expenses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Current and non-current deferred customer match incentives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and non-current 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832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Payables to users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199"/>
        </w:trPr>
        <w:tc>
          <w:tcPr>
            <w:tcW w:w="8320" w:type="dxa"/>
            <w:vAlign w:val="bottom"/>
          </w:tcPr>
          <w:p>
            <w:pPr>
              <w:ind w:left="240"/>
              <w:spacing w:after="0"/>
              <w:rPr>
                <w:sz w:val="20"/>
                <w:szCs w:val="20"/>
                <w:color w:val="auto"/>
              </w:rPr>
            </w:pPr>
            <w:r>
              <w:rPr>
                <w:rFonts w:ascii="Arial" w:cs="Arial" w:eastAsia="Arial" w:hAnsi="Arial"/>
                <w:sz w:val="14"/>
                <w:szCs w:val="14"/>
                <w:color w:val="auto"/>
              </w:rPr>
              <w:t>Securities loaned</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3,759</w:t>
            </w:r>
          </w:p>
        </w:tc>
        <w:tc>
          <w:tcPr>
            <w:tcW w:w="0" w:type="dxa"/>
            <w:vAlign w:val="bottom"/>
          </w:tcPr>
          <w:p>
            <w:pPr>
              <w:spacing w:after="0"/>
              <w:rPr>
                <w:sz w:val="1"/>
                <w:szCs w:val="1"/>
                <w:color w:val="auto"/>
              </w:rPr>
            </w:pPr>
          </w:p>
        </w:tc>
      </w:tr>
      <w:tr>
        <w:trPr>
          <w:trHeight w:val="20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and non-current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18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Purchases of property, software, and equipment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Capitalization of internally developed software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Purchases of held-to-maturity investments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maturities of held-to-maturity investments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Purchases of credit card receivables by Credit Card Funding Trust</w:t>
            </w:r>
          </w:p>
        </w:tc>
        <w:tc>
          <w:tcPr>
            <w:tcW w:w="3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Collections of purchased credit card receivables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Business acquisition, net of cash and cash equivalents acquired</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 acquisition, net of cash acquired</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8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2"/>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common stock under the Employee Stock Purchase Plan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of debt issuance costs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Draws on credit facilities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Repayments on credit facilities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Borrowings on Credit Card Funding Trust</w:t>
            </w:r>
          </w:p>
        </w:tc>
        <w:tc>
          <w:tcPr>
            <w:tcW w:w="3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Repayments on Credit Card Funding Trust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Change in principal collected from customers due to Coastal Bank</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Class A common stock</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8"/>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Proceeds from exercise of stock options, net of repurchases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0"/>
        </w:trPr>
        <w:tc>
          <w:tcPr>
            <w:tcW w:w="8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92"/>
        </w:trPr>
        <w:tc>
          <w:tcPr>
            <w:tcW w:w="8320" w:type="dxa"/>
            <w:vAlign w:val="bottom"/>
          </w:tcPr>
          <w:p>
            <w:pPr>
              <w:ind w:left="2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83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Net increase (decrease) in cash, cash equivalents, segregated cash, and restricted cash</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segregated cash, and restricted cash, beginning of the period</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9,357</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9,346</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Reconciliation of cash, cash equivalents, segregated cash and restricted cash, end of the period: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 end of the period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4,611</w:t>
            </w:r>
          </w:p>
        </w:tc>
        <w:tc>
          <w:tcPr>
            <w:tcW w:w="0" w:type="dxa"/>
            <w:vAlign w:val="bottom"/>
          </w:tcPr>
          <w:p>
            <w:pPr>
              <w:spacing w:after="0"/>
              <w:rPr>
                <w:sz w:val="1"/>
                <w:szCs w:val="1"/>
                <w:color w:val="auto"/>
              </w:rPr>
            </w:pPr>
          </w:p>
        </w:tc>
      </w:tr>
      <w:tr>
        <w:trPr>
          <w:trHeight w:val="198"/>
        </w:trPr>
        <w:tc>
          <w:tcPr>
            <w:tcW w:w="8320" w:type="dxa"/>
            <w:vAlign w:val="bottom"/>
          </w:tcPr>
          <w:p>
            <w:pPr>
              <w:ind w:left="240"/>
              <w:spacing w:after="0"/>
              <w:rPr>
                <w:sz w:val="20"/>
                <w:szCs w:val="20"/>
                <w:color w:val="auto"/>
              </w:rPr>
            </w:pPr>
            <w:r>
              <w:rPr>
                <w:rFonts w:ascii="Arial" w:cs="Arial" w:eastAsia="Arial" w:hAnsi="Arial"/>
                <w:sz w:val="14"/>
                <w:szCs w:val="14"/>
                <w:color w:val="auto"/>
              </w:rPr>
              <w:t>Segregated cash and cash equivalents, end of the period</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3,448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5,547</w:t>
            </w:r>
          </w:p>
        </w:tc>
        <w:tc>
          <w:tcPr>
            <w:tcW w:w="0" w:type="dxa"/>
            <w:vAlign w:val="bottom"/>
          </w:tcPr>
          <w:p>
            <w:pPr>
              <w:spacing w:after="0"/>
              <w:rPr>
                <w:sz w:val="1"/>
                <w:szCs w:val="1"/>
                <w:color w:val="auto"/>
              </w:rPr>
            </w:pPr>
          </w:p>
        </w:tc>
      </w:tr>
      <w:tr>
        <w:trPr>
          <w:trHeight w:val="206"/>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Restricted cash in other current assets, end of the period</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9"/>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Restricted cash in other non-current assets, end of the period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0"/>
        </w:trPr>
        <w:tc>
          <w:tcPr>
            <w:tcW w:w="8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10,241</w:t>
            </w:r>
          </w:p>
        </w:tc>
        <w:tc>
          <w:tcPr>
            <w:tcW w:w="0" w:type="dxa"/>
            <w:vAlign w:val="bottom"/>
          </w:tcPr>
          <w:p>
            <w:pPr>
              <w:spacing w:after="0"/>
              <w:rPr>
                <w:sz w:val="1"/>
                <w:szCs w:val="1"/>
                <w:color w:val="auto"/>
              </w:rPr>
            </w:pPr>
          </w:p>
        </w:tc>
      </w:tr>
      <w:tr>
        <w:trPr>
          <w:trHeight w:val="201"/>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interest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5"/>
        </w:trPr>
        <w:tc>
          <w:tcPr>
            <w:tcW w:w="8320" w:type="dxa"/>
            <w:vAlign w:val="bottom"/>
          </w:tcPr>
          <w:p>
            <w:pPr>
              <w:ind w:left="240"/>
              <w:spacing w:after="0"/>
              <w:rPr>
                <w:sz w:val="20"/>
                <w:szCs w:val="20"/>
                <w:color w:val="auto"/>
              </w:rPr>
            </w:pPr>
            <w:r>
              <w:rPr>
                <w:rFonts w:ascii="Arial" w:cs="Arial" w:eastAsia="Arial" w:hAnsi="Arial"/>
                <w:sz w:val="14"/>
                <w:szCs w:val="14"/>
                <w:color w:val="auto"/>
              </w:rPr>
              <w:t>Cash paid for income taxes, net of refund received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center"/>
              <w:ind w:right="11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6"/>
        </w:trPr>
        <w:tc>
          <w:tcPr>
            <w:tcW w:w="5360" w:type="dxa"/>
            <w:vAlign w:val="bottom"/>
          </w:tcPr>
          <w:p>
            <w:pPr>
              <w:spacing w:after="0"/>
              <w:rPr>
                <w:sz w:val="14"/>
                <w:szCs w:val="14"/>
                <w:color w:val="auto"/>
              </w:rPr>
            </w:pPr>
          </w:p>
        </w:tc>
        <w:tc>
          <w:tcPr>
            <w:tcW w:w="196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other</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paid-in</w:t>
            </w:r>
          </w:p>
        </w:tc>
        <w:tc>
          <w:tcPr>
            <w:tcW w:w="104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000" w:type="dxa"/>
            <w:vAlign w:val="bottom"/>
            <w:gridSpan w:val="3"/>
            <w:vMerge w:val="continue"/>
          </w:tcPr>
          <w:p>
            <w:pPr>
              <w:spacing w:after="0"/>
              <w:rPr>
                <w:sz w:val="4"/>
                <w:szCs w:val="4"/>
                <w:color w:val="auto"/>
              </w:rPr>
            </w:pPr>
          </w:p>
        </w:tc>
        <w:tc>
          <w:tcPr>
            <w:tcW w:w="90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1"/>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number of shares)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7"/>
              </w:rPr>
              <w:t>capital</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93"/>
              </w:rPr>
              <w:t>deficit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909,694,702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12,581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0" w:type="dxa"/>
            <w:vAlign w:val="bottom"/>
          </w:tcPr>
          <w:p>
            <w:pPr>
              <w:spacing w:after="0"/>
              <w:rPr>
                <w:sz w:val="1"/>
                <w:szCs w:val="1"/>
                <w:color w:val="auto"/>
              </w:rPr>
            </w:pP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in connection with stock option exercises, net of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328,963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536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upon settlement of restricted stock units, net of shares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7,808,470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5360" w:type="dxa"/>
            <w:vAlign w:val="bottom"/>
          </w:tcPr>
          <w:p>
            <w:pPr>
              <w:ind w:left="180"/>
              <w:spacing w:after="0"/>
              <w:rPr>
                <w:sz w:val="20"/>
                <w:szCs w:val="20"/>
                <w:color w:val="auto"/>
              </w:rPr>
            </w:pPr>
            <w:r>
              <w:rPr>
                <w:rFonts w:ascii="Arial" w:cs="Arial" w:eastAsia="Arial" w:hAnsi="Arial"/>
                <w:sz w:val="14"/>
                <w:szCs w:val="14"/>
                <w:color w:val="auto"/>
              </w:rPr>
              <w:t>withheld</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(55,273,469)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99"/>
        </w:trPr>
        <w:tc>
          <w:tcPr>
            <w:tcW w:w="5360" w:type="dxa"/>
            <w:vAlign w:val="bottom"/>
          </w:tcPr>
          <w:p>
            <w:pPr>
              <w:ind w:left="20"/>
              <w:spacing w:after="0"/>
              <w:rPr>
                <w:sz w:val="20"/>
                <w:szCs w:val="20"/>
                <w:color w:val="auto"/>
              </w:rPr>
            </w:pPr>
            <w:r>
              <w:rPr>
                <w:rFonts w:ascii="Arial" w:cs="Arial" w:eastAsia="Arial" w:hAnsi="Arial"/>
                <w:sz w:val="14"/>
                <w:szCs w:val="14"/>
                <w:color w:val="auto"/>
              </w:rPr>
              <w:t>Change in other comprehensive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0"/>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2023</w:t>
            </w:r>
          </w:p>
        </w:tc>
        <w:tc>
          <w:tcPr>
            <w:tcW w:w="900" w:type="dxa"/>
            <w:vAlign w:val="bottom"/>
          </w:tcPr>
          <w:p>
            <w:pPr>
              <w:jc w:val="right"/>
              <w:spacing w:after="0"/>
              <w:rPr>
                <w:sz w:val="20"/>
                <w:szCs w:val="20"/>
                <w:color w:val="auto"/>
              </w:rPr>
            </w:pPr>
            <w:r>
              <w:rPr>
                <w:rFonts w:ascii="Arial" w:cs="Arial" w:eastAsia="Arial" w:hAnsi="Arial"/>
                <w:sz w:val="14"/>
                <w:szCs w:val="14"/>
                <w:color w:val="auto"/>
              </w:rPr>
              <w:t>862,558,666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12,054</w:t>
            </w:r>
          </w:p>
        </w:tc>
        <w:tc>
          <w:tcPr>
            <w:tcW w:w="8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ind w:left="5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(5,476)</w:t>
            </w:r>
          </w:p>
        </w:tc>
        <w:tc>
          <w:tcPr>
            <w:tcW w:w="8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6,574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10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23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5380" w:type="dxa"/>
            <w:vAlign w:val="bottom"/>
          </w:tcPr>
          <w:p>
            <w:pPr>
              <w:spacing w:after="0"/>
              <w:rPr>
                <w:sz w:val="10"/>
                <w:szCs w:val="10"/>
                <w:color w:val="auto"/>
              </w:rPr>
            </w:pPr>
          </w:p>
        </w:tc>
        <w:tc>
          <w:tcPr>
            <w:tcW w:w="188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380" w:type="dxa"/>
            <w:vAlign w:val="bottom"/>
          </w:tcPr>
          <w:p>
            <w:pPr>
              <w:spacing w:after="0"/>
              <w:rPr>
                <w:sz w:val="9"/>
                <w:szCs w:val="9"/>
                <w:color w:val="auto"/>
              </w:rPr>
            </w:pPr>
          </w:p>
        </w:tc>
        <w:tc>
          <w:tcPr>
            <w:tcW w:w="18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2" w:lineRule="exact"/>
              <w:rPr>
                <w:sz w:val="20"/>
                <w:szCs w:val="20"/>
                <w:color w:val="auto"/>
              </w:rPr>
            </w:pPr>
            <w:r>
              <w:rPr>
                <w:rFonts w:ascii="Arial" w:cs="Arial" w:eastAsia="Arial" w:hAnsi="Arial"/>
                <w:sz w:val="10"/>
                <w:szCs w:val="10"/>
                <w:b w:val="1"/>
                <w:bCs w:val="1"/>
                <w:color w:val="auto"/>
              </w:rPr>
              <w:t>paid-in</w:t>
            </w:r>
          </w:p>
        </w:tc>
        <w:tc>
          <w:tcPr>
            <w:tcW w:w="106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980" w:type="dxa"/>
            <w:vAlign w:val="bottom"/>
            <w:gridSpan w:val="3"/>
          </w:tcPr>
          <w:p>
            <w:pPr>
              <w:ind w:left="60"/>
              <w:spacing w:after="0" w:line="102" w:lineRule="exact"/>
              <w:rPr>
                <w:sz w:val="20"/>
                <w:szCs w:val="20"/>
                <w:color w:val="auto"/>
              </w:rPr>
            </w:pPr>
            <w:r>
              <w:rPr>
                <w:rFonts w:ascii="Arial" w:cs="Arial" w:eastAsia="Arial" w:hAnsi="Arial"/>
                <w:sz w:val="10"/>
                <w:szCs w:val="10"/>
                <w:b w:val="1"/>
                <w:bCs w:val="1"/>
                <w:color w:val="auto"/>
              </w:rPr>
              <w:t>Accumulated</w:t>
            </w:r>
          </w:p>
        </w:tc>
        <w:tc>
          <w:tcPr>
            <w:tcW w:w="880" w:type="dxa"/>
            <w:vAlign w:val="bottom"/>
            <w:gridSpan w:val="2"/>
          </w:tcPr>
          <w:p>
            <w:pPr>
              <w:jc w:val="right"/>
              <w:spacing w:after="0" w:line="10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number of shares)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7"/>
              </w:rPr>
              <w:t>capital</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0"/>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884,545,769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7,122</w:t>
            </w:r>
          </w:p>
        </w:tc>
        <w:tc>
          <w:tcPr>
            <w:tcW w:w="0" w:type="dxa"/>
            <w:vAlign w:val="bottom"/>
          </w:tcPr>
          <w:p>
            <w:pPr>
              <w:spacing w:after="0"/>
              <w:rPr>
                <w:sz w:val="1"/>
                <w:szCs w:val="1"/>
                <w:color w:val="auto"/>
              </w:rPr>
            </w:pPr>
          </w:p>
        </w:tc>
      </w:tr>
      <w:tr>
        <w:trPr>
          <w:trHeight w:val="198"/>
        </w:trPr>
        <w:tc>
          <w:tcPr>
            <w:tcW w:w="5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7"/>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in connection with stock option exercises, net of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412,471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5380" w:type="dxa"/>
            <w:vAlign w:val="bottom"/>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900" w:type="dxa"/>
            <w:vAlign w:val="bottom"/>
          </w:tcPr>
          <w:p>
            <w:pPr>
              <w:jc w:val="right"/>
              <w:spacing w:after="0"/>
              <w:rPr>
                <w:sz w:val="20"/>
                <w:szCs w:val="20"/>
                <w:color w:val="auto"/>
              </w:rPr>
            </w:pPr>
            <w:r>
              <w:rPr>
                <w:rFonts w:ascii="Arial" w:cs="Arial" w:eastAsia="Arial" w:hAnsi="Arial"/>
                <w:sz w:val="14"/>
                <w:szCs w:val="14"/>
                <w:color w:val="auto"/>
              </w:rPr>
              <w:t>(5,012,195)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52"/>
        </w:trPr>
        <w:tc>
          <w:tcPr>
            <w:tcW w:w="5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settlement of restricted stock units, net of shares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3,662,963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w:t>
            </w: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8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0"/>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2024</w:t>
            </w:r>
          </w:p>
        </w:tc>
        <w:tc>
          <w:tcPr>
            <w:tcW w:w="900" w:type="dxa"/>
            <w:vAlign w:val="bottom"/>
          </w:tcPr>
          <w:p>
            <w:pPr>
              <w:jc w:val="right"/>
              <w:spacing w:after="0"/>
              <w:rPr>
                <w:sz w:val="20"/>
                <w:szCs w:val="20"/>
                <w:color w:val="auto"/>
              </w:rPr>
            </w:pPr>
            <w:r>
              <w:rPr>
                <w:rFonts w:ascii="Arial" w:cs="Arial" w:eastAsia="Arial" w:hAnsi="Arial"/>
                <w:sz w:val="14"/>
                <w:szCs w:val="14"/>
                <w:color w:val="auto"/>
              </w:rPr>
              <w:t>883,609,008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12,158</w:t>
            </w:r>
          </w:p>
        </w:tc>
        <w:tc>
          <w:tcPr>
            <w:tcW w:w="8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(4,951)</w:t>
            </w:r>
          </w:p>
        </w:tc>
        <w:tc>
          <w:tcPr>
            <w:tcW w:w="8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7,208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center"/>
              <w:ind w:right="11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6"/>
        </w:trPr>
        <w:tc>
          <w:tcPr>
            <w:tcW w:w="5360" w:type="dxa"/>
            <w:vAlign w:val="bottom"/>
          </w:tcPr>
          <w:p>
            <w:pPr>
              <w:spacing w:after="0"/>
              <w:rPr>
                <w:sz w:val="14"/>
                <w:szCs w:val="14"/>
                <w:color w:val="auto"/>
              </w:rPr>
            </w:pPr>
          </w:p>
        </w:tc>
        <w:tc>
          <w:tcPr>
            <w:tcW w:w="196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other</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paid-in</w:t>
            </w:r>
          </w:p>
        </w:tc>
        <w:tc>
          <w:tcPr>
            <w:tcW w:w="104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000" w:type="dxa"/>
            <w:vAlign w:val="bottom"/>
            <w:gridSpan w:val="3"/>
            <w:vMerge w:val="continue"/>
          </w:tcPr>
          <w:p>
            <w:pPr>
              <w:spacing w:after="0"/>
              <w:rPr>
                <w:sz w:val="4"/>
                <w:szCs w:val="4"/>
                <w:color w:val="auto"/>
              </w:rPr>
            </w:pPr>
          </w:p>
        </w:tc>
        <w:tc>
          <w:tcPr>
            <w:tcW w:w="90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1"/>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number of shares)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7"/>
              </w:rPr>
              <w:t>capital</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93"/>
              </w:rPr>
              <w:t>deficit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892,751,571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11,861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in connection with stock option exercises, net of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1,125,929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Issuance of common stock in connection with Employee Stock Purchase Plan</w:t>
            </w:r>
          </w:p>
        </w:tc>
        <w:tc>
          <w:tcPr>
            <w:tcW w:w="900" w:type="dxa"/>
            <w:vAlign w:val="bottom"/>
          </w:tcPr>
          <w:p>
            <w:pPr>
              <w:jc w:val="right"/>
              <w:spacing w:after="0"/>
              <w:rPr>
                <w:sz w:val="20"/>
                <w:szCs w:val="20"/>
                <w:color w:val="auto"/>
              </w:rPr>
            </w:pPr>
            <w:r>
              <w:rPr>
                <w:rFonts w:ascii="Arial" w:cs="Arial" w:eastAsia="Arial" w:hAnsi="Arial"/>
                <w:sz w:val="14"/>
                <w:szCs w:val="14"/>
                <w:color w:val="auto"/>
              </w:rPr>
              <w:t>1,225,069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7"/>
        </w:trPr>
        <w:tc>
          <w:tcPr>
            <w:tcW w:w="53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common stock upon settlement of restricted stock units, net of shares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22,729,566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withheld</w:t>
            </w: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900" w:type="dxa"/>
            <w:vAlign w:val="bottom"/>
          </w:tcPr>
          <w:p>
            <w:pPr>
              <w:jc w:val="right"/>
              <w:spacing w:after="0"/>
              <w:rPr>
                <w:sz w:val="20"/>
                <w:szCs w:val="20"/>
                <w:color w:val="auto"/>
              </w:rPr>
            </w:pPr>
            <w:r>
              <w:rPr>
                <w:rFonts w:ascii="Arial" w:cs="Arial" w:eastAsia="Arial" w:hAnsi="Arial"/>
                <w:sz w:val="14"/>
                <w:szCs w:val="14"/>
                <w:color w:val="auto"/>
              </w:rPr>
              <w:t>(55,273,469)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loss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802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862,558,666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12,054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5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restart"/>
          </w:tcPr>
          <w:p>
            <w:pPr>
              <w:jc w:val="center"/>
              <w:ind w:right="11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6"/>
        </w:trPr>
        <w:tc>
          <w:tcPr>
            <w:tcW w:w="5360" w:type="dxa"/>
            <w:vAlign w:val="bottom"/>
          </w:tcPr>
          <w:p>
            <w:pPr>
              <w:spacing w:after="0"/>
              <w:rPr>
                <w:sz w:val="14"/>
                <w:szCs w:val="14"/>
                <w:color w:val="auto"/>
              </w:rPr>
            </w:pPr>
          </w:p>
        </w:tc>
        <w:tc>
          <w:tcPr>
            <w:tcW w:w="196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other</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paid-in</w:t>
            </w:r>
          </w:p>
        </w:tc>
        <w:tc>
          <w:tcPr>
            <w:tcW w:w="104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000" w:type="dxa"/>
            <w:vAlign w:val="bottom"/>
            <w:gridSpan w:val="3"/>
            <w:vMerge w:val="continue"/>
          </w:tcPr>
          <w:p>
            <w:pPr>
              <w:spacing w:after="0"/>
              <w:rPr>
                <w:sz w:val="4"/>
                <w:szCs w:val="4"/>
                <w:color w:val="auto"/>
              </w:rPr>
            </w:pPr>
          </w:p>
        </w:tc>
        <w:tc>
          <w:tcPr>
            <w:tcW w:w="90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1"/>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number of shares)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7"/>
              </w:rPr>
              <w:t>capital</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93"/>
              </w:rPr>
              <w:t>deficit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872,162,664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12,145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in connection with stock option exercises, net of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2,237,944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900" w:type="dxa"/>
            <w:vAlign w:val="bottom"/>
          </w:tcPr>
          <w:p>
            <w:pPr>
              <w:jc w:val="right"/>
              <w:spacing w:after="0"/>
              <w:rPr>
                <w:sz w:val="20"/>
                <w:szCs w:val="20"/>
                <w:color w:val="auto"/>
              </w:rPr>
            </w:pPr>
            <w:r>
              <w:rPr>
                <w:rFonts w:ascii="Arial" w:cs="Arial" w:eastAsia="Arial" w:hAnsi="Arial"/>
                <w:sz w:val="14"/>
                <w:szCs w:val="14"/>
                <w:color w:val="auto"/>
              </w:rPr>
              <w:t>(5,012,195)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6"/>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Employee 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1,555,893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536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upon settlement of restricted stock units, net of shares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12,664,702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5"/>
        </w:trPr>
        <w:tc>
          <w:tcPr>
            <w:tcW w:w="5360" w:type="dxa"/>
            <w:vAlign w:val="bottom"/>
          </w:tcPr>
          <w:p>
            <w:pPr>
              <w:ind w:left="180"/>
              <w:spacing w:after="0"/>
              <w:rPr>
                <w:sz w:val="20"/>
                <w:szCs w:val="20"/>
                <w:color w:val="auto"/>
              </w:rPr>
            </w:pPr>
            <w:r>
              <w:rPr>
                <w:rFonts w:ascii="Arial" w:cs="Arial" w:eastAsia="Arial" w:hAnsi="Arial"/>
                <w:sz w:val="14"/>
                <w:szCs w:val="14"/>
                <w:color w:val="auto"/>
              </w:rPr>
              <w:t>withheld</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245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883,609,008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12,158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900"/>
        <w:spacing w:after="0" w:line="285"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Robinhood was incorporated in the State of Delaware on November 22, 2013. Our most significant, wholly-owned subsidiaries are:</w:t>
      </w:r>
    </w:p>
    <w:p>
      <w:pPr>
        <w:spacing w:after="0" w:line="18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Robinhood Financial LLC (“RHF”), a registered introducing broker-dealer;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Robinhood Securities, LLC (“RHS”), a registered clearing broker-dealer;</w:t>
      </w:r>
    </w:p>
    <w:p>
      <w:pPr>
        <w:spacing w:after="0" w:line="1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Robinhood Crypto, LLC (“RHC”), which provides users the ability to buy, sell, and transfer cryptocurrencies and is responsible for the custody of user cryptocurrencies held by users on our RHC platform;</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Robinhood Credit, Inc. (“Robinhood Credit”), which offers credit cards with certain rewards offerings;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Robinhood Money, LLC, which offers a spending card and a spending account that help customers invest, save, and earn rewards.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Acting as the agent of the user, we facilitate the purchase and sale of options, cryptocurrencies, and equities through our platforms by routing transactions through market makers, who are responsible for trade execution. Upon execution of a trade, users are legally required to purchase options, cryptocurrencies, or equities for cash from the transaction counterparty or to sell options, cryptocurrencies, or equities for cash to the transaction counterparty, depending on the transaction. We facilitate and confirm trades only when there are binding, matched legal obligations from the user and the market maker on both sides of the trade. Our users have ownership of the securities they transact on our platforms, including those that collateralize margin loans, and, as a result, such securities are not presented on our unaudited condensed consolidated balance sheets, other than user-held fractional shares which are presented gross. Our users also have ownership of the cryptocurrencies they transact on our platforms (none of which are allowed to be purchased on margin and which do not serve as collateral for margin loans), however, following our adoption of SEC Staff Accounting Bulletin 121 (“SAB 121”), we recognize a liability to reflect our safeguarding obligation along with a corresponding asset on our balance sheet related to the cryptocurrencies we hold in custody for users.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(“GAAP”) and pursuant to the rules and regulations of the SEC for interim financial reporting. The condensed consolidated financial statements are unaudited, and in management’s opinion, include all adjustments, including normal recurring adjustments and accruals necessary for a fair presentation of the results for the interim periods presented. Operating results for the periods presented are not necessarily indicative of the results that may be expected for the full fiscal year ending December 31, 2024 or any future period. These unaudited condensed consolidated financial statements should be read in conjunction with the audited annual consolidated financial statements and notes included in our Annual Report on Form 10-K for the year ended December 31, 2023 (“2023 Form 10-K”).</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have been no material changes in our significant accounting policies as described in our audited consolidated financial statements included in our 2023 Form 10-K, other than as disclosed below. The unaudited condensed consolidated financial statements include the accounts of RHM and its wholly-owned subsidiaries. All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Certain reclassifications have been made to prior period amounts to conform to the current period’s presentation. The impact of these reclassifications is immaterial to the presentation of the unaudited condensed consolidated financial statements taken as a whole and had no impact on previously reported total assets, total liabilities and net income (loss).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unaudited condensed consolidated financial statements in accordance with GAAP requires management to make estimates and assumptions that affect the reported amounts in the unaudited condensed consolidated financial statements and accompanying notes. We base our estimates on historical experience, and other assumptions we believe to be reasonable under the circumstances. Assumptions and estimates used in preparing our unaudited condensed consolidated financial statements include, but are not limited to, those related to revenue recognition, share-based compensation (“SBC”), the determination of allowances for credit losses, valuation of user cryptocurrencies safeguarding obligation and corresponding asset, investment valuation, capitalization of internally developed software, useful lives of property, software, and equipment, valuation and useful lives of intangible assets, incremental borrowing rate used to calculate operating lease right-of-use assets and related liabilities, impairment of long-lived assets, determination of hedge effectiveness, uncertain tax positions, income taxes, accrued and contingent liabilities. Actual results could differ from these estimates and could have a material adverse effect on our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Concentrations of Revenue and Credit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Revenue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derived transaction-based revenues from individual market makers in excess of 10% of total revenues,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 maker: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Citadel Securities,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All others individually less than 10%</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 percentage of total revenue: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960" w:type="dxa"/>
            <w:vAlign w:val="bottom"/>
            <w:gridSpan w:val="4"/>
          </w:tcPr>
          <w:p>
            <w:pPr>
              <w:ind w:left="82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200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5"/>
        </w:trPr>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r>
      <w:tr>
        <w:trPr>
          <w:trHeight w:val="435"/>
        </w:trPr>
        <w:tc>
          <w:tcPr>
            <w:tcW w:w="14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4"/>
                <w:szCs w:val="24"/>
                <w:color w:val="auto"/>
              </w:rPr>
            </w:pPr>
          </w:p>
        </w:tc>
        <w:tc>
          <w:tcPr>
            <w:tcW w:w="1440" w:type="dxa"/>
            <w:vAlign w:val="bottom"/>
          </w:tcPr>
          <w:p>
            <w:pPr>
              <w:ind w:left="100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5"/>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0"/>
                <w:szCs w:val="20"/>
                <w:color w:val="auto"/>
              </w:rPr>
            </w:pPr>
          </w:p>
        </w:tc>
        <w:tc>
          <w:tcPr>
            <w:tcW w:w="14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23"/>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4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-624840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-334010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10" w:lineRule="exact"/>
        <w:rPr>
          <w:sz w:val="20"/>
          <w:szCs w:val="20"/>
          <w:color w:val="auto"/>
        </w:rPr>
      </w:pPr>
    </w:p>
    <w:p>
      <w:pPr>
        <w:sectPr>
          <w:pgSz w:w="11900" w:h="16838" w:orient="portrait"/>
          <w:cols w:equalWidth="0" w:num="2">
            <w:col w:w="4560" w:space="720"/>
            <w:col w:w="5960"/>
          </w:cols>
          <w:pgMar w:left="320" w:top="122" w:right="339" w:bottom="1440" w:gutter="0" w:footer="0" w:header="0"/>
          <w:type w:val="continuous"/>
        </w:sectPr>
      </w:pPr>
    </w:p>
    <w:p>
      <w:pPr>
        <w:jc w:val="both"/>
        <w:ind w:firstLine="324"/>
        <w:spacing w:after="0" w:line="259"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Variable Interest Entities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variable interest entity (“VIE”) and that we are the primary beneficiary, we consolidate such entity in the consolidated financial statements. The primary beneficiary of a VIE is the party that meets both of the following criteria: (1) has the power to make decisions that most significantly affect the economic performance of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(2) has the obligation to absorb losses or the right to receive benefits that in either case could potentially be significant to the VIE. We continuously monitor if any changes in the interest or relationship with the entity may impact the determination of whether we are still the primary beneficiary and require us to revise our previous conclusion.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 Acquisitions</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Acquisitions that do not meet the definition of a business are accounted for as asset acquisitions. We allocate the cost of the acquisition, including direct and incremental transaction costs, to the individual assets acquired and liabilities assumed on a relative fair value basis. Goodwill is not recognized in an asset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18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There were no new accounting pronouncements adopted during the nine months ended September 30, 2024 that materially impacted our unaudited condensed consolidated financial statements and related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Issued Accounting Pronouncements Not Yet Adopted</w:t>
      </w:r>
    </w:p>
    <w:p>
      <w:pPr>
        <w:spacing w:after="0" w:line="1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October 2023, the Financial Accounting Standards Board (“FASB”) issued Accounting Standards Update 2023-06, “Disclosure Improvements: Codification Amendments in Response to the SEC’s Disclosure Update and Simplification Initiative.” This amendment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 on our consolidated financial statements.</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2023, the FASB issued Accounting Standards Update 2023-07, “Segment Reporting (Topic 280): Improvements to Reportable Segment Disclosures.” The amendments in guidance improve reportable segment disclosure requirements, primarily through enhanced disclosures about significant segment expenses. This guidance is effective for fiscal years beginning after December 15, 2023, and interim periods within fiscal years beginning after December 15, 2024. Early adoption is permitted. We do not expect the adoption of this guidance to have a material impact on our consolidated financial statements and related disclosures.</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2023, the FASB issued Accounting Standards Update 2023-09, “Income taxes (Topic 740): Improvements to Income Taxes Disclosures.” This guidance requires annual disclosure of specific categories in the rate reconciliation and provides additional information for reconciling items that meet a quantitative threshold. The guidance is effective for annual periods beginning after December 15, 2024. Early adoption is permitted. We do not expect the adoption of this guidance to have a material impact on our consolidated financial statements and related disclosures.</w:t>
      </w:r>
    </w:p>
    <w:p>
      <w:pPr>
        <w:spacing w:after="0" w:line="1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2024, the SEC adopted final rules under SEC Release No. 34-99678 and No. 33-11275, “The Enhancement and Standardization of Climate-Related Disclosures for Investors” (the “Final Rules”), which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disclosure requirements of the Final Rules will begin phasing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annual periods beginning in fiscal year 2025. In April 2024, the SEC stayed the effectiveness of the Final Rules. We are currently evaluating the impact of the Final Rules.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auto"/>
        </w:rPr>
        <w:t>NOTE 3: REVENUES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Revenues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revenues disaggregated by revenue source: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2024</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Options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Cryptocurrencies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Equities</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4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transaction-based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50"/>
        </w:trPr>
        <w:tc>
          <w:tcPr>
            <w:tcW w:w="4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Margin interest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Interest on corporate cash and investments</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segregated cash, securities, and deposits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Cash Sweep</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lending,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Credit card, net</w:t>
            </w:r>
          </w:p>
        </w:tc>
        <w:tc>
          <w:tcPr>
            <w:tcW w:w="3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50"/>
        </w:trPr>
        <w:tc>
          <w:tcPr>
            <w:tcW w:w="4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Gold subscription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Proxy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other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50"/>
        </w:trPr>
        <w:tc>
          <w:tcPr>
            <w:tcW w:w="47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r>
      <w:tr>
        <w:trPr>
          <w:trHeight w:val="223"/>
        </w:trPr>
        <w:tc>
          <w:tcPr>
            <w:tcW w:w="4700" w:type="dxa"/>
            <w:vAlign w:val="bottom"/>
          </w:tcPr>
          <w:p>
            <w:pPr>
              <w:ind w:left="56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Match Incentives</w:t>
      </w:r>
    </w:p>
    <w:p>
      <w:pPr>
        <w:spacing w:after="0" w:line="18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offer a match incentive on customers’ eligible contributions to their retirement accounts and, from time to time, an incentive on other transfers of assets to our platform. We also provide a match on eligible cash deposits made by Robinhood Gold users. The match 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retirement contributions and asset transfers are paid upfront and are subject to forfeiture if the recipient does not hold the contributed funds or transferred assets in their account for a specified period of time. These incentives are deferred and recognized over the specified holding period as a reduction to revenue. Match on eligible cash deposits are paid out on a monthly basis ratably over the specified earning period. Future match payments are forfeited if deposits are not held on the platform over the specified earning period. These matches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recognized as a reduction to revenue when earned. The matches are allocated to certain revenue categories on a proportional basis. For the three and nine months ended September 30, 2023 and 2024, no impairments were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Fully-Paid Securities Lending</w:t>
      </w:r>
    </w:p>
    <w:p>
      <w:pPr>
        <w:spacing w:after="0" w:line="237"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For our fully-paid securities lending program under which we borrow fully-paid shares from participating users and lend them to third parties (“Fully-Paid Securities Lending”), we earn revenue for lending certain securities based on demand for those securities and portions of such revenues are paid to participating users, and those payments are recorded as interest expense. The following table presents interest revenue earned and interest expense paid from Fully-Paid Securities Lending: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6"/>
              </w:rPr>
              <w:t>2024</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Fully-Paid Securities Lending,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related to proxy revenues due from issuers are reported in other current assets on the unaudited condensed consolidated balance sheets.</w:t>
      </w:r>
    </w:p>
    <w:p>
      <w:pPr>
        <w:spacing w:after="0" w:line="13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Contract liabilities, which primarily consist of unearned subscription revenue, are recognized when users remit cash payments in advance of the time we satisfy our performance obligations and are recorded as other current liabilities on the unaudited condensed consolidated balance sheets.</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contract receivables and liabilities for the period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 Receivables</w:t>
            </w:r>
          </w:p>
        </w:tc>
        <w:tc>
          <w:tcPr>
            <w:tcW w:w="140" w:type="dxa"/>
            <w:vAlign w:val="bottom"/>
          </w:tcPr>
          <w:p>
            <w:pPr>
              <w:spacing w:after="0"/>
              <w:rPr>
                <w:sz w:val="17"/>
                <w:szCs w:val="17"/>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Contract Liabilities</w:t>
            </w:r>
          </w:p>
        </w:tc>
      </w:tr>
      <w:tr>
        <w:trPr>
          <w:trHeight w:val="224"/>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 January 1, 2024</w:t>
            </w:r>
          </w:p>
        </w:tc>
        <w:tc>
          <w:tcPr>
            <w:tcW w:w="66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the period, September 30, 2024</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difference between the opening and ending balances of our contract receivables was primarily driven by higher transaction-based revenues due to increased trading volumes and timing differences between our performance and counterparties’ payments. We recognized all revenue from amounts included in the opening contract liabilities balance in the nine months ended September 30, 2024.</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color w:val="auto"/>
        </w:rPr>
        <w:t>NOTE 4: BUSINESS COMBINATIONS AND ASSET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Pending Acquisition of Bitstamp</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June 2024, we entered into an agreement to acquire all outstanding equity of Bitstamp, a globally-scaled cryptocurrency exchange with retail and institutional customers. The aggregate consideration to be paid by us is expected to be approximately $200 million, subject to customary purchase price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set forth in the agreement and payable in cash. The acquisition is subject to customary closing conditions, including regulatory approvals, and is expected to close in the first half of 2025.</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 Acquisitions</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January 3, 2024, we acquired all outstanding stock of MNA Holdco LLC and its subsidiary Marex North America LLC (“MNA”) and licenses held by MNA for approximately $3 million (net of cash acquired in the amount of $125 million), which was determined to be an asset acquisition. The license acquired was recognized as an indefinite-lived intangible asset.</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color w:val="auto"/>
        </w:rPr>
        <w:t>NOTE 5: ALLOWANCE FOR CREDIT LOSSES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Credit Losses - Brokerage Related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Brokerage related allowance for credit losses primarily relate to unsecured balances of receivables from users due to Fraudulent Deposit Transactions, losses on margin lending, and reserves on proxy revenue receivables. Fraudulent Deposit Transactions occur when users initiate deposits into their accounts, make trades on our platforms using a short-term extension of credit from us, and then repatriate or reverse the deposits, resulting in a loss to us of the credited amount. The following table summarizes the brokerage related allowance for credit losses as a reduction of receivables from users, net on the unaudited condensed 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6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9"/>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6"/>
              </w:rPr>
              <w:t>2024</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ind w:left="176"/>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9"/>
              </w:rPr>
              <w:t>15</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center"/>
              <w:ind w:left="176"/>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center"/>
              <w:ind w:left="494"/>
              <w:spacing w:after="0"/>
              <w:rPr>
                <w:sz w:val="20"/>
                <w:szCs w:val="20"/>
                <w:color w:val="auto"/>
              </w:rPr>
            </w:pPr>
            <w:r>
              <w:rPr>
                <w:rFonts w:ascii="Arial" w:cs="Arial" w:eastAsia="Arial" w:hAnsi="Arial"/>
                <w:sz w:val="18"/>
                <w:szCs w:val="18"/>
                <w:color w:val="auto"/>
                <w:w w:val="99"/>
              </w:rPr>
              <w:t>16</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9"/>
              </w:rPr>
              <w:t>(20)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8"/>
                <w:szCs w:val="18"/>
                <w:color w:val="auto"/>
                <w:w w:val="99"/>
              </w:rPr>
              <w:t>(16)</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color w:val="auto"/>
                <w:w w:val="99"/>
              </w:rPr>
              <w:t>15</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Credit Losses - Credit Card Related</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two types of allowance for credit losses related to credit cards: i) an allowance related to off-balance sheet credit card receivables, shown as part of accounts payable and accrued expenses on the unaudited condensed consolidated balance sheet, and ii) an allowance related to purchased credit card receivables and interest receivable from customers, shown as a reduction of receivables from users, net on the unaudited condensed consolidated balance sheet. Credit card related allowance for credit losses represents management’s estimate of expected credit losses from credit exposure over the remaining expected life of credit card receivables. The credit card receivables allowance takes into account information from internal and external sources, including historical collection data, charge off trends by FICO cohort, and market data. We write-off balances when the balance becomes outstanding for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180 days or when we otherwise deem the balance to be uncollectible. Write-offs for off-balance sheet credit card receivables are classified as credit loss payments to Coastal Bank.</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allowance related to off-balance sheet credit card receivables: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6"/>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rPr>
              <w:t>Opening balance from acquisition of Robinhood</w:t>
            </w:r>
          </w:p>
        </w:tc>
        <w:tc>
          <w:tcPr>
            <w:tcW w:w="4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260"/>
              <w:spacing w:after="0"/>
              <w:rPr>
                <w:sz w:val="20"/>
                <w:szCs w:val="20"/>
                <w:color w:val="auto"/>
              </w:rPr>
            </w:pPr>
            <w:r>
              <w:rPr>
                <w:rFonts w:ascii="Arial" w:cs="Arial" w:eastAsia="Arial" w:hAnsi="Arial"/>
                <w:sz w:val="18"/>
                <w:szCs w:val="18"/>
                <w:color w:val="auto"/>
              </w:rPr>
              <w:t>Credit</w:t>
            </w:r>
          </w:p>
        </w:tc>
        <w:tc>
          <w:tcPr>
            <w:tcW w:w="4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Credit loss payments to Coastal Bank</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allowance related to purchased credit card receivables and interest receivables from customers: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6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85"/>
        </w:trPr>
        <w:tc>
          <w:tcPr>
            <w:tcW w:w="4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jc w:val="center"/>
              <w:ind w:left="13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25"/>
          <w:szCs w:val="25"/>
          <w:color w:val="auto"/>
        </w:rPr>
        <w:t>NOTE 6: INVESTMENTS AND FAIR VALUE MEASUREMENT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1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 xml:space="preserve">As of December 31, 2023 and September 30, 2024, we had $500 million and $750 million of available-for-sale time deposits classified as cash equivalents on the unaudited condensed consolidated balance sheets. These investments had a maturity of three months or less at the time of purchase, and an aggregate market value equal to amortized cost. Refer to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our held-to-maturity investments: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3"/>
        </w:trPr>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Allowance for Credit</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1"/>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4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30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3060" w:type="dxa"/>
            <w:vAlign w:val="bottom"/>
          </w:tcPr>
          <w:p>
            <w:pPr>
              <w:ind w:left="10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306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30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held-to-maturity investments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94"/>
        </w:trPr>
        <w:tc>
          <w:tcPr>
            <w:tcW w:w="3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September 30, 2024</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3"/>
        </w:trPr>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Allowance for Credit</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1"/>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4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3060" w:type="dxa"/>
            <w:vAlign w:val="bottom"/>
          </w:tcPr>
          <w:p>
            <w:pPr>
              <w:ind w:left="10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3060" w:type="dxa"/>
            <w:vAlign w:val="bottom"/>
          </w:tcPr>
          <w:p>
            <w:pPr>
              <w:ind w:left="10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30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held-to-maturity investments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sales of held-to-maturity investments during the three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table below presents the amortized cost and fair value of held-to-maturity investments by contractual maturity; the maximum maturity is two years: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2023</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8"/>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1 Year</w:t>
            </w:r>
          </w:p>
        </w:tc>
        <w:tc>
          <w:tcPr>
            <w:tcW w:w="120" w:type="dxa"/>
            <w:vAlign w:val="bottom"/>
          </w:tcPr>
          <w:p>
            <w:pPr>
              <w:spacing w:after="0"/>
              <w:rPr>
                <w:sz w:val="19"/>
                <w:szCs w:val="19"/>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1 to 2 Years</w:t>
            </w:r>
          </w:p>
        </w:tc>
        <w:tc>
          <w:tcPr>
            <w:tcW w:w="380" w:type="dxa"/>
            <w:vAlign w:val="bottom"/>
          </w:tcPr>
          <w:p>
            <w:pPr>
              <w:spacing w:after="0"/>
              <w:rPr>
                <w:sz w:val="19"/>
                <w:szCs w:val="19"/>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11"/>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Amortized cost</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6340" w:type="dxa"/>
            <w:vAlign w:val="bottom"/>
          </w:tcPr>
          <w:p>
            <w:pPr>
              <w:ind w:left="1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634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340" w:type="dxa"/>
            <w:vAlign w:val="bottom"/>
          </w:tcPr>
          <w:p>
            <w:pPr>
              <w:ind w:left="38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3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94"/>
        </w:trPr>
        <w:tc>
          <w:tcPr>
            <w:tcW w:w="6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September 30, 2024</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1 Year</w:t>
            </w:r>
          </w:p>
        </w:tc>
        <w:tc>
          <w:tcPr>
            <w:tcW w:w="120" w:type="dxa"/>
            <w:vAlign w:val="bottom"/>
          </w:tcPr>
          <w:p>
            <w:pPr>
              <w:spacing w:after="0"/>
              <w:rPr>
                <w:sz w:val="19"/>
                <w:szCs w:val="19"/>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1 to 2 Years</w:t>
            </w:r>
          </w:p>
        </w:tc>
        <w:tc>
          <w:tcPr>
            <w:tcW w:w="380" w:type="dxa"/>
            <w:vAlign w:val="bottom"/>
          </w:tcPr>
          <w:p>
            <w:pPr>
              <w:spacing w:after="0"/>
              <w:rPr>
                <w:sz w:val="19"/>
                <w:szCs w:val="19"/>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10"/>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Amortized cost</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634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340" w:type="dxa"/>
            <w:vAlign w:val="bottom"/>
          </w:tcPr>
          <w:p>
            <w:pPr>
              <w:ind w:left="38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3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Financial assets and liabilities measured at fair value on a recurring basis were presented on our unaudited condensed consolidated balance sheets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December 31, 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Time deposits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clearing organizations: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Stablecoin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 - escrow account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line="183" w:lineRule="exact"/>
              <w:rPr>
                <w:sz w:val="20"/>
                <w:szCs w:val="20"/>
                <w:color w:val="auto"/>
              </w:rPr>
            </w:pPr>
            <w:r>
              <w:rPr>
                <w:rFonts w:ascii="Arial" w:cs="Arial" w:eastAsia="Arial" w:hAnsi="Arial"/>
                <w:sz w:val="18"/>
                <w:szCs w:val="18"/>
                <w:color w:val="auto"/>
              </w:rPr>
              <w:t>Asset related to user cryptocurrencies safeguarding</w:t>
            </w:r>
          </w:p>
        </w:tc>
        <w:tc>
          <w:tcPr>
            <w:tcW w:w="32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14,708</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14,708</w:t>
            </w:r>
          </w:p>
        </w:tc>
        <w:tc>
          <w:tcPr>
            <w:tcW w:w="0" w:type="dxa"/>
            <w:vAlign w:val="bottom"/>
          </w:tcPr>
          <w:p>
            <w:pPr>
              <w:spacing w:after="0"/>
              <w:rPr>
                <w:sz w:val="1"/>
                <w:szCs w:val="1"/>
                <w:color w:val="auto"/>
              </w:rPr>
            </w:pPr>
          </w:p>
        </w:tc>
      </w:tr>
      <w:tr>
        <w:trPr>
          <w:trHeight w:val="235"/>
        </w:trPr>
        <w:tc>
          <w:tcPr>
            <w:tcW w:w="4700" w:type="dxa"/>
            <w:vAlign w:val="bottom"/>
          </w:tcPr>
          <w:p>
            <w:pPr>
              <w:ind w:left="260"/>
              <w:spacing w:after="0"/>
              <w:rPr>
                <w:sz w:val="20"/>
                <w:szCs w:val="20"/>
                <w:color w:val="auto"/>
              </w:rPr>
            </w:pPr>
            <w:r>
              <w:rPr>
                <w:rFonts w:ascii="Arial" w:cs="Arial" w:eastAsia="Arial" w:hAnsi="Arial"/>
                <w:sz w:val="18"/>
                <w:szCs w:val="18"/>
                <w:color w:val="auto"/>
              </w:rPr>
              <w:t>obligation</w:t>
            </w:r>
          </w:p>
        </w:tc>
        <w:tc>
          <w:tcPr>
            <w:tcW w:w="3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User-held fractional shares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15,208</w:t>
            </w:r>
          </w:p>
        </w:tc>
        <w:tc>
          <w:tcPr>
            <w:tcW w:w="100" w:type="dxa"/>
            <w:vAlign w:val="bottom"/>
          </w:tcPr>
          <w:p>
            <w:pPr>
              <w:spacing w:after="0"/>
              <w:rPr>
                <w:sz w:val="22"/>
                <w:szCs w:val="22"/>
                <w:color w:val="auto"/>
              </w:rPr>
            </w:pP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17,028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 cryptocurrencies safeguarding obligation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14,708</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84"/>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financial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14,708</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September 30, 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Time deposits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Stablecoin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Money market funds - escrow account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Asset related to user cryptocurrencies safeguarding</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19,456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19,456</w:t>
            </w:r>
          </w:p>
        </w:tc>
        <w:tc>
          <w:tcPr>
            <w:tcW w:w="0" w:type="dxa"/>
            <w:vAlign w:val="bottom"/>
          </w:tcPr>
          <w:p>
            <w:pPr>
              <w:spacing w:after="0"/>
              <w:rPr>
                <w:sz w:val="1"/>
                <w:szCs w:val="1"/>
                <w:color w:val="auto"/>
              </w:rPr>
            </w:pPr>
          </w:p>
        </w:tc>
      </w:tr>
      <w:tr>
        <w:trPr>
          <w:trHeight w:val="235"/>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obligation</w:t>
            </w:r>
          </w:p>
        </w:tc>
        <w:tc>
          <w:tcPr>
            <w:tcW w:w="32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User-held fractional shares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83"/>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User cryptocurrencies safeguarding obligation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19,456</w:t>
            </w:r>
          </w:p>
        </w:tc>
        <w:tc>
          <w:tcPr>
            <w:tcW w:w="100" w:type="dxa"/>
            <w:vAlign w:val="bottom"/>
          </w:tcPr>
          <w:p>
            <w:pPr>
              <w:spacing w:after="0"/>
              <w:rPr>
                <w:sz w:val="19"/>
                <w:szCs w:val="19"/>
                <w:color w:val="auto"/>
              </w:rPr>
            </w:pP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19,456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19,456</w:t>
            </w:r>
          </w:p>
        </w:tc>
        <w:tc>
          <w:tcPr>
            <w:tcW w:w="100" w:type="dxa"/>
            <w:vAlign w:val="bottom"/>
          </w:tcPr>
          <w:p>
            <w:pPr>
              <w:spacing w:after="0"/>
              <w:rPr>
                <w:sz w:val="22"/>
                <w:szCs w:val="22"/>
                <w:color w:val="auto"/>
              </w:rPr>
            </w:pP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21,657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4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During the year ended December 31. 2023, U.S. Treasury securities were pledged to a clearing organization to meet margin requirements for our security lending program.</w:t>
      </w:r>
    </w:p>
    <w:p>
      <w:pPr>
        <w:spacing w:after="0" w:line="15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fair value for certain financial instruments that are not required to be measured or reported at fair value was presented on our unaudited condensed consolidated balance sheets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 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1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Held-to-maturity investments: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4700" w:type="dxa"/>
            <w:vAlign w:val="bottom"/>
          </w:tcPr>
          <w:p>
            <w:pPr>
              <w:ind w:left="380"/>
              <w:spacing w:after="0"/>
              <w:rPr>
                <w:sz w:val="20"/>
                <w:szCs w:val="20"/>
                <w:color w:val="auto"/>
              </w:rPr>
            </w:pPr>
            <w:r>
              <w:rPr>
                <w:rFonts w:ascii="Arial" w:cs="Arial" w:eastAsia="Arial" w:hAnsi="Arial"/>
                <w:sz w:val="18"/>
                <w:szCs w:val="18"/>
                <w:color w:val="auto"/>
              </w:rPr>
              <w:t>Total held-to-maturity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2"/>
                <w:szCs w:val="22"/>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 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1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Held-to-maturity investments: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4700" w:type="dxa"/>
            <w:vAlign w:val="bottom"/>
          </w:tcPr>
          <w:p>
            <w:pPr>
              <w:ind w:left="380"/>
              <w:spacing w:after="0"/>
              <w:rPr>
                <w:sz w:val="20"/>
                <w:szCs w:val="20"/>
                <w:color w:val="auto"/>
              </w:rPr>
            </w:pPr>
            <w:r>
              <w:rPr>
                <w:rFonts w:ascii="Arial" w:cs="Arial" w:eastAsia="Arial" w:hAnsi="Arial"/>
                <w:sz w:val="18"/>
                <w:szCs w:val="18"/>
                <w:color w:val="auto"/>
              </w:rPr>
              <w:t>Total held-to-maturity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fair values used for held-to-maturity investments are obtained from an independent pricing service and represent fair values determined by pricing models using a market approach that considers observable market data, such as interest rate volatility, relevant yield curves, credit spreads and prices from market makers and live trading systems. Management reviews the valuation methodology and quality controls utilized by the pricing services in management's overall assessment of the reasonableness of the fair values provided.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nine months ended September 30, 2024, we did not have any transfers in or out of Level 3 assets or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Safeguarded user cryptocurrencies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Safeguarded user cryptocurrencies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Arial" w:cs="Arial" w:eastAsia="Arial" w:hAnsi="Arial"/>
                <w:sz w:val="14"/>
                <w:szCs w:val="14"/>
                <w:b w:val="1"/>
                <w:bCs w:val="1"/>
                <w:color w:val="auto"/>
              </w:rPr>
              <w:t>September 30,</w:t>
            </w:r>
          </w:p>
        </w:tc>
      </w:tr>
      <w:tr>
        <w:trPr>
          <w:trHeight w:val="20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Bitcoin (BTC)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Ethereum (ETH)</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4,014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Dogecoin (DOGE)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r>
      <w:tr>
        <w:trPr>
          <w:trHeight w:val="289"/>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user cryptocurrencies safeguarding obligation and corresponding asset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fair value of the user cryptocurrencies safeguarding obligation and the corresponding asset were determined based on observed market pricing representing the last price executed for trades of each cryptocurrency as of December 31, 2023 and September 30, 2024.</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NOTE 7: DERIVATIVES AND HEDGING ACTIVITIES</w:t>
      </w:r>
    </w:p>
    <w:p>
      <w:pPr>
        <w:spacing w:after="0" w:line="18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In 2023, we entered into two interest rate floors that were designated as cash flow hedges of interest rate risk associated with our margin receivables. One interest rate floor with a notional amount of $2 billion was effective as of June 30, 2023. Another with a notional amount of</w:t>
      </w:r>
    </w:p>
    <w:p>
      <w:pPr>
        <w:jc w:val="both"/>
        <w:spacing w:after="0" w:line="237" w:lineRule="auto"/>
        <w:rPr>
          <w:sz w:val="20"/>
          <w:szCs w:val="20"/>
          <w:color w:val="auto"/>
        </w:rPr>
      </w:pPr>
      <w:r>
        <w:rPr>
          <w:rFonts w:ascii="Arial" w:cs="Arial" w:eastAsia="Arial" w:hAnsi="Arial"/>
          <w:sz w:val="18"/>
          <w:szCs w:val="18"/>
          <w:color w:val="auto"/>
        </w:rPr>
        <w:t>$1 billion was effective as of January 1, 2024. Both interest rate floors had a maturity of six months. As of September 30, 2024, the Company had no derivatives and hedging activities.</w:t>
      </w:r>
    </w:p>
    <w:p>
      <w:pPr>
        <w:spacing w:after="0" w:line="208"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Amounts reported in accumulated other comprehensive income (loss) (“AOCI”) related to interest rate floors were reclassified to net interest revenues as interest payments were received or paid on the hedged items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following table summarizes the amount of gain or loss recognized in AOCI on our unaudited condensed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560" w:type="dxa"/>
            <w:vAlign w:val="bottom"/>
          </w:tcPr>
          <w:p>
            <w:pPr>
              <w:ind w:left="140"/>
              <w:spacing w:after="0" w:line="183" w:lineRule="exact"/>
              <w:rPr>
                <w:sz w:val="20"/>
                <w:szCs w:val="20"/>
                <w:color w:val="auto"/>
              </w:rPr>
            </w:pPr>
            <w:r>
              <w:rPr>
                <w:rFonts w:ascii="Arial" w:cs="Arial" w:eastAsia="Arial" w:hAnsi="Arial"/>
                <w:sz w:val="18"/>
                <w:szCs w:val="18"/>
                <w:color w:val="auto"/>
              </w:rPr>
              <w:t>Loss on derivatives included in effectiveness</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ind w:left="96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5"/>
                <w:szCs w:val="15"/>
                <w:color w:val="auto"/>
              </w:rPr>
            </w:pPr>
          </w:p>
        </w:tc>
        <w:tc>
          <w:tcPr>
            <w:tcW w:w="54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ind w:left="96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5"/>
                <w:szCs w:val="15"/>
                <w:color w:val="auto"/>
              </w:rPr>
            </w:pPr>
          </w:p>
        </w:tc>
        <w:tc>
          <w:tcPr>
            <w:tcW w:w="54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560" w:type="dxa"/>
            <w:vAlign w:val="bottom"/>
          </w:tcPr>
          <w:p>
            <w:pPr>
              <w:ind w:left="300"/>
              <w:spacing w:after="0"/>
              <w:rPr>
                <w:sz w:val="20"/>
                <w:szCs w:val="20"/>
                <w:color w:val="auto"/>
              </w:rPr>
            </w:pPr>
            <w:r>
              <w:rPr>
                <w:rFonts w:ascii="Arial" w:cs="Arial" w:eastAsia="Arial" w:hAnsi="Arial"/>
                <w:sz w:val="18"/>
                <w:szCs w:val="18"/>
                <w:color w:val="auto"/>
              </w:rPr>
              <w:t>assessment</w:t>
            </w:r>
          </w:p>
        </w:tc>
        <w:tc>
          <w:tcPr>
            <w:tcW w:w="3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56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Loss reclassified from AOCI into net interest revenues</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4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included in effectiveness assessment</w:t>
            </w:r>
          </w:p>
        </w:tc>
        <w:tc>
          <w:tcPr>
            <w:tcW w:w="36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the components of AOCI including hedging activities on our unaudited condensed consolidated financial statements: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6"/>
        </w:trPr>
        <w:tc>
          <w:tcPr>
            <w:tcW w:w="4580" w:type="dxa"/>
            <w:vAlign w:val="bottom"/>
          </w:tcPr>
          <w:p>
            <w:pPr>
              <w:ind w:left="240"/>
              <w:spacing w:after="0" w:line="156" w:lineRule="exact"/>
              <w:rPr>
                <w:sz w:val="20"/>
                <w:szCs w:val="20"/>
                <w:color w:val="auto"/>
              </w:rPr>
            </w:pPr>
            <w:r>
              <w:rPr>
                <w:rFonts w:ascii="Arial" w:cs="Arial" w:eastAsia="Arial" w:hAnsi="Arial"/>
                <w:sz w:val="18"/>
                <w:szCs w:val="18"/>
                <w:color w:val="auto"/>
              </w:rPr>
              <w:t>Other comprehensive income after reclassification,</w:t>
            </w:r>
          </w:p>
        </w:tc>
        <w:tc>
          <w:tcPr>
            <w:tcW w:w="360" w:type="dxa"/>
            <w:vAlign w:val="bottom"/>
          </w:tcPr>
          <w:p>
            <w:pPr>
              <w:spacing w:after="0"/>
              <w:rPr>
                <w:sz w:val="13"/>
                <w:szCs w:val="13"/>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80" w:type="dxa"/>
            <w:vAlign w:val="bottom"/>
          </w:tcPr>
          <w:p>
            <w:pPr>
              <w:ind w:left="400"/>
              <w:spacing w:after="0"/>
              <w:rPr>
                <w:sz w:val="20"/>
                <w:szCs w:val="20"/>
                <w:color w:val="auto"/>
              </w:rPr>
            </w:pPr>
            <w:r>
              <w:rPr>
                <w:rFonts w:ascii="Arial" w:cs="Arial" w:eastAsia="Arial" w:hAnsi="Arial"/>
                <w:sz w:val="18"/>
                <w:szCs w:val="18"/>
                <w:color w:val="auto"/>
              </w:rPr>
              <w:t>net of tax</w:t>
            </w:r>
          </w:p>
        </w:tc>
        <w:tc>
          <w:tcPr>
            <w:tcW w:w="3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Hedging instruments: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580" w:type="dxa"/>
            <w:vAlign w:val="bottom"/>
          </w:tcPr>
          <w:p>
            <w:pPr>
              <w:ind w:left="240"/>
              <w:spacing w:after="0" w:line="176" w:lineRule="exact"/>
              <w:rPr>
                <w:sz w:val="20"/>
                <w:szCs w:val="20"/>
                <w:color w:val="auto"/>
              </w:rPr>
            </w:pPr>
            <w:r>
              <w:rPr>
                <w:rFonts w:ascii="Arial" w:cs="Arial" w:eastAsia="Arial" w:hAnsi="Arial"/>
                <w:sz w:val="18"/>
                <w:szCs w:val="18"/>
                <w:color w:val="auto"/>
              </w:rPr>
              <w:t>Reclassification adjustment for net gains included in</w:t>
            </w:r>
          </w:p>
        </w:tc>
        <w:tc>
          <w:tcPr>
            <w:tcW w:w="360" w:type="dxa"/>
            <w:vAlign w:val="bottom"/>
          </w:tcPr>
          <w:p>
            <w:pPr>
              <w:spacing w:after="0"/>
              <w:rPr>
                <w:sz w:val="15"/>
                <w:szCs w:val="15"/>
                <w:color w:val="auto"/>
              </w:rPr>
            </w:pPr>
          </w:p>
        </w:tc>
        <w:tc>
          <w:tcPr>
            <w:tcW w:w="1180" w:type="dxa"/>
            <w:vAlign w:val="bottom"/>
            <w:vMerge w:val="restart"/>
          </w:tcPr>
          <w:p>
            <w:pPr>
              <w:ind w:left="9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ind w:left="9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interest revenues, net of tax</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58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rPr>
              <w:t>Other comprehensive income (loss) after</w:t>
            </w: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 net of tax</w:t>
            </w:r>
          </w:p>
        </w:tc>
        <w:tc>
          <w:tcPr>
            <w:tcW w:w="3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8: INCOME TAXES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74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r>
      <w:tr>
        <w:trPr>
          <w:trHeight w:val="185"/>
        </w:trPr>
        <w:tc>
          <w:tcPr>
            <w:tcW w:w="44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r>
      <w:tr>
        <w:trPr>
          <w:trHeight w:val="19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(562)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506</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spacing w:after="0"/>
              <w:rPr>
                <w:sz w:val="19"/>
                <w:szCs w:val="19"/>
                <w:color w:val="auto"/>
              </w:rPr>
            </w:pPr>
          </w:p>
        </w:tc>
        <w:tc>
          <w:tcPr>
            <w:tcW w:w="660" w:type="dxa"/>
            <w:vAlign w:val="bottom"/>
          </w:tcPr>
          <w:p>
            <w:pPr>
              <w:jc w:val="right"/>
              <w:ind w:right="15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ind w:right="15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11</w:t>
            </w:r>
          </w:p>
        </w:tc>
      </w:tr>
      <w:tr>
        <w:trPr>
          <w:trHeight w:val="230"/>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Effective tax rate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tax provision for interim periods is determined using an estimated annual effective tax rate (“ETR”), adjusted for discrete items arising in the period. In each quarter, we update our estimated annual ETR and make a year-to-date calculation of the provision.</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three and nine months ended September 30, 2023 and 2024, the ETR was lower than the U.S. federal statutory rate primarily due to the full valuation allowance on our U.S. federal and state deferred tax assets offset by current taxes payable.</w:t>
      </w:r>
    </w:p>
    <w:p>
      <w:pPr>
        <w:spacing w:after="0" w:line="12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nine months ended September 30, 2024, we believe it is more likely than not that the tax benefits of the remaining U.S. federal, state, and certain foreign net deferred tax assets may not be realized until sufficient positive evidence exists to support reversal of the valuation allowance.</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tax credits before utilization.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2024, California's Governor signed Senate Bill 167 (“SB 167”), which temporarily suspends the use of California net operating losses and imposes a cap on business incentive tax credits that we can utilize against our income taxes, and Senate Bill 175 (“SB 175”), allows for the recovery of suspended credits. We believe the recent tax legislation changes provided under SB 167 and SB 175 do not materially impact our income tax provision and do not change our evaluation of the valuation allowance against deferred tax assets in California as of September 30, 2024.</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color w:val="auto"/>
        </w:rPr>
        <w:t>NOTE 9: SECURITIES BORROWING AND LENDING</w:t>
      </w:r>
    </w:p>
    <w:p>
      <w:pPr>
        <w:spacing w:after="0" w:line="1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securities lending transactions are subject to enforceable master netting arrangements with other broker-dealers; however, we do not net securities borrowing and lending transactions. Therefore, activity related to securities borrowing and lending activities are presented gross on our unaudited condensed consolidated balance sheets.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we borrow fully-paid securities from users and third parties, we provide cash collateral to our users and third parties, which represents our rights to the collateral provided to our users and third parties and is recorded as “securities borrowed”, an asset, on our unaudited condensed consolidated balance sheets. When we lend securities to third parties, we receive cash as collateral, which represents our obligation to return the collateral and is recorded as “securities loaned”, a liability, on our unaudited condensed consolidated balance sheets.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certain balances related to our securities borrowing and lending activities as of December 31, 2023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right="680"/>
        <w:spacing w:after="0" w:line="273" w:lineRule="auto"/>
        <w:rPr>
          <w:sz w:val="20"/>
          <w:szCs w:val="20"/>
          <w:color w:val="auto"/>
        </w:rPr>
      </w:pPr>
      <w:r>
        <w:rPr>
          <w:rFonts w:ascii="Arial" w:cs="Arial" w:eastAsia="Arial" w:hAnsi="Arial"/>
          <w:sz w:val="18"/>
          <w:szCs w:val="18"/>
          <w:color w:val="auto"/>
        </w:rPr>
        <w:t>Gross amount of cash collateral provided to users for securities borrowing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assets presented on the consolidated balance sheets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right="460"/>
        <w:spacing w:after="0" w:line="284" w:lineRule="auto"/>
        <w:rPr>
          <w:sz w:val="20"/>
          <w:szCs w:val="20"/>
          <w:color w:val="auto"/>
        </w:rPr>
      </w:pPr>
      <w:r>
        <w:rPr>
          <w:rFonts w:ascii="Arial" w:cs="Arial" w:eastAsia="Arial" w:hAnsi="Arial"/>
          <w:sz w:val="18"/>
          <w:szCs w:val="18"/>
          <w:color w:val="auto"/>
        </w:rPr>
        <w:t>Cash collateral provided to users and third parties for securities borrowing transactions Fair value of securities borrowed from users and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amount</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line="273" w:lineRule="auto"/>
        <w:rPr>
          <w:sz w:val="20"/>
          <w:szCs w:val="20"/>
          <w:color w:val="auto"/>
        </w:rPr>
      </w:pPr>
      <w:r>
        <w:rPr>
          <w:rFonts w:ascii="Arial" w:cs="Arial" w:eastAsia="Arial" w:hAnsi="Arial"/>
          <w:sz w:val="18"/>
          <w:szCs w:val="18"/>
          <w:color w:val="auto"/>
        </w:rPr>
        <w:t>Gross amount of cash collateral received from counterparties for securities lending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right="1120"/>
        <w:spacing w:after="0" w:line="284" w:lineRule="auto"/>
        <w:rPr>
          <w:sz w:val="20"/>
          <w:szCs w:val="20"/>
          <w:color w:val="auto"/>
        </w:rPr>
      </w:pPr>
      <w:r>
        <w:rPr>
          <w:rFonts w:ascii="Arial" w:cs="Arial" w:eastAsia="Arial" w:hAnsi="Arial"/>
          <w:sz w:val="18"/>
          <w:szCs w:val="18"/>
          <w:color w:val="auto"/>
        </w:rPr>
        <w:t>Cash collateral received from counterparties for securities lending transactions Fair value of securities pledged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Arial" w:cs="Arial" w:eastAsia="Arial" w:hAnsi="Arial"/>
                <w:sz w:val="14"/>
                <w:szCs w:val="14"/>
                <w:b w:val="1"/>
                <w:bCs w:val="1"/>
                <w:color w:val="auto"/>
              </w:rPr>
              <w:t>September 30,</w:t>
            </w:r>
          </w:p>
        </w:tc>
      </w:tr>
      <w:tr>
        <w:trPr>
          <w:trHeight w:val="204"/>
        </w:trPr>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196"/>
        </w:trPr>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Securities borrowed</w:t>
            </w:r>
          </w:p>
        </w:tc>
      </w:tr>
      <w:tr>
        <w:trPr>
          <w:trHeight w:val="219"/>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3,704</w:t>
            </w:r>
          </w:p>
        </w:tc>
      </w:tr>
      <w:tr>
        <w:trPr>
          <w:trHeight w:val="235"/>
        </w:trPr>
        <w:tc>
          <w:tcPr>
            <w:tcW w:w="2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3,704</w:t>
            </w:r>
          </w:p>
        </w:tc>
      </w:tr>
      <w:tr>
        <w:trPr>
          <w:trHeight w:val="444"/>
        </w:trPr>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3,704</w:t>
            </w:r>
          </w:p>
        </w:tc>
      </w:tr>
      <w:tr>
        <w:trPr>
          <w:trHeight w:val="235"/>
        </w:trPr>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438"/>
        </w:trPr>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Securities loaned</w:t>
            </w:r>
          </w:p>
        </w:tc>
      </w:tr>
      <w:tr>
        <w:trPr>
          <w:trHeight w:val="219"/>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7,306</w:t>
            </w:r>
          </w:p>
        </w:tc>
      </w:tr>
      <w:tr>
        <w:trPr>
          <w:trHeight w:val="235"/>
        </w:trPr>
        <w:tc>
          <w:tcPr>
            <w:tcW w:w="2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7,306</w:t>
            </w:r>
          </w:p>
        </w:tc>
      </w:tr>
      <w:tr>
        <w:trPr>
          <w:trHeight w:val="444"/>
        </w:trPr>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7,306</w:t>
            </w:r>
          </w:p>
        </w:tc>
      </w:tr>
      <w:tr>
        <w:trPr>
          <w:trHeight w:val="235"/>
        </w:trPr>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00" w:space="380"/>
            <w:col w:w="3260"/>
          </w:cols>
          <w:pgMar w:left="320" w:top="121" w:right="339" w:bottom="1440" w:gutter="0" w:footer="0" w:header="0"/>
          <w:type w:val="continuous"/>
        </w:sectPr>
      </w:pPr>
    </w:p>
    <w:p>
      <w:pPr>
        <w:spacing w:after="0" w:line="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obtain securities on terms that permit us to pledge and/or transfer securities to others. As of December 31, 2023 and September 30, 2024, we were permitted to re-pledge securities with a fair value of $4.78 billion and $7.48 billion under margin account agreements with users. As of December 31, 2023, we were permitted to re-pledge securities with a fair value of an immaterial balance that we borrowed under the master securities loan agreements (“MSLAs”) with third parties. As of September 30, 2024, there were no securities re-pledged from borrowing under MSLAs with third parties. Under the Fully-Paid Securities Lending program, as of December 31, 2023 and September 30, 2024, we were permitted to borrow securities with a fair value of $14.03 billion and $29.43 billion including securities with a fair value of $1.54 billion and $3.61 billion that we had borrowed from users.</w:t>
      </w:r>
    </w:p>
    <w:p>
      <w:pPr>
        <w:spacing w:after="0" w:line="15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2023 and September 30, 2024, we had re-pledged securities with a fair value of $3.19 billion and $6.84 billion, in each case under MSLAs and fixed-term securities lending agreements with third parties. In addition, as of December 31, 2023 and September 30, 2024, we had re-pledged $676 million and $1.22 billion of the permitted amounts under the margin account agreements with clearing organizations to meet deposit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NOTE 10: FINANCING ACTIVITIES AND OFF-BALANCE SHEET RISK</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Revolving Credit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RHM March 2024 Credit Agreement</w:t>
      </w:r>
    </w:p>
    <w:p>
      <w:pPr>
        <w:spacing w:after="0" w:line="1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March 22, 2024, RHM entered into a second amended and restated credit agreement with a syndicate of banks (the “RHM March 2024 Credit Agreement”) amending and restating the unsecured revolving line of credit entered into in October 2019 and as thereafter amended (refer to Note 13 - Financing Activities and Off-Balance Sheet Risk, of the 2023 Form 10-K for more information). The RHM March 2024 Credit Agreement has an initial commitment of $750 million with a maturity date of March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2027. Under circumstances described in the RHM March 2024 Credit Agreement, the aggregate commitments may be increased by up to $187.5 million, for a total commitment of up to $937.5 million. Borrowings under the RHM March 2024 Credit Agreement will bear interest at a rate per annum equal to the Alternate Base Rate or Adjusted Term SOFR (“Secured Overnight Financing Rate”) plus an applicable margin rate of 1.50%. For purposes of the RHM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 such rate shall be deemed to be equal to the floor. RHM is obligated to pay a commitment fee calculated at a per annum rate equal to 0.25% on any unused amount of the RHM March 2024 Credit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RHS March 2024 Credit Agreement</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March 22, 2024, RHS, our wholly-owned subsidiary, entered into the Third Amended and Restated Credit Agreement (the “RHS March 2024 Credit Agreement”) among RHS, as borrower, the lenders party thereto, and JPMorgan Chase Bank, N.A., as administrative agent, amending and restating the $2.175 billion 364-day senior secured revolving credit facility entered into in March 2023 (refer to Note 13 - Financing Activities and Off-Balance Sheet Risk, of the 2023 Form 10-K for more information).</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RHS March 2024 Credit Agreement provides for a 364-day senior secured revolving credit facility with a total commitment of $2.25 billion. Under circumstances described in the RHS March 2024 Credit Agreement, the aggregate commitments may be increased by up to $1.125 billion, for a total commitment of $3.375 billion. Borrowings under the credit facility must be specified to be Tranche A, Tranche B, Tranche C or a combination thereof. Tranche A loans are secured by users’ securities purchased on margin and are used primarily to finance margin loans. Tranche B loans are secured by the right to the return from National Securities Clearing Corporation (“NSCC”) of NSCC margin deposits and cash and property in a designated collateral account and used for the purpose of satisfying NSCC deposit requirements. Tranche C loans are secured by the right to the return of eligible funds from any reserve account of the borrower and cash and property in a designated collateral account and used for the purpose of satisfying reserve requirements under Rule 15c3-3 of the Securities Exchange Act of 1934, as amended (the “Exchange Act”).</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Borrowings under the RHS March 2024 Credit Agreement will bear interest at a rate per annum equal to the greatest of (i) Daily Simple SOFR plus 0.10% (as defined in the RHS March 2024 Credit Agreement), (ii) the Federal Funds Effective Rate (as defined in the RHS March 2024 Credit Agreement) and (iii) the Overnight Bank Funding Rate (as defined in the RHS March 2024 Credit Agreement), in each case, as of the day the loan is initiated, plus an applicable margin rate. The applicable margin rate is 1.25% for Tranche A loans and 2.50% for Tranche B and Tranche C loans. Undrawn commitments will accrue commitment fees at a rate per annum equal to 0.50%.</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RHS March 2024 Credit Agreement requires RHS to maintain a minimum consolidated tangible net worth and a minimum excess net capital, and subjects RHS to a specified limit on minimum net capital to aggregate debit items. In addition, the RHS March 2024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2024 Credit Agreement may be accelerated upon an “event of default,” as defined in the RHS March 2024 Credit Agreement, such as failure to pay amounts owed thereunder when due, breach of a covenant, material inaccuracy of a representation, or occurrence of bankruptcy or insolvency, subject in some cases to cure periods.</w:t>
      </w:r>
    </w:p>
    <w:p>
      <w:pPr>
        <w:spacing w:after="0" w:line="1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December 31, 2023 and September 30, 2024, there were no borrowings outstanding and we were in compliance with all covenants, as applicable, under our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Card Funding Trust</w:t>
      </w:r>
    </w:p>
    <w:p>
      <w:pPr>
        <w:spacing w:after="0" w:line="18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terms of the Coastal Community Bank (“Coastal Bank”) Program Agreement (discussed below), Robinhood Credit has the ability to purchase credit card receivables originated and held for a period of time by Coastal Bank. Robinhood Credit continues to earn interest from customers and uses these purchased credit card receivables as collateral under a trust structure to access debt financing in the ordinary course of business. To help facilitate these transactions, we created a VIE known as the Credit Card Funding Trust (the “Trust”).</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the primary beneficiary of the Trust as, through our role as the servicer and administrator, we have the power to direct the activities that most significantly affect the Trust's economic performance and, due to owning all the equity interest in the Trust, have the right to receive benefits or the obligation to absorb losses. As such, we consolidate the Trust in the condensed consolidated financial statements. Substantially all of the Trust’s assets and liabilities are the purchased credit card receivables, included in receivables from users, net, and the outstanding borrowing, included in other current liabilities, on the unaudited condensed consolidated balance sheets.</w:t>
      </w:r>
    </w:p>
    <w:p>
      <w:pPr>
        <w:spacing w:after="0" w:line="15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exposure to losses in the Trust is limited to the carrying value of net assets held by the Trust, including expected credit losses related to the purchased credit card receivables (Refer to Note 5 - Allowance for Credit Losses). For the Trust, the creditors have no recourse to our general credit and the liabilities of the Trust can only be settled by the Trust’s assets. Additionally, the assets of the Trust can only be used to settle obligations of the Trust.</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credit card receivables of the Trust have risks and characteristics similar to other off-balance sheet credit card receivables owned by Coastal Bank and were underwritten to the same standard. Accordingly, the performance of these assets is expected to be similar to other comparable credit card receivables.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September 30, 2024, the Trust had one arrangement in place to borrow up to $100 million which will mature in April 2025. Borrowings under this arrangement bear interest at an annual rate of SOFR plus 2.75% for outstanding borrowings less than $ 50 million, and SOFR plus 2.50% for outstanding borrowings greater than $50 million. During the nine months ended September 30, 2024, we purchased $239 million of credit card receivables. As of September 30, 2024, the carrying value of purchased credit card receivables that had not been collected, net of provision for credit losses, was $99 million, and the outstanding balance of borrowing principal and interest was $94 million. There were no purchases of credit card receivables or borrowings under this arrangement for the year ended December 31, 2023. For the three and nine months ended September 30, 2024, the related interest revenue and expense of the Trust were immaterial.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Coastal Bank Program Agreement</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a program agreement between us and Coastal Bank (the “Program Agreement”) most recently amended in November 2023, Coastal Bank may fund up to $300 million of credit card receivables. Robinhood Credit pays Coastal Bank interest based on the average balance of advances during the month at the federal funds rate plus a margin of 3.75% on the first $150 million and 3.00% on such amounts in excess of $150 million.</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credit card receivables and the funding from Coastal Bank are off-balance sheet, considering Coastal Bank is the legal lender and originator, the party to which the customer has a creditor-borrower relationship, and the legal owner of the receivables. As of September 30, 2024, the off-balance sheet credit card receivables funded under the Program Agreement was $202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Settlement</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we engage in activities involving settlement and financing of securities transactions. User securities transactions are recorded on a settlement date basis. Effective May 2024, settlement date for equities has been shortened from two business days after the trade date to one business day after the trade date, while the settlement date for options remains unchanged at one business day after the trade date.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color w:val="auto"/>
        </w:rPr>
        <w:t>NOTE 11: COMMON STOCK AND STOCKHOLDERS' EQUITY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2024, no terms of the preferred stock were designated and no shares of preferred stock were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Amended and Restated Certificate of Incorporation (our “Charter”) or applicable law.</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w:t>
      </w:r>
    </w:p>
    <w:p>
      <w:pPr>
        <w:spacing w:after="0" w:line="18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September 30, 2024, warrants outstanding consisted of warrants to purchase 14.3 million shares of Class A common stock with a strike price of $26.60 per share. The warrants expire on February 12, 2031 and can be exercised with cash or net shares settled at the holder’s option. In aggregate, the maximum purchase amount of all warrants is $380 million. As of September 30, 2024, the warrants had not been exercised.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 Repurchase Program</w:t>
      </w:r>
    </w:p>
    <w:p>
      <w:pPr>
        <w:spacing w:after="0" w:line="18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May 28, 2024, we announced that our board of directors approved a share repurchase program (the “Repurchase Program”) authorizing the Company to repurchase up to $ 1 billion of its outstanding Class A common stock. While the Repurchase Program does not have an expiration date, we continue to expect to complete over a period of two to three years. During the three months ended September 30, 2024, the Company repurchased 5 million shares of our Class A common stock for $97 million.</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timing and amount of repurchase transactions will be determined by us from time to time at our discretion based on our evaluation of market conditions, share price, and other factors.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amount of Class A common stock and the Repurchase Program may be suspended or discontinued at any time at our discretion. All shares repurchased will be subsequently retired.</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Omnibus Incentive Plan</w:t>
      </w:r>
    </w:p>
    <w:p>
      <w:pPr>
        <w:spacing w:after="0" w:line="1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2021 Omnibus Incentive Plan (the “2021 Plan”) became effective on July 27, 2021, and provides for the grant of share-based awards (such as options, including incentive stock options, non statutory stock options, stock appreciation rights, restricted stock awards, restricted stock units (“RSUs”), performance units, and other equity-based awards) and cash-based awards.</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September 30, 2024, an aggregate of 448 million shares had been authorized for issuance under our Amended and Restated 2013 Stock Plan, as amended, 2020 Equity Incentive Plan, as amended, and 2021 Plan, of which 146 million shares had been issued under the plans, 45 million shares were reserved for issuance upon the exercise or settlement of outstanding equity awards under the plans, and 257 million shares remained available for new grants under the 2021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grant RSUs that vest upon the satisfaction of a time-based service condition (“Time-Based RSUs”). The following table summarizes the activity related to our Time-Based RSUs for the nine months ended September 30, 2024, which is the period we grant our company-wide annual refresh grants: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79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5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34,551,998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16,910,355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(20,646,236)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(6,203,621)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24,612,496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2019 and 2021, we granted to our founders RSUs under which vesting is conditioned upon both the achievement of share price targets and the continued employment by each recipient over defined service periods (“Market-Based RSUs”).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February 2023, we cancelled the 2021 Market-Based RSUs of 35.5 million unvested shares (the “2021 Founders Award Cancellation”). We recognized $485 million SBC expense related to the cancellation during the nine months ended September 30, 2023, which was included in the general and administrative expense on our unaudited condensed statement of operations. No further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associated with these awards was recognized after the cancellation. No other payments, replacement equity awards or benefits were granted in connection with the cancellation.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Market-Based RSUs for the nine months ended September 30,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Eligible to Vest</w:t>
            </w:r>
            <w:r>
              <w:rPr>
                <w:rFonts w:ascii="Arial" w:cs="Arial" w:eastAsia="Arial" w:hAnsi="Arial"/>
                <w:sz w:val="18"/>
                <w:szCs w:val="18"/>
                <w:b w:val="1"/>
                <w:bCs w:val="1"/>
                <w:color w:val="auto"/>
                <w:vertAlign w:val="superscript"/>
              </w:rPr>
              <w:t>(1)</w:t>
            </w:r>
          </w:p>
        </w:tc>
        <w:tc>
          <w:tcPr>
            <w:tcW w:w="1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Eligible to Vest</w:t>
            </w:r>
            <w:r>
              <w:rPr>
                <w:rFonts w:ascii="Arial" w:cs="Arial" w:eastAsia="Arial" w:hAnsi="Arial"/>
                <w:sz w:val="18"/>
                <w:szCs w:val="18"/>
                <w:b w:val="1"/>
                <w:bCs w:val="1"/>
                <w:color w:val="auto"/>
                <w:vertAlign w:val="superscript"/>
              </w:rPr>
              <w:t>(2)</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 RSUs</w:t>
            </w:r>
          </w:p>
        </w:tc>
        <w:tc>
          <w:tcPr>
            <w:tcW w:w="140" w:type="dxa"/>
            <w:vAlign w:val="bottom"/>
          </w:tcPr>
          <w:p>
            <w:pPr>
              <w:spacing w:after="0"/>
              <w:rPr>
                <w:sz w:val="14"/>
                <w:szCs w:val="14"/>
                <w:color w:val="auto"/>
              </w:rPr>
            </w:pP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5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345,796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22,130,926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22,476,722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(11,065,463)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(11,180,727)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11,065,463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11,065,463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RSUs that became eligible to vest upon achievement of share price targets and vest upon satisfaction of time-based service requirements.</w:t>
      </w:r>
    </w:p>
    <w:p>
      <w:pPr>
        <w:spacing w:after="0" w:line="27"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RSUs that have not yet become eligible to vest because share price targets have not yet been achieved.</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11 million forfeited shares reflects the impact of the resignation of our co-founder and former Chief Creative Officer during the first quarter of 2024.</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SBC on our unaudited condensed consolidated statements of operations for the periods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6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2024</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4700" w:type="dxa"/>
            <w:vAlign w:val="bottom"/>
          </w:tcPr>
          <w:p>
            <w:pPr>
              <w:ind w:left="24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jc w:val="both"/>
        <w:ind w:left="340" w:hanging="332"/>
        <w:spacing w:after="0" w:line="262"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2023, SBC expense primarily consisted of $70 million and $218 million related to Time-Based RSUs and $10 million and $563 million related to Market-Based RSUs. For the three and nine months ended September 30, 2024, SBC expense primarily consisted of $76 million and $225 million related to Time-Based RSUs and an immaterial amount and negative $8 million related to Market-Based RSUs, as a portion of the Market-Based RSUs became fully vested in prior periods and was net of an $11 million reversal of previously recognized expense related to unvested awards that were forfeited upon the resignation of our co-founder and former Chief Creative Officer during the first quarter of 2024.</w:t>
      </w:r>
    </w:p>
    <w:p>
      <w:pPr>
        <w:spacing w:after="0" w:line="13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capitalized SBC expense related to internally developed software of $ 7 million and $18 million during the three and nine months ended September 30, 2024 compared to $5 million and $12 million for the same periods in the prior year.</w:t>
      </w:r>
    </w:p>
    <w:p>
      <w:pPr>
        <w:spacing w:after="0" w:line="112"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As of September 30, 2024, there was $310 million of unrecognized SBC expense that is expected to be recognized over a weighted-average period of 0.89 years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12: NET INCOME (LOSS) PER SHARE</w:t>
      </w:r>
    </w:p>
    <w:p>
      <w:pPr>
        <w:spacing w:after="0" w:line="202"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The following table presents the calculation of basic and diluted income (loss) per share:</w:t>
      </w:r>
    </w:p>
    <w:p>
      <w:pPr>
        <w:sectPr>
          <w:pgSz w:w="11900" w:h="16838" w:orient="portrait"/>
          <w:cols w:equalWidth="0" w:num="1">
            <w:col w:w="11200"/>
          </w:cols>
          <w:pgMar w:left="320" w:top="121" w:right="379" w:bottom="1440" w:gutter="0" w:footer="0" w:header="0"/>
        </w:sectPr>
      </w:pPr>
    </w:p>
    <w:p>
      <w:pPr>
        <w:spacing w:after="0" w:line="102" w:lineRule="exact"/>
        <w:rPr>
          <w:sz w:val="20"/>
          <w:szCs w:val="20"/>
          <w:color w:val="auto"/>
        </w:rPr>
      </w:pPr>
    </w:p>
    <w:p>
      <w:pPr>
        <w:ind w:left="360" w:right="40"/>
        <w:spacing w:after="0" w:line="302" w:lineRule="auto"/>
        <w:rPr>
          <w:sz w:val="20"/>
          <w:szCs w:val="20"/>
          <w:color w:val="auto"/>
        </w:rPr>
      </w:pPr>
      <w:r>
        <w:rPr>
          <w:rFonts w:ascii="Arial" w:cs="Arial" w:eastAsia="Arial" w:hAnsi="Arial"/>
          <w:sz w:val="14"/>
          <w:szCs w:val="14"/>
          <w:i w:val="1"/>
          <w:iCs w:val="1"/>
          <w:color w:val="auto"/>
        </w:rPr>
        <w:t>(in millions, except share and per share data)</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Basic earnings per share (“EPS”):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Borders>
              <w:bottom w:val="single" w:sz="8" w:color="auto"/>
            </w:tcBorders>
          </w:tcPr>
          <w:p>
            <w:pPr>
              <w:spacing w:after="0"/>
              <w:rPr>
                <w:sz w:val="17"/>
                <w:szCs w:val="17"/>
                <w:color w:val="auto"/>
              </w:rPr>
            </w:pPr>
          </w:p>
        </w:tc>
      </w:tr>
      <w:tr>
        <w:trPr>
          <w:trHeight w:val="196"/>
        </w:trPr>
        <w:tc>
          <w:tcPr>
            <w:tcW w:w="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spacing w:after="0"/>
              <w:rPr>
                <w:sz w:val="17"/>
                <w:szCs w:val="17"/>
                <w:color w:val="auto"/>
              </w:rPr>
            </w:pPr>
          </w:p>
        </w:tc>
      </w:tr>
      <w:tr>
        <w:trPr>
          <w:trHeight w:val="208"/>
        </w:trPr>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Class A</w:t>
            </w: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Class B</w:t>
            </w: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Class A</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B</w:t>
            </w: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Class A</w:t>
            </w:r>
          </w:p>
        </w:tc>
        <w:tc>
          <w:tcPr>
            <w:tcW w:w="128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B</w:t>
            </w: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Class A</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Class 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-143510</wp:posOffset>
            </wp:positionV>
            <wp:extent cx="663511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35115" cy="154305"/>
                    </a:xfrm>
                    <a:prstGeom prst="rect">
                      <a:avLst/>
                    </a:prstGeom>
                    <a:noFill/>
                  </pic:spPr>
                </pic:pic>
              </a:graphicData>
            </a:graphic>
          </wp:anchor>
        </w:drawing>
      </w:r>
    </w:p>
    <w:p>
      <w:pPr>
        <w:spacing w:after="0" w:line="394" w:lineRule="exact"/>
        <w:rPr>
          <w:sz w:val="20"/>
          <w:szCs w:val="20"/>
          <w:color w:val="auto"/>
        </w:rPr>
      </w:pPr>
    </w:p>
    <w:p>
      <w:pPr>
        <w:sectPr>
          <w:pgSz w:w="11900" w:h="16838" w:orient="portrait"/>
          <w:cols w:equalWidth="0" w:num="2">
            <w:col w:w="2500" w:space="80"/>
            <w:col w:w="8620"/>
          </w:cols>
          <w:pgMar w:left="320" w:top="121" w:right="379" w:bottom="1440" w:gutter="0" w:footer="0" w:header="0"/>
          <w:type w:val="continuous"/>
        </w:sectPr>
      </w:pP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2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5"/>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common stockholders</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Denominator</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shares outstanding - basic</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767,981,843</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127,126,947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761,931,947</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122,176,598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771,585,189</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127,414,275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756,319,103</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123,863,470</w:t>
            </w:r>
          </w:p>
        </w:tc>
        <w:tc>
          <w:tcPr>
            <w:tcW w:w="0" w:type="dxa"/>
            <w:vAlign w:val="bottom"/>
          </w:tcPr>
          <w:p>
            <w:pPr>
              <w:spacing w:after="0"/>
              <w:rPr>
                <w:sz w:val="1"/>
                <w:szCs w:val="1"/>
                <w:color w:val="auto"/>
              </w:rPr>
            </w:pPr>
          </w:p>
        </w:tc>
      </w:tr>
      <w:tr>
        <w:trPr>
          <w:trHeight w:val="200"/>
        </w:trPr>
        <w:tc>
          <w:tcPr>
            <w:tcW w:w="2240" w:type="dxa"/>
            <w:vAlign w:val="bottom"/>
          </w:tcPr>
          <w:p>
            <w:pPr>
              <w:ind w:left="20"/>
              <w:spacing w:after="0"/>
              <w:rPr>
                <w:sz w:val="20"/>
                <w:szCs w:val="20"/>
                <w:color w:val="auto"/>
              </w:rPr>
            </w:pPr>
            <w:r>
              <w:rPr>
                <w:rFonts w:ascii="Arial" w:cs="Arial" w:eastAsia="Arial" w:hAnsi="Arial"/>
                <w:sz w:val="14"/>
                <w:szCs w:val="14"/>
                <w:color w:val="auto"/>
              </w:rPr>
              <w:t>Basic EPS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00"/>
          </w:cols>
          <w:pgMar w:left="320" w:top="121" w:right="37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Diluted EPS: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Numerator</w:t>
      </w:r>
    </w:p>
    <w:p>
      <w:pPr>
        <w:spacing w:after="0" w:line="69" w:lineRule="exact"/>
        <w:rPr>
          <w:sz w:val="20"/>
          <w:szCs w:val="20"/>
          <w:color w:val="auto"/>
        </w:rPr>
      </w:pPr>
    </w:p>
    <w:p>
      <w:pPr>
        <w:ind w:left="520"/>
        <w:spacing w:after="0"/>
        <w:tabs>
          <w:tab w:leader="none" w:pos="2580" w:val="left"/>
        </w:tabs>
        <w:rPr>
          <w:sz w:val="20"/>
          <w:szCs w:val="20"/>
          <w:color w:val="auto"/>
        </w:rPr>
      </w:pPr>
      <w:r>
        <w:rPr>
          <w:rFonts w:ascii="Arial" w:cs="Arial" w:eastAsia="Arial" w:hAnsi="Arial"/>
          <w:sz w:val="14"/>
          <w:szCs w:val="14"/>
          <w:color w:val="auto"/>
        </w:rPr>
        <w:t>Net income (loss)</w:t>
      </w:r>
      <w:r>
        <w:rPr>
          <w:sz w:val="20"/>
          <w:szCs w:val="20"/>
          <w:color w:val="auto"/>
        </w:rPr>
        <w:tab/>
      </w:r>
      <w:r>
        <w:rPr>
          <w:rFonts w:ascii="Arial" w:cs="Arial" w:eastAsia="Arial" w:hAnsi="Arial"/>
          <w:sz w:val="14"/>
          <w:szCs w:val="14"/>
          <w:color w:val="auto"/>
        </w:rPr>
        <w:t>$</w:t>
      </w:r>
    </w:p>
    <w:p>
      <w:pPr>
        <w:spacing w:after="0" w:line="69" w:lineRule="exact"/>
        <w:rPr>
          <w:sz w:val="20"/>
          <w:szCs w:val="20"/>
          <w:color w:val="auto"/>
        </w:rPr>
      </w:pPr>
    </w:p>
    <w:p>
      <w:pPr>
        <w:ind w:left="760" w:right="140" w:hanging="242"/>
        <w:spacing w:after="0" w:line="273" w:lineRule="auto"/>
        <w:rPr>
          <w:sz w:val="20"/>
          <w:szCs w:val="20"/>
          <w:color w:val="auto"/>
        </w:rPr>
      </w:pPr>
      <w:r>
        <w:rPr>
          <w:rFonts w:ascii="Arial" w:cs="Arial" w:eastAsia="Arial" w:hAnsi="Arial"/>
          <w:sz w:val="14"/>
          <w:szCs w:val="14"/>
          <w:color w:val="auto"/>
        </w:rPr>
        <w:t>Reallocation of net income as a result of conversion of Class B to Class A common stock</w:t>
      </w:r>
    </w:p>
    <w:p>
      <w:pPr>
        <w:spacing w:after="0" w:line="193" w:lineRule="exact"/>
        <w:rPr>
          <w:sz w:val="20"/>
          <w:szCs w:val="20"/>
          <w:color w:val="auto"/>
        </w:rPr>
      </w:pPr>
    </w:p>
    <w:p>
      <w:pPr>
        <w:ind w:left="760" w:right="320" w:hanging="242"/>
        <w:spacing w:after="0" w:line="301" w:lineRule="auto"/>
        <w:rPr>
          <w:sz w:val="20"/>
          <w:szCs w:val="20"/>
          <w:color w:val="auto"/>
        </w:rPr>
      </w:pPr>
      <w:r>
        <w:rPr>
          <w:rFonts w:ascii="Arial" w:cs="Arial" w:eastAsia="Arial" w:hAnsi="Arial"/>
          <w:sz w:val="14"/>
          <w:szCs w:val="14"/>
          <w:color w:val="auto"/>
        </w:rPr>
        <w:t>Reallocation of net income to Class B common stock</w:t>
      </w:r>
    </w:p>
    <w:p>
      <w:pPr>
        <w:spacing w:after="0" w:line="1" w:lineRule="exact"/>
        <w:rPr>
          <w:sz w:val="20"/>
          <w:szCs w:val="20"/>
          <w:color w:val="auto"/>
        </w:rPr>
      </w:pPr>
    </w:p>
    <w:p>
      <w:pPr>
        <w:ind w:left="360"/>
        <w:spacing w:after="0" w:line="328" w:lineRule="auto"/>
        <w:rPr>
          <w:sz w:val="20"/>
          <w:szCs w:val="20"/>
          <w:color w:val="auto"/>
        </w:rPr>
      </w:pPr>
      <w:r>
        <w:rPr>
          <w:rFonts w:ascii="Arial" w:cs="Arial" w:eastAsia="Arial" w:hAnsi="Arial"/>
          <w:sz w:val="14"/>
          <w:szCs w:val="14"/>
          <w:color w:val="auto"/>
        </w:rPr>
        <w:t>Net income (loss) for diluted EPS $ Denominator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jc w:val="center"/>
              <w:spacing w:after="0"/>
              <w:rPr>
                <w:sz w:val="20"/>
                <w:szCs w:val="20"/>
                <w:color w:val="auto"/>
              </w:rPr>
            </w:pPr>
            <w:r>
              <w:rPr>
                <w:rFonts w:ascii="Arial" w:cs="Arial" w:eastAsia="Arial" w:hAnsi="Arial"/>
                <w:sz w:val="14"/>
                <w:szCs w:val="14"/>
                <w:color w:val="auto"/>
              </w:rPr>
              <w:t>(73)</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Pr>
          <w:p>
            <w:pPr>
              <w:jc w:val="center"/>
              <w:ind w:left="128"/>
              <w:spacing w:after="0"/>
              <w:rPr>
                <w:sz w:val="20"/>
                <w:szCs w:val="20"/>
                <w:color w:val="auto"/>
              </w:rPr>
            </w:pPr>
            <w:r>
              <w:rPr>
                <w:rFonts w:ascii="Arial" w:cs="Arial" w:eastAsia="Arial" w:hAnsi="Arial"/>
                <w:sz w:val="14"/>
                <w:szCs w:val="14"/>
                <w:color w:val="auto"/>
              </w:rPr>
              <w:t>(12)</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129</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(490)</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425</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768"/>
        </w:trPr>
        <w:tc>
          <w:tcPr>
            <w:tcW w:w="280" w:type="dxa"/>
            <w:vAlign w:val="bottom"/>
          </w:tcPr>
          <w:p>
            <w:pPr>
              <w:jc w:val="center"/>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660" w:type="dxa"/>
            <w:vAlign w:val="bottom"/>
          </w:tcPr>
          <w:p>
            <w:pPr>
              <w:jc w:val="center"/>
              <w:ind w:left="16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w:t>
            </w: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w:t>
            </w: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7"/>
        </w:trPr>
        <w:tc>
          <w:tcPr>
            <w:tcW w:w="280" w:type="dxa"/>
            <w:vAlign w:val="bottom"/>
          </w:tcPr>
          <w:p>
            <w:pPr>
              <w:jc w:val="center"/>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660" w:type="dxa"/>
            <w:vAlign w:val="bottom"/>
          </w:tcPr>
          <w:p>
            <w:pPr>
              <w:jc w:val="center"/>
              <w:ind w:left="16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 $</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0"/>
        </w:trPr>
        <w:tc>
          <w:tcPr>
            <w:tcW w:w="280" w:type="dxa"/>
            <w:vAlign w:val="bottom"/>
          </w:tcPr>
          <w:p>
            <w:pPr>
              <w:jc w:val="center"/>
              <w:spacing w:after="0"/>
              <w:rPr>
                <w:sz w:val="20"/>
                <w:szCs w:val="20"/>
                <w:color w:val="auto"/>
              </w:rPr>
            </w:pPr>
            <w:r>
              <w:rPr>
                <w:rFonts w:ascii="Arial" w:cs="Arial" w:eastAsia="Arial" w:hAnsi="Arial"/>
                <w:sz w:val="14"/>
                <w:szCs w:val="14"/>
                <w:color w:val="auto"/>
              </w:rPr>
              <w:t>(73)</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Pr>
          <w:p>
            <w:pPr>
              <w:jc w:val="center"/>
              <w:ind w:left="128"/>
              <w:spacing w:after="0"/>
              <w:rPr>
                <w:sz w:val="20"/>
                <w:szCs w:val="20"/>
                <w:color w:val="auto"/>
              </w:rPr>
            </w:pPr>
            <w:r>
              <w:rPr>
                <w:rFonts w:ascii="Arial" w:cs="Arial" w:eastAsia="Arial" w:hAnsi="Arial"/>
                <w:sz w:val="14"/>
                <w:szCs w:val="14"/>
                <w:color w:val="auto"/>
              </w:rPr>
              <w:t>(12)</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4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4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-1173480</wp:posOffset>
            </wp:positionV>
            <wp:extent cx="663511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35115" cy="14541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-882650</wp:posOffset>
            </wp:positionV>
            <wp:extent cx="6635115"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35115" cy="47180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-153670</wp:posOffset>
            </wp:positionV>
            <wp:extent cx="663511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35115" cy="15430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2680" w:space="600"/>
            <w:col w:w="7920"/>
          </w:cols>
          <w:pgMar w:left="320" w:top="121" w:right="379" w:bottom="1440" w:gutter="0" w:footer="0" w:header="0"/>
          <w:type w:val="continuous"/>
        </w:sectPr>
      </w:pPr>
    </w:p>
    <w:tbl>
      <w:tblPr>
        <w:tblLayout w:type="fixed"/>
        <w:tblInd w:w="340" w:type="dxa"/>
        <w:tblCellMar>
          <w:top w:w="0" w:type="dxa"/>
          <w:left w:w="0" w:type="dxa"/>
          <w:bottom w:w="0" w:type="dxa"/>
          <w:right w:w="0" w:type="dxa"/>
        </w:tblCellMar>
      </w:tblPr>
      <w:tr>
        <w:trPr>
          <w:trHeight w:val="193"/>
        </w:trPr>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2"/>
        </w:trPr>
        <w:tc>
          <w:tcPr>
            <w:tcW w:w="22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shares outstanding - basic</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767,981,843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127,126,947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761,931,947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122,176,598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771,585,189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127,414,275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756,319,103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123,863,470</w:t>
            </w:r>
          </w:p>
        </w:tc>
      </w:tr>
      <w:tr>
        <w:trPr>
          <w:trHeight w:val="193"/>
        </w:trPr>
        <w:tc>
          <w:tcPr>
            <w:tcW w:w="2240" w:type="dxa"/>
            <w:vAlign w:val="bottom"/>
          </w:tcPr>
          <w:p>
            <w:pPr>
              <w:ind w:left="180"/>
              <w:spacing w:after="0"/>
              <w:rPr>
                <w:sz w:val="20"/>
                <w:szCs w:val="20"/>
                <w:color w:val="auto"/>
              </w:rPr>
            </w:pPr>
            <w:r>
              <w:rPr>
                <w:rFonts w:ascii="Arial" w:cs="Arial" w:eastAsia="Arial" w:hAnsi="Arial"/>
                <w:sz w:val="14"/>
                <w:szCs w:val="14"/>
                <w:color w:val="auto"/>
              </w:rPr>
              <w:t>Dilutive effect of stock options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8"/>
        </w:trPr>
        <w:tc>
          <w:tcPr>
            <w:tcW w:w="2240" w:type="dxa"/>
            <w:vAlign w:val="bottom"/>
          </w:tcPr>
          <w:p>
            <w:pPr>
              <w:ind w:left="420"/>
              <w:spacing w:after="0"/>
              <w:rPr>
                <w:sz w:val="20"/>
                <w:szCs w:val="20"/>
                <w:color w:val="auto"/>
              </w:rPr>
            </w:pPr>
            <w:r>
              <w:rPr>
                <w:rFonts w:ascii="Arial" w:cs="Arial" w:eastAsia="Arial" w:hAnsi="Arial"/>
                <w:sz w:val="14"/>
                <w:szCs w:val="14"/>
                <w:color w:val="auto"/>
              </w:rPr>
              <w:t>and unvested shares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21,436,205</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23,373,019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Class B to Class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122,176,598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123,863,470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2240" w:type="dxa"/>
            <w:vAlign w:val="bottom"/>
          </w:tcPr>
          <w:p>
            <w:pPr>
              <w:ind w:left="180"/>
              <w:spacing w:after="0"/>
              <w:rPr>
                <w:sz w:val="20"/>
                <w:szCs w:val="20"/>
                <w:color w:val="auto"/>
              </w:rPr>
            </w:pPr>
            <w:r>
              <w:rPr>
                <w:rFonts w:ascii="Arial" w:cs="Arial" w:eastAsia="Arial" w:hAnsi="Arial"/>
                <w:sz w:val="14"/>
                <w:szCs w:val="14"/>
                <w:color w:val="auto"/>
              </w:rPr>
              <w:t>Weighted-average common</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08"/>
        </w:trPr>
        <w:tc>
          <w:tcPr>
            <w:tcW w:w="224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shares outstanding - diluted</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767,981,843</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127,126,947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905,544,750</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122,176,598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771,585,189</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127,414,275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903,555,592</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123,863,470</w:t>
            </w:r>
          </w:p>
        </w:tc>
      </w:tr>
      <w:tr>
        <w:trPr>
          <w:trHeight w:val="22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500" w:right="200" w:firstLine="324"/>
        <w:spacing w:after="0" w:line="268" w:lineRule="auto"/>
        <w:rPr>
          <w:sz w:val="20"/>
          <w:szCs w:val="20"/>
          <w:color w:val="auto"/>
        </w:rPr>
      </w:pPr>
      <w:r>
        <w:rPr>
          <w:rFonts w:ascii="Arial" w:cs="Arial" w:eastAsia="Arial" w:hAnsi="Arial"/>
          <w:sz w:val="18"/>
          <w:szCs w:val="18"/>
          <w:color w:val="auto"/>
        </w:rPr>
        <w:t>The following potential common shares were excluded from the calculation of diluted net income (loss) per share because their effect would have been anti-dilutive or issuance of such shares is contingent upon the satisfaction of certain conditions that were not satisfied by the end of the period:</w:t>
      </w:r>
    </w:p>
    <w:p>
      <w:pPr>
        <w:spacing w:after="0" w:line="16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272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320" w:type="dxa"/>
            <w:vAlign w:val="bottom"/>
          </w:tcPr>
          <w:p>
            <w:pPr>
              <w:spacing w:after="0"/>
              <w:rPr>
                <w:sz w:val="16"/>
                <w:szCs w:val="16"/>
                <w:color w:val="auto"/>
              </w:rPr>
            </w:pPr>
          </w:p>
        </w:tc>
        <w:tc>
          <w:tcPr>
            <w:tcW w:w="2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2720" w:type="dxa"/>
            <w:vAlign w:val="bottom"/>
            <w:gridSpan w:val="3"/>
          </w:tcPr>
          <w:p>
            <w:pPr>
              <w:jc w:val="right"/>
              <w:ind w:right="793"/>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5320" w:type="dxa"/>
            <w:vAlign w:val="bottom"/>
            <w:tcBorders>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RSUs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45,066,880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746,083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45,066,880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774,579</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Market-Based RSUs</w:t>
            </w:r>
          </w:p>
        </w:tc>
        <w:tc>
          <w:tcPr>
            <w:tcW w:w="1320" w:type="dxa"/>
            <w:vAlign w:val="bottom"/>
          </w:tcPr>
          <w:p>
            <w:pPr>
              <w:jc w:val="right"/>
              <w:spacing w:after="0"/>
              <w:rPr>
                <w:sz w:val="20"/>
                <w:szCs w:val="20"/>
                <w:color w:val="auto"/>
              </w:rPr>
            </w:pPr>
            <w:r>
              <w:rPr>
                <w:rFonts w:ascii="Arial" w:cs="Arial" w:eastAsia="Arial" w:hAnsi="Arial"/>
                <w:sz w:val="18"/>
                <w:szCs w:val="18"/>
                <w:color w:val="auto"/>
              </w:rPr>
              <w:t>22,591,988</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11,065,463</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22,591,988</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11,065,463</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13,668,390</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13,668,390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Warrants</w:t>
            </w:r>
          </w:p>
        </w:tc>
        <w:tc>
          <w:tcPr>
            <w:tcW w:w="1320" w:type="dxa"/>
            <w:vAlign w:val="bottom"/>
          </w:tcPr>
          <w:p>
            <w:pPr>
              <w:jc w:val="right"/>
              <w:spacing w:after="0"/>
              <w:rPr>
                <w:sz w:val="20"/>
                <w:szCs w:val="20"/>
                <w:color w:val="auto"/>
              </w:rPr>
            </w:pPr>
            <w:r>
              <w:rPr>
                <w:rFonts w:ascii="Arial" w:cs="Arial" w:eastAsia="Arial" w:hAnsi="Arial"/>
                <w:sz w:val="18"/>
                <w:szCs w:val="18"/>
                <w:color w:val="auto"/>
              </w:rPr>
              <w:t>14,278,034</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14,278,034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14,278,034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14,278,034</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 ("ESPP")</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838,958</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838,958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96,444,250</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26,089,580</w:t>
            </w:r>
          </w:p>
        </w:tc>
        <w:tc>
          <w:tcPr>
            <w:tcW w:w="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96,444,250</w:t>
            </w:r>
          </w:p>
        </w:tc>
        <w:tc>
          <w:tcPr>
            <w:tcW w:w="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26,118,076</w:t>
            </w:r>
          </w:p>
        </w:tc>
      </w:tr>
      <w:tr>
        <w:trPr>
          <w:trHeight w:val="21"/>
        </w:trPr>
        <w:tc>
          <w:tcPr>
            <w:tcW w:w="5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13: LEASES</w:t>
      </w:r>
    </w:p>
    <w:p>
      <w:pPr>
        <w:spacing w:after="0" w:line="20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operating leases are comprised of office facilities, and we do not have any finance leases. Lease assets and liabilities recognized on our unaudited condensed consolidated balance sheets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7"/>
                <w:szCs w:val="17"/>
                <w:color w:val="auto"/>
              </w:rPr>
            </w:pPr>
          </w:p>
        </w:tc>
        <w:tc>
          <w:tcPr>
            <w:tcW w:w="138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4"/>
        </w:trPr>
        <w:tc>
          <w:tcPr>
            <w:tcW w:w="4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7"/>
                <w:szCs w:val="17"/>
                <w:color w:val="auto"/>
              </w:rPr>
            </w:pPr>
          </w:p>
        </w:tc>
        <w:tc>
          <w:tcPr>
            <w:tcW w:w="136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right-of-use assets:</w:t>
            </w:r>
          </w:p>
        </w:tc>
        <w:tc>
          <w:tcPr>
            <w:tcW w:w="20" w:type="dxa"/>
            <w:vAlign w:val="bottom"/>
            <w:tcBorders>
              <w:top w:val="single" w:sz="8" w:color="auto"/>
            </w:tcBorders>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Operating lease assets</w:t>
            </w:r>
          </w:p>
        </w:tc>
        <w:tc>
          <w:tcPr>
            <w:tcW w:w="32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Lease liabilities:</w:t>
            </w: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operating lease liabilities</w:t>
            </w: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3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3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8"/>
                <w:szCs w:val="18"/>
                <w:color w:val="auto"/>
              </w:rPr>
              <w:t>Cash flows related to leases were as follows:</w:t>
            </w:r>
          </w:p>
        </w:tc>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8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5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3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80" w:type="dxa"/>
            <w:vAlign w:val="bottom"/>
            <w:gridSpan w:val="2"/>
          </w:tcPr>
          <w:p>
            <w:pPr>
              <w:ind w:left="240"/>
              <w:spacing w:after="0"/>
              <w:rPr>
                <w:sz w:val="20"/>
                <w:szCs w:val="20"/>
                <w:color w:val="auto"/>
              </w:rPr>
            </w:pPr>
            <w:r>
              <w:rPr>
                <w:rFonts w:ascii="Arial" w:cs="Arial" w:eastAsia="Arial" w:hAnsi="Arial"/>
                <w:sz w:val="18"/>
                <w:szCs w:val="18"/>
                <w:color w:val="auto"/>
                <w:w w:val="99"/>
              </w:rPr>
              <w:t>Lease liabilities arising from obtaining right-of-use assets</w:t>
            </w: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auto"/>
        </w:rPr>
        <w:t>NOTE 14: COMMITMENTS &amp; CONTINGENCIES</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$190 million as of December 31, 2023 and $175 million as of September 30, 2024. In our opinion, an adequate accrual had been made as of each such date to provide for the probable losses of which we are aware and for which we can reasonably estimate an amount.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Legal and Regulatory Matters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securities industry, and many other industries in which we operate, are highly regulated and many aspects of our business involve substantial risk of liability. In past years, there has been an increase in litigation and regulatory investigations involving the brokerage, cryptocurrency,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 that may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enforcement action. We are also subject to periodic regulatory audits and inspections that have in the past and could in the future lead to enforcement investigations or actions.</w:t>
      </w:r>
    </w:p>
    <w:p>
      <w:pPr>
        <w:spacing w:after="0" w:line="12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w:t>
      </w:r>
    </w:p>
    <w:p>
      <w:pPr>
        <w:spacing w:after="0" w:line="13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With respect to matters discussed below, we believe, based on current knowledge, that any losses (in excess of amounts accrued, if applicable) as of September 30, 2024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Described below are certain pending matters in which there is at least a reasonable possibility that a material loss could be incurred. We intend to continue to defend these matters vigorously.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Civil Litigation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Beginning in December 2020, multiple putative securities fraud class action lawsuits were filed against RHM, RHF, and RHS. Five cases were consolidated in the United States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is opposing.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Regulatory Matters</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state regulatory authorities have conducted investigations regarding RHF’s options trading and related customer communications and displays, options and margin trading approval process, the service outages on our U.S. stock trading platform on March 2-3, 2020 and March 9, 2020 (the “March 2020 Outages”), and customer support prior to June 2020. RHF has reached and paid settlements with 46 states for an aggregate of $9.2 million and may reach settlements with the remaining states as part of a multi-state settlement related to these issues for approximately $1 million. The Financial Industry Regulatory Authority (“FINRA”) previously conducted an investigation and reached a settlement with RHF regarding many of these issues.</w:t>
      </w:r>
    </w:p>
    <w:p>
      <w:pPr>
        <w:spacing w:after="0" w:line="14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New York Attorney General is conducting an investigation into brokerage execution quality, and the Massachusetts Securities Division (“MSD”) is examining RHF’s customer complaint supervision. We are cooperating with these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Enforcement Matters</w:t>
      </w:r>
    </w:p>
    <w:p>
      <w:pPr>
        <w:spacing w:after="0" w:line="19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FINRA Enforcement staff are conducting investigations related to, among other things, RHS’s reporting of fractional share trades, as applicable, to a Trade Reporting Facility, the Over-the-Counter Reporting Facility, the Order Audit Trail System, and the Consolidated Audit Trail; RHS’s reporting of accounts holding significant options positions to the Large Option Position Report system; processing of certain requests for transfers of assets from Robinhood through the Automated Customer Account Transfer System (“ACATS”); responses to Electronic Blue Sheets requests from FINRA; the delays in notification from third parties and process failures within our brokerage systems and operations in connection with the handling of a 1-for-25 reverse stock split transaction of Cosmo Health, Inc, in December 2022 (the “Q4 2022 Processing Error”); RHF’s and RHS’s compliance with FINRA registration requirements for member personnel; marketing involving social media influencers and affiliates; collaring the prices of certain trade orders; RHS’s and RHF’s compliance with best execution obligations; RHS’s compliance with FINRA Rules 6190, 5260, and 6121; RHS’s and RHF’s compliance with regulations governing the delivery of required documents; matters related to RHS’s and RHF’s supervision of technology; origin code reporting; customer complaint supervision and restriction issues; and compliance with FINRA Rule 3210. We are cooperating with these investigations.</w:t>
      </w:r>
    </w:p>
    <w:p>
      <w:pPr>
        <w:spacing w:after="0" w:line="20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RHS has received requests from the SEC Division of Enforcement regarding its compliance with Regulation SHO’s trade reporting and other requirements in connection with securities lending, fractional share trading, the Q4 2022 Processing Error, and responses to Electronic Blue Sheets requests, and previously received similar requests from FINRA examinations staff including with respect to short interest reporting. RHS and RHF have also received requests from the SEC Division of Enforcement and FINRA Enforcement staff related to RHS’s and RHF’s compliance with recordkeeping requirements, including requests regarding off-channel communications. We are cooperating with these investigations.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Crypto Matters</w:t>
      </w:r>
    </w:p>
    <w:p>
      <w:pPr>
        <w:spacing w:after="0" w:line="18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RHC received subpoenas from the California Attorney General’s Office (the “CAGO”) seeking information about, among other things, RHC’s trading platform, business and operations, custody of customer assets, customer disclosures, and coin listings. On August 31, 2024,</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RHC reached a settlement with the CAGO to resolve this matter for which we paid $3.9 million. The settlement related to certain disclosures by RHC and delivery of customers’ cryptocurrency assets under California Corporations Code Sections 29520 and 29505 during the period January 2018 through April 2022.</w:t>
      </w:r>
    </w:p>
    <w:p>
      <w:pPr>
        <w:spacing w:after="0" w:line="20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RHC also has received investigative subpoenas from the SEC regarding, among other topics, RHC’s cryptocurrency listings, custody of cryptocurrencies, and platform operations. RHC is cooperating with this investigation. On May 4, 2024, RHC received a “Wells Notice” (the “May 2024 Wells Notice”) from the Staff of the SEC (the “SEC Staff”) stating that the SEC Staff has advised RHC that it made a “preliminary determination” to recommend that the SEC file an enforcement action against RHC alleging violations of Sections 15(a) and 17A of the Exchange Act. The potential action may involve a civil injunctive action, public administrative proceeding, and/or a cease-and-desist proceeding and may seek remedies that include an injunction, a cease-and-desist order, disgorgement, pre-judgment interest, civil money penalties, and censure, revocation, and limitations on activities.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Takeovers, Anti-Money Laundering, and Cybersecurity Matters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FINRA Enforcement and the SEC Division of Enforcement are investigating account takeovers (i.e., circumstances under which an unauthorized actor successfully logs into a customer account), as well as anti-money laundering compliance and cybersecurity issues. The SEC Division of Enforcement is also investigating the data security incident we experienced in November 2021 when an unauthorized third-party socially engineered a customer support employee by phone and obtained access to certain customer support systems (the “November 2021 Data Security Incident”). In March 2024, FINRA closed its investigation of the November 2021 Data Security Incident. The SEC’s Division of Enforcement and the U.S. Federal Deposit Insurance Corporation (“FDIC”) are also investigating issues related to compliance with the Electronic Funds Transfer Act. We are cooperating with these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Text Message Litigation</w:t>
      </w:r>
    </w:p>
    <w:p>
      <w:pPr>
        <w:spacing w:after="0" w:line="183" w:lineRule="exact"/>
        <w:rPr>
          <w:sz w:val="20"/>
          <w:szCs w:val="20"/>
          <w:color w:val="auto"/>
        </w:rPr>
      </w:pPr>
    </w:p>
    <w:p>
      <w:pPr>
        <w:jc w:val="both"/>
        <w:ind w:right="20" w:firstLine="648"/>
        <w:spacing w:after="0" w:line="245" w:lineRule="auto"/>
        <w:rPr>
          <w:sz w:val="20"/>
          <w:szCs w:val="20"/>
          <w:color w:val="auto"/>
        </w:rPr>
      </w:pPr>
      <w:r>
        <w:rPr>
          <w:rFonts w:ascii="Arial" w:cs="Arial" w:eastAsia="Arial" w:hAnsi="Arial"/>
          <w:sz w:val="18"/>
          <w:szCs w:val="18"/>
          <w:color w:val="auto"/>
        </w:rPr>
        <w:t>In August 2021, Cooper Moore filed a putative class action against RHF alleging that RHF initiated or assisted in the transmission of commercial electronic text messages to Washington State residents without their consent in violation of Washington state law. The complaint</w:t>
      </w:r>
    </w:p>
    <w:p>
      <w:pPr>
        <w:jc w:val="both"/>
        <w:spacing w:after="0" w:line="226" w:lineRule="auto"/>
        <w:rPr>
          <w:sz w:val="20"/>
          <w:szCs w:val="20"/>
          <w:color w:val="auto"/>
        </w:rPr>
      </w:pPr>
      <w:r>
        <w:rPr>
          <w:rFonts w:ascii="Arial" w:cs="Arial" w:eastAsia="Arial" w:hAnsi="Arial"/>
          <w:sz w:val="18"/>
          <w:szCs w:val="18"/>
          <w:color w:val="auto"/>
        </w:rPr>
        <w:t>seeks unspecified total statutory and treble monetary damages, injunctive relief, and attorneys’ fees and costs. The case is currently pending in the U.S. District Court for the Western District of Washington. RHF filed a motion to dismiss the complaint. In February 2022, Moore and</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Andrew Gillette filed an amended complaint, which RHF again moved to dismiss. In August 2022, the court denied RHF’s motion to dismiss. The parties reached a settlement in principle to resolve this matter and in July 2024, the court granted final approval of the $9 million settlement.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Securities Division Matter</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2020, the MSD filed an administrative complaint against RHF, which stems from an investigation initiated by the MSD in July 2020. The complaint alleged three counts of Massachusetts securities law violations regarding alleged unethical and dishonest conduct or practices, failure to supervise, and failure to act in accordance with the Massachusetts fiduciary duty standard, which became effective on March 6, 2020 and had an effective enforcement date beginning September 1, 2020. Among other things, the MSD alleged that our product features and marketing strategies, outages, and options trading approval process constitute violations of Massachusetts securities laws. MSD subsequently filed an amended complaint that seeks, among other things, injunctive relief (a permanent cease and desist order), censure, restitution, disgorgement, appointment of an independent consultant, an administrative fine, and revocation of RHF’s license to operate in Massachusetts. If RHF were to lose its license to operate in Massachusetts, we would not be able to acquire any new customers in Massachusetts, and we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w:t>
      </w:r>
    </w:p>
    <w:p>
      <w:pPr>
        <w:spacing w:after="0" w:line="1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April 2021, RHF filed a complaint and motion for preliminary injunction and declaratory relief in Massachusetts state court seeking to enjoin the MSD administrative proceeding and challenging the legality of the Massachusetts fiduciary duty standard. In September 2021, the parties filed cross-motions for partial judgment on the pleadings. In March 2022, the court ruled in favor of RHF, declaring that the Massachusetts fiduciary duty regulation was unlawful. In August 2023, the Massachusetts Supreme Judicial Court reversed the decision of the Massachusetts Superior Court. In January 2024, we settled this matter with the MSD related to supervision of certain product features and marketing strategies, the March 2020 Outages, and our options trading approval process, as well as the November 2021 Data Security Incident, under which we paid a $7.5 million fine and engaged an independent consultant to review, among other things, implementation of the FINRA independent’s recommendations, policies and procedures regarding certain application features, and cybersecurity measures. The independent consultant’s review is complete and RHF has implemented all of its recommendations. RHF has dismissed its state court action.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 Matters</w:t>
      </w:r>
    </w:p>
    <w:p>
      <w:pPr>
        <w:spacing w:after="0" w:line="19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number of individual and putative class actions related to the Early 2021 Trading Restrictions were filed against RHM, RHF, and RHS, among others, in various federal and state courts. In April 2021, the Judicial Panel on Multidistrict Litigation entered an order centralizing the federal cases identified in a motion to transfer and coordinate or consolidate the actions filed in connection with the Early 2021 Trading Restrictions in the United States District Court for the Southern District of Florida. The court subsequently divided plaintiffs’ claims against Robinhood into three tranches: federal antitrust claims, federal securities law claims, and state law claims. In July 2021, plaintiffs filed consolidated complaints seeking unspecified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w:t>
      </w:r>
    </w:p>
    <w:p>
      <w:pPr>
        <w:spacing w:after="0" w:line="15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September 2021, plaintiffs filed an amended complaint asserting state law claims of negligence, breach of fiduciary duty, tortious interference with contract and business relationship, civil conspiracy, and breaches of the covenant of good faith and fair dealing and implied duty of care. In January 2022, the court dismissed the state law complaint with prejudice. In August 2023, the United States Court of Appeals for the Eleventh Circuit affirmed the district court’s order.</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November 2021, the court dismissed the federal antitrust complaint without prejudice. In January 2022, plaintiffs filed an amended complaint in connection with the federal antitrust tranche and Robinhood moved to dismiss the amended complaint. In May 2022, the court dismissed the federal antitrust complaint with prejudice. In June 2024, the United States Court of Appeals for the Eleventh Circuit affirmed the district court’s order.</w:t>
      </w:r>
    </w:p>
    <w:p>
      <w:pPr>
        <w:spacing w:after="0" w:line="1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November 2021, plaintiffs for the federal securities tranche filed a complaint alleging violations of Sections 9(a) and 10(b) of the Exchange Act. The complaint seeks unspecified monetary damages, costs and expenses, and other relief. In January 2022, we moved to dismiss the federal securities law complaint. In August 2022, the court granted in part and denied in part Robinhood’s motion to dismiss. In November 2023, the court denied Plaintiffs’ motion for class certification without prejudice. In April 2024, the court denied Plaintiffs’ motion for leave to file a renewed motion for class certification. On May 28, 2024, Robinhood notified the court that it had reached a settlement in principle with the Plaintiffs in their individual capacities. Robinhood subsequently notified the court that one of these Plaintiffs was unwilling to sign the settlement agreement and requested additional time to negotiate with that individual. On August 14, 2024, the court dismissed the lead and named Plaintiffs’ claims. In October 2024, Robinhood notified the court that it was conferring with counsel for the remaining individual securities actions in connection with moving to compel arbitration for the majority of the remaining securities claims and ongoing substantive settlement negotiations.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RHM, RHF, RHS, and our Co-Founder and Chief Executive Officer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("DOJ”), Antitrust Division, the SEC’s Division of Enforcement,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requests from the SEC Division of Enforcement and FINRA related to employee trading in certain securities that were subject to the Early 2021 Trading Restrictions, including GameStop Corp. and AMC Entertainment Holdings, Inc., during the week of January 25, 2021. These matters include requests related to whether any employee trading in these securities may have occurred after the decision to impose the Early 2021 Trading Restrictions and before the public announcement of the Early 2021 Trading Restrictions on January 28, 2021. We are cooperating with these investigations. FINRA Enforcement has also requested information about policies, procedures, and supervision related to employee trading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Litigation</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2021, Philip Golubowski filed a putative class action in the U.S. District Court for the Northern District of California against RHM, the officers and directors who signed Robinhood’s initial public offering (“IPO”) offering documents, and Robinhood’s IPO underwriters. Plaintiff’s claims are based on alleged false or misleading statements in Robinhood’s IPO offering documents allegedly in violation of Sections 11 and 12(a) of the Securities Act of 1933, as amended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9th Circuit and the appeal is currently pending.</w:t>
      </w:r>
    </w:p>
    <w:p>
      <w:pPr>
        <w:spacing w:after="0" w:line="14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November 2021 Data Security Incident. The board of directors has formed a Demand Review Committee that is reviewing the demand.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transparency litigation</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July 2024, RHM, RHY, and RHC were sued in a putative class action captioned </w:t>
      </w:r>
      <w:r>
        <w:rPr>
          <w:rFonts w:ascii="Arial" w:cs="Arial" w:eastAsia="Arial" w:hAnsi="Arial"/>
          <w:sz w:val="18"/>
          <w:szCs w:val="18"/>
          <w:i w:val="1"/>
          <w:iCs w:val="1"/>
          <w:color w:val="auto"/>
        </w:rPr>
        <w:t>John Milito v. Robinhood Markets, Inc. et. al.</w:t>
      </w:r>
      <w:r>
        <w:rPr>
          <w:rFonts w:ascii="Arial" w:cs="Arial" w:eastAsia="Arial" w:hAnsi="Arial"/>
          <w:sz w:val="18"/>
          <w:szCs w:val="18"/>
          <w:color w:val="auto"/>
        </w:rPr>
        <w:t>,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is currently stayed in the Superior Court in King County in Washington pending a certified question to the Washington Supreme Court.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litigation</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October 2024, RHM, RHF, and RHS were sued in a putative class action captioned </w:t>
      </w:r>
      <w:r>
        <w:rPr>
          <w:rFonts w:ascii="Arial" w:cs="Arial" w:eastAsia="Arial" w:hAnsi="Arial"/>
          <w:sz w:val="18"/>
          <w:szCs w:val="18"/>
          <w:i w:val="1"/>
          <w:iCs w:val="1"/>
          <w:color w:val="auto"/>
        </w:rPr>
        <w:t>Dey v. Robinhood Markets, Inc. et. al.,</w:t>
      </w:r>
      <w:r>
        <w:rPr>
          <w:rFonts w:ascii="Arial" w:cs="Arial" w:eastAsia="Arial" w:hAnsi="Arial"/>
          <w:sz w:val="18"/>
          <w:szCs w:val="18"/>
          <w:color w:val="auto"/>
        </w:rPr>
        <w:t xml:space="preserve"> in the U.S. District Court for the Northern District of California. Plaintiff asserts breach of fiduciary duty, gross negligence, negligent misrepresentation and omissions, breach of implied covenant of good faith and dealing, and violation of California’s unfair competition law based on allegations that defendants failed to pay a reasonable rate of interest to non-Robinhood Gold brokerage 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line="302" w:lineRule="auto"/>
        <w:rPr>
          <w:sz w:val="20"/>
          <w:szCs w:val="20"/>
          <w:color w:val="auto"/>
        </w:rPr>
      </w:pPr>
      <w:r>
        <w:rPr>
          <w:rFonts w:ascii="Arial" w:cs="Arial" w:eastAsia="Arial" w:hAnsi="Arial"/>
          <w:sz w:val="35"/>
          <w:szCs w:val="35"/>
          <w:color w:val="auto"/>
        </w:rPr>
        <w:t>ITEM 2. MANAGEMENT’S DISCUSSION AND ANALYSIS OF FINANCIAL CONDITION AND RESULTS OF OPERATIONS</w:t>
      </w:r>
    </w:p>
    <w:p>
      <w:pPr>
        <w:spacing w:after="0" w:line="5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2023 Form 10-K.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Data as of and for the three and nine months ended September 30, 2023 and 2024 has been derived from our unaudited condensed consolidated financial statements appearing at the beginning of this Quarterly Report. Results for any interim period should not be construed as an inference of what our results would be for any full fiscal year or future period.</w:t>
      </w:r>
    </w:p>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refer to our “users” and our “customers” interchangeably throughout this Quarterly Report to refer to individuals who hold accounts on our platforms.</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20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performance metrics to help us evaluate our business, identify trends affecting our business, formulate business plans, and make strategic decisions.</w:t>
      </w:r>
    </w:p>
    <w:p>
      <w:pPr>
        <w:spacing w:after="0" w:line="130" w:lineRule="exact"/>
        <w:rPr>
          <w:sz w:val="20"/>
          <w:szCs w:val="20"/>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Funded Customers: </w:t>
      </w:r>
      <w:r>
        <w:rPr>
          <w:rFonts w:ascii="Arial" w:cs="Arial" w:eastAsia="Arial" w:hAnsi="Arial"/>
          <w:sz w:val="18"/>
          <w:szCs w:val="18"/>
          <w:color w:val="auto"/>
        </w:rPr>
        <w:t>We define a Funded Customer as a unique person who has at least one account with a Robinhood entity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past 45 calendar days (a) had an account balance that was greater than zero (excluding amounts that are deposited into a Funded Customer account by the Company with no action taken by the unique person) or (b) completed a transaction using any such account. Individuals who share a funded joint investing account (which launched in July 2024) are each considered to be a Funded Customer.</w:t>
      </w:r>
    </w:p>
    <w:p>
      <w:pPr>
        <w:spacing w:after="0" w:line="13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Assets Under Custody (“AUC”)</w:t>
      </w:r>
      <w:r>
        <w:rPr>
          <w:rFonts w:ascii="Arial" w:cs="Arial" w:eastAsia="Arial" w:hAnsi="Arial"/>
          <w:sz w:val="18"/>
          <w:szCs w:val="18"/>
          <w:color w:val="auto"/>
        </w:rPr>
        <w:t>: We define AUC as the sum of the fair value of all equities, options, cryptocurrency and cash held</w:t>
      </w:r>
      <w:r>
        <w:rPr>
          <w:rFonts w:ascii="Arial" w:cs="Arial" w:eastAsia="Arial" w:hAnsi="Arial"/>
          <w:sz w:val="18"/>
          <w:szCs w:val="18"/>
          <w:b w:val="1"/>
          <w:bCs w:val="1"/>
          <w:color w:val="auto"/>
        </w:rPr>
        <w:t xml:space="preserve"> </w:t>
      </w:r>
      <w:r>
        <w:rPr>
          <w:rFonts w:ascii="Arial" w:cs="Arial" w:eastAsia="Arial" w:hAnsi="Arial"/>
          <w:sz w:val="18"/>
          <w:szCs w:val="18"/>
          <w:color w:val="auto"/>
        </w:rPr>
        <w:t>by users in their accounts, net of receivables from users, as of a stated date or period end on a trade date basis. Net Deposits and net market gains (losses) drive the change in AUC in any given period.</w:t>
      </w:r>
    </w:p>
    <w:p>
      <w:pPr>
        <w:spacing w:after="0" w:line="14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Net Deposits: </w:t>
      </w:r>
      <w:r>
        <w:rPr>
          <w:rFonts w:ascii="Arial" w:cs="Arial" w:eastAsia="Arial" w:hAnsi="Arial"/>
          <w:sz w:val="18"/>
          <w:szCs w:val="18"/>
          <w:color w:val="auto"/>
        </w:rPr>
        <w:t>We define Net Deposits as all cash deposits and asset transfers from customers, as well as dividends,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assets earned in connection with Company promotions (such as account transfer and retirement match incentives and free stock bonuses) received by customers, net of reversals, customer cash withdrawals, margin interest, Gold subscription fees, and other assets transferred out of our platforms (assets transferred in or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include debit card transactions, Automated Customer Account Transfer Service transfers, and custodial crypto wallet transfers) for a stated period. Prior to the second quarter of 2024, Net Deposits did not include inflows from cash and assets earned in connection with Company promotions and prior to January 2024, Net Deposits did not include inflows from dividends and interest or outflows from Robinhood Gold subscription fees and margin interest, although we have not restated amounts in prior periods as the impact to those figures was immaterial.</w:t>
      </w:r>
    </w:p>
    <w:p>
      <w:pPr>
        <w:spacing w:after="0" w:line="152" w:lineRule="exact"/>
        <w:rPr>
          <w:sz w:val="20"/>
          <w:szCs w:val="20"/>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Average Revenue Per User (“ARPU”)</w:t>
      </w:r>
      <w:r>
        <w:rPr>
          <w:rFonts w:ascii="Arial" w:cs="Arial" w:eastAsia="Arial" w:hAnsi="Arial"/>
          <w:sz w:val="18"/>
          <w:szCs w:val="18"/>
          <w:color w:val="auto"/>
        </w:rPr>
        <w:t>: We define ARPU as total revenue for a given period divided by the average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Funded Customers on the last day of that period and the last day of the immediately preceding period. Figures in this Quarterly Report represent ARPU annualized for each three-month period presented.</w:t>
      </w:r>
    </w:p>
    <w:p>
      <w:pPr>
        <w:spacing w:after="0" w:line="13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Gold Subscribers: </w:t>
      </w:r>
      <w:r>
        <w:rPr>
          <w:rFonts w:ascii="Arial" w:cs="Arial" w:eastAsia="Arial" w:hAnsi="Arial"/>
          <w:sz w:val="18"/>
          <w:szCs w:val="18"/>
          <w:color w:val="auto"/>
        </w:rPr>
        <w:t>We define a Gold Subscriber as a unique person who has at least one account with a Robinhood entity and who,</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end of the relevant period (a) is subscribed to Robinhood Gold and (b) has made at least one Robinhood Gold subscription fee payment.</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color w:val="auto"/>
        </w:rPr>
        <w:t>Glossary Terms</w:t>
      </w:r>
    </w:p>
    <w:p>
      <w:pPr>
        <w:spacing w:after="0" w:line="202" w:lineRule="exact"/>
        <w:rPr>
          <w:sz w:val="20"/>
          <w:szCs w:val="20"/>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Automated Customer Account Transfer Service (“ACATS”)</w:t>
      </w:r>
      <w:r>
        <w:rPr>
          <w:rFonts w:ascii="Arial" w:cs="Arial" w:eastAsia="Arial" w:hAnsi="Arial"/>
          <w:sz w:val="18"/>
          <w:szCs w:val="18"/>
          <w:color w:val="auto"/>
        </w:rPr>
        <w:t>: A system that automates and standardizes procedures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assets in a customer account from one brokerage firm and/or bank to another.</w:t>
      </w:r>
    </w:p>
    <w:p>
      <w:pPr>
        <w:spacing w:after="0" w:line="11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Cash Sweep</w:t>
      </w:r>
      <w:r>
        <w:rPr>
          <w:rFonts w:ascii="Arial" w:cs="Arial" w:eastAsia="Arial" w:hAnsi="Arial"/>
          <w:sz w:val="18"/>
          <w:szCs w:val="18"/>
          <w:color w:val="auto"/>
        </w:rPr>
        <w:t>: We define Cash Sweep as the period-end aggregate balances in our brokerage sweep program (i.e., the period-end</w:t>
      </w:r>
      <w:r>
        <w:rPr>
          <w:rFonts w:ascii="Arial" w:cs="Arial" w:eastAsia="Arial" w:hAnsi="Arial"/>
          <w:sz w:val="18"/>
          <w:szCs w:val="18"/>
          <w:b w:val="1"/>
          <w:bCs w:val="1"/>
          <w:color w:val="auto"/>
        </w:rPr>
        <w:t xml:space="preserve"> </w:t>
      </w:r>
      <w:r>
        <w:rPr>
          <w:rFonts w:ascii="Arial" w:cs="Arial" w:eastAsia="Arial" w:hAnsi="Arial"/>
          <w:sz w:val="18"/>
          <w:szCs w:val="18"/>
          <w:color w:val="auto"/>
        </w:rPr>
        <w:t>total amount of participating users’ uninvested brokerage cash that has been automatically “swept” or moved from their brokerage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w:t>
      </w:r>
    </w:p>
    <w:p>
      <w:pPr>
        <w:spacing w:after="0" w:line="152" w:lineRule="exact"/>
        <w:rPr>
          <w:rFonts w:ascii="Arial" w:cs="Arial" w:eastAsia="Arial" w:hAnsi="Arial"/>
          <w:sz w:val="18"/>
          <w:szCs w:val="18"/>
          <w:b w:val="1"/>
          <w:bCs w:val="1"/>
          <w:color w:val="auto"/>
        </w:rPr>
      </w:pPr>
    </w:p>
    <w:p>
      <w:pPr>
        <w:jc w:val="both"/>
        <w:ind w:left="660" w:hanging="328"/>
        <w:spacing w:after="0" w:line="256" w:lineRule="auto"/>
        <w:tabs>
          <w:tab w:leader="none" w:pos="65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Churned Customers: </w:t>
      </w:r>
      <w:r>
        <w:rPr>
          <w:rFonts w:ascii="Arial" w:cs="Arial" w:eastAsia="Arial" w:hAnsi="Arial"/>
          <w:sz w:val="18"/>
          <w:szCs w:val="18"/>
          <w:color w:val="auto"/>
        </w:rPr>
        <w:t>A Funded Customer is considered “Churned” if it was ever a New Funded Customer whose account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(measured as the fair value of assets in the account less any amount due from the user and excluding amounts that are deposited into a Funded Customer account by the Company with no action taken by the unique person) drops to or below zero and has not completed a transaction using any account with a Robinhood entity for at least 45 consecutive calendar days. Negative balances typically result from fraudulent deposit transactions (which occur when users initiate deposits into their accounts, make trades on our platforms using a short-term extension of credit from us, and then repatriate or reverse the deposits, resulting in a loss to us of the credited amount) and unauthorized debit card use, and less often, from margin loans.</w:t>
      </w:r>
    </w:p>
    <w:p>
      <w:pPr>
        <w:spacing w:after="0" w:line="142" w:lineRule="exact"/>
        <w:rPr>
          <w:rFonts w:ascii="Arial" w:cs="Arial" w:eastAsia="Arial" w:hAnsi="Arial"/>
          <w:sz w:val="18"/>
          <w:szCs w:val="18"/>
          <w:b w:val="1"/>
          <w:bCs w:val="1"/>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Growth Rate and Annualized Growth Rate with respect to Net Deposits: </w:t>
      </w:r>
      <w:r>
        <w:rPr>
          <w:rFonts w:ascii="Arial" w:cs="Arial" w:eastAsia="Arial" w:hAnsi="Arial"/>
          <w:sz w:val="18"/>
          <w:szCs w:val="18"/>
          <w:color w:val="auto"/>
        </w:rPr>
        <w:t>When used with respect to Net Deposits, “growth 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“annualized growth rate” provide information about Net Deposits relative to total AUC. “Growth rate” is calculated as aggregate Net Deposits over a specified 12 month period, divided by AUC for the fiscal quarter that immediately precedes such 12 month period. “Annualized growth rate” is calculated as Net Deposits for a specified quarter multiplied by 4 and divided by AUC for the immediately preceding quarter.</w:t>
      </w:r>
    </w:p>
    <w:p>
      <w:pPr>
        <w:spacing w:after="0" w:line="138" w:lineRule="exact"/>
        <w:rPr>
          <w:rFonts w:ascii="Arial" w:cs="Arial" w:eastAsia="Arial" w:hAnsi="Arial"/>
          <w:sz w:val="18"/>
          <w:szCs w:val="18"/>
          <w:i w:val="1"/>
          <w:iCs w:val="1"/>
          <w:color w:val="auto"/>
        </w:rPr>
      </w:pPr>
    </w:p>
    <w:p>
      <w:pPr>
        <w:jc w:val="both"/>
        <w:ind w:left="660" w:hanging="328"/>
        <w:spacing w:after="0" w:line="262" w:lineRule="auto"/>
        <w:tabs>
          <w:tab w:leader="none" w:pos="65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Accounts: </w:t>
      </w:r>
      <w:r>
        <w:rPr>
          <w:rFonts w:ascii="Arial" w:cs="Arial" w:eastAsia="Arial" w:hAnsi="Arial"/>
          <w:sz w:val="18"/>
          <w:szCs w:val="18"/>
          <w:color w:val="auto"/>
        </w:rPr>
        <w:t>We define an Investment Account as a funded individual brokerage account, a funded joint investing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or a funded individual retirement account (“IRA”). As of September 30, 2024, a Funded Customer can have up to four Investment Accounts - individual brokerage account, joint investing account (which launched in July 2024), traditional IRA, and Roth IRA.</w:t>
      </w:r>
    </w:p>
    <w:p>
      <w:pPr>
        <w:spacing w:after="0" w:line="149" w:lineRule="exact"/>
        <w:rPr>
          <w:rFonts w:ascii="Arial" w:cs="Arial" w:eastAsia="Arial" w:hAnsi="Arial"/>
          <w:sz w:val="18"/>
          <w:szCs w:val="18"/>
          <w:b w:val="1"/>
          <w:bCs w:val="1"/>
          <w:color w:val="auto"/>
        </w:rPr>
      </w:pPr>
    </w:p>
    <w:p>
      <w:pPr>
        <w:ind w:left="660" w:right="20" w:hanging="328"/>
        <w:spacing w:after="0" w:line="287" w:lineRule="auto"/>
        <w:tabs>
          <w:tab w:leader="none" w:pos="65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Margin Book: </w:t>
      </w:r>
      <w:r>
        <w:rPr>
          <w:rFonts w:ascii="Arial" w:cs="Arial" w:eastAsia="Arial" w:hAnsi="Arial"/>
          <w:sz w:val="18"/>
          <w:szCs w:val="18"/>
          <w:color w:val="auto"/>
        </w:rPr>
        <w:t>We define Margin Book as our period-end aggregate outstanding margin loan balances receivable (i.e., the period-end total amount we are owed by customers on loans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purchase of securities, supported by a pledge of assets in their margin-enabled brokerage accounts).</w:t>
      </w:r>
    </w:p>
    <w:p>
      <w:pPr>
        <w:spacing w:after="0" w:line="198" w:lineRule="exact"/>
        <w:rPr>
          <w:sz w:val="20"/>
          <w:szCs w:val="20"/>
          <w:color w:val="auto"/>
        </w:rPr>
      </w:pPr>
    </w:p>
    <w:p>
      <w:pPr>
        <w:ind w:left="660" w:hanging="328"/>
        <w:spacing w:after="0" w:line="287"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Funded Customers: </w:t>
      </w:r>
      <w:r>
        <w:rPr>
          <w:rFonts w:ascii="Arial" w:cs="Arial" w:eastAsia="Arial" w:hAnsi="Arial"/>
          <w:sz w:val="18"/>
          <w:szCs w:val="18"/>
          <w:color w:val="auto"/>
        </w:rPr>
        <w:t>We define a New Funded Customer as a unique person who became a Funded Customer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time during the relevant period.</w:t>
      </w:r>
    </w:p>
    <w:p>
      <w:pPr>
        <w:spacing w:after="0" w:line="112" w:lineRule="exact"/>
        <w:rPr>
          <w:rFonts w:ascii="Arial" w:cs="Arial" w:eastAsia="Arial" w:hAnsi="Arial"/>
          <w:sz w:val="18"/>
          <w:szCs w:val="18"/>
          <w:b w:val="1"/>
          <w:bCs w:val="1"/>
          <w:color w:val="auto"/>
        </w:rPr>
      </w:pPr>
    </w:p>
    <w:p>
      <w:pPr>
        <w:ind w:left="660" w:hanging="328"/>
        <w:spacing w:after="0" w:line="287"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Notional Trading Volume: </w:t>
      </w:r>
      <w:r>
        <w:rPr>
          <w:rFonts w:ascii="Arial" w:cs="Arial" w:eastAsia="Arial" w:hAnsi="Arial"/>
          <w:sz w:val="18"/>
          <w:szCs w:val="18"/>
          <w:color w:val="auto"/>
        </w:rPr>
        <w:t>We define Notional Trading Volume for any specified asset class as the aggregate dollar value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or sale price as applicable) of trades executed in that asset class over a specified period of time.</w:t>
      </w:r>
    </w:p>
    <w:p>
      <w:pPr>
        <w:spacing w:after="0" w:line="112" w:lineRule="exact"/>
        <w:rPr>
          <w:rFonts w:ascii="Arial" w:cs="Arial" w:eastAsia="Arial" w:hAnsi="Arial"/>
          <w:sz w:val="18"/>
          <w:szCs w:val="18"/>
          <w:b w:val="1"/>
          <w:bCs w:val="1"/>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Options Contracts Traded: </w:t>
      </w:r>
      <w:r>
        <w:rPr>
          <w:rFonts w:ascii="Arial" w:cs="Arial" w:eastAsia="Arial" w:hAnsi="Arial"/>
          <w:sz w:val="18"/>
          <w:szCs w:val="18"/>
          <w:color w:val="auto"/>
        </w:rPr>
        <w:t>We define Options Contracts Traded as the total number of options contracts bought or sold over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period of time. Each contract generally entitles the holder to trade 100 shares of the underlying stock.</w:t>
      </w:r>
    </w:p>
    <w:p>
      <w:pPr>
        <w:spacing w:after="0" w:line="1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Resurrected Customers: </w:t>
      </w:r>
      <w:r>
        <w:rPr>
          <w:rFonts w:ascii="Arial" w:cs="Arial" w:eastAsia="Arial" w:hAnsi="Arial"/>
          <w:sz w:val="18"/>
          <w:szCs w:val="18"/>
          <w:color w:val="auto"/>
        </w:rPr>
        <w:t>A Funded Customer is considered “Resurrected” in a stated period if it was a Churned Customer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 immediately preceding period and its balance (excluding amounts that are deposited into a Funded Customer account by the Company with no action taken by the unique person) rises above zero or it completes a transaction using its account.</w:t>
      </w:r>
    </w:p>
    <w:p>
      <w:pPr>
        <w:spacing w:after="0" w:line="369"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20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modern financial services platforms for everyone, regardless of their wealth, income, or background.</w:t>
      </w:r>
    </w:p>
    <w:p>
      <w:pPr>
        <w:spacing w:after="0" w:line="1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We pioneered commission-free stock trading with no account minimums, which has since been adopted by the rest of the industry, and we continue to build relationships with our customers by introducing new products that further expand access to the financial system. Through these efforts, we believe we have made investing culturally relevant and understandable, and that our platforms are enabling our customers to become long-term investors and take greater control of their finances.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Results and Performance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the three months ended September 30, 2024, as compared to the three months ended September 30, 2023:</w:t>
      </w:r>
    </w:p>
    <w:p>
      <w:pPr>
        <w:spacing w:after="0" w:line="185"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total net revenues increased 36% to $637 million compared to $467 million;</w:t>
      </w:r>
    </w:p>
    <w:p>
      <w:pPr>
        <w:spacing w:after="0" w:line="198" w:lineRule="exact"/>
        <w:rPr>
          <w:rFonts w:ascii="Arial" w:cs="Arial" w:eastAsia="Arial" w:hAnsi="Arial"/>
          <w:sz w:val="18"/>
          <w:szCs w:val="18"/>
          <w:b w:val="1"/>
          <w:bCs w:val="1"/>
          <w:i w:val="1"/>
          <w:iCs w:val="1"/>
          <w:color w:val="auto"/>
        </w:rPr>
      </w:pPr>
    </w:p>
    <w:p>
      <w:pPr>
        <w:ind w:left="620" w:hanging="288"/>
        <w:spacing w:after="0"/>
        <w:tabs>
          <w:tab w:leader="none" w:pos="6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net income was $150 million, or diluted EPS of $0.17, compared to a net loss of $85 million, or diluted EPS of -$0.09;</w:t>
      </w:r>
    </w:p>
    <w:p>
      <w:pPr>
        <w:spacing w:after="0" w:line="184"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operating expenses decreased 10% to $486 million compared to $540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SBC expense decreased 5% to $79 million compared to $83 million;</w:t>
      </w:r>
    </w:p>
    <w:p>
      <w:pPr>
        <w:spacing w:after="0" w:line="198"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Adjusted EBITDA (non-GAAP) increased 96% to $268 million compared to $137 million;</w:t>
      </w:r>
    </w:p>
    <w:p>
      <w:pPr>
        <w:spacing w:after="0" w:line="184" w:lineRule="exact"/>
        <w:rPr>
          <w:rFonts w:ascii="Arial" w:cs="Arial" w:eastAsia="Arial" w:hAnsi="Arial"/>
          <w:sz w:val="18"/>
          <w:szCs w:val="18"/>
          <w:i w:val="1"/>
          <w:iCs w:val="1"/>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Funded Customers increased 4% to 24.3 million compared to 23.3 million, and Investment Accounts increased by 1.5 million to 25.1 million;</w:t>
      </w:r>
    </w:p>
    <w:p>
      <w:pPr>
        <w:spacing w:after="0" w:line="112"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AUC increased 76% to $152.2 billion compared to $86.5 billion, driven by continued Net Deposits and higher equity and cryptocurrency valuations;</w:t>
      </w:r>
    </w:p>
    <w:p>
      <w:pPr>
        <w:spacing w:after="0" w:line="125" w:lineRule="exact"/>
        <w:rPr>
          <w:rFonts w:ascii="Arial" w:cs="Arial" w:eastAsia="Arial" w:hAnsi="Arial"/>
          <w:sz w:val="18"/>
          <w:szCs w:val="18"/>
          <w:b w:val="1"/>
          <w:bCs w:val="1"/>
          <w:i w:val="1"/>
          <w:iCs w:val="1"/>
          <w:color w:val="auto"/>
        </w:rPr>
      </w:pPr>
    </w:p>
    <w:p>
      <w:pPr>
        <w:jc w:val="both"/>
        <w:ind w:left="660" w:right="2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Deposits were $10.0 billion, an annualized growth rate of 29% relative to AUC at the end of the second quarter of 2024, compared to $4.0 billion, an annualized growth rate of 18% relative to AUC at the end of the second quarter of 2023. Over the past twelve months, Net Deposits were $39.0 billion, a growth rate of 45% relative to AUC at the end of the third quarter of 2023;</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ARPU increased 31% to $105 compared to $80;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Gold Subscribers increased 65% to 2.19 million compared to 1.33 million;</w:t>
      </w:r>
    </w:p>
    <w:p>
      <w:pPr>
        <w:spacing w:after="0" w:line="19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Adjusted EBITDA is a non-GAAP financial measure. For more information about Adjusted EBITDA, including the definition and limitations of such measure, and a reconciliation of net income (loss) to Adjusted EBITDA, please see “—Non-GAAP Financial Measures” below.</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performance metrics for the relevant periods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4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197"/>
        </w:trPr>
        <w:tc>
          <w:tcPr>
            <w:tcW w:w="664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color w:val="auto"/>
              </w:rPr>
              <w:t>Funded Customers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t>
            </w:r>
            <w:r>
              <w:rPr>
                <w:rFonts w:ascii="Arial" w:cs="Arial" w:eastAsia="Arial" w:hAnsi="Arial"/>
                <w:sz w:val="14"/>
                <w:szCs w:val="14"/>
                <w:i w:val="1"/>
                <w:iCs w:val="1"/>
                <w:color w:val="auto"/>
              </w:rPr>
              <w:t>(in millions)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4"/>
                <w:szCs w:val="14"/>
                <w:color w:val="auto"/>
              </w:rPr>
              <w:t>AUC</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w:t>
            </w:r>
            <w:r>
              <w:rPr>
                <w:rFonts w:ascii="Arial" w:cs="Arial" w:eastAsia="Arial" w:hAnsi="Arial"/>
                <w:sz w:val="14"/>
                <w:szCs w:val="14"/>
                <w:i w:val="1"/>
                <w:iCs w:val="1"/>
                <w:color w:val="auto"/>
              </w:rPr>
              <w:t>(in billions)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86.5</w:t>
            </w:r>
          </w:p>
        </w:tc>
        <w:tc>
          <w:tcPr>
            <w:tcW w:w="80" w:type="dxa"/>
            <w:vAlign w:val="bottom"/>
          </w:tcPr>
          <w:p>
            <w:pPr>
              <w:spacing w:after="0"/>
              <w:rPr>
                <w:sz w:val="17"/>
                <w:szCs w:val="17"/>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76 %</w:t>
            </w:r>
          </w:p>
        </w:tc>
      </w:t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Net Deposits </w:t>
            </w:r>
            <w:r>
              <w:rPr>
                <w:rFonts w:ascii="Arial" w:cs="Arial" w:eastAsia="Arial" w:hAnsi="Arial"/>
                <w:sz w:val="14"/>
                <w:szCs w:val="14"/>
                <w:i w:val="1"/>
                <w:iCs w:val="1"/>
                <w:color w:val="auto"/>
              </w:rPr>
              <w:t>(in billions)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auto"/>
              </w:rPr>
              <w:t xml:space="preserve">ARPU </w:t>
            </w:r>
            <w:r>
              <w:rPr>
                <w:rFonts w:ascii="Arial" w:cs="Arial" w:eastAsia="Arial" w:hAnsi="Arial"/>
                <w:sz w:val="14"/>
                <w:szCs w:val="14"/>
                <w:i w:val="1"/>
                <w:iCs w:val="1"/>
                <w:color w:val="auto"/>
              </w:rPr>
              <w:t>(in dollars)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206"/>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Gold Subscribers </w:t>
            </w:r>
            <w:r>
              <w:rPr>
                <w:rFonts w:ascii="Arial" w:cs="Arial" w:eastAsia="Arial" w:hAnsi="Arial"/>
                <w:sz w:val="14"/>
                <w:szCs w:val="14"/>
                <w:i w:val="1"/>
                <w:iCs w:val="1"/>
                <w:color w:val="auto"/>
              </w:rPr>
              <w:t>(in millions)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The following table describes the annual changes within Funded Customers:</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42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60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Funded Customers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225"/>
        </w:trPr>
        <w:tc>
          <w:tcPr>
            <w:tcW w:w="6020" w:type="dxa"/>
            <w:vAlign w:val="bottom"/>
          </w:tcPr>
          <w:p>
            <w:pPr>
              <w:ind w:left="20"/>
              <w:spacing w:after="0"/>
              <w:rPr>
                <w:sz w:val="20"/>
                <w:szCs w:val="20"/>
                <w:color w:val="auto"/>
              </w:rPr>
            </w:pPr>
            <w:r>
              <w:rPr>
                <w:rFonts w:ascii="Arial" w:cs="Arial" w:eastAsia="Arial" w:hAnsi="Arial"/>
                <w:sz w:val="14"/>
                <w:szCs w:val="14"/>
                <w:color w:val="auto"/>
              </w:rPr>
              <w:t>New Funded Customers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33 %</w:t>
            </w:r>
          </w:p>
        </w:tc>
      </w:tr>
      <w:tr>
        <w:trPr>
          <w:trHeight w:val="234"/>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Resurrected Customers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2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Churned Customers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33 %</w:t>
            </w:r>
          </w:p>
        </w:tc>
      </w:tr>
      <w:tr>
        <w:trPr>
          <w:trHeight w:val="252"/>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Funded Customers</w:t>
            </w: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tab/>
        <w:t>The following table sets out the components of AUC by type of asset:</w:t>
      </w:r>
    </w:p>
    <w:p>
      <w:pPr>
        <w:spacing w:after="0" w:line="55"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6350</wp:posOffset>
            </wp:positionV>
            <wp:extent cx="18256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0"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(in billions)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Equities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Cryptocurrencies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held by Customers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Receivables from Customers (primarily margin balances)</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AUC</w:t>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describes the changes within AUC:</w:t>
      </w: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(in billions)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Beginning AUC</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Deposits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market gains (losses)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Ending AUC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03"/>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106.4</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73 %</w:t>
            </w:r>
          </w:p>
        </w:tc>
      </w:tr>
      <w:tr>
        <w:trPr>
          <w:trHeight w:val="229"/>
        </w:trPr>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19.5</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91 %</w:t>
            </w:r>
          </w:p>
        </w:tc>
      </w:tr>
      <w:tr>
        <w:trPr>
          <w:trHeight w:val="230"/>
        </w:trPr>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200 %</w:t>
            </w:r>
          </w:p>
        </w:tc>
      </w:tr>
      <w:tr>
        <w:trPr>
          <w:trHeight w:val="229"/>
        </w:trPr>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30.6</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70 %</w:t>
            </w:r>
          </w:p>
        </w:tc>
      </w:tr>
      <w:tr>
        <w:trPr>
          <w:trHeight w:val="233"/>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57 %</w:t>
            </w:r>
          </w:p>
        </w:tc>
      </w:tr>
      <w:tr>
        <w:trPr>
          <w:trHeight w:val="200"/>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76 %</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-899795</wp:posOffset>
            </wp:positionV>
            <wp:extent cx="651510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5100" cy="146050"/>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-607695</wp:posOffset>
            </wp:positionV>
            <wp:extent cx="651510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5100" cy="146050"/>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-316230</wp:posOffset>
            </wp:positionV>
            <wp:extent cx="651510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20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right="20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8256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03"/>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139.7</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57 %</w:t>
            </w:r>
          </w:p>
        </w:tc>
      </w:tr>
      <w:tr>
        <w:trPr>
          <w:trHeight w:val="230"/>
        </w:trPr>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33"/>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27"/>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76 %</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-624840</wp:posOffset>
            </wp:positionV>
            <wp:extent cx="651510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15100" cy="14541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-334010</wp:posOffset>
            </wp:positionV>
            <wp:extent cx="651510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51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720"/>
            <w:col w:w="4900"/>
          </w:cols>
          <w:pgMar w:left="320" w:top="122"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(loss), and other results under GAAP, we utilize non-GAAP calculations of adjusted earnings before interest, taxes, depreciation, and amortization (“Adjusted EBITDA”). Adjusted EBITDA is defined as net income (loss), excluding (i) 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presents a reconciliation of net income (loss), which is the most directly comparable GAAP measure, to Adjusted EBITDA: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6"/>
                <w:szCs w:val="16"/>
                <w:color w:val="auto"/>
              </w:rPr>
            </w:pPr>
          </w:p>
        </w:tc>
        <w:tc>
          <w:tcPr>
            <w:tcW w:w="1600" w:type="dxa"/>
            <w:vAlign w:val="bottom"/>
            <w:gridSpan w:val="3"/>
          </w:tcPr>
          <w:p>
            <w:pPr>
              <w:ind w:left="5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r>
      <w:tr>
        <w:trPr>
          <w:trHeight w:val="19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(571)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 related to credit facilities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EBITDA (non-GAAP)</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w w:val="99"/>
              </w:rPr>
              <w:t>(491)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SBC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920" w:type="dxa"/>
            <w:vAlign w:val="bottom"/>
          </w:tcPr>
          <w:p>
            <w:pPr>
              <w:ind w:left="260"/>
              <w:spacing w:after="0"/>
              <w:rPr>
                <w:sz w:val="20"/>
                <w:szCs w:val="20"/>
                <w:color w:val="auto"/>
              </w:rPr>
            </w:pPr>
            <w:r>
              <w:rPr>
                <w:rFonts w:ascii="Arial" w:cs="Arial" w:eastAsia="Arial" w:hAnsi="Arial"/>
                <w:sz w:val="18"/>
                <w:szCs w:val="18"/>
                <w:color w:val="auto"/>
              </w:rPr>
              <w:t>2021 Founders Award Cancellation</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SBC Excluding 2021 Founders Award Cancellation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Significant legal and tax settlements and reserves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(non-GAAP)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unaudited condensed consolidated statements of operations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3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29"/>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30"/>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50"/>
        </w:trPr>
        <w:tc>
          <w:tcPr>
            <w:tcW w:w="5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23"/>
        </w:trPr>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8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9"/>
              </w:rPr>
              <w:t>(562)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9"/>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rPr>
          <w:sz w:val="20"/>
          <w:szCs w:val="20"/>
          <w:color w:val="auto"/>
        </w:rPr>
      </w:pPr>
      <w:r>
        <w:rPr>
          <w:rFonts w:ascii="Arial" w:cs="Arial" w:eastAsia="Arial" w:hAnsi="Arial"/>
          <w:sz w:val="14"/>
          <w:szCs w:val="14"/>
          <w:color w:val="auto"/>
        </w:rPr>
        <w:t>_______________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SBC expense as follows:</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860" w:type="dxa"/>
            <w:vAlign w:val="bottom"/>
          </w:tcPr>
          <w:p>
            <w:pPr>
              <w:spacing w:after="0"/>
              <w:rPr>
                <w:sz w:val="16"/>
                <w:szCs w:val="16"/>
                <w:color w:val="auto"/>
              </w:rPr>
            </w:pPr>
          </w:p>
        </w:tc>
        <w:tc>
          <w:tcPr>
            <w:tcW w:w="19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1900" w:type="dxa"/>
            <w:vAlign w:val="bottom"/>
          </w:tcPr>
          <w:p>
            <w:pPr>
              <w:jc w:val="center"/>
              <w:ind w:right="768"/>
              <w:spacing w:after="0"/>
              <w:rPr>
                <w:sz w:val="20"/>
                <w:szCs w:val="20"/>
                <w:color w:val="auto"/>
              </w:rPr>
            </w:pPr>
            <w:r>
              <w:rPr>
                <w:rFonts w:ascii="Arial" w:cs="Arial" w:eastAsia="Arial" w:hAnsi="Arial"/>
                <w:sz w:val="14"/>
                <w:szCs w:val="14"/>
                <w:b w:val="1"/>
                <w:bCs w:val="1"/>
                <w:color w:val="auto"/>
              </w:rPr>
              <w:t>September 30,</w:t>
            </w:r>
          </w:p>
        </w:tc>
      </w:tr>
      <w:tr>
        <w:trPr>
          <w:trHeight w:val="208"/>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8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9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r>
    </w:tbl>
    <w:p>
      <w:pPr>
        <w:spacing w:after="0" w:line="1" w:lineRule="exact"/>
        <w:rPr>
          <w:sz w:val="20"/>
          <w:szCs w:val="20"/>
          <w:color w:val="auto"/>
        </w:rPr>
      </w:pPr>
    </w:p>
    <w:p>
      <w:pPr>
        <w:sectPr>
          <w:pgSz w:w="11900" w:h="16838" w:orient="portrait"/>
          <w:cols w:equalWidth="0" w:num="2">
            <w:col w:w="4940" w:space="720"/>
            <w:col w:w="55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Brokerage and transaction</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Marketing</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 SBC expense</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5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Three and Nine Months Ended September 30, 2023 and 2024</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30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340" w:type="dxa"/>
            <w:vAlign w:val="bottom"/>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140"/>
              <w:spacing w:after="0"/>
              <w:rPr>
                <w:sz w:val="20"/>
                <w:szCs w:val="20"/>
                <w:color w:val="auto"/>
              </w:rPr>
            </w:pPr>
            <w:r>
              <w:rPr>
                <w:rFonts w:ascii="Arial" w:cs="Arial" w:eastAsia="Arial" w:hAnsi="Arial"/>
                <w:sz w:val="18"/>
                <w:szCs w:val="18"/>
                <w:color w:val="auto"/>
              </w:rPr>
              <w:t>Options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538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Cryptocurrencies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29"/>
        </w:trPr>
        <w:tc>
          <w:tcPr>
            <w:tcW w:w="3040" w:type="dxa"/>
            <w:vAlign w:val="bottom"/>
          </w:tcPr>
          <w:p>
            <w:pPr>
              <w:ind w:left="140"/>
              <w:spacing w:after="0"/>
              <w:rPr>
                <w:sz w:val="20"/>
                <w:szCs w:val="20"/>
                <w:color w:val="auto"/>
              </w:rPr>
            </w:pPr>
            <w:r>
              <w:rPr>
                <w:rFonts w:ascii="Arial" w:cs="Arial" w:eastAsia="Arial" w:hAnsi="Arial"/>
                <w:sz w:val="18"/>
                <w:szCs w:val="18"/>
                <w:color w:val="auto"/>
              </w:rPr>
              <w:t>Equities</w:t>
            </w: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55"/>
        </w:trPr>
        <w:tc>
          <w:tcPr>
            <w:tcW w:w="3040" w:type="dxa"/>
            <w:vAlign w:val="bottom"/>
          </w:tcPr>
          <w:p>
            <w:pPr>
              <w:ind w:left="440"/>
              <w:spacing w:after="0" w:line="156" w:lineRule="exact"/>
              <w:rPr>
                <w:sz w:val="20"/>
                <w:szCs w:val="20"/>
                <w:color w:val="auto"/>
              </w:rPr>
            </w:pPr>
            <w:r>
              <w:rPr>
                <w:rFonts w:ascii="Arial" w:cs="Arial" w:eastAsia="Arial" w:hAnsi="Arial"/>
                <w:sz w:val="18"/>
                <w:szCs w:val="18"/>
                <w:color w:val="auto"/>
              </w:rPr>
              <w:t>Total transaction-based</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319</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975</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1"/>
        </w:trPr>
        <w:tc>
          <w:tcPr>
            <w:tcW w:w="3040" w:type="dxa"/>
            <w:vAlign w:val="bottom"/>
          </w:tcPr>
          <w:p>
            <w:pPr>
              <w:ind w:left="60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Transaction-based revenues as a %</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total net revenues: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140"/>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Cryptocurrencies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140"/>
              <w:spacing w:after="0"/>
              <w:rPr>
                <w:sz w:val="20"/>
                <w:szCs w:val="20"/>
                <w:color w:val="auto"/>
              </w:rPr>
            </w:pPr>
            <w:r>
              <w:rPr>
                <w:rFonts w:ascii="Arial" w:cs="Arial" w:eastAsia="Arial" w:hAnsi="Arial"/>
                <w:sz w:val="18"/>
                <w:szCs w:val="18"/>
                <w:color w:val="auto"/>
              </w:rPr>
              <w:t>Equities</w:t>
            </w: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040" w:type="dxa"/>
            <w:vAlign w:val="bottom"/>
          </w:tcPr>
          <w:p>
            <w:pPr>
              <w:ind w:left="440"/>
              <w:spacing w:after="0" w:line="156" w:lineRule="exact"/>
              <w:rPr>
                <w:sz w:val="20"/>
                <w:szCs w:val="20"/>
                <w:color w:val="auto"/>
              </w:rPr>
            </w:pPr>
            <w:r>
              <w:rPr>
                <w:rFonts w:ascii="Arial" w:cs="Arial" w:eastAsia="Arial" w:hAnsi="Arial"/>
                <w:sz w:val="18"/>
                <w:szCs w:val="18"/>
                <w:color w:val="auto"/>
              </w:rPr>
              <w:t>Total transaction-based</w:t>
            </w:r>
          </w:p>
        </w:tc>
        <w:tc>
          <w:tcPr>
            <w:tcW w:w="300" w:type="dxa"/>
            <w:vAlign w:val="bottom"/>
          </w:tcPr>
          <w:p>
            <w:pPr>
              <w:spacing w:after="0"/>
              <w:rPr>
                <w:sz w:val="13"/>
                <w:szCs w:val="13"/>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60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Transaction-based revenues increased by $134 million and $390 million for the three and nine months ended September 30, 2024, primarily driven by increases of $38 million and $176 million in cryptocurrencies, $78 million and $154 million in options, and $10 million and $37 million in equities.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Cryptocurrencies revenues increased as a result of a 57% and 77% increase in the average Notional Trading Volume traded per trader and a 31% and 32% increase in the number of users placing cryptocurrency trades. In addition, cryptocurrencies revenues benefited from a higher rebate rate from crypto market makers (an increase was effective in May 2024).</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Options revenues increased due to a 23% and 20% increase in the number of users placing option trades and a 47% and 37% increase in Options Contracts Traded. In addition, we experienced higher option rebate rates due to the mix of ticker symbols traded as different ticker symbols pay different rebate rates. Option revenues decreased by $17 million and $25 million due to match incentives paid to our customers (Refer to Note 3 - Revenues to our unaudited condensed consolidated financial statements in this Quarterly Report for more information).</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Equities revenues increased primarily driven by a 41% and 32% increase in the average Notional Trading Volume traded per trader and a 14% and 15% increase in the number of users placing equity trades. The increase was partially offset by lower equity rebate rates due to the mix of ticker symbols traded as different ticker symbols pay different rebate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ind w:left="80"/>
              <w:spacing w:after="0"/>
              <w:rPr>
                <w:sz w:val="20"/>
                <w:szCs w:val="20"/>
                <w:color w:val="auto"/>
              </w:rPr>
            </w:pPr>
            <w:r>
              <w:rPr>
                <w:rFonts w:ascii="Arial" w:cs="Arial" w:eastAsia="Arial" w:hAnsi="Arial"/>
                <w:sz w:val="14"/>
                <w:szCs w:val="14"/>
                <w:i w:val="1"/>
                <w:iCs w:val="1"/>
                <w:color w:val="auto"/>
              </w:rPr>
              <w:t>(in millions, except for percentages)</w:t>
            </w:r>
          </w:p>
        </w:tc>
        <w:tc>
          <w:tcPr>
            <w:tcW w:w="28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6"/>
                <w:szCs w:val="16"/>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Margin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228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Interest on corporate cash and</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203</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5"/>
        </w:trPr>
        <w:tc>
          <w:tcPr>
            <w:tcW w:w="3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00" w:type="dxa"/>
            <w:vAlign w:val="bottom"/>
          </w:tcPr>
          <w:p>
            <w:pPr>
              <w:ind w:left="140"/>
              <w:spacing w:after="0" w:line="183" w:lineRule="exact"/>
              <w:rPr>
                <w:sz w:val="20"/>
                <w:szCs w:val="20"/>
                <w:color w:val="auto"/>
              </w:rPr>
            </w:pPr>
            <w:r>
              <w:rPr>
                <w:rFonts w:ascii="Arial" w:cs="Arial" w:eastAsia="Arial" w:hAnsi="Arial"/>
                <w:sz w:val="18"/>
                <w:szCs w:val="18"/>
                <w:color w:val="auto"/>
              </w:rPr>
              <w:t>Interest on segregated cash, securities,</w:t>
            </w:r>
          </w:p>
        </w:tc>
        <w:tc>
          <w:tcPr>
            <w:tcW w:w="280" w:type="dxa"/>
            <w:vAlign w:val="bottom"/>
          </w:tcPr>
          <w:p>
            <w:pPr>
              <w:spacing w:after="0"/>
              <w:rPr>
                <w:sz w:val="15"/>
                <w:szCs w:val="15"/>
                <w:color w:val="auto"/>
              </w:rPr>
            </w:pPr>
          </w:p>
        </w:tc>
        <w:tc>
          <w:tcPr>
            <w:tcW w:w="980" w:type="dxa"/>
            <w:vAlign w:val="bottom"/>
            <w:vMerge w:val="restart"/>
          </w:tcPr>
          <w:p>
            <w:pPr>
              <w:jc w:val="right"/>
              <w:ind w:right="153"/>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8"/>
                <w:szCs w:val="18"/>
                <w:color w:val="auto"/>
              </w:rPr>
              <w:t>61</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8"/>
                <w:szCs w:val="18"/>
                <w:color w:val="auto"/>
              </w:rPr>
              <w:t>187</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5"/>
        </w:trPr>
        <w:tc>
          <w:tcPr>
            <w:tcW w:w="3400" w:type="dxa"/>
            <w:vAlign w:val="bottom"/>
          </w:tcPr>
          <w:p>
            <w:pPr>
              <w:ind w:left="300"/>
              <w:spacing w:after="0"/>
              <w:rPr>
                <w:sz w:val="20"/>
                <w:szCs w:val="20"/>
                <w:color w:val="auto"/>
              </w:rPr>
            </w:pPr>
            <w:r>
              <w:rPr>
                <w:rFonts w:ascii="Arial" w:cs="Arial" w:eastAsia="Arial" w:hAnsi="Arial"/>
                <w:sz w:val="18"/>
                <w:szCs w:val="18"/>
                <w:color w:val="auto"/>
              </w:rPr>
              <w:t>and deposits</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Sweep</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Securities lending, net</w:t>
            </w:r>
          </w:p>
        </w:tc>
        <w:tc>
          <w:tcPr>
            <w:tcW w:w="280" w:type="dxa"/>
            <w:vAlign w:val="bottom"/>
          </w:tcPr>
          <w:p>
            <w:pPr>
              <w:spacing w:after="0"/>
              <w:rPr>
                <w:sz w:val="19"/>
                <w:szCs w:val="19"/>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68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card,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184"/>
        </w:trPr>
        <w:tc>
          <w:tcPr>
            <w:tcW w:w="3400" w:type="dxa"/>
            <w:vAlign w:val="bottom"/>
          </w:tcPr>
          <w:p>
            <w:pPr>
              <w:ind w:left="140"/>
              <w:spacing w:after="0" w:line="183" w:lineRule="exact"/>
              <w:rPr>
                <w:sz w:val="20"/>
                <w:szCs w:val="20"/>
                <w:color w:val="auto"/>
              </w:rPr>
            </w:pPr>
            <w:r>
              <w:rPr>
                <w:rFonts w:ascii="Arial" w:cs="Arial" w:eastAsia="Arial" w:hAnsi="Arial"/>
                <w:sz w:val="18"/>
                <w:szCs w:val="18"/>
                <w:color w:val="auto"/>
              </w:rPr>
              <w:t>Interest expenses related to credit</w:t>
            </w:r>
          </w:p>
        </w:tc>
        <w:tc>
          <w:tcPr>
            <w:tcW w:w="280" w:type="dxa"/>
            <w:vAlign w:val="bottom"/>
          </w:tcPr>
          <w:p>
            <w:pPr>
              <w:spacing w:after="0"/>
              <w:rPr>
                <w:sz w:val="15"/>
                <w:szCs w:val="15"/>
                <w:color w:val="auto"/>
              </w:rPr>
            </w:pPr>
          </w:p>
        </w:tc>
        <w:tc>
          <w:tcPr>
            <w:tcW w:w="980" w:type="dxa"/>
            <w:vAlign w:val="bottom"/>
            <w:vMerge w:val="restart"/>
          </w:tcPr>
          <w:p>
            <w:pPr>
              <w:ind w:left="5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restart"/>
          </w:tcPr>
          <w:p>
            <w:pPr>
              <w:ind w:left="4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5"/>
                <w:szCs w:val="15"/>
                <w:color w:val="auto"/>
              </w:rPr>
            </w:pPr>
          </w:p>
        </w:tc>
        <w:tc>
          <w:tcPr>
            <w:tcW w:w="960" w:type="dxa"/>
            <w:vAlign w:val="bottom"/>
            <w:vMerge w:val="restart"/>
          </w:tcPr>
          <w:p>
            <w:pPr>
              <w:jc w:val="right"/>
              <w:ind w:right="9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8"/>
                <w:szCs w:val="18"/>
                <w:color w:val="auto"/>
              </w:rPr>
              <w:t>(18)</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5"/>
        </w:trPr>
        <w:tc>
          <w:tcPr>
            <w:tcW w:w="34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facilities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net interest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274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813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line="170" w:lineRule="exact"/>
              <w:rPr>
                <w:sz w:val="20"/>
                <w:szCs w:val="20"/>
                <w:color w:val="auto"/>
              </w:rPr>
            </w:pPr>
            <w:r>
              <w:rPr>
                <w:rFonts w:ascii="Arial" w:cs="Arial" w:eastAsia="Arial" w:hAnsi="Arial"/>
                <w:sz w:val="18"/>
                <w:szCs w:val="18"/>
                <w:color w:val="auto"/>
              </w:rPr>
              <w:t>Net interest revenues as a % of total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4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Margin 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400" w:type="dxa"/>
            <w:vAlign w:val="bottom"/>
          </w:tcPr>
          <w:p>
            <w:pPr>
              <w:ind w:left="140"/>
              <w:spacing w:after="0" w:line="183" w:lineRule="exact"/>
              <w:rPr>
                <w:sz w:val="20"/>
                <w:szCs w:val="20"/>
                <w:color w:val="auto"/>
              </w:rPr>
            </w:pPr>
            <w:r>
              <w:rPr>
                <w:rFonts w:ascii="Arial" w:cs="Arial" w:eastAsia="Arial" w:hAnsi="Arial"/>
                <w:sz w:val="18"/>
                <w:szCs w:val="18"/>
                <w:color w:val="auto"/>
              </w:rPr>
              <w:t>Interest on corporate cash and</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Interest on segregated cash, securities,</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deposits</w:t>
            </w:r>
          </w:p>
        </w:tc>
        <w:tc>
          <w:tcPr>
            <w:tcW w:w="2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Cash Sweep</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lending,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Credit card,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Interest expenses related to credit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facilities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440"/>
              <w:spacing w:after="0"/>
              <w:rPr>
                <w:sz w:val="20"/>
                <w:szCs w:val="20"/>
                <w:color w:val="auto"/>
              </w:rPr>
            </w:pPr>
            <w:r>
              <w:rPr>
                <w:rFonts w:ascii="Arial" w:cs="Arial" w:eastAsia="Arial" w:hAnsi="Arial"/>
                <w:sz w:val="18"/>
                <w:szCs w:val="18"/>
                <w:color w:val="auto"/>
              </w:rPr>
              <w:t>Total net interest revenues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80" w:firstLine="243"/>
        <w:spacing w:after="0" w:line="259" w:lineRule="auto"/>
        <w:rPr>
          <w:sz w:val="20"/>
          <w:szCs w:val="20"/>
          <w:color w:val="auto"/>
        </w:rPr>
      </w:pPr>
      <w:r>
        <w:rPr>
          <w:rFonts w:ascii="Arial" w:cs="Arial" w:eastAsia="Arial" w:hAnsi="Arial"/>
          <w:sz w:val="18"/>
          <w:szCs w:val="18"/>
          <w:color w:val="auto"/>
        </w:rPr>
        <w:t>Net interest revenues increased by $23 million and $120 million for the three and nine months ended September 30, 2024. These increases were driven by growth in our total interest-earning assets balance. These increases were offset by decreases in interest revenues earned from corporate cash and investments driven by lower cash and cash equivalents balances and lower short-term interest rate environment. In September 2024, the Federal Reserve lowered interest rates by 50 basis points, which will negatively impact our net interest revenues and adversely impact our customers’ returns on their cash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firstLine="324"/>
        <w:spacing w:after="0" w:line="287" w:lineRule="auto"/>
        <w:rPr>
          <w:sz w:val="20"/>
          <w:szCs w:val="20"/>
          <w:color w:val="auto"/>
        </w:rPr>
      </w:pPr>
      <w:r>
        <w:rPr>
          <w:rFonts w:ascii="Arial" w:cs="Arial" w:eastAsia="Arial" w:hAnsi="Arial"/>
          <w:sz w:val="18"/>
          <w:szCs w:val="18"/>
          <w:color w:val="auto"/>
        </w:rPr>
        <w:t>The following table summarizes interest-earning assets, the revenue generated by these assets, and their respective annualized yields: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1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for</w:t>
            </w:r>
          </w:p>
        </w:tc>
        <w:tc>
          <w:tcPr>
            <w:tcW w:w="108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Margin Book</w:t>
            </w:r>
          </w:p>
        </w:tc>
        <w:tc>
          <w:tcPr>
            <w:tcW w:w="120" w:type="dxa"/>
            <w:vAlign w:val="bottom"/>
          </w:tcPr>
          <w:p>
            <w:pPr>
              <w:spacing w:after="0"/>
              <w:rPr>
                <w:sz w:val="18"/>
                <w:szCs w:val="18"/>
                <w:color w:val="auto"/>
              </w:rPr>
            </w:pPr>
          </w:p>
        </w:tc>
        <w:tc>
          <w:tcPr>
            <w:tcW w:w="780" w:type="dxa"/>
            <w:vAlign w:val="bottom"/>
            <w:gridSpan w:val="2"/>
          </w:tcPr>
          <w:p>
            <w:pPr>
              <w:jc w:val="right"/>
              <w:ind w:right="74"/>
              <w:spacing w:after="0"/>
              <w:rPr>
                <w:sz w:val="20"/>
                <w:szCs w:val="20"/>
                <w:color w:val="auto"/>
              </w:rPr>
            </w:pPr>
            <w:r>
              <w:rPr>
                <w:rFonts w:ascii="Arial" w:cs="Arial" w:eastAsia="Arial" w:hAnsi="Arial"/>
                <w:sz w:val="14"/>
                <w:szCs w:val="14"/>
                <w:color w:val="auto"/>
              </w:rPr>
              <w:t>Cash and</w:t>
            </w:r>
          </w:p>
        </w:tc>
        <w:tc>
          <w:tcPr>
            <w:tcW w:w="140" w:type="dxa"/>
            <w:vAlign w:val="bottom"/>
          </w:tcPr>
          <w:p>
            <w:pPr>
              <w:spacing w:after="0"/>
              <w:rPr>
                <w:sz w:val="18"/>
                <w:szCs w:val="18"/>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Cash Sweep</w:t>
            </w:r>
          </w:p>
        </w:tc>
        <w:tc>
          <w:tcPr>
            <w:tcW w:w="1000" w:type="dxa"/>
            <w:vAlign w:val="bottom"/>
            <w:gridSpan w:val="2"/>
            <w:vMerge w:val="restart"/>
          </w:tcPr>
          <w:p>
            <w:pPr>
              <w:spacing w:after="0"/>
              <w:rPr>
                <w:sz w:val="20"/>
                <w:szCs w:val="20"/>
                <w:color w:val="auto"/>
              </w:rPr>
            </w:pPr>
            <w:r>
              <w:rPr>
                <w:rFonts w:ascii="Arial" w:cs="Arial" w:eastAsia="Arial" w:hAnsi="Arial"/>
                <w:sz w:val="14"/>
                <w:szCs w:val="14"/>
                <w:color w:val="auto"/>
              </w:rPr>
              <w:t>Credit card, net</w:t>
            </w:r>
          </w:p>
        </w:tc>
        <w:tc>
          <w:tcPr>
            <w:tcW w:w="180" w:type="dxa"/>
            <w:vAlign w:val="bottom"/>
          </w:tcPr>
          <w:p>
            <w:pPr>
              <w:jc w:val="right"/>
              <w:spacing w:after="0"/>
              <w:rPr>
                <w:sz w:val="20"/>
                <w:szCs w:val="20"/>
                <w:color w:val="auto"/>
              </w:rPr>
            </w:pPr>
            <w:r>
              <w:rPr>
                <w:rFonts w:ascii="Arial" w:cs="Arial" w:eastAsia="Arial" w:hAnsi="Arial"/>
                <w:sz w:val="9"/>
                <w:szCs w:val="9"/>
                <w:color w:val="auto"/>
              </w:rPr>
              <w:t>(2)</w:t>
            </w:r>
          </w:p>
        </w:tc>
        <w:tc>
          <w:tcPr>
            <w:tcW w:w="12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Total interest-</w:t>
            </w:r>
          </w:p>
        </w:tc>
        <w:tc>
          <w:tcPr>
            <w:tcW w:w="3520" w:type="dxa"/>
            <w:vAlign w:val="bottom"/>
            <w:gridSpan w:val="7"/>
          </w:tcPr>
          <w:p>
            <w:pPr>
              <w:jc w:val="right"/>
              <w:ind w:right="28"/>
              <w:spacing w:after="0" w:line="210" w:lineRule="exact"/>
              <w:rPr>
                <w:sz w:val="20"/>
                <w:szCs w:val="20"/>
                <w:color w:val="auto"/>
              </w:rPr>
            </w:pPr>
            <w:r>
              <w:rPr>
                <w:rFonts w:ascii="Arial" w:cs="Arial" w:eastAsia="Arial" w:hAnsi="Arial"/>
                <w:sz w:val="13"/>
                <w:szCs w:val="13"/>
                <w:color w:val="auto"/>
                <w:w w:val="99"/>
              </w:rPr>
              <w:t>Securities lending,</w:t>
            </w:r>
            <w:r>
              <w:rPr>
                <w:rFonts w:ascii="Arial" w:cs="Arial" w:eastAsia="Arial" w:hAnsi="Arial"/>
                <w:sz w:val="24"/>
                <w:szCs w:val="24"/>
                <w:color w:val="auto"/>
                <w:w w:val="99"/>
                <w:vertAlign w:val="superscript"/>
              </w:rPr>
              <w:t>Interest expenses</w:t>
            </w:r>
            <w:r>
              <w:rPr>
                <w:rFonts w:ascii="Arial" w:cs="Arial" w:eastAsia="Arial" w:hAnsi="Arial"/>
                <w:sz w:val="13"/>
                <w:szCs w:val="13"/>
                <w:color w:val="auto"/>
                <w:w w:val="99"/>
              </w:rPr>
              <w:t xml:space="preserve"> </w:t>
            </w:r>
            <w:r>
              <w:rPr>
                <w:rFonts w:ascii="Arial" w:cs="Arial" w:eastAsia="Arial" w:hAnsi="Arial"/>
                <w:sz w:val="13"/>
                <w:szCs w:val="13"/>
                <w:b w:val="1"/>
                <w:bCs w:val="1"/>
                <w:color w:val="auto"/>
                <w:w w:val="99"/>
              </w:rPr>
              <w:t>Total net interest</w:t>
            </w:r>
          </w:p>
        </w:tc>
        <w:tc>
          <w:tcPr>
            <w:tcW w:w="0" w:type="dxa"/>
            <w:vAlign w:val="bottom"/>
          </w:tcPr>
          <w:p>
            <w:pPr>
              <w:spacing w:after="0"/>
              <w:rPr>
                <w:sz w:val="1"/>
                <w:szCs w:val="1"/>
                <w:color w:val="auto"/>
              </w:rPr>
            </w:pPr>
          </w:p>
        </w:tc>
      </w:tr>
      <w:tr>
        <w:trPr>
          <w:trHeight w:val="81"/>
        </w:trPr>
        <w:tc>
          <w:tcPr>
            <w:tcW w:w="174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deposits</w:t>
            </w:r>
          </w:p>
        </w:tc>
        <w:tc>
          <w:tcPr>
            <w:tcW w:w="160" w:type="dxa"/>
            <w:vAlign w:val="bottom"/>
          </w:tcPr>
          <w:p>
            <w:pPr>
              <w:jc w:val="right"/>
              <w:spacing w:after="0" w:line="81" w:lineRule="exact"/>
              <w:rPr>
                <w:sz w:val="20"/>
                <w:szCs w:val="20"/>
                <w:color w:val="auto"/>
              </w:rPr>
            </w:pPr>
            <w:r>
              <w:rPr>
                <w:rFonts w:ascii="Arial" w:cs="Arial" w:eastAsia="Arial" w:hAnsi="Arial"/>
                <w:sz w:val="9"/>
                <w:szCs w:val="9"/>
                <w:color w:val="auto"/>
                <w:w w:val="90"/>
              </w:rPr>
              <w:t>(1)</w:t>
            </w: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earning assets</w:t>
            </w:r>
          </w:p>
        </w:tc>
        <w:tc>
          <w:tcPr>
            <w:tcW w:w="100" w:type="dxa"/>
            <w:vAlign w:val="bottom"/>
          </w:tcPr>
          <w:p>
            <w:pPr>
              <w:spacing w:after="0"/>
              <w:rPr>
                <w:sz w:val="7"/>
                <w:szCs w:val="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net</w:t>
            </w:r>
          </w:p>
        </w:tc>
        <w:tc>
          <w:tcPr>
            <w:tcW w:w="300" w:type="dxa"/>
            <w:vAlign w:val="bottom"/>
          </w:tcPr>
          <w:p>
            <w:pPr>
              <w:spacing w:after="0"/>
              <w:rPr>
                <w:sz w:val="7"/>
                <w:szCs w:val="7"/>
                <w:color w:val="auto"/>
              </w:rPr>
            </w:pPr>
          </w:p>
        </w:tc>
        <w:tc>
          <w:tcPr>
            <w:tcW w:w="1180" w:type="dxa"/>
            <w:vAlign w:val="bottom"/>
            <w:gridSpan w:val="2"/>
          </w:tcPr>
          <w:p>
            <w:pPr>
              <w:jc w:val="right"/>
              <w:ind w:right="8"/>
              <w:spacing w:after="0" w:line="81" w:lineRule="exact"/>
              <w:rPr>
                <w:sz w:val="20"/>
                <w:szCs w:val="20"/>
                <w:color w:val="auto"/>
              </w:rPr>
            </w:pPr>
            <w:r>
              <w:rPr>
                <w:rFonts w:ascii="Arial" w:cs="Arial" w:eastAsia="Arial" w:hAnsi="Arial"/>
                <w:sz w:val="9"/>
                <w:szCs w:val="9"/>
                <w:color w:val="auto"/>
              </w:rPr>
              <w:t>related to credit</w:t>
            </w:r>
          </w:p>
        </w:tc>
        <w:tc>
          <w:tcPr>
            <w:tcW w:w="200" w:type="dxa"/>
            <w:vAlign w:val="bottom"/>
          </w:tcPr>
          <w:p>
            <w:pPr>
              <w:spacing w:after="0"/>
              <w:rPr>
                <w:sz w:val="7"/>
                <w:szCs w:val="7"/>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89"/>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annualized yield)</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color w:val="auto"/>
              </w:rPr>
              <w:t>(off-balance sheet)</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8"/>
              <w:spacing w:after="0" w:line="189" w:lineRule="exact"/>
              <w:rPr>
                <w:sz w:val="20"/>
                <w:szCs w:val="20"/>
                <w:color w:val="auto"/>
              </w:rPr>
            </w:pPr>
            <w:r>
              <w:rPr>
                <w:rFonts w:ascii="Arial" w:cs="Arial" w:eastAsia="Arial" w:hAnsi="Arial"/>
                <w:sz w:val="14"/>
                <w:szCs w:val="14"/>
                <w:color w:val="auto"/>
              </w:rPr>
              <w:t xml:space="preserve">facilities </w:t>
            </w:r>
            <w:r>
              <w:rPr>
                <w:rFonts w:ascii="Arial" w:cs="Arial" w:eastAsia="Arial" w:hAnsi="Arial"/>
                <w:sz w:val="18"/>
                <w:szCs w:val="18"/>
                <w:color w:val="auto"/>
                <w:vertAlign w:val="superscript"/>
              </w:rPr>
              <w:t>(5)</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September 30, 2024</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40" w:type="dxa"/>
            <w:vAlign w:val="bottom"/>
          </w:tcPr>
          <w:p>
            <w:pPr>
              <w:jc w:val="right"/>
              <w:spacing w:after="0"/>
              <w:rPr>
                <w:sz w:val="20"/>
                <w:szCs w:val="20"/>
                <w:color w:val="auto"/>
              </w:rPr>
            </w:pPr>
            <w:r>
              <w:rPr>
                <w:rFonts w:ascii="Arial" w:cs="Arial" w:eastAsia="Arial" w:hAnsi="Arial"/>
                <w:sz w:val="14"/>
                <w:szCs w:val="14"/>
                <w:color w:val="auto"/>
              </w:rPr>
              <w:t>September 30, 2024</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5,499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11,149</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24,485</w:t>
            </w:r>
          </w:p>
        </w:tc>
        <w:tc>
          <w:tcPr>
            <w:tcW w:w="740" w:type="dxa"/>
            <w:vAlign w:val="bottom"/>
          </w:tcPr>
          <w:p>
            <w:pPr>
              <w:jc w:val="center"/>
              <w:spacing w:after="0"/>
              <w:rPr>
                <w:sz w:val="20"/>
                <w:szCs w:val="20"/>
                <w:color w:val="auto"/>
              </w:rPr>
            </w:pPr>
            <w:r>
              <w:rPr>
                <w:rFonts w:ascii="Arial" w:cs="Arial" w:eastAsia="Arial" w:hAnsi="Arial"/>
                <w:sz w:val="14"/>
                <w:szCs w:val="14"/>
                <w:color w:val="auto"/>
              </w:rPr>
              <w:t>$309</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41,442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30, 2024</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4,956</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10,164</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20,858</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36,190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3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5,350</w:t>
            </w:r>
          </w:p>
        </w:tc>
        <w:tc>
          <w:tcPr>
            <w:tcW w:w="1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10,055</w:t>
            </w:r>
          </w:p>
        </w:tc>
        <w:tc>
          <w:tcPr>
            <w:tcW w:w="340" w:type="dxa"/>
            <w:vAlign w:val="bottom"/>
          </w:tcPr>
          <w:p>
            <w:pPr>
              <w:spacing w:after="0"/>
              <w:rPr>
                <w:sz w:val="17"/>
                <w:szCs w:val="17"/>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22,473</w:t>
            </w:r>
          </w:p>
        </w:tc>
        <w:tc>
          <w:tcPr>
            <w:tcW w:w="740" w:type="dxa"/>
            <w:vAlign w:val="bottom"/>
          </w:tcPr>
          <w:p>
            <w:pPr>
              <w:jc w:val="center"/>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38,148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Revenue (expense)</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46</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w:t>
            </w:r>
          </w:p>
        </w:tc>
        <w:tc>
          <w:tcPr>
            <w:tcW w:w="8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254"/>
        </w:trPr>
        <w:tc>
          <w:tcPr>
            <w:tcW w:w="1740" w:type="dxa"/>
            <w:vAlign w:val="bottom"/>
          </w:tcPr>
          <w:p>
            <w:pPr>
              <w:jc w:val="right"/>
              <w:spacing w:after="0"/>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3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2"/>
                <w:szCs w:val="22"/>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4"/>
                <w:szCs w:val="14"/>
                <w:color w:val="auto"/>
              </w:rPr>
              <w:t>5.09%</w:t>
            </w: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0.82%</w:t>
            </w:r>
          </w:p>
        </w:tc>
        <w:tc>
          <w:tcPr>
            <w:tcW w:w="2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5.93%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2.74%</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205"/>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June 30, 2024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tcPr>
          <w:p>
            <w:pPr>
              <w:jc w:val="right"/>
              <w:spacing w:after="0"/>
              <w:rPr>
                <w:sz w:val="20"/>
                <w:szCs w:val="20"/>
                <w:color w:val="auto"/>
              </w:rPr>
            </w:pPr>
            <w:r>
              <w:rPr>
                <w:rFonts w:ascii="Arial" w:cs="Arial" w:eastAsia="Arial" w:hAnsi="Arial"/>
                <w:sz w:val="14"/>
                <w:szCs w:val="14"/>
                <w:color w:val="auto"/>
              </w:rPr>
              <w:t>June 30, 2024</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4,956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10,164</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20,858</w:t>
            </w:r>
          </w:p>
        </w:tc>
        <w:tc>
          <w:tcPr>
            <w:tcW w:w="740" w:type="dxa"/>
            <w:vAlign w:val="bottom"/>
          </w:tcPr>
          <w:p>
            <w:pPr>
              <w:jc w:val="center"/>
              <w:spacing w:after="0"/>
              <w:rPr>
                <w:sz w:val="20"/>
                <w:szCs w:val="20"/>
                <w:color w:val="auto"/>
              </w:rPr>
            </w:pPr>
            <w:r>
              <w:rPr>
                <w:rFonts w:ascii="Arial" w:cs="Arial" w:eastAsia="Arial" w:hAnsi="Arial"/>
                <w:sz w:val="14"/>
                <w:szCs w:val="14"/>
                <w:color w:val="auto"/>
              </w:rPr>
              <w:t>$212</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36,190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March 31, 2024</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4,115</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10,328</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19,049</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33,689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3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4,431</w:t>
            </w:r>
          </w:p>
        </w:tc>
        <w:tc>
          <w:tcPr>
            <w:tcW w:w="1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10,249</w:t>
            </w:r>
          </w:p>
        </w:tc>
        <w:tc>
          <w:tcPr>
            <w:tcW w:w="340" w:type="dxa"/>
            <w:vAlign w:val="bottom"/>
          </w:tcPr>
          <w:p>
            <w:pPr>
              <w:spacing w:after="0"/>
              <w:rPr>
                <w:sz w:val="17"/>
                <w:szCs w:val="17"/>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19,823</w:t>
            </w:r>
          </w:p>
        </w:tc>
        <w:tc>
          <w:tcPr>
            <w:tcW w:w="740" w:type="dxa"/>
            <w:vAlign w:val="bottom"/>
          </w:tcPr>
          <w:p>
            <w:pPr>
              <w:jc w:val="center"/>
              <w:spacing w:after="0"/>
              <w:rPr>
                <w:sz w:val="20"/>
                <w:szCs w:val="20"/>
                <w:color w:val="auto"/>
              </w:rPr>
            </w:pPr>
            <w:r>
              <w:rPr>
                <w:rFonts w:ascii="Arial" w:cs="Arial" w:eastAsia="Arial" w:hAnsi="Arial"/>
                <w:sz w:val="14"/>
                <w:szCs w:val="14"/>
                <w:color w:val="auto"/>
              </w:rPr>
              <w:t>201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34,704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Revenue (expense)</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44</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w:t>
            </w:r>
          </w:p>
        </w:tc>
        <w:tc>
          <w:tcPr>
            <w:tcW w:w="8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254"/>
        </w:trPr>
        <w:tc>
          <w:tcPr>
            <w:tcW w:w="1740" w:type="dxa"/>
            <w:vAlign w:val="bottom"/>
          </w:tcPr>
          <w:p>
            <w:pPr>
              <w:jc w:val="right"/>
              <w:spacing w:after="0"/>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3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22"/>
                <w:szCs w:val="22"/>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4"/>
                <w:szCs w:val="14"/>
                <w:color w:val="auto"/>
              </w:rPr>
              <w:t>5.23%</w:t>
            </w: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0.89%</w:t>
            </w:r>
          </w:p>
        </w:tc>
        <w:tc>
          <w:tcPr>
            <w:tcW w:w="2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11.94%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2.96%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3.28%</w:t>
            </w:r>
          </w:p>
        </w:tc>
        <w:tc>
          <w:tcPr>
            <w:tcW w:w="0" w:type="dxa"/>
            <w:vAlign w:val="bottom"/>
          </w:tcPr>
          <w:p>
            <w:pPr>
              <w:spacing w:after="0"/>
              <w:rPr>
                <w:sz w:val="1"/>
                <w:szCs w:val="1"/>
                <w:color w:val="auto"/>
              </w:rPr>
            </w:pPr>
          </w:p>
        </w:tc>
      </w:tr>
      <w:tr>
        <w:trPr>
          <w:trHeight w:val="205"/>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September 30, 2023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40" w:type="dxa"/>
            <w:vAlign w:val="bottom"/>
          </w:tcPr>
          <w:p>
            <w:pPr>
              <w:jc w:val="right"/>
              <w:spacing w:after="0"/>
              <w:rPr>
                <w:sz w:val="20"/>
                <w:szCs w:val="20"/>
                <w:color w:val="auto"/>
              </w:rPr>
            </w:pPr>
            <w:r>
              <w:rPr>
                <w:rFonts w:ascii="Arial" w:cs="Arial" w:eastAsia="Arial" w:hAnsi="Arial"/>
                <w:sz w:val="14"/>
                <w:szCs w:val="14"/>
                <w:color w:val="auto"/>
              </w:rPr>
              <w:t>September 30, 2023</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3,580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9,102</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13,563</w:t>
            </w:r>
          </w:p>
        </w:tc>
        <w:tc>
          <w:tcPr>
            <w:tcW w:w="740" w:type="dxa"/>
            <w:vAlign w:val="bottom"/>
          </w:tcPr>
          <w:p>
            <w:pPr>
              <w:jc w:val="center"/>
              <w:spacing w:after="0"/>
              <w:rPr>
                <w:sz w:val="20"/>
                <w:szCs w:val="20"/>
                <w:color w:val="auto"/>
              </w:rPr>
            </w:pPr>
            <w:r>
              <w:rPr>
                <w:rFonts w:ascii="Arial" w:cs="Arial" w:eastAsia="Arial" w:hAnsi="Arial"/>
                <w:sz w:val="14"/>
                <w:szCs w:val="14"/>
                <w:color w:val="auto"/>
              </w:rPr>
              <w:t>$197</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26,442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30, 2023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3,314</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10,758</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11,903</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26,159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3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3,458</w:t>
            </w:r>
          </w:p>
        </w:tc>
        <w:tc>
          <w:tcPr>
            <w:tcW w:w="1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10,057</w:t>
            </w:r>
          </w:p>
        </w:tc>
        <w:tc>
          <w:tcPr>
            <w:tcW w:w="340" w:type="dxa"/>
            <w:vAlign w:val="bottom"/>
          </w:tcPr>
          <w:p>
            <w:pPr>
              <w:spacing w:after="0"/>
              <w:rPr>
                <w:sz w:val="17"/>
                <w:szCs w:val="17"/>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12,870</w:t>
            </w:r>
          </w:p>
        </w:tc>
        <w:tc>
          <w:tcPr>
            <w:tcW w:w="740" w:type="dxa"/>
            <w:vAlign w:val="bottom"/>
          </w:tcPr>
          <w:p>
            <w:pPr>
              <w:jc w:val="center"/>
              <w:spacing w:after="0"/>
              <w:rPr>
                <w:sz w:val="20"/>
                <w:szCs w:val="20"/>
                <w:color w:val="auto"/>
              </w:rPr>
            </w:pPr>
            <w:r>
              <w:rPr>
                <w:rFonts w:ascii="Arial" w:cs="Arial" w:eastAsia="Arial" w:hAnsi="Arial"/>
                <w:sz w:val="14"/>
                <w:szCs w:val="14"/>
                <w:color w:val="auto"/>
              </w:rPr>
              <w:t>191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26,576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Revenue (expense)</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35</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8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254"/>
        </w:trPr>
        <w:tc>
          <w:tcPr>
            <w:tcW w:w="1740" w:type="dxa"/>
            <w:vAlign w:val="bottom"/>
          </w:tcPr>
          <w:p>
            <w:pPr>
              <w:jc w:val="right"/>
              <w:spacing w:after="0"/>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3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22"/>
                <w:szCs w:val="22"/>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4"/>
                <w:szCs w:val="14"/>
                <w:color w:val="auto"/>
              </w:rPr>
              <w:t>5.33%</w:t>
            </w: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w:t>
            </w:r>
          </w:p>
        </w:tc>
        <w:tc>
          <w:tcPr>
            <w:tcW w:w="260" w:type="dxa"/>
            <w:vAlign w:val="bottom"/>
          </w:tcPr>
          <w:p>
            <w:pPr>
              <w:spacing w:after="0"/>
              <w:rPr>
                <w:sz w:val="22"/>
                <w:szCs w:val="22"/>
                <w:color w:val="auto"/>
              </w:rPr>
            </w:pPr>
          </w:p>
        </w:tc>
        <w:tc>
          <w:tcPr>
            <w:tcW w:w="920" w:type="dxa"/>
            <w:vAlign w:val="bottom"/>
            <w:gridSpan w:val="2"/>
          </w:tcPr>
          <w:p>
            <w:pPr>
              <w:jc w:val="right"/>
              <w:ind w:right="73"/>
              <w:spacing w:after="0"/>
              <w:rPr>
                <w:sz w:val="20"/>
                <w:szCs w:val="20"/>
                <w:color w:val="auto"/>
              </w:rPr>
            </w:pPr>
            <w:r>
              <w:rPr>
                <w:rFonts w:ascii="Arial" w:cs="Arial" w:eastAsia="Arial" w:hAnsi="Arial"/>
                <w:sz w:val="14"/>
                <w:szCs w:val="14"/>
                <w:color w:val="auto"/>
              </w:rPr>
              <w:t>8.38%</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3.61%</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3.78%</w:t>
            </w:r>
          </w:p>
        </w:tc>
        <w:tc>
          <w:tcPr>
            <w:tcW w:w="0" w:type="dxa"/>
            <w:vAlign w:val="bottom"/>
          </w:tcPr>
          <w:p>
            <w:pPr>
              <w:spacing w:after="0"/>
              <w:rPr>
                <w:sz w:val="1"/>
                <w:szCs w:val="1"/>
                <w:color w:val="auto"/>
              </w:rPr>
            </w:pPr>
          </w:p>
        </w:tc>
      </w:tr>
      <w:tr>
        <w:trPr>
          <w:trHeight w:val="205"/>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September 30, 2024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tcPr>
          <w:p>
            <w:pPr>
              <w:jc w:val="right"/>
              <w:spacing w:after="0"/>
              <w:rPr>
                <w:sz w:val="20"/>
                <w:szCs w:val="20"/>
                <w:color w:val="auto"/>
              </w:rPr>
            </w:pPr>
            <w:r>
              <w:rPr>
                <w:rFonts w:ascii="Arial" w:cs="Arial" w:eastAsia="Arial" w:hAnsi="Arial"/>
                <w:sz w:val="14"/>
                <w:szCs w:val="14"/>
                <w:color w:val="auto"/>
              </w:rPr>
              <w:t>September 30, 2024</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5,499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8"/>
              <w:spacing w:after="0"/>
              <w:rPr>
                <w:sz w:val="20"/>
                <w:szCs w:val="20"/>
                <w:color w:val="auto"/>
              </w:rPr>
            </w:pPr>
            <w:r>
              <w:rPr>
                <w:rFonts w:ascii="Arial" w:cs="Arial" w:eastAsia="Arial" w:hAnsi="Arial"/>
                <w:sz w:val="14"/>
                <w:szCs w:val="14"/>
                <w:color w:val="auto"/>
              </w:rPr>
              <w:t>11,149</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24,485</w:t>
            </w:r>
          </w:p>
        </w:tc>
        <w:tc>
          <w:tcPr>
            <w:tcW w:w="2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$309</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41,442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 2023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3,458</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10,107</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16,352</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30,122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3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4,511</w:t>
            </w:r>
          </w:p>
        </w:tc>
        <w:tc>
          <w:tcPr>
            <w:tcW w:w="120" w:type="dxa"/>
            <w:vAlign w:val="bottom"/>
          </w:tcPr>
          <w:p>
            <w:pPr>
              <w:spacing w:after="0"/>
              <w:rPr>
                <w:sz w:val="17"/>
                <w:szCs w:val="17"/>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4"/>
                <w:szCs w:val="14"/>
                <w:color w:val="auto"/>
              </w:rPr>
              <w:t>10,075</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19,958</w:t>
            </w:r>
          </w:p>
        </w:tc>
        <w:tc>
          <w:tcPr>
            <w:tcW w:w="2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34,772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Revenue (expense)</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763</w:t>
            </w:r>
          </w:p>
        </w:tc>
        <w:tc>
          <w:tcPr>
            <w:tcW w:w="8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813</w:t>
            </w:r>
          </w:p>
        </w:tc>
        <w:tc>
          <w:tcPr>
            <w:tcW w:w="0" w:type="dxa"/>
            <w:vAlign w:val="bottom"/>
          </w:tcPr>
          <w:p>
            <w:pPr>
              <w:spacing w:after="0"/>
              <w:rPr>
                <w:sz w:val="1"/>
                <w:szCs w:val="1"/>
                <w:color w:val="auto"/>
              </w:rPr>
            </w:pPr>
          </w:p>
        </w:tc>
      </w:tr>
      <w:tr>
        <w:trPr>
          <w:trHeight w:val="254"/>
        </w:trPr>
        <w:tc>
          <w:tcPr>
            <w:tcW w:w="1740" w:type="dxa"/>
            <w:vAlign w:val="bottom"/>
          </w:tcPr>
          <w:p>
            <w:pPr>
              <w:jc w:val="right"/>
              <w:spacing w:after="0"/>
              <w:rPr>
                <w:sz w:val="20"/>
                <w:szCs w:val="20"/>
                <w:color w:val="auto"/>
              </w:rPr>
            </w:pPr>
            <w:r>
              <w:rPr>
                <w:rFonts w:ascii="Arial" w:cs="Arial" w:eastAsia="Arial" w:hAnsi="Arial"/>
                <w:sz w:val="14"/>
                <w:szCs w:val="14"/>
                <w:color w:val="auto"/>
              </w:rPr>
              <w:t>Annual yield</w:t>
            </w:r>
            <w:r>
              <w:rPr>
                <w:rFonts w:ascii="Arial" w:cs="Arial" w:eastAsia="Arial" w:hAnsi="Arial"/>
                <w:sz w:val="18"/>
                <w:szCs w:val="18"/>
                <w:color w:val="auto"/>
                <w:vertAlign w:val="superscript"/>
              </w:rPr>
              <w:t>(4)</w:t>
            </w:r>
          </w:p>
        </w:tc>
        <w:tc>
          <w:tcPr>
            <w:tcW w:w="3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22"/>
                <w:szCs w:val="22"/>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4"/>
                <w:szCs w:val="14"/>
                <w:color w:val="auto"/>
              </w:rPr>
              <w:t>5.16%</w:t>
            </w: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0.86%</w:t>
            </w:r>
          </w:p>
        </w:tc>
        <w:tc>
          <w:tcPr>
            <w:tcW w:w="2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9.36%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2.93%</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r>
        <w:trPr>
          <w:trHeight w:val="205"/>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tcPr>
          <w:p>
            <w:pPr>
              <w:jc w:val="right"/>
              <w:spacing w:after="0"/>
              <w:rPr>
                <w:sz w:val="20"/>
                <w:szCs w:val="20"/>
                <w:color w:val="auto"/>
              </w:rPr>
            </w:pPr>
            <w:r>
              <w:rPr>
                <w:rFonts w:ascii="Arial" w:cs="Arial" w:eastAsia="Arial" w:hAnsi="Arial"/>
                <w:sz w:val="14"/>
                <w:szCs w:val="14"/>
                <w:color w:val="auto"/>
              </w:rPr>
              <w:t>September 30, 2023</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3,580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8"/>
              <w:spacing w:after="0"/>
              <w:rPr>
                <w:sz w:val="20"/>
                <w:szCs w:val="20"/>
                <w:color w:val="auto"/>
              </w:rPr>
            </w:pPr>
            <w:r>
              <w:rPr>
                <w:rFonts w:ascii="Arial" w:cs="Arial" w:eastAsia="Arial" w:hAnsi="Arial"/>
                <w:sz w:val="14"/>
                <w:szCs w:val="14"/>
                <w:color w:val="auto"/>
              </w:rPr>
              <w:t>9,102</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13,563</w:t>
            </w:r>
          </w:p>
        </w:tc>
        <w:tc>
          <w:tcPr>
            <w:tcW w:w="2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$197</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26,442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 2022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3,089</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9,530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5,837</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18,456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3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3,255</w:t>
            </w:r>
          </w:p>
        </w:tc>
        <w:tc>
          <w:tcPr>
            <w:tcW w:w="120" w:type="dxa"/>
            <w:vAlign w:val="bottom"/>
          </w:tcPr>
          <w:p>
            <w:pPr>
              <w:spacing w:after="0"/>
              <w:rPr>
                <w:sz w:val="17"/>
                <w:szCs w:val="17"/>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4"/>
                <w:szCs w:val="14"/>
                <w:color w:val="auto"/>
              </w:rPr>
              <w:t>10,119</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10,215</w:t>
            </w:r>
          </w:p>
        </w:tc>
        <w:tc>
          <w:tcPr>
            <w:tcW w:w="26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23,589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Revenue (expense)</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640</w:t>
            </w:r>
          </w:p>
        </w:tc>
        <w:tc>
          <w:tcPr>
            <w:tcW w:w="86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693</w:t>
            </w:r>
          </w:p>
        </w:tc>
        <w:tc>
          <w:tcPr>
            <w:tcW w:w="0" w:type="dxa"/>
            <w:vAlign w:val="bottom"/>
          </w:tcPr>
          <w:p>
            <w:pPr>
              <w:spacing w:after="0"/>
              <w:rPr>
                <w:sz w:val="1"/>
                <w:szCs w:val="1"/>
                <w:color w:val="auto"/>
              </w:rPr>
            </w:pPr>
          </w:p>
        </w:tc>
      </w:tr>
      <w:tr>
        <w:trPr>
          <w:trHeight w:val="251"/>
        </w:trPr>
        <w:tc>
          <w:tcPr>
            <w:tcW w:w="1740" w:type="dxa"/>
            <w:vAlign w:val="bottom"/>
          </w:tcPr>
          <w:p>
            <w:pPr>
              <w:jc w:val="right"/>
              <w:spacing w:after="0"/>
              <w:rPr>
                <w:sz w:val="20"/>
                <w:szCs w:val="20"/>
                <w:color w:val="auto"/>
              </w:rPr>
            </w:pPr>
            <w:r>
              <w:rPr>
                <w:rFonts w:ascii="Arial" w:cs="Arial" w:eastAsia="Arial" w:hAnsi="Arial"/>
                <w:sz w:val="14"/>
                <w:szCs w:val="14"/>
                <w:color w:val="auto"/>
              </w:rPr>
              <w:t>Annual yield</w:t>
            </w:r>
            <w:r>
              <w:rPr>
                <w:rFonts w:ascii="Arial" w:cs="Arial" w:eastAsia="Arial" w:hAnsi="Arial"/>
                <w:sz w:val="18"/>
                <w:szCs w:val="18"/>
                <w:color w:val="auto"/>
                <w:vertAlign w:val="superscript"/>
              </w:rPr>
              <w:t>(4)</w:t>
            </w:r>
          </w:p>
        </w:tc>
        <w:tc>
          <w:tcPr>
            <w:tcW w:w="32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21"/>
                <w:szCs w:val="21"/>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4"/>
                <w:szCs w:val="14"/>
                <w:color w:val="auto"/>
              </w:rPr>
              <w:t>4.91%</w:t>
            </w: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w:t>
            </w:r>
          </w:p>
        </w:tc>
        <w:tc>
          <w:tcPr>
            <w:tcW w:w="260" w:type="dxa"/>
            <w:vAlign w:val="bottom"/>
          </w:tcPr>
          <w:p>
            <w:pPr>
              <w:spacing w:after="0"/>
              <w:rPr>
                <w:sz w:val="21"/>
                <w:szCs w:val="21"/>
                <w:color w:val="auto"/>
              </w:rPr>
            </w:pPr>
          </w:p>
        </w:tc>
        <w:tc>
          <w:tcPr>
            <w:tcW w:w="740" w:type="dxa"/>
            <w:vAlign w:val="bottom"/>
          </w:tcPr>
          <w:p>
            <w:pPr>
              <w:ind w:left="28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3.62%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3.92%</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500" w:hanging="168"/>
        <w:spacing w:after="0" w:line="227" w:lineRule="auto"/>
        <w:tabs>
          <w:tab w:leader="none" w:pos="492"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cash and cash equivalents, cash, cash equivalents, and securities segregated under federal and other regulations, deposits with clearing organizations, and investments.</w:t>
      </w:r>
    </w:p>
    <w:p>
      <w:pPr>
        <w:jc w:val="both"/>
        <w:ind w:left="500" w:hanging="168"/>
        <w:spacing w:after="0" w:line="266" w:lineRule="auto"/>
        <w:tabs>
          <w:tab w:leader="none" w:pos="478"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between those amounts resulting in net interest revenue; ii) an on-balance sheet amount representing purchased credit card receivables by the Credit Card Funding Trust. Robinhood Credit collects interest from customers that carry balances and pays interest on the amount funded through the Credit Card Funding Trust, with the difference in those amounts resulting in net interest revenues. As of September 30, 2024, $202 million was off-balance sheet and $107 million was on-balance sheet. The balance for June 30, 2023 is based on Robinhood Credit’s acquisition date of July 3, 2023. Refer to Note 10 - Financing Activities and Off-Balance Sheet Risk to our unaudited condensed consolidated financial statements in this Quarterly Report for more information.</w:t>
      </w:r>
    </w:p>
    <w:p>
      <w:pPr>
        <w:spacing w:after="0" w:line="156" w:lineRule="exact"/>
        <w:rPr>
          <w:rFonts w:ascii="Arial" w:cs="Arial" w:eastAsia="Arial" w:hAnsi="Arial"/>
          <w:sz w:val="17"/>
          <w:szCs w:val="17"/>
          <w:color w:val="auto"/>
          <w:vertAlign w:val="superscript"/>
        </w:rPr>
      </w:pPr>
    </w:p>
    <w:p>
      <w:pPr>
        <w:ind w:left="480" w:hanging="148"/>
        <w:spacing w:after="0"/>
        <w:tabs>
          <w:tab w:leader="none" w:pos="480" w:val="left"/>
        </w:tabs>
        <w:numPr>
          <w:ilvl w:val="0"/>
          <w:numId w:val="16"/>
        </w:numPr>
        <w:rPr>
          <w:rFonts w:ascii="Arial" w:cs="Arial" w:eastAsia="Arial" w:hAnsi="Arial"/>
          <w:sz w:val="9"/>
          <w:szCs w:val="9"/>
          <w:color w:val="auto"/>
        </w:rPr>
      </w:pPr>
      <w:r>
        <w:rPr>
          <w:rFonts w:ascii="Arial" w:cs="Arial" w:eastAsia="Arial" w:hAnsi="Arial"/>
          <w:sz w:val="14"/>
          <w:szCs w:val="14"/>
          <w:color w:val="auto"/>
        </w:rPr>
        <w:t>Average balance rows represent the simple average of month-end balances in a given period.</w:t>
      </w:r>
    </w:p>
    <w:p>
      <w:pPr>
        <w:spacing w:after="0" w:line="14" w:lineRule="exact"/>
        <w:rPr>
          <w:rFonts w:ascii="Arial" w:cs="Arial" w:eastAsia="Arial" w:hAnsi="Arial"/>
          <w:sz w:val="9"/>
          <w:szCs w:val="9"/>
          <w:color w:val="auto"/>
        </w:rPr>
      </w:pPr>
    </w:p>
    <w:p>
      <w:pPr>
        <w:ind w:left="480" w:hanging="148"/>
        <w:spacing w:after="0" w:line="203" w:lineRule="auto"/>
        <w:tabs>
          <w:tab w:leader="none" w:pos="48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Annualized yield is calculated by annualizing revenue/expense for the given period and dividing by the applicable average asset balance.</w:t>
      </w:r>
    </w:p>
    <w:p>
      <w:pPr>
        <w:jc w:val="both"/>
        <w:ind w:left="500" w:hanging="168"/>
        <w:spacing w:after="0" w:line="228" w:lineRule="auto"/>
        <w:tabs>
          <w:tab w:leader="none" w:pos="502"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interest expenses related to our revolving credit facilities; interest expense related to the Credit Card Funding Trust is included in the credit card, net interest yield calculation. Refer to Note 10 - Financing Activities and Off-Balance Sheet Risk to our unaudited condensed consolidated financial statements in this Quarterly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80" w:type="dxa"/>
            <w:vAlign w:val="bottom"/>
          </w:tcPr>
          <w:p>
            <w:pPr>
              <w:spacing w:after="0"/>
              <w:rPr>
                <w:sz w:val="16"/>
                <w:szCs w:val="16"/>
                <w:color w:val="auto"/>
              </w:rPr>
            </w:pPr>
          </w:p>
        </w:tc>
        <w:tc>
          <w:tcPr>
            <w:tcW w:w="9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6"/>
                <w:szCs w:val="16"/>
                <w:color w:val="auto"/>
              </w:rPr>
            </w:pPr>
          </w:p>
        </w:tc>
        <w:tc>
          <w:tcPr>
            <w:tcW w:w="980" w:type="dxa"/>
            <w:vAlign w:val="bottom"/>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Gold subscription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Proxy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99"/>
              </w:rPr>
              <w:t>8</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88"/>
        </w:trPr>
        <w:tc>
          <w:tcPr>
            <w:tcW w:w="3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23"/>
        </w:trPr>
        <w:tc>
          <w:tcPr>
            <w:tcW w:w="3200" w:type="dxa"/>
            <w:vAlign w:val="bottom"/>
            <w:tcBorders>
              <w:top w:val="single" w:sz="8" w:color="CCEEFF"/>
            </w:tcBorders>
          </w:tcPr>
          <w:p>
            <w:pPr>
              <w:ind w:left="20"/>
              <w:spacing w:after="0" w:line="123" w:lineRule="exact"/>
              <w:rPr>
                <w:sz w:val="20"/>
                <w:szCs w:val="20"/>
                <w:color w:val="auto"/>
              </w:rPr>
            </w:pPr>
            <w:r>
              <w:rPr>
                <w:rFonts w:ascii="Arial" w:cs="Arial" w:eastAsia="Arial" w:hAnsi="Arial"/>
                <w:sz w:val="13"/>
                <w:szCs w:val="13"/>
                <w:color w:val="auto"/>
              </w:rPr>
              <w:t>Other revenues as a % of total net</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Gold subscription 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rPr>
              <w:t>5 %</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Proxy revenues</w:t>
            </w:r>
          </w:p>
        </w:tc>
        <w:tc>
          <w:tcPr>
            <w:tcW w:w="280" w:type="dxa"/>
            <w:vAlign w:val="bottom"/>
          </w:tcPr>
          <w:p>
            <w:pPr>
              <w:spacing w:after="0"/>
              <w:rPr>
                <w:sz w:val="19"/>
                <w:szCs w:val="19"/>
                <w:color w:val="auto"/>
              </w:rPr>
            </w:pPr>
          </w:p>
        </w:tc>
        <w:tc>
          <w:tcPr>
            <w:tcW w:w="960" w:type="dxa"/>
            <w:vAlign w:val="bottom"/>
          </w:tcPr>
          <w:p>
            <w:pPr>
              <w:jc w:val="center"/>
              <w:ind w:left="515"/>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center"/>
              <w:ind w:left="352"/>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440"/>
              <w:spacing w:after="0" w:line="156" w:lineRule="exact"/>
              <w:rPr>
                <w:sz w:val="20"/>
                <w:szCs w:val="20"/>
                <w:color w:val="auto"/>
              </w:rPr>
            </w:pPr>
            <w:r>
              <w:rPr>
                <w:rFonts w:ascii="Arial" w:cs="Arial" w:eastAsia="Arial" w:hAnsi="Arial"/>
                <w:sz w:val="18"/>
                <w:szCs w:val="18"/>
                <w:color w:val="auto"/>
              </w:rPr>
              <w:t>Other revenues as a % of total net</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center"/>
              <w:ind w:left="515"/>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center"/>
              <w:ind w:left="352"/>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revenues increased $13 million and $33 million for the three and nine months ended September 30, 2024 as a result of increased</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Gold subscription revenues of $8 million and $22 million due to an increase in Gold Subscribers. For the nine months ended September 30, 2024, other revenues also increased by $6 million from Sherwood Media LLC (“Sherwood Media”) advertising revenue, which was launched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2023.</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8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6"/>
                <w:szCs w:val="16"/>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133</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385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486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1,439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 of total net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Brokerage and transaction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1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21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7"/>
        </w:trPr>
        <w:tc>
          <w:tcPr>
            <w:tcW w:w="35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Employee compensation, benefits, and</w:t>
            </w:r>
          </w:p>
        </w:tc>
        <w:tc>
          <w:tcPr>
            <w:tcW w:w="820" w:type="dxa"/>
            <w:vAlign w:val="bottom"/>
            <w:vMerge w:val="restart"/>
            <w:shd w:val="clear" w:color="auto" w:fill="CCEEFF"/>
          </w:tcPr>
          <w:p>
            <w:pPr>
              <w:jc w:val="right"/>
              <w:ind w:right="621"/>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300" w:type="dxa"/>
            <w:vAlign w:val="bottom"/>
            <w:gridSpan w:val="2"/>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300" w:type="dxa"/>
            <w:vAlign w:val="bottom"/>
            <w:gridSpan w:val="2"/>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overhead, excluding SBC</w:t>
            </w:r>
          </w:p>
        </w:tc>
        <w:tc>
          <w:tcPr>
            <w:tcW w:w="820" w:type="dxa"/>
            <w:vAlign w:val="bottom"/>
            <w:vMerge w:val="continue"/>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Market data expenses</w:t>
            </w:r>
          </w:p>
        </w:tc>
        <w:tc>
          <w:tcPr>
            <w:tcW w:w="82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jc w:val="right"/>
              <w:ind w:right="3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statements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SBC</w:t>
            </w:r>
          </w:p>
        </w:tc>
        <w:tc>
          <w:tcPr>
            <w:tcW w:w="82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Broker-dealer transaction expenses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300" w:type="dxa"/>
            <w:vAlign w:val="bottom"/>
            <w:tcBorders>
              <w:bottom w:val="single" w:sz="8" w:color="CCEEFF"/>
            </w:tcBorders>
            <w:gridSpan w:val="2"/>
          </w:tcPr>
          <w:p>
            <w:pPr>
              <w:jc w:val="right"/>
              <w:ind w:right="36"/>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300" w:type="dxa"/>
            <w:vAlign w:val="bottom"/>
            <w:tcBorders>
              <w:bottom w:val="single" w:sz="8" w:color="CCEEFF"/>
            </w:tcBorders>
            <w:gridSpan w:val="2"/>
          </w:tcPr>
          <w:p>
            <w:pPr>
              <w:jc w:val="right"/>
              <w:ind w:right="36"/>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114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Brokerage and transaction costs remained flat for both the three and nine months ended September 30, 2024. Other brokerage and transaction costs increased by $5 million and $15 million due to higher expenses related to our instant withdrawals feature driven by higher activities. Additionally, employee compensation, benefits, and overhead increased by $1 million and $4 million driven by increased average headcount to continue support brokerage business. These increases were offset by decreases of $8 million and $22 million in broker-dealer transaction expenses as we began to pass option trading fees onto users starting in the fourth quarter of 2023.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Employee compensation, benefits,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67</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overhead, excluding SBC</w:t>
            </w:r>
          </w:p>
        </w:tc>
        <w:tc>
          <w:tcPr>
            <w:tcW w:w="2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SBC</w:t>
            </w:r>
          </w:p>
        </w:tc>
        <w:tc>
          <w:tcPr>
            <w:tcW w:w="2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infrastructure services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Software and tools</w:t>
            </w:r>
          </w:p>
        </w:tc>
        <w:tc>
          <w:tcPr>
            <w:tcW w:w="2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2"/>
        </w:trPr>
        <w:tc>
          <w:tcPr>
            <w:tcW w:w="3420" w:type="dxa"/>
            <w:vAlign w:val="bottom"/>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Technology and development costs increased by $3 million and $2 million for the three and nine months ended September 30, 2024 primarily due to increases in cloud infrastructure expenses of $9 million and $31 million to meet increased capacity requirements for our platforms to support higher trading volumes. These increases were partially offset by decreases in employee compensation, benefits, and overhead of $7 million and $21 million and SBC of $3 million and $17 million, driven by reduced average headcount as part of our efforts to improve efficiency and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1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21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5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Employee compensation, benefits, and</w:t>
            </w:r>
          </w:p>
        </w:tc>
        <w:tc>
          <w:tcPr>
            <w:tcW w:w="820" w:type="dxa"/>
            <w:vAlign w:val="bottom"/>
            <w:vMerge w:val="restart"/>
            <w:shd w:val="clear" w:color="auto" w:fill="CCEEFF"/>
          </w:tcPr>
          <w:p>
            <w:pPr>
              <w:jc w:val="right"/>
              <w:ind w:right="621"/>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3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overhead, excluding SBC</w:t>
            </w:r>
          </w:p>
        </w:tc>
        <w:tc>
          <w:tcPr>
            <w:tcW w:w="820" w:type="dxa"/>
            <w:vAlign w:val="bottom"/>
            <w:vMerge w:val="continue"/>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rPr>
              <w:t>Provision for credit losses - credit card</w:t>
            </w:r>
          </w:p>
        </w:tc>
        <w:tc>
          <w:tcPr>
            <w:tcW w:w="820" w:type="dxa"/>
            <w:vAlign w:val="bottom"/>
          </w:tcPr>
          <w:p>
            <w:pPr>
              <w:spacing w:after="0"/>
              <w:rPr>
                <w:sz w:val="15"/>
                <w:szCs w:val="15"/>
                <w:color w:val="auto"/>
              </w:rPr>
            </w:pP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color w:val="auto"/>
              </w:rPr>
              <w:t>17</w:t>
            </w:r>
          </w:p>
        </w:tc>
        <w:tc>
          <w:tcPr>
            <w:tcW w:w="130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55"/>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vMerge w:val="restart"/>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3540" w:type="dxa"/>
            <w:vAlign w:val="bottom"/>
          </w:tcPr>
          <w:p>
            <w:pPr>
              <w:ind w:left="260"/>
              <w:spacing w:after="0"/>
              <w:rPr>
                <w:sz w:val="20"/>
                <w:szCs w:val="20"/>
                <w:color w:val="auto"/>
              </w:rPr>
            </w:pPr>
            <w:r>
              <w:rPr>
                <w:rFonts w:ascii="Arial" w:cs="Arial" w:eastAsia="Arial" w:hAnsi="Arial"/>
                <w:sz w:val="18"/>
                <w:szCs w:val="18"/>
                <w:color w:val="auto"/>
              </w:rPr>
              <w:t>related</w:t>
            </w:r>
          </w:p>
        </w:tc>
        <w:tc>
          <w:tcPr>
            <w:tcW w:w="82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Provision for credit losses - brokerage</w:t>
            </w:r>
          </w:p>
        </w:tc>
        <w:tc>
          <w:tcPr>
            <w:tcW w:w="8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3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related</w:t>
            </w:r>
          </w:p>
        </w:tc>
        <w:tc>
          <w:tcPr>
            <w:tcW w:w="820" w:type="dxa"/>
            <w:vAlign w:val="bottom"/>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Customer experience</w:t>
            </w:r>
          </w:p>
        </w:tc>
        <w:tc>
          <w:tcPr>
            <w:tcW w:w="82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3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Operations costs increased by $9 million and $21 million for the three and nine months ended September 30, 2024, primarily due to increases of $6 million and $30 million of provision for credit card losses.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Digital marketing</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Brand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Employee compensation, benefits, and</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5"/>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overhead, excluding SBC</w:t>
            </w:r>
          </w:p>
        </w:tc>
        <w:tc>
          <w:tcPr>
            <w:tcW w:w="2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Robinhood referral program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Marketing costs increased by $31 million and $111 million for the three and nine months ended September 30, 2024, primarily due to higher expenses in digital marketing of $15 million and $61 million, brand marketing of $3 million and $ 19 million as well as other marketing of $5 million and $15 million, as we increased our investments in paid marketing channels and other marketing initiatives to promote our brand, products, and services. In addition, employee compensation, benefits, and overhead increased by $4 million and $8 million driven by increased average headcount to support increased marketing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Employee compensation, benefits,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overhead, excluding SBC</w:t>
            </w:r>
          </w:p>
        </w:tc>
        <w:tc>
          <w:tcPr>
            <w:tcW w:w="28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4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SBC excluding 2021 Founders Award</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Cancellation</w:t>
            </w:r>
          </w:p>
        </w:tc>
        <w:tc>
          <w:tcPr>
            <w:tcW w:w="2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expenses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Other professional fees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and penalties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SBC related to 2021 Founders Award</w:t>
            </w:r>
          </w:p>
        </w:tc>
        <w:tc>
          <w:tcPr>
            <w:tcW w:w="28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20" w:type="dxa"/>
            <w:vAlign w:val="bottom"/>
            <w:gridSpan w:val="2"/>
            <w:vMerge w:val="restart"/>
          </w:tcPr>
          <w:p>
            <w:pPr>
              <w:ind w:left="10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Cancellation</w:t>
            </w:r>
          </w:p>
        </w:tc>
        <w:tc>
          <w:tcPr>
            <w:tcW w:w="28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2"/>
        </w:trPr>
        <w:tc>
          <w:tcPr>
            <w:tcW w:w="3240" w:type="dxa"/>
            <w:vAlign w:val="bottom"/>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costs decreased by $97 million and $651 million for the three and nine months ended September 30, 2024, primarily due to decreases of $94 million and $95 million in settlements and penalties and $8 million and $18 million in legal expenses associated with certain historical regulatory matters. In addition, other SBC decreased by $1 million and $64 million attributed to stock awards becoming fully vested in prior periods. The decrease for the nine months ended September 30, 2024 was also due to the 2021 Founders Award Cancellation of $485 million which occurred during the first quarter in 2023.</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Income Taxes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240" w:type="dxa"/>
            <w:vAlign w:val="bottom"/>
            <w:gridSpan w:val="4"/>
          </w:tcPr>
          <w:p>
            <w:pPr>
              <w:jc w:val="center"/>
              <w:ind w:left="22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Pr>
          <w:p>
            <w:pPr>
              <w:spacing w:after="0"/>
              <w:rPr>
                <w:sz w:val="14"/>
                <w:szCs w:val="14"/>
                <w:color w:val="auto"/>
              </w:rPr>
            </w:pPr>
          </w:p>
        </w:tc>
      </w:tr>
      <w:tr>
        <w:trPr>
          <w:trHeight w:val="185"/>
        </w:trPr>
        <w:tc>
          <w:tcPr>
            <w:tcW w:w="29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5"/>
        </w:trPr>
        <w:tc>
          <w:tcPr>
            <w:tcW w:w="2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top w:val="single" w:sz="8" w:color="auto"/>
            </w:tcBorders>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Provision for income taxes decreased by $7 million for the three months ended September 30, 2024 primarily due to the decrease in our current U.S. federal and state taxes payable as a result of an increase in excess tax benefits from share-based compensation, offset by the change in valuation allowance on our U.S. federal and state deferred tax assets.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Provision for income taxes increased by $2 million for the nine months ended September 30, 2024 primarily due to the increase in our current U.S. federal and state taxes payable as a result of business growth, offset by the change in valuation allowance on our U.S. federal and state deferred tax assets.</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the improvements in the U.S. operating results continue, we believe a reasonable probability exists that, within the next 24 months, sufficient positive evidence may become available to reach a conclusion that a significant portion of the U.S. valuation allowance would no longer be required.</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Sources and Uses of Funds</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principal sources of liquidity are cash flows generated from operations and our cash, cash equivalents, and investments. Other sources of future funds may include potential borrowing under our revolving lines of credit and potential issuance of new debt or equity. Our liquidity needs are primarily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Depository Trust Company (“DTC”), the NSCC, and the Options Clearing Corporation (“OCC”)). Based on our current level of operations, we believe our primary sources of liquidity will be adequate to meet our current liquidity needs for the next 12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 Assets</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September 30, 2024, our cash and cash equivalents were $4.61 billion, which included a $750 million liquid investment portfolio of available-for-sale securities. Held-to-maturity investments maturing within one year can also be a source of liquidity and were $527 million as of September 30, 2024. See Note 6 - Investments and Fair Value Measurement, to our unaudited condensed consolidated financial statements in this Quarterly Report for further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 and Credit Card Funding Trust</w:t>
      </w:r>
    </w:p>
    <w:p>
      <w:pPr>
        <w:spacing w:after="0" w:line="19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September 30, 2024, we had a total of $3.00 billion in committed revolving credit facilities and a borrowing amount up to $100 million for our Credit Card Funding Trust. See Note 10 - Financing Activities and Off-Balance Sheet Risk, to our unaudited condensed consolidated financial statements in this Quarterly Report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83"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The following table summarizes our short- and long-term material cash requirements for contractual obligations as of September 30, 2024:</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10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3"/>
        </w:trPr>
        <w:tc>
          <w:tcPr>
            <w:tcW w:w="4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rPr>
              <w:t>Remainder of</w:t>
            </w:r>
          </w:p>
        </w:tc>
        <w:tc>
          <w:tcPr>
            <w:tcW w:w="1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4"/>
        </w:trPr>
        <w:tc>
          <w:tcPr>
            <w:tcW w:w="47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ind w:left="4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740" w:type="dxa"/>
            <w:vAlign w:val="bottom"/>
          </w:tcPr>
          <w:p>
            <w:pPr>
              <w:jc w:val="right"/>
              <w:ind w:right="488"/>
              <w:spacing w:after="0"/>
              <w:rPr>
                <w:sz w:val="20"/>
                <w:szCs w:val="20"/>
                <w:color w:val="auto"/>
              </w:rPr>
            </w:pPr>
            <w:r>
              <w:rPr>
                <w:rFonts w:ascii="Arial" w:cs="Arial" w:eastAsia="Arial" w:hAnsi="Arial"/>
                <w:sz w:val="14"/>
                <w:szCs w:val="14"/>
                <w:b w:val="1"/>
                <w:bCs w:val="1"/>
                <w:color w:val="auto"/>
              </w:rPr>
              <w:t>2025-2026</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2027-2028</w:t>
            </w: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Thereafter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20" w:type="dxa"/>
            <w:vAlign w:val="bottom"/>
          </w:tcPr>
          <w:p>
            <w:pPr>
              <w:ind w:left="20"/>
              <w:spacing w:after="0"/>
              <w:rPr>
                <w:sz w:val="20"/>
                <w:szCs w:val="20"/>
                <w:color w:val="auto"/>
              </w:rPr>
            </w:pPr>
            <w:r>
              <w:rPr>
                <w:rFonts w:ascii="Arial" w:cs="Arial" w:eastAsia="Arial" w:hAnsi="Arial"/>
                <w:sz w:val="18"/>
                <w:szCs w:val="18"/>
                <w:color w:val="auto"/>
              </w:rPr>
              <w:t>Operating lease commitments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8"/>
        </w:trPr>
        <w:tc>
          <w:tcPr>
            <w:tcW w:w="4720" w:type="dxa"/>
            <w:vAlign w:val="bottom"/>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(1)</w:t>
            </w:r>
          </w:p>
        </w:tc>
        <w:tc>
          <w:tcPr>
            <w:tcW w:w="180" w:type="dxa"/>
            <w:vAlign w:val="bottom"/>
          </w:tcPr>
          <w:p>
            <w:pPr>
              <w:spacing w:after="0"/>
              <w:rPr>
                <w:sz w:val="24"/>
                <w:szCs w:val="24"/>
                <w:color w:val="auto"/>
              </w:rPr>
            </w:pPr>
          </w:p>
        </w:tc>
      </w:tr>
      <w:tr>
        <w:trPr>
          <w:trHeight w:val="270"/>
        </w:trPr>
        <w:tc>
          <w:tcPr>
            <w:tcW w:w="4720" w:type="dxa"/>
            <w:vAlign w:val="bottom"/>
          </w:tcPr>
          <w:p>
            <w:pPr>
              <w:ind w:left="20"/>
              <w:spacing w:after="0"/>
              <w:rPr>
                <w:sz w:val="20"/>
                <w:szCs w:val="20"/>
                <w:color w:val="auto"/>
              </w:rPr>
            </w:pPr>
            <w:r>
              <w:rPr>
                <w:rFonts w:ascii="Arial" w:cs="Arial" w:eastAsia="Arial" w:hAnsi="Arial"/>
                <w:sz w:val="18"/>
                <w:szCs w:val="18"/>
                <w:color w:val="auto"/>
              </w:rPr>
              <w:t>Robinhood match incentives commitments</w:t>
            </w:r>
            <w:r>
              <w:rPr>
                <w:rFonts w:ascii="Arial" w:cs="Arial" w:eastAsia="Arial" w:hAnsi="Arial"/>
                <w:sz w:val="23"/>
                <w:szCs w:val="23"/>
                <w:color w:val="auto"/>
                <w:vertAlign w:val="superscript"/>
              </w:rPr>
              <w:t>(2)</w:t>
            </w:r>
          </w:p>
        </w:tc>
        <w:tc>
          <w:tcPr>
            <w:tcW w:w="180" w:type="dxa"/>
            <w:vAlign w:val="bottom"/>
          </w:tcPr>
          <w:p>
            <w:pPr>
              <w:spacing w:after="0"/>
              <w:rPr>
                <w:sz w:val="23"/>
                <w:szCs w:val="23"/>
                <w:color w:val="auto"/>
              </w:rPr>
            </w:pPr>
          </w:p>
        </w:tc>
      </w:tr>
      <w:tr>
        <w:trPr>
          <w:trHeight w:val="239"/>
        </w:trPr>
        <w:tc>
          <w:tcPr>
            <w:tcW w:w="4720" w:type="dxa"/>
            <w:vAlign w:val="bottom"/>
          </w:tcPr>
          <w:p>
            <w:pPr>
              <w:ind w:left="20"/>
              <w:spacing w:after="0"/>
              <w:rPr>
                <w:sz w:val="20"/>
                <w:szCs w:val="20"/>
                <w:color w:val="auto"/>
              </w:rPr>
            </w:pPr>
            <w:r>
              <w:rPr>
                <w:rFonts w:ascii="Arial" w:cs="Arial" w:eastAsia="Arial" w:hAnsi="Arial"/>
                <w:sz w:val="18"/>
                <w:szCs w:val="18"/>
                <w:color w:val="auto"/>
              </w:rPr>
              <w:t>Credit Card Funding Trust borrowing principal and interest</w:t>
            </w:r>
          </w:p>
        </w:tc>
        <w:tc>
          <w:tcPr>
            <w:tcW w:w="180" w:type="dxa"/>
            <w:vAlign w:val="bottom"/>
          </w:tcPr>
          <w:p>
            <w:pPr>
              <w:spacing w:after="0"/>
              <w:rPr>
                <w:sz w:val="20"/>
                <w:szCs w:val="20"/>
                <w:color w:val="auto"/>
              </w:rPr>
            </w:pPr>
          </w:p>
        </w:tc>
      </w:tr>
      <w:tr>
        <w:trPr>
          <w:trHeight w:val="283"/>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6"/>
        </w:trPr>
        <w:tc>
          <w:tcPr>
            <w:tcW w:w="4720" w:type="dxa"/>
            <w:vAlign w:val="bottom"/>
          </w:tcPr>
          <w:p>
            <w:pPr>
              <w:spacing w:after="0"/>
              <w:rPr>
                <w:sz w:val="20"/>
                <w:szCs w:val="20"/>
                <w:color w:val="auto"/>
              </w:rPr>
            </w:pPr>
            <w:r>
              <w:rPr>
                <w:rFonts w:ascii="Arial" w:cs="Arial" w:eastAsia="Arial" w:hAnsi="Arial"/>
                <w:sz w:val="14"/>
                <w:szCs w:val="14"/>
                <w:color w:val="auto"/>
              </w:rPr>
              <w:t>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125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740</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4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1,068</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-556260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-213995</wp:posOffset>
            </wp:positionV>
            <wp:extent cx="713232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4900" w:space="560"/>
            <w:col w:w="5780"/>
          </w:cols>
          <w:pgMar w:left="320" w:top="122" w:right="339" w:bottom="1440" w:gutter="0" w:footer="0" w:header="0"/>
          <w:type w:val="continuous"/>
        </w:sectPr>
      </w:pPr>
    </w:p>
    <w:p>
      <w:pPr>
        <w:ind w:left="260" w:hanging="171"/>
        <w:spacing w:after="0" w:line="218" w:lineRule="auto"/>
        <w:tabs>
          <w:tab w:leader="none" w:pos="266"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Purchase commitments are determined based on the non-cancelable quantities or termination amounts to which we are contractually obligated. These primarily relate to commitments for cloud infrastructure and data services and business insurance.</w:t>
      </w:r>
    </w:p>
    <w:p>
      <w:pPr>
        <w:spacing w:after="0" w:line="1" w:lineRule="exact"/>
        <w:rPr>
          <w:rFonts w:ascii="Arial" w:cs="Arial" w:eastAsia="Arial" w:hAnsi="Arial"/>
          <w:sz w:val="19"/>
          <w:szCs w:val="19"/>
          <w:color w:val="auto"/>
          <w:vertAlign w:val="superscript"/>
        </w:rPr>
      </w:pPr>
    </w:p>
    <w:p>
      <w:pPr>
        <w:ind w:left="260" w:hanging="171"/>
        <w:spacing w:after="0" w:line="284" w:lineRule="auto"/>
        <w:tabs>
          <w:tab w:leader="none" w:pos="266" w:val="left"/>
        </w:tabs>
        <w:numPr>
          <w:ilvl w:val="0"/>
          <w:numId w:val="17"/>
        </w:numPr>
        <w:rPr>
          <w:rFonts w:ascii="Arial" w:cs="Arial" w:eastAsia="Arial" w:hAnsi="Arial"/>
          <w:sz w:val="9"/>
          <w:szCs w:val="9"/>
          <w:color w:val="auto"/>
        </w:rPr>
      </w:pPr>
      <w:r>
        <w:rPr>
          <w:rFonts w:ascii="Arial" w:cs="Arial" w:eastAsia="Arial" w:hAnsi="Arial"/>
          <w:sz w:val="14"/>
          <w:szCs w:val="14"/>
          <w:color w:val="auto"/>
        </w:rPr>
        <w:t>Robinhood match incentives commitments represent non-cancelable future match payments on eligible cash deposits made by Robinhood Gold users. The future match payments are forfeited if deposits are not held on the platform during the specific earning period.</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to lease and purchase commitments, we have two committed financing agreements: one with a contractual term of 30 days and a daily minimum commitment of $25 million and another with a contractual term of 21 days with a daily minimum commitment of $35 million.</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 Capital Requirements</w:t>
      </w:r>
    </w:p>
    <w:p>
      <w:pPr>
        <w:spacing w:after="0" w:line="21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broker-dealer subsidiaries (RHF and RHS) are subject to Rule 15c3-1 (the "SEC Uniform Net Capital Rule") under the Exchange Act, administered by the SEC and FINRA, which requires the maintenance of minimum net capital, as defined. Net capital and the related net capital requirements may fluctuate on a daily basis. RHS and RHF compute net capital under the alternative method as permitted by the SEC Uniform Net Capital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net capital, capital requirements, and excess net capital of RHS and RHF as of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Net Capital in Excess</w:t>
            </w:r>
          </w:p>
        </w:tc>
        <w:tc>
          <w:tcPr>
            <w:tcW w:w="0" w:type="dxa"/>
            <w:vAlign w:val="bottom"/>
          </w:tcPr>
          <w:p>
            <w:pPr>
              <w:spacing w:after="0"/>
              <w:rPr>
                <w:sz w:val="1"/>
                <w:szCs w:val="1"/>
                <w:color w:val="auto"/>
              </w:rPr>
            </w:pPr>
          </w:p>
        </w:tc>
      </w:tr>
      <w:tr>
        <w:trPr>
          <w:trHeight w:val="144"/>
        </w:trPr>
        <w:tc>
          <w:tcPr>
            <w:tcW w:w="6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 Capital</w:t>
            </w: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180" w:type="dxa"/>
            <w:vAlign w:val="bottom"/>
          </w:tcPr>
          <w:p>
            <w:pPr>
              <w:spacing w:after="0"/>
              <w:rPr>
                <w:sz w:val="12"/>
                <w:szCs w:val="12"/>
                <w:color w:val="auto"/>
              </w:rPr>
            </w:pPr>
          </w:p>
        </w:tc>
        <w:tc>
          <w:tcPr>
            <w:tcW w:w="1400" w:type="dxa"/>
            <w:vAlign w:val="bottom"/>
          </w:tcPr>
          <w:p>
            <w:pPr>
              <w:jc w:val="center"/>
              <w:ind w:right="99"/>
              <w:spacing w:after="0" w:line="145"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89"/>
        </w:trPr>
        <w:tc>
          <w:tcPr>
            <w:tcW w:w="6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Arial" w:cs="Arial" w:eastAsia="Arial" w:hAnsi="Arial"/>
                <w:sz w:val="18"/>
                <w:szCs w:val="18"/>
                <w:color w:val="auto"/>
              </w:rPr>
              <w:t>RHF</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2024, our broker-dealer subsidiaries were in compliance with their respective regulatory capital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activities: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1,243</w:t>
            </w: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(579)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9"/>
        </w:trPr>
        <w:tc>
          <w:tcPr>
            <w:tcW w:w="822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0"/>
                <w:szCs w:val="20"/>
                <w:color w:val="auto"/>
              </w:rPr>
            </w:pPr>
          </w:p>
        </w:tc>
        <w:tc>
          <w:tcPr>
            <w:tcW w:w="1100" w:type="dxa"/>
            <w:vAlign w:val="bottom"/>
          </w:tcPr>
          <w:p>
            <w:pPr>
              <w:ind w:left="660"/>
              <w:spacing w:after="0"/>
              <w:rPr>
                <w:sz w:val="20"/>
                <w:szCs w:val="20"/>
                <w:color w:val="auto"/>
              </w:rPr>
            </w:pPr>
            <w:r>
              <w:rPr>
                <w:rFonts w:ascii="Arial" w:cs="Arial" w:eastAsia="Arial" w:hAnsi="Arial"/>
                <w:sz w:val="18"/>
                <w:szCs w:val="18"/>
                <w:color w:val="auto"/>
                <w:w w:val="99"/>
              </w:rPr>
              <w:t>(619)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provided by operating activities increased $1.02 billion primarily driven by increased net income of $1.07 billion, partially offset by a decrease in non-cash add-backs driven by higher SBC expense in 2023 as a result of the 2021 Founders Award Cancellation. Further, changes in operating assets and liabilities had a positive impact on our cash provided by operating activities. These changes primarily included an increase in securities loaned due to continuous growth in our securities lending program. The increase was offset by an increase in receivables from users, net due to higher customer margin balance, driven by increased customer activities.</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Cash used in investing activities decreased $397 million compared to the prior period. The change was primarily driven by a decrease of $182 million from fewer purchases of held-to-maturity investments and an increase of $272 million related to proceeds from maturities of held-to-maturity investments.</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Cash used in financing activities decreased $452 million compared to the prior period primarily driven by a $511 million decrease in funds spent on common stock repurchases and $95 million in borrowings under our Credit Card Funding Trust to purchase credit card receivables. The decrease was partially offset by an increase of $146 million in taxes paid related to net share settlement of equity awards.</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Estimates</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unaudited condensed consolidated financial statements requires estimates and assumptions that affect the reported amounts of assets and liabilities, revenues and expenses, and related disclosures of contingent liabilities on our unaudited condensed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We also have other key accounting policies, which involve the use of estimates, judgments, and assumptions that are significant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understanding our results. Although we believe that our estimates, assumptions, and judgments are reasonable, they are based upon information presently available. Actual results might differ significantly from these estimates under different assumptions, judgments, or conditions.</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have been no material changes to our critical accounting estimates during the nine months ended September 30, 2024, as compared to those disclosed in “Management’s Discussion and Analysis of Financial Condition and Results of Operations — Critical Accounting Estimates” in our 2023 Form 10-K.</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 of Part I, “Unaudited Financial Statements — Note 2 - 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ITEM 3. QUANTITATIVE AND QUALITATIVE DISCLOSURES ABOUT MARKET RISK</w:t>
      </w:r>
    </w:p>
    <w:p>
      <w:pPr>
        <w:spacing w:after="0" w:line="20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exposure to changes in interest rates primarily relates to interest revenue earned on our interest-earning assets that are subject to</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floating interest rates. Interest revenue is affected by various factors such as the distribution and composition of interest-earning assets and the federal funds rate. We use a net interest sensitivity analysis, which applies hypothetical 50, 100 or 150 basis point increases or</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decreases in interest rates to the period end balances of our interest-earning assets and liabilities, including interest rate sensitive off-balance sheet amounts related to our Coastal Bank Program Agreement, to evaluate the effect that changes in interest rates might have on total net revenues, net income (loss), and cash flows, prior to any income tax effects, over the next 12 months.</w:t>
      </w:r>
    </w:p>
    <w:p>
      <w:pPr>
        <w:spacing w:after="0" w:line="20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w:t>
      </w:r>
    </w:p>
    <w:p>
      <w:pPr>
        <w:spacing w:after="0" w:line="2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impact to total net revenues, net income (loss), and cash flows, prior to any income tax effects, as a result of a hypothetical interest rate change at the end of each reporting period would be: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r>
      <w:tr>
        <w:trPr>
          <w:trHeight w:val="197"/>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7"/>
                <w:szCs w:val="17"/>
                <w:color w:val="auto"/>
              </w:rPr>
            </w:pPr>
          </w:p>
        </w:tc>
        <w:tc>
          <w:tcPr>
            <w:tcW w:w="120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basis point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99"/>
              </w:rPr>
              <w:t>86</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100 basis point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center"/>
              <w:ind w:left="615"/>
              <w:spacing w:after="0"/>
              <w:rPr>
                <w:sz w:val="20"/>
                <w:szCs w:val="20"/>
                <w:color w:val="auto"/>
              </w:rPr>
            </w:pPr>
            <w:r>
              <w:rPr>
                <w:rFonts w:ascii="Arial" w:cs="Arial" w:eastAsia="Arial" w:hAnsi="Arial"/>
                <w:sz w:val="18"/>
                <w:szCs w:val="18"/>
                <w:color w:val="auto"/>
                <w:w w:val="99"/>
              </w:rPr>
              <w:t>171</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150 basis point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5"/>
              <w:spacing w:after="0"/>
              <w:rPr>
                <w:sz w:val="20"/>
                <w:szCs w:val="20"/>
                <w:color w:val="auto"/>
              </w:rPr>
            </w:pPr>
            <w:r>
              <w:rPr>
                <w:rFonts w:ascii="Arial" w:cs="Arial" w:eastAsia="Arial" w:hAnsi="Arial"/>
                <w:sz w:val="18"/>
                <w:szCs w:val="18"/>
                <w:color w:val="auto"/>
                <w:w w:val="99"/>
              </w:rPr>
              <w:t>257</w:t>
            </w:r>
          </w:p>
        </w:tc>
      </w:tr>
    </w:tbl>
    <w:p>
      <w:pPr>
        <w:spacing w:after="0" w:line="30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change to total net revenues, net income (loss), and cash flows, prior to any income tax effects, would be the same as total net revenues includes net interest revenue, which captures both the impact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incremental interest revenue and interest expense, and changes in interest rates do not have a direct impact on operating expenses. The impact related to the change in interest rates is positively correlated, linear, and proportional. The change in the sensitivity analysis from prior year is in line with the change in interest-earning asset balances.</w:t>
      </w:r>
    </w:p>
    <w:p>
      <w:pPr>
        <w:spacing w:after="0" w:line="2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investment policy and strategy are focused on the preservation of capital and supporting our liquidity requirements. We invest in highly-rated debt securities that were considered held-to-maturity investments with average duration in the portfolio less than a year and the maximum maturity of two years.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September 30, 2024, a hypothetical 100 basis point increase in interest rates across all maturities would not be significant. Any losses would only be realized if we sold the investments prior to maturity.</w:t>
      </w:r>
    </w:p>
    <w:p>
      <w:pPr>
        <w:spacing w:after="0" w:line="14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also have exposure to changes in interest rates related to our variable-rate credit facilities. See Note 10 - Financing Activities and Off-Balance Sheet Risk, to our unaudited condensed consolidated financial statements in this Quarterly Report for further information. However, as there were no outstanding borrowings under our credit facilities as of September 30, 2024, we had limited financial exposure associated with changes in interest rates as of such date.</w:t>
      </w:r>
    </w:p>
    <w:p>
      <w:pPr>
        <w:spacing w:after="0" w:line="14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established a comprehensive interest rate risk management policy, which formalizes our approach to managing interest rate risk arising in connection with the operation of our businesses. The policy sets forth policies and procedures pursuant to which we will identify interest rate risk exposure, identify and implement appropriate hedging strategies and hedging instruments, and analyze the effectiveness of our hedging strategies. Interest rate instruments will be used for hedging purposes only and not for speculation.</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Market-Related Credit Risk</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color w:val="auto"/>
        </w:rPr>
        <w:t>ITEM 4. 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Evaluation of Disclosure Controls and Procedures</w:t>
      </w:r>
    </w:p>
    <w:p>
      <w:pPr>
        <w:spacing w:after="0" w:line="2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management, with the participation of our CEO and our Chief Financial Officer (“CFO”), has evaluated the effectiveness of our disclosure controls and procedures as of the end of the period covered by this Quarterly Report. The term “disclosure controls and procedures,” as defined in Rules 13a-15(e)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15d -15(e)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CEO and CFO have concluded that, as of the end of the period covered by this Quarterly Report, our disclosure controls and procedures were effective.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Internal Control Over Financial Reporting</w:t>
      </w:r>
    </w:p>
    <w:p>
      <w:pPr>
        <w:spacing w:after="0" w:line="2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15d-15(f) under the Exchange Act) during the three months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20"/>
        <w:spacing w:after="0"/>
        <w:rPr>
          <w:sz w:val="20"/>
          <w:szCs w:val="20"/>
          <w:color w:val="auto"/>
        </w:rPr>
      </w:pPr>
      <w:r>
        <w:rPr>
          <w:rFonts w:ascii="Arial" w:cs="Arial" w:eastAsia="Arial" w:hAnsi="Arial"/>
          <w:sz w:val="36"/>
          <w:szCs w:val="36"/>
          <w:color w:val="auto"/>
        </w:rPr>
        <w:t>PART II</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auto"/>
        </w:rPr>
        <w:t>ITEM 1. LEGAL PROCEEDINGS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Item 1 of Part I, “Unaudited Financial Statements — Note 14 - Commitments &amp;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ITEM 1A. RISK FACTORS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included in this Quarterly Report, including our unaudited condensed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Quarterly Report, including statements in the following risk factors, constitute forward-looking statements. Please refer to “Cautionary Note Regarding Forward-Looking Statements.”</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color w:val="auto"/>
        </w:rPr>
        <w:t>Summary of Risk Factors</w:t>
      </w:r>
    </w:p>
    <w:p>
      <w:pPr>
        <w:spacing w:after="0" w:line="20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business is subject to a number of risks and uncertainties including those described at length in the Risk Factors section below. We consider the following to be our most material risks:</w:t>
      </w:r>
    </w:p>
    <w:p>
      <w:pPr>
        <w:spacing w:after="0" w:line="114"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We might not grow in line with historical rates.</w:t>
      </w:r>
    </w:p>
    <w:p>
      <w:pPr>
        <w:spacing w:after="0" w:line="198"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We have limited operating experience at our current scale, which subjects us to a number of uncertainties, risks, and difficulties that could adversely affect our business.</w:t>
      </w:r>
    </w:p>
    <w:p>
      <w:pPr>
        <w:spacing w:after="0" w:line="115" w:lineRule="exact"/>
        <w:rPr>
          <w:rFonts w:ascii="Arial" w:cs="Arial" w:eastAsia="Arial" w:hAnsi="Arial"/>
          <w:sz w:val="18"/>
          <w:szCs w:val="18"/>
          <w:i w:val="1"/>
          <w:iCs w:val="1"/>
          <w:color w:val="auto"/>
        </w:rPr>
      </w:pPr>
    </w:p>
    <w:p>
      <w:pPr>
        <w:ind w:left="620" w:hanging="288"/>
        <w:spacing w:after="0"/>
        <w:tabs>
          <w:tab w:leader="none" w:pos="6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results of operations and other operating metrics fluctuate from quarter to quarter, which makes these metrics difficult to predict.</w:t>
      </w:r>
    </w:p>
    <w:p>
      <w:pPr>
        <w:spacing w:after="0" w:line="184" w:lineRule="exact"/>
        <w:rPr>
          <w:rFonts w:ascii="Arial" w:cs="Arial" w:eastAsia="Arial" w:hAnsi="Arial"/>
          <w:sz w:val="18"/>
          <w:szCs w:val="18"/>
          <w:i w:val="1"/>
          <w:iCs w:val="1"/>
          <w:color w:val="auto"/>
        </w:rPr>
      </w:pPr>
    </w:p>
    <w:p>
      <w:pPr>
        <w:ind w:left="620" w:hanging="288"/>
        <w:spacing w:after="0"/>
        <w:tabs>
          <w:tab w:leader="none" w:pos="6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We have incurred operating losses in the past and might not be profitable in the future.</w:t>
      </w:r>
    </w:p>
    <w:p>
      <w:pPr>
        <w:spacing w:after="0" w:line="198" w:lineRule="exact"/>
        <w:rPr>
          <w:rFonts w:ascii="Arial" w:cs="Arial" w:eastAsia="Arial" w:hAnsi="Arial"/>
          <w:sz w:val="18"/>
          <w:szCs w:val="18"/>
          <w:i w:val="1"/>
          <w:iCs w:val="1"/>
          <w:color w:val="auto"/>
        </w:rPr>
      </w:pPr>
    </w:p>
    <w:p>
      <w:pPr>
        <w:jc w:val="both"/>
        <w:ind w:left="660" w:hanging="328"/>
        <w:spacing w:after="0" w:line="26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Factors that affect transaction-based revenue — such as reduced spreads in securities pricing, reduced levels of trading activity generally, changes in our business relationships with market makers, and any new regulation of, or any bans on, PFOF and similar practices — might result in reduced profitability, increased compliance costs, and negative publicity.</w:t>
      </w:r>
    </w:p>
    <w:p>
      <w:pPr>
        <w:spacing w:after="0" w:line="119" w:lineRule="exact"/>
        <w:rPr>
          <w:rFonts w:ascii="Arial" w:cs="Arial" w:eastAsia="Arial" w:hAnsi="Arial"/>
          <w:sz w:val="18"/>
          <w:szCs w:val="18"/>
          <w:color w:val="auto"/>
        </w:rPr>
      </w:pPr>
    </w:p>
    <w:p>
      <w:pPr>
        <w:ind w:left="660" w:hanging="328"/>
        <w:spacing w:after="0" w:line="269" w:lineRule="auto"/>
        <w:tabs>
          <w:tab w:leader="none" w:pos="62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We are directly and indirectly exposed to fluctuations in interest rates, and rapidly changing interest rate environments will and could continue to reduce our net interest revenues and otherwise result in reduced profitability.</w:t>
      </w:r>
    </w:p>
    <w:p>
      <w:pPr>
        <w:spacing w:after="0" w:line="197"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132"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media coverage and other events that harm our brand and reputation could adversely affect our revenue and the size, engagement, and loyalty of our customer base.</w:t>
      </w:r>
    </w:p>
    <w:p>
      <w:pPr>
        <w:spacing w:after="0" w:line="129"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business has been and might continue to be harmed by changes in business, economic, or political conditions that impact global financial markets, or by a systemic market event.</w:t>
      </w:r>
    </w:p>
    <w:p>
      <w:pPr>
        <w:spacing w:after="0" w:line="115"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success depends on the continuing efforts of our key employees and our ability to attract and retain senior management and other highly skilled personnel.</w:t>
      </w:r>
    </w:p>
    <w:p>
      <w:pPr>
        <w:spacing w:after="0" w:line="115" w:lineRule="exact"/>
        <w:rPr>
          <w:rFonts w:ascii="Arial" w:cs="Arial" w:eastAsia="Arial" w:hAnsi="Arial"/>
          <w:sz w:val="18"/>
          <w:szCs w:val="18"/>
          <w:i w:val="1"/>
          <w:iCs w:val="1"/>
          <w:color w:val="auto"/>
        </w:rPr>
      </w:pPr>
    </w:p>
    <w:p>
      <w:pPr>
        <w:ind w:left="660" w:right="20" w:hanging="328"/>
        <w:spacing w:after="0" w:line="285" w:lineRule="auto"/>
        <w:tabs>
          <w:tab w:leader="none" w:pos="62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We recently started operating in certain international markets and plan to further expand our international operations, which exposes us to significant new risks, and our international expansion efforts might not succeed.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328"/>
        <w:spacing w:after="0" w:line="267"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46"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32"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 are involved in numerous litigation matters that are expensive and time consuming, and, if resolved adversely, could expose us to significant liability and reputational harm.</w:t>
      </w:r>
    </w:p>
    <w:p>
      <w:pPr>
        <w:spacing w:after="0" w:line="115"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29" w:lineRule="exact"/>
        <w:rPr>
          <w:rFonts w:ascii="Arial" w:cs="Arial" w:eastAsia="Arial" w:hAnsi="Arial"/>
          <w:sz w:val="18"/>
          <w:szCs w:val="18"/>
          <w:i w:val="1"/>
          <w:iCs w:val="1"/>
          <w:color w:val="auto"/>
        </w:rPr>
      </w:pPr>
    </w:p>
    <w:p>
      <w:pPr>
        <w:ind w:left="660" w:right="2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If we fail to retain existing customers or attract new customers, or if our customers decrease their use of our products and services, our revenue will decline.</w:t>
      </w:r>
    </w:p>
    <w:p>
      <w:pPr>
        <w:spacing w:after="0" w:line="115"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If we fail to provide and monetize new and innovative products and services that are adopted by customers, our business may become less competitive and our revenue might decline.</w:t>
      </w:r>
    </w:p>
    <w:p>
      <w:pPr>
        <w:spacing w:after="0" w:line="115"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spacing w:after="0" w:line="146"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 rely on third parties to perform some key functions, and their failure to perform those functions could adversely affect our business, financial condition and results of operations.</w:t>
      </w:r>
    </w:p>
    <w:p>
      <w:pPr>
        <w:spacing w:after="0" w:line="115"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 are incorporating AI technologies into some of our products and processes. These technologies may present business, compliance, and reputational risks.</w:t>
      </w:r>
    </w:p>
    <w:p>
      <w:pPr>
        <w:spacing w:after="0" w:line="115" w:lineRule="exact"/>
        <w:rPr>
          <w:rFonts w:ascii="Arial" w:cs="Arial" w:eastAsia="Arial" w:hAnsi="Arial"/>
          <w:sz w:val="18"/>
          <w:szCs w:val="18"/>
          <w:i w:val="1"/>
          <w:iCs w:val="1"/>
          <w:color w:val="auto"/>
        </w:rPr>
      </w:pPr>
    </w:p>
    <w:p>
      <w:pPr>
        <w:ind w:left="660" w:right="2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29"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If we do not maintain the net capital levels required by regulators, our broker-dealer business may be restricted and we may be fined or subject to other disciplinary or corrective actions.</w:t>
      </w:r>
    </w:p>
    <w:p>
      <w:pPr>
        <w:spacing w:after="0" w:line="115"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15" w:lineRule="exact"/>
        <w:rPr>
          <w:rFonts w:ascii="Arial" w:cs="Arial" w:eastAsia="Arial" w:hAnsi="Arial"/>
          <w:sz w:val="18"/>
          <w:szCs w:val="18"/>
          <w:i w:val="1"/>
          <w:iCs w:val="1"/>
          <w:color w:val="auto"/>
        </w:rPr>
      </w:pPr>
    </w:p>
    <w:p>
      <w:pPr>
        <w:jc w:val="both"/>
        <w:ind w:left="660" w:hanging="328"/>
        <w:spacing w:after="0" w:line="262"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spacing w:after="0" w:line="149"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 the United States,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132"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Cryptocurrency laws, regulations, and accounting standards are often difficult to interpret and are rapidly evolving in ways that are difficult to predict. Changes in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 our failure to comply with them, could negatively impact cryptocurrency trading on our platforms.</w:t>
      </w:r>
    </w:p>
    <w:p>
      <w:pPr>
        <w:spacing w:after="0" w:line="198" w:lineRule="exact"/>
        <w:rPr>
          <w:sz w:val="20"/>
          <w:szCs w:val="20"/>
          <w:color w:val="auto"/>
        </w:rPr>
      </w:pPr>
    </w:p>
    <w:p>
      <w:pPr>
        <w:jc w:val="both"/>
        <w:ind w:left="660" w:hanging="328"/>
        <w:spacing w:after="0" w:line="262" w:lineRule="auto"/>
        <w:tabs>
          <w:tab w:leader="none" w:pos="628"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Our support for Crypto Transfers, Robinhood Wallet, Robinhood Connect, the Robinhood Cash Card, Robinhood Credit, Spending Account, and other payments and spending services increases the risk that our platforms could be exploited to facilitate illegal payments, potentially resulting in loss of customer assets, customer disputes, and other liabilities, which could harm our reputation and adversely impact trading volumes and transaction-based revenues.</w:t>
      </w:r>
    </w:p>
    <w:p>
      <w:pPr>
        <w:spacing w:after="0" w:line="135"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spacing w:after="0" w:line="132"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grow in line with historical rates.</w:t>
      </w:r>
    </w:p>
    <w:p>
      <w:pPr>
        <w:spacing w:after="0" w:line="18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We have grown rapidly since our founding. However, the circumstances that accelerated the growth of our business in the past, including an extended period of general macroeconomic growth in the U.S., as well as growth in the financial services and technology industries, have</w:t>
      </w:r>
    </w:p>
    <w:p>
      <w:pPr>
        <w:jc w:val="both"/>
        <w:spacing w:after="0" w:line="237" w:lineRule="auto"/>
        <w:rPr>
          <w:sz w:val="20"/>
          <w:szCs w:val="20"/>
          <w:color w:val="auto"/>
        </w:rPr>
      </w:pPr>
      <w:r>
        <w:rPr>
          <w:rFonts w:ascii="Arial" w:cs="Arial" w:eastAsia="Arial" w:hAnsi="Arial"/>
          <w:sz w:val="18"/>
          <w:szCs w:val="18"/>
          <w:color w:val="auto"/>
        </w:rPr>
        <w:t>slowed in recent years and may not exist in the future. You should not rely on our revenue or key business metrics for any previous quarterly or annual period as any indication of our revenue, revenue growth, key business metrics or key business metrics growth in future periods.</w:t>
      </w:r>
    </w:p>
    <w:p>
      <w:pPr>
        <w:spacing w:after="0" w:line="20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 Any failure to successfully address these risks and challenges as we encounter them, will negatively affect our growth. If our revenue growth rate continues to decline, investors’ perceptions of our business and the trading price of our Class A common stock could be adversely affected.</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limited operating experience at our current scale, which subjects us to a number of uncertainties, risks, and difficulties that could adversely affect our business.</w:t>
      </w:r>
    </w:p>
    <w:p>
      <w:pPr>
        <w:spacing w:after="0" w:line="15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have expanded our operations rapidly, including continuing to introduce new products and services in our platforms, and have limited operating experience at our current scale, which makes it difficult to evaluate our current business and future prospects, and subjects us to a number of uncertainties, including our ability to plan for, model, and manage potential future growth and risks. As a result of the general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downturn in economic conditions and the U.S. equity markets in 2022, we announced two restructurings in April 2022 (the “April 2022 Restructuring”) and August 2022 (the “August 2022 Restructuring”) that impacted approximately 1,100 employees and scaled back hiring</w:t>
      </w:r>
    </w:p>
    <w:p>
      <w:pPr>
        <w:spacing w:after="0" w:line="2"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plans. As part of our ongoing efforts in the normal course of business, we continuously evaluate whether we are appropriately staffed to be cost efficient. From time to time we have reduced our staff in certain departments as we saw increased productivity and opportunities for greater efficiency under a leaner operating model while continuing to deliver great service and innovation for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Such efforts to control costs have in the past resulted, and might in the future continue to result in reduced productivity and deteriorating workforce morale, which can cause our business initiatives to suffer. However, if market conditions improve, we also face a risk that renewed business growth could strain our existing resources, or that we are not able to effectively scale up in response, and we could experience ongoing operating difficulties in managing our business across numerous jurisdictions, including difficulties in hiring, training, and managing a dispersed employee base.</w:t>
      </w:r>
    </w:p>
    <w:p>
      <w:pPr>
        <w:spacing w:after="0" w:line="20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We might fail to adequately address these and other challenges we may face, and our business might be adversely affected if we do not manage these risks successfully.</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results of operations and other operating metrics fluctuate from quarter to quarter, which makes these metrics difficult to predict.</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spacing w:after="0" w:line="210"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retain and engage existing customers and attract new customers;</w:t>
      </w:r>
    </w:p>
    <w:p>
      <w:pPr>
        <w:spacing w:after="0" w:line="184"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and success of new product and service introductions by us or our competitors, or other changes in the competitive landscape of our market;</w:t>
      </w:r>
    </w:p>
    <w:p>
      <w:pPr>
        <w:spacing w:after="0" w:line="115"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volatility in the market generally or the occurrence of so-called “meme” trading in equities, options, cryptocurrencies, or commodity interests (including event contracts) which can cause our trading volumes to fluctuate;</w:t>
      </w:r>
    </w:p>
    <w:p>
      <w:pPr>
        <w:spacing w:after="0" w:line="129" w:lineRule="exact"/>
        <w:rPr>
          <w:rFonts w:ascii="Arial" w:cs="Arial" w:eastAsia="Arial" w:hAnsi="Arial"/>
          <w:sz w:val="18"/>
          <w:szCs w:val="18"/>
          <w:i w:val="1"/>
          <w:iCs w:val="1"/>
          <w:color w:val="auto"/>
        </w:rPr>
      </w:pPr>
    </w:p>
    <w:p>
      <w:pPr>
        <w:ind w:left="620" w:hanging="288"/>
        <w:spacing w:after="0"/>
        <w:tabs>
          <w:tab w:leader="none" w:pos="6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interest rates;</w:t>
      </w:r>
    </w:p>
    <w:p>
      <w:pPr>
        <w:spacing w:after="0" w:line="184"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marketing, sales, compensation (for example, due to increased hiring competition for highly skilled personnel), cloud infrastructure, and other operating expenses that we might incur to grow and expand our operations and to remain competitive;</w:t>
      </w:r>
    </w:p>
    <w:p>
      <w:pPr>
        <w:spacing w:after="0" w:line="115" w:lineRule="exact"/>
        <w:rPr>
          <w:rFonts w:ascii="Arial" w:cs="Arial" w:eastAsia="Arial" w:hAnsi="Arial"/>
          <w:sz w:val="18"/>
          <w:szCs w:val="18"/>
          <w:i w:val="1"/>
          <w:iCs w:val="1"/>
          <w:color w:val="auto"/>
        </w:rPr>
      </w:pPr>
    </w:p>
    <w:p>
      <w:pPr>
        <w:ind w:left="620" w:hanging="288"/>
        <w:spacing w:after="0"/>
        <w:tabs>
          <w:tab w:leader="none" w:pos="6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and amount of non-cash expenses, such as SBC and asset impairments;</w:t>
      </w:r>
    </w:p>
    <w:p>
      <w:pPr>
        <w:spacing w:after="0" w:line="198" w:lineRule="exact"/>
        <w:rPr>
          <w:rFonts w:ascii="Arial" w:cs="Arial" w:eastAsia="Arial" w:hAnsi="Arial"/>
          <w:sz w:val="18"/>
          <w:szCs w:val="18"/>
          <w:i w:val="1"/>
          <w:iCs w:val="1"/>
          <w:color w:val="auto"/>
        </w:rPr>
      </w:pPr>
    </w:p>
    <w:p>
      <w:pPr>
        <w:ind w:left="620" w:hanging="288"/>
        <w:spacing w:after="0"/>
        <w:tabs>
          <w:tab w:leader="none" w:pos="6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expansion into new markets;</w:t>
      </w:r>
    </w:p>
    <w:p>
      <w:pPr>
        <w:spacing w:after="0" w:line="184" w:lineRule="exact"/>
        <w:rPr>
          <w:rFonts w:ascii="Arial" w:cs="Arial" w:eastAsia="Arial" w:hAnsi="Arial"/>
          <w:sz w:val="18"/>
          <w:szCs w:val="18"/>
          <w:i w:val="1"/>
          <w:iCs w:val="1"/>
          <w:color w:val="auto"/>
        </w:rPr>
      </w:pPr>
    </w:p>
    <w:p>
      <w:pPr>
        <w:ind w:left="620" w:hanging="288"/>
        <w:spacing w:after="0"/>
        <w:tabs>
          <w:tab w:leader="none" w:pos="6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trading volume and the prevailing trading prices for cryptocurrencies, which can be highly volatile;</w:t>
      </w:r>
    </w:p>
    <w:p>
      <w:pPr>
        <w:spacing w:after="0" w:line="184"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ceasing support for certain cryptocurrencies on our RHC platform that the SEC or a court has asserted or determined are securities or proactively removing certain cryptocurrencies because they share similarities with such cryptocurrencies;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the public’s perception, adoption, and use of cryptocurrencies and other asset classes;</w:t>
      </w:r>
    </w:p>
    <w:p>
      <w:pPr>
        <w:spacing w:after="0" w:line="198" w:lineRule="exact"/>
        <w:rPr>
          <w:rFonts w:ascii="Arial" w:cs="Arial" w:eastAsia="Arial" w:hAnsi="Arial"/>
          <w:sz w:val="18"/>
          <w:szCs w:val="18"/>
          <w:i w:val="1"/>
          <w:iCs w:val="1"/>
          <w:color w:val="auto"/>
        </w:rPr>
      </w:pPr>
    </w:p>
    <w:p>
      <w:pPr>
        <w:ind w:left="620" w:hanging="288"/>
        <w:spacing w:after="0"/>
        <w:tabs>
          <w:tab w:leader="none" w:pos="6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any inability of customers to place trades, due to system disruptions, outages, or trading restrictions;</w:t>
      </w:r>
    </w:p>
    <w:p>
      <w:pPr>
        <w:spacing w:after="0" w:line="184" w:lineRule="exact"/>
        <w:rPr>
          <w:rFonts w:ascii="Arial" w:cs="Arial" w:eastAsia="Arial" w:hAnsi="Arial"/>
          <w:sz w:val="18"/>
          <w:szCs w:val="18"/>
          <w:i w:val="1"/>
          <w:iCs w:val="1"/>
          <w:color w:val="auto"/>
        </w:rPr>
      </w:pPr>
    </w:p>
    <w:p>
      <w:pPr>
        <w:ind w:left="620" w:hanging="288"/>
        <w:spacing w:after="0"/>
        <w:tabs>
          <w:tab w:leader="none" w:pos="6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any events that damage customer confidence in Robinhood, such as breaches of security or privacy;</w:t>
      </w:r>
    </w:p>
    <w:p>
      <w:pPr>
        <w:spacing w:after="0" w:line="184" w:lineRule="exact"/>
        <w:rPr>
          <w:rFonts w:ascii="Arial" w:cs="Arial" w:eastAsia="Arial" w:hAnsi="Arial"/>
          <w:sz w:val="18"/>
          <w:szCs w:val="18"/>
          <w:i w:val="1"/>
          <w:iCs w:val="1"/>
          <w:color w:val="auto"/>
        </w:rPr>
      </w:pPr>
    </w:p>
    <w:p>
      <w:pPr>
        <w:ind w:left="620" w:hanging="288"/>
        <w:spacing w:after="0"/>
        <w:tabs>
          <w:tab w:leader="none" w:pos="6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impacts of public health threats (including pandemics such as COVID-19), unemployment, and inflation; and</w:t>
      </w:r>
    </w:p>
    <w:p>
      <w:pPr>
        <w:spacing w:after="0" w:line="198"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tax laws or judicial or regulatory interpretations of tax laws, which are recorded in the period such laws are enacted or interpretations are issued, and might significantly affect the effective tax rate of that period.</w:t>
      </w:r>
    </w:p>
    <w:p>
      <w:pPr>
        <w:spacing w:after="0" w:line="1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Any of the factors above or listed elsewhere in this Risk Factors section, or the cumulative effect of some of those factors, could result in significant fluctuations in our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might not be profitable in the future.</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most full year periods since our inception, we have incurred operating losses. Although we have had several quarters of positive GAAP net income since the beginning of 2023 and we generated higher total net revenues for 2023 compared to each of 2019 through 2022, we reported a GAAP net loss for full year 2023 and we might not be able to increase our revenue and/or further reduce our operating expenses by sufficient amounts to generate positive net income in the future.</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Factors that affect transaction-based revenue — such as reduced spreads in securities pricing, reduced levels of trading activity generally, changes in our business relationships with market makers, and any new regulation of, or any bans on, PFOF and similar practices — might result in reduced profitability, increased compliance costs, and negative publicity.</w:t>
      </w:r>
    </w:p>
    <w:p>
      <w:pPr>
        <w:spacing w:after="0" w:line="17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 large portion of our revenue is transaction-based, in that we receive consideration in exchange for routing our users’ equity, option, and cryptocurrency trade orders to market makers for execution. With respect to equities and options trading, such fees are known as payment for order flow, or “PFOF.” With respect to cryptocurrency trading,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market makers. For example, the SEC’s recent adoption of final rules (the “September 2024 Final Rules”) to, among other things, adopt an additional minimum pricing increment, or “tick size,” for the quoting of certain national market system (“NMS”) stocks under Rule 612 of Regulation NMS, reduce the access fee caps for protected quotations under Rule 610 of Regulation NMS and accelerate the implementation of such rules will make the information about smaller-sized orders publicly available and result in the contraction of spreads across several securities, which we expect will lead to a decrease in the PFOF earned from such orders.In addition, the regulatory landscape involving cryptocurrencies is subject to change and is experiencing rapid evolution, and future regulatory actions or policies, including for instance, the assertion of jurisdiction by</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domestic and foreign regulators and governments over cryptocurrency and cryptocurrency markets, could reduce demand for cryptocurrency trading and might materially decrease our revenue derived from Transaction Rebates in absolute terms and as a proportion of our total</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In addition, to the extent that the SEC or a court asserts or determines that any cryptocurrencies supported by our RHC platform are securities, we might not continue to facilitate trading of those cryptocurrencies in the U.S. (including ceasing support for such cryptocurrencies on our RHC platform, for instance, with respect to Cardano, Polygon, and Solana) or it might cause us to proactively remove certain cryptocurrencies from our RHC platform because they share similarities with such cryptocurrencies.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Relationships with Market Makers</w:t>
      </w:r>
    </w:p>
    <w:p>
      <w:pPr>
        <w:spacing w:after="0" w:line="2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PFOF and Transaction Rebate arrangements with market makers are a matter of practice and business understanding and not documented under binding contracts. If any of these market makers were unwilling to continue to receive orders from us or to pay us for those orders (including, for example, as a result of unusually high volatility), we might have little to no recourse and, if there are no other market makers that are willing to receive such orders from us or to pay us for such orders, or if we are unable to find replacement market makers in a timely manner, our transaction-based revenue would be negatively impacted. This risk is particularly heightened for cryptocurrencies because fewer market makers are currently able to execute cryptocurrency trades. For instance, in May 2023, two prominent market makers announced their respective decisions to limit their offerings in cryptocurrency trading within the United States. Without additional market makers supporting cryptocurrencies entering the industry in the United States, the risk that we may be unable to find suitable market makers to support cryptocurrencies is increasingly heightened. Additionally, this risk is heightened for brokerage orders executed outside of regular market hours through Robinhood 24 Hour Market, as currently all brokerage trades executed overnight are routed through one market maker - Virtu Financial, Inc. (“Virtu”). If Virtu becomes unwilling or unable to do business with us in the future, we may be unable to find additional market makers to support Robinhood 24 Hour Market, which could negatively impact our transaction-based revenue. Furthermore, if any of our market makers decide to alter our fee structure, our transaction-based revenue could significantly decrease.</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disruptions in the services provided by our market makers, whether due to technical malfunctions, operational mishaps, or financial instability of the market makers, or external factors such as regulatory changes or market volatility, have in the past, and may in the future impair our ability to execute our client's orders. Should a market maker venue experience downtime or diminished performance, particularly during peak trading hours, our ability to execute customer orders could be compromised and could have an adverse impact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of PFOF</w:t>
      </w:r>
    </w:p>
    <w:p>
      <w:pPr>
        <w:spacing w:after="0" w:line="2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PFOF practices have drawn heightened scrutiny from the U.S. Congress, the SEC, state regulators, and other regulatory and legislative authorities. For example, in December 2020, we settled an SEC investigation into our best execution and PFOF practices and are defending putative class actions in federal district courts relating to the same factual allegations. Additionally, our PFOF practices were the subject of a line of critical questioning during a February 18, 2021 U.S. Congressional hearing related to the Early 2021 Trading Restrictions, and since July 2023, we have been cooperating with an investigation being conducted by the New York Attorney General concerning brokerage execution quality. We also face the risk that the SEC, other regulatory authorities, or legislative bodies might adopt additional regulation or legislation relating to PFOF practices as a result of such heightened scrutiny or otherwise. For instance, in December 2022, the SEC proposed four separate equity market structure rules (the “December 2022 Rule Proposals”) related to (i) best execution; (ii) order competition, including requiring certain retail equity orders to be exposed in auctions before being internalized; (iii) order execution disclosure; and (iv) order tick size and fee caps. In September 2024, the SEC adopted the September 2024 Final Rules, which related to (i) order execution disclosure and (ii) order tick size and fee caps. The adoption of the September 2024 Final Rules will make the information about smaller-sized orders publicly available and result in the contraction of spreads across several securities, which we expect will lead to a decrease in the PFOF earned from such orders. Although these final and remaining proposed rules related to market structure design do not ban PFOF, the remaining December 2022 Rule Proposals introduce new requirements and will have the indirect effect of making PFOF more difficult or impossible to earn and condensing the revenues we could theoretically earn. Any new or heightened PFOF regulation, including the September 2024 Final Rules and the remaining December 2022 Rule Proposals if adopted as proposed, will result in increased compliance costs and otherwise could materially decrease our transaction-based revenue, might make it more difficult for us to expand our platforms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jurisdictions, and could require us to make significant changes to our revenue model, which changes might not be successful. Because some of our competitors either do not engage in PFOF or derive a lower percentage of their revenues from PFOF than we do, any such heightened regulation or a ban of PFOF could have an outsized impact on our results of operations. Furthermore, depending on the nature of any new requirements, heightened regulation could also increase our risk of potential regulatory violations and civil litigation, which could result in fines or other penalties, as well as negative publicity.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Negative Publicity Associated with PFOF or our Market Makers</w:t>
      </w:r>
    </w:p>
    <w:p>
      <w:pPr>
        <w:spacing w:after="0" w:line="2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any negative publicity surrounding PFOF or Transaction Rebate practices generally, or our implementation of these practices, could harm our brand and reputation. For example, as a result of the Early 2021 Trading Restrictions, we faced allegations that our decision to temporarily prevent our customers from purchasing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or market structure design have generated and might continue to generate negative publicity associated with PFOF. For example, the intra-day trading price of our Class A common stock fell as much as 5.3% on December 14, 2022, the day the December 2022 Rule Proposals were announced.</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Additionally, if our customers or potential customers believe that they might get better execution quality (including better price improvement) directly from stock exchanges or from our competitors that have different execution arrangements, or if our customers perceive our PFOF practices to create a 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platforms. Some customers might prefer to invest through our competitors that do not engage in PFOF or Transaction Rebate practices or engage in them differently than do we. Any such loss of customer engagement as a result of any negative publicity associated with PFOF or Transaction Rebate practices could adversely affect our business, financial condition, and results of operations.</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directly and indirectly exposed to fluctuations in interest rates, and rapidly changing interest rate environments will and could continue to reduce our net interest revenues and otherwise result in reduced profitability.</w:t>
      </w:r>
    </w:p>
    <w:p>
      <w:pPr>
        <w:spacing w:after="0" w:line="16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 large portion of our revenue comes from interest income earned from our corporate cash and investment portfolio, our securities lending activities, cash sweep, and from interest-rate sensitive assets, including receivables from users’ margin-borrowing and other assets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underlying the customer balances we hold on our balance sheets as customer accounts. Interest rates are the key driver of our net interest income and are subject to many factors beyond our control. As interest rates increased starting in 2022, interest income has contributed an increasing share of our total net revenues, net income (loss), and cash flows, prior to any income tax effects. Reductions in interest rates and a return to a low interest rate environment would negatively impact (and the Federal Reserve lowering interest rates in September 2024 will negatively impact) our total net revenues, net income (loss), and cash flows, prior to any income tax effects, and adversely impact our customers’ returns on their cash deposits. Changes to the level or mix of interest earning balances could also negatively impact our total net revenues, net income (loss), and cash flows, prior to any tax income effects, if customers 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 hypothetical 50, 100 or 150 basis point increases or decreases in interest rates to the period end balances of our interest-earning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could affect our total net revenues, net income (loss), and cash flows, prior to any income tax effects, see “Quantitative and Qualitative Disclosures about Market Risk—Interest Rate Risk” elsewhere in this report.</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(loss). Fluctuations in interest rates could adversely impact our customers’ general spending levels and ability and willingness to invest and spend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through our platforms</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registered broker-dealers, we are subject to “best execution” requirements under SEC guidelines and FINRA rules, which requires us to obtain the best reasonably available terms for customer orders. We have in the past and continue to be subject to investigations related to our best execution practices. For example, as previously disclosed, in December 2019 and 2020, we settled a FINRA disciplinary action and an SEC investigation, respectively, that related to our best execution practices. We face additional investigations and/or a risk of penalties in the future related to our best execution practices.</w:t>
      </w: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might be adversely affected in the future by regulatory changes related to our obligations with regard to best execution. In particular, receipt of PFOF and best execution requirements have drawn heightened scrutiny from the U.S. Congress, the SEC, and other regulatory and legislative authorities, who have at times alleged that PFOF arrangements, like those we have with our market makers, can result in harm to customer execution quality. For instance, one of the remaining December 2022 Rule Proposals relates to best execution and proposes to enhance the existing regulatory framework concerning the duty of best execution by, among other things, requiring additional policies and procedures for broker-dealers engaging in certain conflicted transactions with retail customers. There is a risk that these bodies might adopt additional regulation relating to PFOF practices and best execution requirements as a result of such heightened scrutiny or otherwise. Any such regulations could have a material adverse impact on our business and one of our primary sources of revenue.</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7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Maintaining adequate liquidity is crucial to our securities brokerage and our money services business operations, including key functions such as transaction settlement, custody requirements, and margin lending. The SEC and FINRA also have stringent rules with respect to the maintenance of specific levels of net capital by securities broker-dealers. We meet our liquidity needs primarily from working capital and cash generated by customer activity, as well as from external debt and equity financing.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in the future by regulatory changes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related to our obligations with regard to capital maintenance requirements. For example, in July 2023, the SEC proposed amendments to the broker-dealer customer protection rule (SEC Rule 15c3-3) to require certain broker-dealers to compute their customer and broker-dealer</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reserve deposit requirements, and to make any required deposits, daily rather than weekly. Any such amendments could make it more difficult for us to comply with these regulations. Additionally, there is not definitive guidance on whether or how these rules may apply to cryptocurrencies, and we might be adversely affected in the future if the SEC determines that they do. See the discussion of SAB 121 below in “</w:t>
      </w:r>
      <w:r>
        <w:rPr>
          <w:rFonts w:ascii="Arial" w:cs="Arial" w:eastAsia="Arial" w:hAnsi="Arial"/>
          <w:sz w:val="18"/>
          <w:szCs w:val="18"/>
          <w:i w:val="1"/>
          <w:iCs w:val="1"/>
          <w:color w:val="auto"/>
        </w:rPr>
        <w:t>Cryptocurrency laws, regulations, and accounting standards are often difficult to interpret and are rapidly evolving in ways that are difficult</w:t>
      </w:r>
      <w:r>
        <w:rPr>
          <w:rFonts w:ascii="Arial" w:cs="Arial" w:eastAsia="Arial" w:hAnsi="Arial"/>
          <w:sz w:val="18"/>
          <w:szCs w:val="18"/>
          <w:color w:val="auto"/>
        </w:rPr>
        <w:t xml:space="preserve"> </w:t>
      </w:r>
      <w:r>
        <w:rPr>
          <w:rFonts w:ascii="Arial" w:cs="Arial" w:eastAsia="Arial" w:hAnsi="Arial"/>
          <w:sz w:val="18"/>
          <w:szCs w:val="18"/>
          <w:i w:val="1"/>
          <w:iCs w:val="1"/>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i w:val="1"/>
          <w:iCs w:val="1"/>
          <w:color w:val="auto"/>
        </w:rPr>
        <w:t>predict. Changes in these laws and regulations, or our failure to comply with them, could negatively impact cryptocurrency trading on our platforms</w:t>
      </w:r>
      <w:r>
        <w:rPr>
          <w:rFonts w:ascii="Arial" w:cs="Arial" w:eastAsia="Arial" w:hAnsi="Arial"/>
          <w:sz w:val="18"/>
          <w:szCs w:val="18"/>
          <w:color w:val="auto"/>
        </w:rPr>
        <w:t>.”</w:t>
      </w:r>
    </w:p>
    <w:p>
      <w:pPr>
        <w:spacing w:after="0" w:line="19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In addition, our clearing and carrying broker-dealer is subject to cash deposit and collateral requirements under the rules of the clearinghouses in which it participates (including DTC, NSCC, and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 future and, if we are unable to satisfy our deposit requirements, the clearinghouse may cease to act for us and may liquidate our unsettled clearing portfolio. We may also need to hold capital and make deposits with respect to event contracts, including presidential election event contracts, in accordance with applicable Commodity Futures Trading Commission (“CFTC”) regulations and ForecastEX, LLC’s Rulebook for Robinhood Derivatives, LLC.</w:t>
      </w:r>
    </w:p>
    <w:p>
      <w:pPr>
        <w:spacing w:after="0" w:line="20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 liquidation of our broker-dealers or other regulated entities. Factors which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and/or excessive withdrawals or redemptions, or a suspension of redemptions or withdrawals of customer assets.</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might also need additional capital to continue to support our business and any future growth and to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the income tax withholding and remittance obligations that arise upon the vesting and/or settlement of our outstanding RSUs, and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w:t>
      </w:r>
    </w:p>
    <w:p>
      <w:pPr>
        <w:spacing w:after="0" w:line="2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available cash is not sufficient, we might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Unfavorable media coverage and other events that harm our brand and reputation could adversely affect our revenue and the size, engagement, and loyalty of our customer base.</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brand and our reputation are two of our most important assets. Our ability to attract, build trust with, engage, and retain existing and attract new customers might be adversely affected by events that harm our brand and reputation, such as public complaints and unfavorable media coverage about us, our platforms, and our customers, even if factually incorrect or based on isolated incidents.</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platforms, such as the March 2020 Outages, the partial service outages and degraded service on our RHC cryptocurrency platform from time to time in mid-April and early May 2021 caused by a surging demand for cryptocurrency trading (the “April-May 2021 Disruptions”), or the November 2021 Data Security Incident are likely to receive extensive media attention. Furthermore, any negative experiences our customers have in connection with their use of our products and services, including as a result of any such performance problems, could diminish customer confidence in us and our</w:t>
      </w:r>
    </w:p>
    <w:p>
      <w:pPr>
        <w:spacing w:after="0" w:line="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products and services, which could result in unfavorable media coverage or publicity. For example, we received customer complaints and significant media attention as a result of the Early 2021 Trading Restrictions.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Damage to our brand and reputation could also be caused by:</w:t>
      </w:r>
    </w:p>
    <w:p>
      <w:pPr>
        <w:spacing w:after="0" w:line="187" w:lineRule="exact"/>
        <w:rPr>
          <w:sz w:val="20"/>
          <w:szCs w:val="20"/>
          <w:color w:val="auto"/>
        </w:rPr>
      </w:pPr>
    </w:p>
    <w:p>
      <w:pPr>
        <w:ind w:left="660" w:hanging="328"/>
        <w:spacing w:after="0" w:line="285" w:lineRule="auto"/>
        <w:tabs>
          <w:tab w:leader="none" w:pos="628"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cybersecurity attacks, privacy or data security breaches, or other security incidents, payment disruptions or other incidents that impact the reliability of our platforms;</w:t>
      </w:r>
    </w:p>
    <w:p>
      <w:pPr>
        <w:spacing w:after="0" w:line="115"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spacing w:after="0" w:line="146" w:lineRule="exact"/>
        <w:rPr>
          <w:rFonts w:ascii="Arial" w:cs="Arial" w:eastAsia="Arial" w:hAnsi="Arial"/>
          <w:sz w:val="18"/>
          <w:szCs w:val="18"/>
          <w:i w:val="1"/>
          <w:iCs w:val="1"/>
          <w:color w:val="auto"/>
        </w:rPr>
      </w:pPr>
    </w:p>
    <w:p>
      <w:pPr>
        <w:ind w:left="620" w:hanging="288"/>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future restructurings or any similar such reductions or activities in the future;</w:t>
      </w:r>
    </w:p>
    <w:p>
      <w:pPr>
        <w:spacing w:after="0" w:line="184"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any repeat imposition of temporary trading restrictions (similar to our Early 2021 Trading Restrictions), or any outright failure to meet our deposit requirements;</w:t>
      </w:r>
    </w:p>
    <w:p>
      <w:pPr>
        <w:spacing w:after="0" w:line="115" w:lineRule="exact"/>
        <w:rPr>
          <w:rFonts w:ascii="Arial" w:cs="Arial" w:eastAsia="Arial" w:hAnsi="Arial"/>
          <w:sz w:val="18"/>
          <w:szCs w:val="18"/>
          <w:i w:val="1"/>
          <w:iCs w:val="1"/>
          <w:color w:val="auto"/>
        </w:rPr>
      </w:pPr>
    </w:p>
    <w:p>
      <w:pPr>
        <w:ind w:left="620" w:hanging="288"/>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involving, or regulatory actions or investigations into, our platforms or our business;</w:t>
      </w:r>
    </w:p>
    <w:p>
      <w:pPr>
        <w:spacing w:after="0" w:line="184" w:lineRule="exact"/>
        <w:rPr>
          <w:rFonts w:ascii="Arial" w:cs="Arial" w:eastAsia="Arial" w:hAnsi="Arial"/>
          <w:sz w:val="18"/>
          <w:szCs w:val="18"/>
          <w:i w:val="1"/>
          <w:iCs w:val="1"/>
          <w:color w:val="auto"/>
        </w:rPr>
      </w:pPr>
    </w:p>
    <w:p>
      <w:pPr>
        <w:ind w:left="620" w:hanging="288"/>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any failures to comply with legal, tax and regulatory requirements;</w:t>
      </w:r>
    </w:p>
    <w:p>
      <w:pPr>
        <w:spacing w:after="0" w:line="198" w:lineRule="exact"/>
        <w:rPr>
          <w:rFonts w:ascii="Arial" w:cs="Arial" w:eastAsia="Arial" w:hAnsi="Arial"/>
          <w:sz w:val="18"/>
          <w:szCs w:val="18"/>
          <w:i w:val="1"/>
          <w:iCs w:val="1"/>
          <w:color w:val="auto"/>
        </w:rPr>
      </w:pPr>
    </w:p>
    <w:p>
      <w:pPr>
        <w:ind w:left="620" w:hanging="288"/>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any perceived or actual weakness in our financial strength or liquidity;</w:t>
      </w:r>
    </w:p>
    <w:p>
      <w:pPr>
        <w:spacing w:after="0" w:line="184" w:lineRule="exact"/>
        <w:rPr>
          <w:rFonts w:ascii="Arial" w:cs="Arial" w:eastAsia="Arial" w:hAnsi="Arial"/>
          <w:sz w:val="18"/>
          <w:szCs w:val="18"/>
          <w:i w:val="1"/>
          <w:iCs w:val="1"/>
          <w:color w:val="auto"/>
        </w:rPr>
      </w:pPr>
    </w:p>
    <w:p>
      <w:pPr>
        <w:ind w:left="620" w:hanging="288"/>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any regulatory action that results in changes to, or prohibits us from offering, certain features, products or services;</w:t>
      </w:r>
    </w:p>
    <w:p>
      <w:pPr>
        <w:spacing w:after="0" w:line="184"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any new policies, features, products, or services, or changes to our policies, features, products, or services, that customers or others perceive as overly restrictive, unclear, inconsistent with our values or mission, or not clearly articulated;</w:t>
      </w:r>
    </w:p>
    <w:p>
      <w:pPr>
        <w:spacing w:after="0" w:line="129" w:lineRule="exact"/>
        <w:rPr>
          <w:rFonts w:ascii="Arial" w:cs="Arial" w:eastAsia="Arial" w:hAnsi="Arial"/>
          <w:sz w:val="18"/>
          <w:szCs w:val="18"/>
          <w:i w:val="1"/>
          <w:iCs w:val="1"/>
          <w:color w:val="auto"/>
        </w:rPr>
      </w:pPr>
    </w:p>
    <w:p>
      <w:pPr>
        <w:ind w:left="620" w:hanging="288"/>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 failure to operate our business in a way that is consistent with our values and mission;</w:t>
      </w:r>
    </w:p>
    <w:p>
      <w:pPr>
        <w:spacing w:after="0" w:line="184" w:lineRule="exact"/>
        <w:rPr>
          <w:rFonts w:ascii="Arial" w:cs="Arial" w:eastAsia="Arial" w:hAnsi="Arial"/>
          <w:sz w:val="18"/>
          <w:szCs w:val="18"/>
          <w:i w:val="1"/>
          <w:iCs w:val="1"/>
          <w:color w:val="auto"/>
        </w:rPr>
      </w:pPr>
    </w:p>
    <w:p>
      <w:pPr>
        <w:ind w:left="620" w:hanging="288"/>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inadequate or unsatisfactory customer support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negative responses by customers or regulators to our business model or to particular features, products or services;</w:t>
      </w:r>
    </w:p>
    <w:p>
      <w:pPr>
        <w:spacing w:after="0" w:line="198" w:lineRule="exact"/>
        <w:rPr>
          <w:rFonts w:ascii="Arial" w:cs="Arial" w:eastAsia="Arial" w:hAnsi="Arial"/>
          <w:sz w:val="18"/>
          <w:szCs w:val="18"/>
          <w:i w:val="1"/>
          <w:iCs w:val="1"/>
          <w:color w:val="auto"/>
        </w:rPr>
      </w:pPr>
    </w:p>
    <w:p>
      <w:pPr>
        <w:ind w:left="620" w:hanging="288"/>
        <w:spacing w:after="0"/>
        <w:tabs>
          <w:tab w:leader="none" w:pos="6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 failure to adapt to new or changing customer preferences;</w:t>
      </w:r>
    </w:p>
    <w:p>
      <w:pPr>
        <w:spacing w:after="0" w:line="184" w:lineRule="exact"/>
        <w:rPr>
          <w:rFonts w:ascii="Arial" w:cs="Arial" w:eastAsia="Arial" w:hAnsi="Arial"/>
          <w:sz w:val="18"/>
          <w:szCs w:val="18"/>
          <w:i w:val="1"/>
          <w:iCs w:val="1"/>
          <w:color w:val="auto"/>
        </w:rPr>
      </w:pPr>
    </w:p>
    <w:p>
      <w:pPr>
        <w:ind w:left="620" w:hanging="288"/>
        <w:spacing w:after="0"/>
        <w:tabs>
          <w:tab w:leader="none" w:pos="6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our decision to offer products viewed by some as controversial, such as presidential election event contracts;</w:t>
      </w:r>
    </w:p>
    <w:p>
      <w:pPr>
        <w:spacing w:after="0" w:line="184"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 prolonged weakness in popular equities or cryptocurrencies specifically or in U.S. or international equity and cryptocurrency markets generally, or a sustained downturn in the U.S. or international economies; and</w:t>
      </w:r>
    </w:p>
    <w:p>
      <w:pPr>
        <w:spacing w:after="0" w:line="129"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any of the foregoing with respect to our competitors, to the extent the resulting negative perception affects the public’s perception of us or our industry as a whole.</w:t>
      </w:r>
    </w:p>
    <w:p>
      <w:pPr>
        <w:spacing w:after="0" w:line="1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and other events could negatively impact the willingness of our existing customers, and potential new customers, to do business with us, which could adversely affect our trading volumes and number of Funded Customers, as well as our ability to recruit and retain personnel, any of which could have an adverse effect on our business, financial condition, and results of operations, as well as the trading price of our Class A common stock. For instance, on November 8, 2022 (the day that FTX Trading Ltd. (“FTX”), a major international cryptocurrency exchange, halted all non-fiat customer withdrawals from its platform), the intra-day trading price of our Class A common stock fell as much as 18%. And in December 2022, shortly after FTX filed for bankruptcy on November 11, 2022, and following the bankruptcies of several other major cryptocurrency trading venues and lending platforms earlier in 2022, including Three Arrows Capital, Ltd., Voyager Digital Holdings, Inc., and Celsius Network LLC (“Celsius”) (collectively, the “2022 Crypto Bankruptcies”), we received an investigative subpoena from the SEC regarding, among other topics, RHC’s cryptocurrency listings, custody of cryptocurrencies, and platform operations.</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could incur substantial losses from our cash and investment accounts if one or more of the financial institutions that we use fails or is taken over by the FDIC.</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past and may in the future require us to move funds to another bank, which could cause a temporary delay in making payments to our vendors and employees, or under other contractual arrangements, and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has been and might continue to be harmed by changes in business, economic, or political conditions that impact global financial markets, or by a systemic market event.</w:t>
      </w:r>
    </w:p>
    <w:p>
      <w:pPr>
        <w:spacing w:after="0" w:line="15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As we are a financial services company, our business, results of operations, and reputation are directly and indirectly affected by elements beyond our control, such as economic and political conditions including unemployment rates, inflation, tax and interest rates, geopolitical conflicts, such as the Russian invasion of Ukraine and recent ongoing events in the Middle East, financial market volatility (such as we experienced during the COVID-19 pandemic), significant increases in the volatility or trading volume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particular securities, cryptocurrencies, or commodity interests (such as we experienced during the meme stock events of early 2021 and the Dogecoin surge of mid-2021), broad trends in business and finance, actual events or concerns involving liquidity, defaults, or non-performance by third-party financial institutions or transactional counterparties (such as the 2023 Banking Events), changes in volume of securities, cryptocurrencies, or commodity interest trading generally (such as the bear markets that developed for equities and crypto in the second quarter of 2022 and continued into 2023 (the “2022 Bear Markets”)) and changes in the markets in which such transactions occur (such as following the 2022 Crypto Bankruptcies), and changes in how such transactions are processed. These elements can arise suddenly and the full impact of such conditions could have an adverse effect on our business results or remain uncertain indefinitely. Because a large percentage of our customers are first 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w:t>
      </w:r>
    </w:p>
    <w:p>
      <w:pPr>
        <w:spacing w:after="0" w:line="8"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condition, and results of operations. For example, as a result of the 2022 Bear Markets, for fiscal year 2022, our daily revenue trades for options, equities, and crypto declined by 33%, 49%, and 75%, compared to fiscal year 2021. Conversely, significant upturns in such markets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or conditions might cause individuals to be less proactive in seeking ways to improve the returns on their trading or investment decisions and, thus, decrease the demand for our products and services.</w:t>
      </w:r>
    </w:p>
    <w:p>
      <w:pPr>
        <w:spacing w:after="0" w:line="212"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Any of these changes could cause our future performance to be uncertain or unpredictable, and could have an adverse effect on our business and results of operations.</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senior management and other highly skilled personnel.</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Co-Founder and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most of these agreements have no specific duration and are terminable by either party at-will and our senior management team has experienced recent changes. We do not maintain key person life insurance policies on any of our employees.</w:t>
      </w:r>
    </w:p>
    <w:p>
      <w:pPr>
        <w:spacing w:after="0" w:line="21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also might not be successful in attracting, integrating or retaining qualified personnel to fulfill our current or future needs. In particular, there continues to be particularly high competition in the San Francisco Bay Area for software engineers, computer scientists and other technical personnel. Given our heavy emphasis on SBC, the performance 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the periods immediately following the April 2022 Restructuring and August 2022 Restructuring, we experienced higher rates of 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employee attrition and declines in reported employee job satisfaction. We might continue to experience difficulty in hiring and retaining highly skilled employees with appropriate qualifications.</w:t>
      </w:r>
    </w:p>
    <w:p>
      <w:pPr>
        <w:spacing w:after="0" w:line="15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believe that a critical component of our efforts to attract and retain employees has been our corporate culture of innovation. We have invested substantial time and resources in building our team. As we continue to expand internationally, we will face new challenges to maintain our corporate culture of innovation among a larger number of geographically dispersed and remote employees, as well as other service providers. Failure to preserve our company culture could harm our ability to retain and recruit personnel.</w:t>
      </w:r>
    </w:p>
    <w:p>
      <w:pPr>
        <w:spacing w:after="0" w:line="21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acquisitions of, or investments in, other companies, products, technologies or specialized employees could require significant management attention, disrupt our business, dilute stockholder value, and adversely affect our results of operations.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part of our business strategy, we have made and might continue to make acquisitions of, or investments in, specialized employees or other compatible companies, products, or technologies. We also have entered into and might continue to enter into relationships with other businesses in order to expand our products and services. Negotiating these transactions can be time-consuming, difficult, and expensive, and our ability to close these transactions might be subject to third-party approvals, such as governmental and other regulatory approvals, which are beyond our control, and may take longer than expected to be obtained, if at all.</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example, in April 2022 we signed a definitive agreement to acquire Ziglu Limited (“Ziglu”), a U.K.-based electronic money institution and crypto asset firm. However, as a result of prolonged regulatory uncertainty, after careful consideration, we notified Ziglu of the termination of the agreement in February 2023. In connection with the termination of the agreement, we took a $12 million impairment charge, in addition to suffering losses from legal fees and other expenses. Additionally, because we had expected Ziglu’s team and technology to help accelerate our international expansion, the termination of the deal delayed our initial plans to expand our operations in Europe, particularly with respect to cryptocurrency trading. Furthermore, in June 2024, we entered into an agreement to acquire Bitstamp, a global cryptocurrency exchange with retail and institutional investors, subject to regulatory approvals and other customary closing conditions. We expect Bitstamp and its team will help us accelerate our international expansion with respect to cryptocurrency trading, however, our ability to close this transaction is subject to customary closing conditions, including regulatory approvals, and if we are unable to complete this transaction, we could be subject to losses from legal fees and other expenses.</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operating difficulties and expenditures prior to and following closing, including disrupting our ongoing operations, diverting management from their primary responsibilities, subjecting us to additional liabilities and/or compliance obligations, increasing our expenses, and adversely impacting our business, financial condition and results of operations. If we acquire businesses or technologies, we might not be able to integrate the acquired personnel, operations, products, and technologies successfully or face challenges in doing so, or effectively manage the combined business following the acquisition. Moreover, the anticipated benefits of any acquisition or investment might not be realized, the acquisition or investment might not perform in accordance with expectations, and we might be exposed to unknown liabilities.</w:t>
      </w:r>
    </w:p>
    <w:p>
      <w:pPr>
        <w:spacing w:after="0" w:line="2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connection with these types of transactions, we might issue additional equity securities that would dilute our stockholders, use cash that we might need in the future to operate our business, incur debt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terms unfavorable to us or that we are unable to repay, incur large charges or substantial liabilities, encounter difficulties integrating diverse business cultures, and become subject to adverse tax consequences, substantial depreciation, or deferred compensation charges.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recently started operating in certain international markets and plan to further expand our international operations, which exposes us to significant new risks, and our international expansion efforts might not succeed.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only offer select services to the public outside the United States in certain jurisdictions, including brokerage services in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UK through Robinhood UK, Ltd., crypto services in select jurisdictions in the EU through Robinhood Europe, UAB (“RHEC”), and our Robinhood Wallet, which is available in over 150 countries and offered through our Cayman Islands subsidiary, Robinhood Non-Custodial</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Ltd. We also expect that our pending acquisition of Bitstamp, if completed, will help us accelerate our international expansion, including across the EU, in the U.K. and in certain other countries.</w:t>
      </w:r>
    </w:p>
    <w:p>
      <w:pPr>
        <w:spacing w:after="0" w:line="2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intend to continue expanding our operations outside of the United States. International expansion requires significant resources and management attention and subjects us to additional regulatory, economic, operational, and political risks on top of those we already face in the United States. There are significant risks and costs inherent in establishing and doing business in international markets, including:</w:t>
      </w:r>
    </w:p>
    <w:p>
      <w:pPr>
        <w:spacing w:after="0" w:line="198" w:lineRule="exact"/>
        <w:rPr>
          <w:sz w:val="20"/>
          <w:szCs w:val="20"/>
          <w:color w:val="auto"/>
        </w:rPr>
      </w:pPr>
    </w:p>
    <w:p>
      <w:pPr>
        <w:ind w:left="660" w:right="2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establishing and managing international entities, offices, and/or operations and the increased operations, travel, infrastructure, and legal and compliance costs associated with operations, entities, and/or people in different countries or regions;</w:t>
      </w:r>
    </w:p>
    <w:p>
      <w:pPr>
        <w:spacing w:after="0" w:line="12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understand, interpret and comply with local laws, regulations and customs in multiple jurisdictions, including laws and regulations governing cryptocurrency-related, broker-dealer, money transmitter, or regulated entity practices, some of which might require permissions, registrations, authorizations, licenses or consents, or might be different from, or conflict with, those of other jurisdictions or foreign cybersecurity, data privacy or labor and employment laws;</w:t>
      </w:r>
    </w:p>
    <w:p>
      <w:pPr>
        <w:spacing w:after="0" w:line="13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additional complexities of any merger or acquisition activity internationally, which would be new for us and could subject us to additional regulatory scrutiny or approvals;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adapt, localize, and position our products for specific countries (also known as “product-market fit”);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exposure to foreign fraud vectors;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competition from local providers of similar products and services;</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offer customer support and other aspects of our offering (including websites, articles, blog posts, and customer support documentation) in various languages or locations;</w:t>
      </w:r>
    </w:p>
    <w:p>
      <w:pPr>
        <w:spacing w:after="0" w:line="11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anti-bribery and anti-corruption laws, such as the Foreign Corrupt Practices Act (“FCPA”) and equivalent anti-money laundering and sanctions rules and requirements in local markets, by us, our employees, and our business partners;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recruit and manage staff in new countries and regions to support international operations, and comply with employment law, tax, payroll, and benefits requirements in multiple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enter into new business partnerships with third-party service providers in order to provide products and services in the local market, or to meet regulatory obligations;</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varying levels of internet technology adoption and infrastructure, and increased or varying network and hosting service provider costs and differences in technology service delivery in different countries;</w:t>
      </w:r>
    </w:p>
    <w:p>
      <w:pPr>
        <w:spacing w:after="0" w:line="11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 and the requirements of currency control regulations, which might restrict or prohibit conversion of other currencies into U.S. dollars;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requirements of or changes in the income and other tax laws of the United States or the international jurisdictions in which we operate; and</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or social change or unrest or economic instability in a specific country or region in which we operate.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funding transaction losses due to reversals or insufficient funds.</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These risks may be amplified as we continue to expand our operations internationally and increase our exposure to foreign fraud vectors.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working model, which allows a subset of our employees to work remotely, subjects us to heightened operational risks.</w:t>
      </w:r>
    </w:p>
    <w:p>
      <w:pPr>
        <w:spacing w:after="0" w:line="2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have a large segment of employees who work remotely and are not required to come into the office on a daily basis. Allowing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Additionally, in June 2024 FINRA’s new Residential Supervisory Location Designation Rule became effective, under which the homes of certain of our employees who work remotely could be treated as “residential supervisory locations” subject to inspections on a regular periodic schedule, which in turn has required certain operational changes and compliance adjustments. Non-compliance with the Residential Supervisory Location Designation Rule could subject us to fines, penalties or enforcement actions. We also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challenges due to the need to operate with a dispersed and remote workforce, as well as increased costs related to business continuity initiatives.</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Allowing for remote work has in the past made and may continue to make it more difficult for us to preserve our corporate culture of innovation and our employees might have decreased opportunities to collaborate in meaningful ways. Further, we cannot guarantee that requiring a subset of employees to work in-office, or allowing certain employees to continue to work remotely, will not have a negative impact on employee morale or productivity. Any failure to overcome the challenges presented by our working model could harm our future success, including our ability to retain and recruit personnel, innovate and operate effectively, maintain product development velocity, and execute on our business strategy.</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a wide variety of local, state, federal, and international laws, regulations, licensing schemes, and industry standards in the United States, the UK, the EU and in other countries and regions in which we operate. These laws, regulations, and standards govern numerous areas that are important to our business, and include, or might in the future include, those relating to all aspects of the securities industry, financial services, money transmission, the origination, marketing, servicing, and collection of consumer debt, foreign exchange, payments services and products (such as payment processing, settlement services, and credit cards), cryptocurrency, derivatives, trading in shares and fractional shares, fraud detection, consumer protection, anti-money laundering, escheatment, sanctions regimes and export controls, data privacy, data protection, data security, as well as climate risk and environmental impact, including with respect to disclosure of greenhouse gas emissions and other metrics related to climate change.</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substantial costs and uncertainties related to complying with these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launching Sherwood Media, our media subsidiary dedicated to providing news and information about the markets, economics, business, technology, and the culture of money), we received inquiries from FINRA regarding Sherwood Media’s relationship to RHF. In addition, after announcing in March 2024 the launch of the Robinhood Gold Card, which is currently offered via a waitlist through Robinhood Credit exclusively to Gold Subscribers and provides rewards via the Robinhood Gold Credit Card Rewards Program, we received requests for information from the MSD related to the Robinhood Gold subscription service and the Robinhood Gold Card.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w:t>
      </w:r>
    </w:p>
    <w:p>
      <w:pPr>
        <w:spacing w:after="0" w:line="20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 xml:space="preserve">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For instance, since we began to offer presidential election event contracts, the CFTC has been in the process of appealing the U.S. District Court for the District of Columbia’s decision in </w:t>
      </w:r>
      <w:r>
        <w:rPr>
          <w:rFonts w:ascii="Arial" w:cs="Arial" w:eastAsia="Arial" w:hAnsi="Arial"/>
          <w:sz w:val="18"/>
          <w:szCs w:val="18"/>
          <w:i w:val="1"/>
          <w:iCs w:val="1"/>
          <w:color w:val="auto"/>
        </w:rPr>
        <w:t>KalshiEx LLC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Commodity Futures Trading Commission</w:t>
      </w:r>
      <w:r>
        <w:rPr>
          <w:rFonts w:ascii="Arial" w:cs="Arial" w:eastAsia="Arial" w:hAnsi="Arial"/>
          <w:sz w:val="18"/>
          <w:szCs w:val="18"/>
          <w:color w:val="auto"/>
        </w:rPr>
        <w:t>, and should the CFTC succeed on appeal, we may not be able to continue offering presidential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event contracts and potentially could be subject to adverse litigation and regulatory actions for doing so. In addition, the CFTC has proposed a rule amendment that has not been finalized - if adopted by the CFTC, the election event contracts as offered would likely be prohibited.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Broker-Dealer Regulation</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broker-dealers, our subsidiaries RHF and RHS are subject to extensive regulation by federal and state regulators and SROs, and are subject to laws and regulations covering all aspects of the securities industry. Federal and state regulators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DOJ may institute civil or criminal proceedings against us for violating applicable laws, rules, or regulations.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Money-Transmitter Regulation</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money transmitters, certain of our subsidiaries are subject to regulation, primarily at the state level. We are also subject to regulation by the Consumer Financial Protection Bureau (“CFPB”). We have obtained or are in the process of obtaining licenses to operate as a money transmitter (or as another type of regulated financial services institution, as applicable) in the United States and in the states where this is 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72"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From time to time, we have been and currently are subject, and, given the highly regulated nature of the industries in which we operate, we expect that we will be subject in the future, to a number of legal and regulatory examinations and investigations arising out of our business practices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conducted by the DOJ, SEC, FINRA, the CFTC and The National Futures Association or other federal agencies such as the U.S. Department of the Treasury’s Office of Foreign Assets Controls (“OFAC”), the FDIC or CFPB, and state regulatory agencies, such as the MSD, the California Attorney General’s Office, and the New York Department of Financial Services (“NYDFS”), among other authorities. These examinations and investigations have in some instances in the past and might in the future lead to lawsuits, arbitration claims, and enforcement proceedings, as well as other actions and claims, that result in injunctions, fines, penalties, and monetary settlements. For example:</w:t>
      </w:r>
    </w:p>
    <w:p>
      <w:pPr>
        <w:spacing w:after="0" w:line="219" w:lineRule="exact"/>
        <w:rPr>
          <w:sz w:val="20"/>
          <w:szCs w:val="20"/>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June 2021, we resolved multiple matters with FINRA (including investigations into systems outages, our options product offering, and margin-related communications with customers), resulting in censure, fines and restitution of $70 million, and engagement of an independent consultant.</w:t>
      </w:r>
    </w:p>
    <w:p>
      <w:pPr>
        <w:spacing w:after="0" w:line="13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connection with the Early 2021 Trading Restrictions, we and our employees, including our Co-founder and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have also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We are cooperating with these investigations and examinations.</w:t>
      </w:r>
    </w:p>
    <w:p>
      <w:pPr>
        <w:spacing w:after="0" w:line="146" w:lineRule="exact"/>
        <w:rPr>
          <w:rFonts w:ascii="Arial" w:cs="Arial" w:eastAsia="Arial" w:hAnsi="Arial"/>
          <w:sz w:val="17"/>
          <w:szCs w:val="17"/>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2022, we settled an NYDFS investigation under which we paid a monetary penalty of $30 million and engaged an independent compliance consultant.</w:t>
      </w:r>
    </w:p>
    <w:p>
      <w:pPr>
        <w:spacing w:after="0" w:line="11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Since March 2023, we have reached settlements with over 45 state regulators, including, for example, the Alabama Securities Commission, the California Department of Financial Protection and Innovation, the Colorado Division of Securities, the Delaware Department of Justice - Investor Protection Unit, the New Jersey Bureau of Securities, the South Dakota Division of Insurance, and the Texas State Securities Board regarding investigations related to RHF’s options trading and related customer communications and displays, options and margin trading approval process, the March 2020 Outages, and customer support issues prior to June 2020, under which we have agreed to pay a monetary penalty of $200,000 per state. Potential additional state settlements as part of a multi-state settlement related to these issues totaling up to approximately $10 million are possible.</w:t>
      </w:r>
    </w:p>
    <w:p>
      <w:pPr>
        <w:spacing w:after="0" w:line="14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2024, we settled a matter with the MSD related to supervision of certain product features and marketing strategies, the March 2020 Outages, and our options trading approval process, as well as the November 2021 Data Security Incident, under which we paid a $7.5 million fine and engaged an independent consultant to review, among other things, implementation of the FINRA independent’s recommendations, policies and procedures regarding certain application features, and cybersecurity measures.</w:t>
      </w:r>
    </w:p>
    <w:p>
      <w:pPr>
        <w:spacing w:after="0" w:line="14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2024, we settled a matter with the California Attorney General’s Office related to among other things, certain disclosures by RHC and delivery of customers’ cryptocurrency assets under California Corporations Code Sections 29520 and 29505 during the period January 2018 through April 2022. We paid a monetary penalty of $3.9 million.</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These and other proceedings, some of which are described in Note 14 - Commitments &amp; Contingencies, to our unaudited condensed consolidated financial statements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have in the past and might in the future relate to broker-dealer and financial services rules and regulations, including our trading and supervisory policies and procedures, our clearing practices, our trade reporting, our public communications, our compliance with FINRA registration requirements, anti-money laundering and other financial crimes regulations, cybersecurity matters, a particular cryptocurrency’s status as a “security,” and our business continuity plans, among other topics. These sorts of proceedings, inquiries, examinations, investigations, and other regulatory matters might subject us to fines, penalties, and monetary settlements, harm our reputation and brand, require substantial management attention, result in additional compliance requirements, result in certain of our subsidiaries losing their regulatory licenses or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consultant’s evaluation is still ongoing, and resulted in a recommendation to implement enhancements in certain areas identified in the settlement, which require significant effort to implement.</w:t>
      </w: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while we now offer select services and products in certain countries outside the United States,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licensed, registered, or authorized could result in fines or other enforcement actions or settlements.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Recent statements by lawmakers, regulators and other public officials have signaled an increased focus on new or additional regulations that could impact our business and require us to make significant changes to our business model and practices.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Various lawmakers, regulators and other public officials have recently made statements about our business and that of other broker-dealers and signaled an increased focus on new or additional laws or regulations that, if acted upon, could impact our business. Over three days in the spring of 2021, the Committee on Financial Services of the U.S. House of Representatives held hearings on the January 2021 market volatility and disruptions surrounding GameStop and other “meme” stocks at which various members of Congress expressed concerns about various market practices, including PFOF and options trading. In his testimony, Chair Gensler indicated that he had instructed the SEC Staff to study, and in some cases make rulemaking recommendations to the SEC regarding, a variety of market issues and practices, including PFOF, digital engagement practices, and whether broker-dealers are adequately disclosing their policies and procedures around potential trading restrictions; whether margin requirements and other payment requirements are sufficient; and whether broker-dealers have appropriate tools to manage their liquidity and risk. Chair Gensler also discussed the use of mobile app features such as rewards, bonuses, push notifications and other prompts. Chair Gensler suggested that such prompts could promote behavior that is not in the interest of the customer, such as excessive trading. Chair Gensler also advised that he had directed the SEC Staff to consider whether expanded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enforcement mechanisms are necessary. In December 2022, the SEC proposed the December 2022 Rule Proposals, which relate to (i) best execution, (ii) order competition, (iii) order execution disclosure, and (iv) order tick size and fee caps. In September 2024, the SEC adopted equity market structure rules related to (i) order execution disclosure and (ii) order tick size and fee caps. The SEC issued a request for information and public comment on digital engagement practices by broker-dealers and investment advisers in August 2021. In his April 2023 testimony before the U.S. House of Representatives Committee on Financial Services, Chair Gensler stated that he had asked the SEC Staff to make recommendations for rule proposals addressing conflicts that can arise from the use of predictive analytics, in particular conflicts that may arise to the extent advisors or brokers are optimizing their own interests as well as others. On July 26, 2023, the SEC proposed new rules (the “July 2023 Rule Proposals”) that would impose new obligations on registered broker-dealers and investment advisers with respect to their use of certain covered technologies when interacting with investors. In May 2024, Chair Gensler indicated in multiple speeches that the SEC Staff was considering re-proposing modified versions of these rules and the SEC’s Spring 2024 regulatory flexibility agenda published in July 2024 indicates that a second notice of proposed rulemaking on this topic is scheduled for October 2024. However, if adopted as originally proposed, the July 2023 Rule Proposals may require us to modify, limit or discontinue our use of certain technologies and product features—and could significantly change the way that we interact with existing and prospective customers—which may adversely impact our business and revenues. Additionally, from time to time, we have received requests from regulators, including from the SEC, regarding our collection and uses of customer data and related disclosures.</w:t>
      </w:r>
    </w:p>
    <w:p>
      <w:pPr>
        <w:spacing w:after="0" w:line="21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 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spacing w:after="0" w:line="20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Also, in September 2021, FINRA announced that it is reviewing firms’ use of social media marketing, including social media influencers, which is a marketing channel that we actively utilize. In February 2022, FINRA opened an investigation into our use of social media marketing. In February 2023, FINRA provided updated guidance about firms’ practices related to their acquisition of customers through social media channels, as well as firms' sharing of customers’ usage information with affiliates and non-affiliated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w:t>
      </w:r>
    </w:p>
    <w:p>
      <w:pPr>
        <w:spacing w:after="0" w:line="19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expose us to significant liability and reputational harm.</w:t>
      </w:r>
    </w:p>
    <w:p>
      <w:pPr>
        <w:spacing w:after="0" w:line="16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insurance matters, securities litigation matters, privacy and cybersecurity disputes, intellectual property disputes, contract disputes, consumer protection matters, and employment matters. This risk might be more pronounced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market downturns, during which the volume of legal claims and amount of damages sought in litigation and regulatory proceedings against financial services companies have historically increased.</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Litigation matters brought against us have in the past and might in the future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w:t>
      </w:r>
    </w:p>
    <w:p>
      <w:pPr>
        <w:spacing w:after="0" w:line="2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more information about the legal proceedings in which we are currently involved, see Note 14 - Commitments &amp; Contingencies, to our unaudited condensed consolidated financial statements in this Quarterly Report.</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anti-corruption, anti-bribery, economic and trade sanctions, anti-money laundering, and counter-terror financing that could impair our ability to compete in international markets or subject us to criminal or civil liability if we violate them.</w:t>
      </w:r>
    </w:p>
    <w:p>
      <w:pPr>
        <w:spacing w:after="0" w:line="17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are required to comply with U.S. economic and trade sanctions administered by OFAC and we have processes in place to facilitate compliance with the OFAC regulations. As part of our customer onboarding process, in accordance with the Customer Identification Program rules under Section 326 of the USA Patriot Act, we screen all potential customers against OFAC watchlists and continue to screen all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customers, vendors and employees daily against OFAC watchlists. Although our application includes features designed to block access to our services from sanctioned countries, if our services are accessed from a sanctioned country in violation of trade and economic sanctions,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could be subject to enforcement actions.</w:t>
      </w:r>
    </w:p>
    <w:p>
      <w:pPr>
        <w:spacing w:after="0" w:line="23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are subject to the FCPA, U.S. and foreign bribery laws,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spacing w:after="0" w:line="20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that prohibit, among other things, our involvement in transferring the proceeds of criminal activities. In the United States, most of our services are subject to anti-money laundering laws and regulations, including the Bank Secrecy Act, as amended, and similar laws and regulations. Regulators in the United States continue to increase their scrutiny of compliance with these obligations. For example, in August 2022, we settled an NYDFS investigation of our cryptocurrency business related primarily to anti-money laundering and cybersecurity-related issues, under which we paid a monetary penalty of $30 million and engaged an independent compliance consultant.</w:t>
      </w:r>
    </w:p>
    <w:p>
      <w:pPr>
        <w:spacing w:after="0" w:line="18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Although our operations are currently concentrated in the United States, we recently started expanding our operations outside of the United States. As we have started to expand internationally, we have become subject to additional non-U.S. laws, rules, regulations, and other requirements regarding economic and trade sanctions, anti-money laundering, and counter-terror financing. In order to comply with applicable laws, we have started to, and will continue to, revise and expand our compliance program, including the procedures we use to verify the identity of our customers and to monitor transactions on our system, including payments to persons outside of the United States.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Attracting, Retaining, and Engaging Customers</w:t>
      </w:r>
    </w:p>
    <w:p>
      <w:pPr>
        <w:spacing w:after="0" w:line="27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5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The markets in which we compete are evolving and highly competitive, with multiple participants competing for the same customers. Our current and potential future competition principally comes from incumbent brokerages, established financial technology companies, venture-</w:t>
      </w:r>
    </w:p>
    <w:p>
      <w:pPr>
        <w:jc w:val="both"/>
        <w:spacing w:after="0" w:line="226" w:lineRule="auto"/>
        <w:rPr>
          <w:sz w:val="20"/>
          <w:szCs w:val="20"/>
          <w:color w:val="auto"/>
        </w:rPr>
      </w:pPr>
      <w:r>
        <w:rPr>
          <w:rFonts w:ascii="Arial" w:cs="Arial" w:eastAsia="Arial" w:hAnsi="Arial"/>
          <w:sz w:val="18"/>
          <w:szCs w:val="18"/>
          <w:color w:val="auto"/>
        </w:rPr>
        <w:t>backed financial technology firms, banks, cryptocurrency exchanges, asset management firms, financial institutions, and technology platforms. The majority of our competitors have longer operating histories and greater capital resources than we have and offer a wider range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competitors might choose to forgo PFOF, which could create downward pressure on PFOF and make it more difficult for us to maintain our PFOF arrangements, which are a significant source of our revenue. We might also be subject to increased competition as our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competitors enter into business combinations or partnerships, or established companies in other market segments expand to become competitive with our business.</w:t>
      </w:r>
    </w:p>
    <w:p>
      <w:pPr>
        <w:spacing w:after="0" w:line="2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18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competitive pricing;</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easy-to-use, innovative, and attractive products and services that are adopted by customers;</w:t>
      </w:r>
    </w:p>
    <w:p>
      <w:pPr>
        <w:spacing w:after="0" w:line="184" w:lineRule="exact"/>
        <w:rPr>
          <w:rFonts w:ascii="Arial" w:cs="Arial" w:eastAsia="Arial" w:hAnsi="Arial"/>
          <w:sz w:val="18"/>
          <w:szCs w:val="18"/>
          <w:color w:val="auto"/>
        </w:rPr>
      </w:pPr>
    </w:p>
    <w:p>
      <w:pPr>
        <w:ind w:left="660" w:right="84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retaining customers (such as by providing effective customer support and avoiding outages, security breaches, and trading restrictions);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recruiting and retaining highly skilled personnel and senior management;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and improving our reputation and the market perception of our brand and overall value;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our relationships with our counterparties;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adjusting to a dynamic regulatory environment.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revenue will decline.</w:t>
      </w:r>
    </w:p>
    <w:p>
      <w:pPr>
        <w:spacing w:after="0" w:line="15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We have experienced customer growth in recent years (and significant growth in 2020 and 2021 in particular), including a significant fraction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We have historically relied significantly on our customers joining organically or through the Robinhood Referral Program, which accounted for over 80% of the customers that joined our platforms in each of 2020, 2021, and 2022, and since 2023 we have started to increase our investment in paid marketing channels. Our efforts to attract and retain customers might fail due to a number of factors, including our customers losing confidence in us or preferring a competitor’s offerings. Additional factors that could</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lead to a decline in our number of customers or their usage of our products and services or that could prevent us from increasing our number of customers include:</w:t>
      </w:r>
    </w:p>
    <w:p>
      <w:pPr>
        <w:spacing w:after="0" w:line="22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our brand and reputation;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pricing for our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ineffective marketing efforts or a reduction in marketing activity;</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of our customers, due to being new and inexperienced, might be less loyal to our product or less likely to maintain historical trading patterns and interest in investing;</w:t>
      </w:r>
    </w:p>
    <w:p>
      <w:pPr>
        <w:spacing w:after="0" w:line="1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broad decline in the equity or other financial markets, which could result in many of these investors feeling discouraged and exiting the markets altogether (such as the 2022 Bear Markets);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rising inflation resulting in less disposable income for our customers to invest;</w:t>
      </w:r>
    </w:p>
    <w:p>
      <w:pPr>
        <w:spacing w:after="0" w:line="18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customers experiencing difficulties using the Robinhood app as intended, due to any number of reasons such as design errors, service outages, or trading restrictions imposed by us;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customers experiencing security or data breaches, account intrusions, or other unauthorized access;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provide adequate customer service;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resistance to and non-acceptance of cryptocurrencies; and</w:t>
      </w:r>
    </w:p>
    <w:p>
      <w:pPr>
        <w:spacing w:after="0" w:line="1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dissatisfaction with the limited number of cryptocurrencies available on our platforms or with our ceasing support for cryptocurrencies on our RHC platform that the SEC or a court has asserted or determined are securities or our proactively removing certain cryptocurrencies from our RHC platform because they share similarities with such cryptocurrencies.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customers may choose to cease using our platforms,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 The total value of outbound ACATS, an automated industry system for account asset transfers, was $4.2 billion in the first quarter of 2021, involving 5.2% of AUC from approximately 206,000 accounts, as compared to outbound transfers of $0.5 billion, involving 1.2% of AUC from approximately 24,000 accounts during each quarter of 2020 on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provide and monetize new and innovative products and services that are adopted by customers, our business may become less competitive and our revenue might decline.</w:t>
      </w:r>
    </w:p>
    <w:p>
      <w:pPr>
        <w:spacing w:after="0" w:line="15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and services, including using technologies with which we have little or no prior development or operating experience (for instance, presidential election event contracts). Our efforts have been and might continue to be inhibited by industry-wide standards, legal restrictions, incompatible customer expectations, demands, and preferences, or third-party intellectual property rights. Our efforts to innovate have been and might continue to also be delayed or blocked by new or enhanced regulatory scrutiny or technical complications. Incorporating new technologies into our products and services has required and might continue to require substantial expenditures and take considerable time, and we might not be successful in realizing</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 return on these development efforts in a timely manner or at all. It might be difficult to monetize products in a manner consistent with our brand’s focus on low prices. If we fail to innovate and deliver products and services with market fit and differentiation, or fail to do so quickly</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“—Risks Related to Our Business—We recently started operating in certain international markets and plan to further expand our international operations, which exposes us to significant new risks, and our international expansion efforts might not succeed.”</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Platforms, Systems, and Technology</w:t>
      </w:r>
    </w:p>
    <w:p>
      <w:pPr>
        <w:spacing w:after="0" w:line="2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on technology, including the internet and mobile services, to conduct much of our business activity and allow our customers to conduct financial transactions on our platforms. Our systems and operations, including our cloud-based operations and disaster recovery operations, as well as those of the third parties on which we rely to conduct certain key functions,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human error, terrorism, improper operation, unauthorized entry, data loss, intentional bad actions, and other similar events and we have experienced such disruptions in the past. Further, we have in the past and might in the future be particularly vulnerable to any such internal technology failures because we rely heavily on our own self-clearing platform, proprietary order routing system, data platforms, and other back-end infrastructure for our operations, and any such failures could have an adverse effect on our reputation, business, financial condition, and results of operations. For example, the Q4 2022 Processing Error, allowed customers, for a limited time, to execute trades selling more shares than they held in their accounts. This caused a temporary short position in that ticker symbol which Robinhood covered out of corporate cash within the same trading day, resulting in a loss of $57 million.</w:t>
      </w:r>
    </w:p>
    <w:p>
      <w:pPr>
        <w:spacing w:after="0" w:line="21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products and internal systems also rely on software that is highly technical and complex (including software developed or maintained internally and/or by third parties and also including machine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learning models) in order to collect, store, retrieve, transmit, manage and otherwise process immense amounts of data. The software on which we rely might contain errors, bugs, vulnerabilities, design defects, or technical limitations that might compromise our ability to meet our objectives. Some such problems are inherently difficult to detect and some such problems 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For example, this occurred in September 2021 prior to our launch announcement for our crypto transfers feature (“Crypto Transfers”).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w:t>
      </w:r>
    </w:p>
    <w:p>
      <w:pPr>
        <w:spacing w:after="0" w:line="204"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While we have made, and continue to make, significant investments designed to correct software errors and design defects and to enhance the reliability and scalability of our platforms and operations, the risk of software and system failures and design defects is always present, we 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presidential election event contracts.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spacing w:after="0" w:line="19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addition, surges in trading volume on our platforms have in the past and might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executed incorrectly, or not executed at all. For example, we experienced (i) the March 2020 Outages, which resulted in some of our customers being unable to buy and sell securities and other financial products on our U.S. trading platform for a period of time, and (ii)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We provided remediation to many of our customers impacted by the March 2020 Outages through cash payments, resulting in out-of-pocket losses to us of approximately $3.6 million. Disruptions to, destruction of, improper access to, breach of, instability of, or failure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effectively maintain our information technology systems (including our data processing systems, self-clearing platform, and order routing system) that allow our customers to use our products and services, and any associated degradations or interruptions of service could result</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 outages or errors, including, for example, in connection with the March 2020 Outages and the April-May 2021 Disruptions, and may compound in the future as a result of such events.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For example, from time to time we have experienced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spacing w:after="0" w:line="20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rely on third parties to perform some key functions, and their failure to perform those functions could adversely affect our business, financial condition and results of operations.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rely on certain third-party computer systems or third-party service providers, including several cloud technology providers such as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Amazon Web Services (on which we primarily rely to deliver our services to customers on our platforms), internet service providers, payment services providers, market and third-party data providers, regulatory services providers, clearing systems, market makers, alternative trading</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systems (such as Blue Oceans ATS, LLC (“BOATS”) with respect to Robinhood 24 Hour Market), exchange systems, (such as ForecastEx, LLC, with respect to presidential election event contracts), banking systems, payment gateways that link us to the payment card and bank clearing networks to process transactions, co-location facilities, communications facilities, and other third-party facilities to run our platforms, facilitate trades by our customers, provide the technology we use to manage some of our cryptocurrency custody, transfer, and settlement operations, and support or carry out some regulatory obligations. In addition, external content providers provide us with financial information, market 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charts, option and stock quotes, cryptocurrency quotes, research reports, and other fundamental data that we provide to our customers. These providers are susceptible to processing, operational, technological and security vulnerabilities, including security breaches, which might impact our business, and our ability to monitor our third-party service providers’ data security is limited. In addition, these third-party service providers might rely on subcontractors to provide services to us that face similar risks.</w:t>
      </w:r>
    </w:p>
    <w:p>
      <w:pPr>
        <w:spacing w:after="0" w:line="20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 For example, after BOATS, the trading venue that primarily</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supports overnight trading on Robinhood 24 Hour Market (8:00 pm - 4:00 am ET), experienced disruptions during the overnight trading session on August 4- 5, 2024, we received requests for information from certain regulators.</w:t>
      </w:r>
    </w:p>
    <w:p>
      <w:pPr>
        <w:spacing w:after="0" w:line="22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are incorporating AI technologies into some of our products and processes. These technologies may present business, compliance, and reputational risks.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use machine learning and AI to improve our products and processes in certain circumstances, such as to increase the efficiency of our in-app chat support, fraud detection systems, and software coding optimization, as well as via our acquisition of Pluto Capital, an AI powered investment research platform, and have plans to continue to expand our use of AI in the future. Our research and development of such technology also remains ongoing.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 At the same time, use of AI has recently become the source of significant media attention and political debate.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 which could negatively impact our customers, harm our reputation and business, and expose us to liability. Laws, regulations or industry standards that develop in response to the use of AI may be burdensome or may restrict our ability to use, develop, or deploy AI, particularly generative AI technologies, in our products or processes, or our efforts to expand our business. For example, EU’s AI Act, which became effective on August 1, 2024, governs the development, marketing and use of AI in the EU and could impose significant additional costs on us to comply or significant fines for failing to comply.</w:t>
      </w:r>
    </w:p>
    <w:p>
      <w:pPr>
        <w:spacing w:after="0" w:line="1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use AI technologies from third parties, which may include open source software. If we are unable to maintain rights to use these AI technologies on commercially reasonable terms,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been yet fully addressed by courts or regulators. The use, development,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27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5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Our systems and those of our customers and third-party service providers have been and might in the future be vulnerable to cybersecurity issues. We, like other financial technology organizations, routinely are subject to cybersecurity threats and our technologies,</w:t>
      </w:r>
    </w:p>
    <w:p>
      <w:pPr>
        <w:jc w:val="both"/>
        <w:spacing w:after="0" w:line="226" w:lineRule="auto"/>
        <w:rPr>
          <w:sz w:val="20"/>
          <w:szCs w:val="20"/>
          <w:color w:val="auto"/>
        </w:rPr>
      </w:pPr>
      <w:r>
        <w:rPr>
          <w:rFonts w:ascii="Arial" w:cs="Arial" w:eastAsia="Arial" w:hAnsi="Arial"/>
          <w:sz w:val="18"/>
          <w:szCs w:val="18"/>
          <w:color w:val="auto"/>
        </w:rPr>
        <w:t>systems, and networks have been and might in the future be subject to attempted cybersecurity attacks. Such issues are increasing in frequency and evolving in nature, including employee and contractor theft or misuse, denial-of-service attacks, and sophisticated nation-state</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nation-state-supported actors engaging in attacks. The operation of our platforms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20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Cybersecurity attacks and other malicious internet-based activity continue to increase and financial technology platform providers have been and expect to continue to be targeted. In light of media attention, we might be a particularly attractive target of attacks seeking to access customer data or assets. For example, from January 1, 2020 to October 16, 2020, approximately 2,000 Robinhood customer accounts were allegedly accessed by unauthorized users. We believe these incidents resulted from compromised passwords off of our platforms, rather than any failure of our security or systems. Nonetheless, we experienced negative publicity in connection with these events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might in the future experience similar adverse effects relating to real or perceived security incidents, whether or not related to the security of our platforms or systems. We have also received customer complaints and been subject to litigation and regulatory inquiries,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 Additionally, there is an increased risk that we might experience cybersecurity-related incidents as a result of any of our employees, service providers, or other third-parties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For example, we experienced the November 2021 Data Security Incident. Based on our investigation and that of a third-party security firm, we believe that the unauthorized party obtained names or email addresses for millions of people, phone numbers for several thousand people, additional personal information for a few hundred people, and extensive account details for about ten people, though we believe no Social Security</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numbers, bank account numbers, or credit or debit card numbers were exposed and that there has been no financial loss to any customers as a result of the incident.</w:t>
      </w:r>
    </w:p>
    <w:p>
      <w:pPr>
        <w:spacing w:after="0" w:line="20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might increase. Third-party risks might include insufficient security measures, data location uncertainty, and the possibility of data storage in inappropriate jurisdictions where laws or security measures might be inadequate. Our ability to monitor, and our resources to optimize integration with, third-party service providers’ data security practices are 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For example, the massive, nearly two-year long, cybersecurity attack against SolarWinds Corp., known as the SUNBURST attack, highlights the growing risk from cybersecurity threats against trusted third-party software which can lead to thousands of customers’ data being compromised.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common suppliers or vendors (known as “fourth parties”) that could also impact</w:t>
      </w:r>
    </w:p>
    <w:p>
      <w:pPr>
        <w:spacing w:after="0" w:line="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security of our data, and we may not be able to effectively directly monitor or mitigate such fourth-party risks, in particular as such risks relate to the use of common suppliers or vendors by the third parties that perform functions and services for us and our limited ability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assess the fourth party’s operational controls.</w:t>
      </w:r>
    </w:p>
    <w:p>
      <w:pPr>
        <w:spacing w:after="0" w:line="22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For example, in January 2023, unauthorized posts were made on our social media accounts, which were all removed within minutes. Based on a preliminary investigation, we believe the source of the incident was a compromise at a third-party vendor. In addition, in March 2022 a security breach occurred at Okta, an identity authentication provider that we utilize across our employee base. In general, an attacker with forged or compromised Okta service provider credentials could potentially have accessed several of our sensitive internal systems. Okta reports it has now corrected the issue and working with Okta, we have confirmed that such third-party vulnerability was not exploited to gain access to our systems.</w:t>
      </w:r>
    </w:p>
    <w:p>
      <w:pPr>
        <w:spacing w:after="0" w:line="219"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 core aspect of our business is the reliability and security of our platforms. Any unauthorized access to or disclosure, loss, destruction, disablement or encryption of, use or misuse of or modification of data, including personal data, cybersecurity breach or other security incident 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Class A common stock.</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9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are subject to a variety of federal, state, local, and non-U.S. laws, directives, rules, policies, industry standards and regulations, as well as contractual obligations, relating to privacy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collection, protection, use, retention, security, disclosure, transfer and other processing of personal data and other data, including the Gramm-Leach-Bliley Act of 1999, Section 5(c) of the Federal Trade Commission Act 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 particular privacy, data security and data protection risks in connection with our expansion into the U.K. and the EU and other jurisdictions in connection with the General Data Protection Regulation, the ePrivacy Directive (including its national implementations), and other data protection regulations.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agencies and state attorneys general and legislatures and consumer protection agencies. For instance, we have in the past (as discussed in Note 14 - Commitments &amp; Contingencies, to our unaudited condensed consolidated financial statements in this Quarterly Report) and may in the future be subject to investigations and examinations by the NYDFS regarding, among other things, our cybersecurity practices. In addition, if we fail to follow these security standards, even if no customer information is compromised, we might incur significant fines or experience a significant increase in costs. Following the November 2021 Data Security Incident, we have received requests for information from FINRA examination staff, the SEC Division of Enforcement, and other regulatory authorities regarding, among other things, the adequacy of our information security measures.</w:t>
      </w:r>
    </w:p>
    <w:p>
      <w:pPr>
        <w:spacing w:after="0" w:line="21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27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15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The SEC, FINRA, and various state regulators have stringent rules or proposed rules with respect to the maintenance of specific levels of net capital by securities broker-dealers. For example, our broker-dealer subsidiaries are each subject to the SEC Uniform Net Capital</w:t>
      </w:r>
    </w:p>
    <w:p>
      <w:pPr>
        <w:jc w:val="both"/>
        <w:spacing w:after="0" w:line="226" w:lineRule="auto"/>
        <w:rPr>
          <w:sz w:val="20"/>
          <w:szCs w:val="20"/>
          <w:color w:val="auto"/>
        </w:rPr>
      </w:pPr>
      <w:r>
        <w:rPr>
          <w:rFonts w:ascii="Arial" w:cs="Arial" w:eastAsia="Arial" w:hAnsi="Arial"/>
          <w:sz w:val="18"/>
          <w:szCs w:val="18"/>
          <w:color w:val="auto"/>
        </w:rPr>
        <w:t>Rule, which specifies minimum capital requirements intended to ensure the general financial soundness and liquidity of broker-dealers, and our clearing and carrying broker-dealer subsidiary is subject to Rule 15c3-3 under the Exchange Act, which requires broker-dealers to</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maintain liquidity reserves. Our failure to maintain the required net capital levels could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(for instance, the SEC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proposed amendments to Rule 15c3-3 as discussed above), if there is an unusually large charge against net capital, or if we make changes in our business operations that increase our capital requirements, operations that require an intensive use of capital could be limited. A large operating loss or charge against net capital could have adverse effects on our ability to maintain or expand our business.</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limited operating experience at our current scale, evolving business, and unpredictable periods of rapid growth make it difficult to predict all of the risks and challenges we might encounter and therefore increase the risk that our policies and procedures for identifying, monitoring, and managing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 -to-date,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w:t>
      </w:r>
    </w:p>
    <w:p>
      <w:pPr>
        <w:spacing w:after="0" w:line="217"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are also exposed to heightened regulatory risk because our business is subject to extensive regulation and oversight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 keeping and preservation practices, including use of personal devices for brokerage communications.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could lead to (i) civil penalties, as well as losses and liability as a result of related lawsuits brought by customers and others and any out-of-pocket costs associated with remediating customers for losses, and (ii) the risk of fines or other actions by regulators. For example, the Q4 2022 Processing Error resulted in a $57 million loss and we have received requests for information from FINRA staff related to this matter.</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customers can place limit orders to buy whole shares of the most traded exchange-traded funds (“ETFs”) and individual stocks – 24 hours a day, five days a week, through Robinhood 24 Hour Market. Offering U.S. stock trading overnight has heightened risks related to our clearing and execution activities as we do not have previous experience operating or staffing our systems for around-the-clock coverage and may not be able to accurately anticipate the volume of trading activity that will occur outside of regular market hours. Overnight trading on Robinhood 24 Hour Market is primarily supported by BOATS,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trading venue that replicates the role that stock exchanges play during regular market hours. If BOATS becomes unwilling or unable to do business with us or one of our market makers in the future, we may be unable to find another trading platform to support Robinhood 24 Hour Market, which could negatively impact our transaction-based revenue and generate negative publicity. Additionally, any disruptions in the services provided by BOATS, whether due to technical malfunctions, operational mishaps, or external factors such as regulatory changes or market volatility, have in the past, and may in the future impair our ability to execute our client's orders. Should BOATS experience downtime or diminished performance (as it has in the past and could again in the future), particularly during overnight trading hours, our ability to execute customer orders through Robinhood 24 Hour Market could be compromised and could have an adverse impact on our business, financial condition, results of operations, and/or brand and reputation. For example, on August 5, 2024, BOATS did not open for overnight trading and as a result, Robinhood customers were unable to execute any trades during that overnight session.</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SEC finalized rules in February 2023 to shorten the standard settlement cycle for most broker-dealer transactions in securities from two business days after the trade (T+2) to one (T+1), which became effective on May 28, 2024. The shortening of the settlement cycle has led to a reduction in the length of exposure to trading counterparties and lower margin requirements for our clearing operations, but it has also required technological, operational, and compliance adjustments across the industry that have been and are likely to continue to be time consuming and costly for all market participants and which has increased and could continue to increase the risk of operational errors, any of which could be material in light of the magnitude and volume of our settlement-related activities and obligations.</w:t>
      </w:r>
    </w:p>
    <w:p>
      <w:pPr>
        <w:spacing w:after="0" w:line="20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Our clearing operations also require a commitment of our capital and, despite safeguards implemented through both manual and automated controls, involve risks of losses due to the potential failure of our customers or counterparties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spacing w:after="0" w:line="19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depleted. A large clearing member default could result in a substantial cost to us if we are required to pay such assessments. Furthermore, in the event that a significant amount of our customers’ open trades fail to settle, we might be exposed to potential loss of the capital we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committed to meet our deposit requirements.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market makers, and other counterparties could result in losses.</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extend margin credit and leverage to customers, which are collateralized by customer securities.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We also lend and borrow securities in connection with our broker-dealer business. In accordance with regulatory guidelines, we hold cash as collateral when we lend securities, and likewise, we collateralize our borrowings of securities by depositing cash with lenders. Sharp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market values of substantial amounts of securities in a short period of time and the failure by parties to the 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w:t>
      </w:r>
    </w:p>
    <w:p>
      <w:pPr>
        <w:spacing w:after="0" w:line="19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are also exposed to credit risk in our dealings with the market makers to which we route cryptocurrency orders. Unlike equities and option trades, cryptocurrency trades do not settle through any central clearinghouses but rather are conducted under bilateral agreements</w:t>
      </w:r>
    </w:p>
    <w:p>
      <w:pPr>
        <w:jc w:val="both"/>
        <w:spacing w:after="0" w:line="250" w:lineRule="auto"/>
        <w:rPr>
          <w:sz w:val="20"/>
          <w:szCs w:val="20"/>
          <w:color w:val="auto"/>
        </w:rPr>
      </w:pPr>
      <w:r>
        <w:rPr>
          <w:rFonts w:ascii="Arial" w:cs="Arial" w:eastAsia="Arial" w:hAnsi="Arial"/>
          <w:sz w:val="18"/>
          <w:szCs w:val="18"/>
          <w:color w:val="auto"/>
        </w:rPr>
        <w:t>between us and each crypto market maker. (The risk of the market maker's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payment obligations are generally unsecured during the interval between delivery and payment. It is not uncommon for us to have an intra-</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day outstanding net receivable of $100 million that we are owed by any one cryptocurrency market maker. Similarly, we routinely have unsecured PFOF receivables from equities and options market makers. Any payment default by a market maker could have adverse effects on our financial condition and results of operations.</w:t>
      </w:r>
    </w:p>
    <w:p>
      <w:pPr>
        <w:spacing w:after="0" w:line="20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policies and procedures designed to manage credit risk, but we face a risk that such policies and procedures might not be fully effective.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Providing investment recommendations could subject us to investigations, penalties, and liability for customer losses if we fail to comply with applicable regulatory standards, and providing investment education tools could subject us to additional risks if such tools are construed to be investment advice or recommendations.</w:t>
      </w:r>
    </w:p>
    <w:p>
      <w:pPr>
        <w:spacing w:after="0" w:line="18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Risks associated with providing investment recommendations include those arising from how we disclose and address possible conflicts of interest, inadequate due diligence, inadequate disclosure, and human error. Regulations, such as the SEC’s Regulation Best Interest and certain state broker-dealer regulations, impose heightened conduct standards and requirements on recommendations to retail investors. For example, in September 2023, the North American Securities Association (“NASAA”) (an association of state securities administrators) proposed revisions to the NASAA model rule regarding Dishonest or Unethical Business Practices of Broker-Dealers and Agents, which are intended to address Regulation Best Interest and other developments in the securities industry. In addition, various states are considering potential regulations or have already adopted certain regulations that could impose additional standards of conduct or other obligations on us to the extent we provide investment advice or recommendations to our customers. The SEC’s July 2023 Rule Proposals, if adopted as originally proposed, would impose new requirements with respect to our use of a wide range of covered technologies when we are engaging or communicating with existing and prospective customers. If adopted as originally proposed, the proposals may require us to modify, limit or discontinue our use of certain technologies and product features—and would introduce new regulatory considerations or requirements that would apply to our communications and interactions with existing and prospective customers, including to the extent we provide investment advice or recommendations to them.</w:t>
      </w:r>
    </w:p>
    <w:p>
      <w:pPr>
        <w:spacing w:after="0" w:line="19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also provide customers with a variety of educational materials, investment tools, and financial news and information, such as our “Snacks” newsletter (which is offered by Sherwood Media), the suite of other editorial offerings that Sherwood Media has launched and will continue to launch, and the Robinhood Investment Index. Additionally, Robinhood Gold members have access to stock research reports prepared by our third-party collaborator, Morningstar, Inc. and Level II market data from Nasdaq. Based on current law and regulations, we believe these services do not constitute investment advice or investment recommendations. If the law were to change or if a court or</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regulator were to interpret current law and regulations in a novel manner, we face a risk that these services could come to be considered as investment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If services that we do not consider to be recommendations (such as educational materials, and our editorial offerings, including Snacks) are construed as constituting investment advice or recommendations, we have been and could be in the future subject to investigations by regulatory agencies. For example, in December 2020, the Enforcement Section of MSD filed a complaint against us alleging that a fiduciary conduct standard applies to us under Massachusetts securities law by claiming that certain of our product features and marketing strategies amount to investment recommendations. See Note 14 - Commitments &amp; Contingencies, to our unaudited condensed consolidated financial statements in this Quarterly Report for more information. Changes in law or changes in interpretations of existing law might also require us to modify the nature of these services or discontinue them altogether, one or more of which could have an adverse effect on our ability to attract and retain customers.</w:t>
      </w:r>
    </w:p>
    <w:p>
      <w:pPr>
        <w:spacing w:after="0" w:line="20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Cryptocurrency Products and Services</w:t>
      </w: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p>
    <w:p>
      <w:pPr>
        <w:spacing w:after="0" w:line="18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As we expand our cryptocurrency product and service offerings, the risks associated with failing to safeguard and manage cryptocurrencies we hold on behalf of our customers increase. Our success and the success of our offerings requires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spacing w:after="0" w:line="219"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hold all settled cryptocurrencies in custody on behalf of customers in two types of wallets: (i) hot wallets, which are managed online, and (ii) cold wallets, which are managed entirely offline and require physical access controls. We do not utilize third-party custodians for settled cryptocurrencies, but we do utilize technology from a third-party provider to manage some of our cryptocurrency, custody, transfer, and settlement operations. In general, the overwhelming majority of cryptocurrency coins on our platforms are held in cold storage, though some coins are held in hot wallets to support day-to-day operations. As a public company, we are required to comply with the Sarbanes– Oxley Act of 2002. As part of this, we are required to establish and maintain adequate internal control over financial reporting and evaluate the effectiveness of our internal control over financial reporting. This includes the user cryptocurrencies safeguarding obligation and the asset related to user cryptocurrencies safeguarding obligation on our consolidated balance sheets in our audited financial statements which represents our obligation to safeguard crypto-assets held in our custody on behalf of our users. The effectiveness of our internal control over financial reporting and our financial statements and related notes are audited by Ernst &amp; Young LLP, our independent registered public accounting firm. Under blockchain protocol, in order to access or transfer cryptocurrency stored in a wallet, we need to use a private key. We maintain backup copies of our private keys in multiple separate locations and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assurance that any or all of our wallets will not be hacked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 activities. For example, in August 2021, hackers were able to momentarily take over the Bitcoin SV (“BSV”) network, allowing them to spend coins they did not have and prevent transactions from completing. Any loss of private keys relating to, or hack or other compromise of, the hot wallets or cold wallets we use to store our customers’ cryptocurrencies could result in total loss of customers’ cryptocurrencies (because customers’ cryptocurrency balances and cryptocurrency investments are not protected by the Securities Investor Protection Corporation (the “SIPC”)) or adversely affect our customers’ ability to sell their assets, and could result in our being required to reimburse customers for some or all of their losses, subjecting us to significant financial losses. Because many insurance carriers do not provide insurance coverage for crypto-related risks, comprehensive 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2024, with our option to renew annually or for the carrier to 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 market makers might affect the ability or willingness of our customers to trade or hold cryptocurrencies on our platforms, might result in litigation and regulatory enforcement actions, and could harm customer trust in us and our products generally.</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spacing w:after="0" w:line="17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 prices of most cryptocurrencies are based in part on market adoption and future expectations, which might or might not be realized. As a result, the prices of cryptocurrencies are highly speculative. The prices of cryptocurrencies have been subject to dramatic fluctuations (including as a result of the 2022 Bear Markets), which have impacted, and will continue to impact, our trading volumes and operating results and might adversely impact our growth strategy and business. Several factors could affect a cryptocurrency’s price, including, but not limited to:</w:t>
      </w:r>
    </w:p>
    <w:p>
      <w:pPr>
        <w:spacing w:after="0" w:line="217" w:lineRule="exact"/>
        <w:rPr>
          <w:sz w:val="20"/>
          <w:szCs w:val="20"/>
          <w:color w:val="auto"/>
        </w:rPr>
      </w:pPr>
    </w:p>
    <w:p>
      <w:pPr>
        <w:jc w:val="both"/>
        <w:ind w:left="660" w:hanging="328"/>
        <w:spacing w:after="0" w:line="26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13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rights, obligations, incentives, or rewards for the various participants in a blockchain network.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maintenance and development of the software protocol of cryptocurrencies.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hanging="328"/>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Cryptocurrency exchanges’ deposit and withdrawal policies and practices, liquidity on such exchanges and interruptions in service from or failures of such exchanges. For example, in connection with the 2022 Crypto Bankruptcies, the prices of coins such as Bitcoin, Ethereum, and Solana significantly decreased.</w:t>
      </w:r>
    </w:p>
    <w:p>
      <w:pPr>
        <w:spacing w:after="0" w:line="143"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measures, if any, that affect the use and value of cryptocurrencies or regulatory or judicial assertions or determinations that certain cryptocurrencies are securities.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for and among various cryptocurrencies that exist and market preferences and expectations with respect to adoption of individual currencies.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perceived manipulation of the markets for cryptocurrencies.</w:t>
      </w:r>
    </w:p>
    <w:p>
      <w:pPr>
        <w:spacing w:after="0" w:line="1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perceived connections between cryptocurrencies (and related activities such as mining) and adverse environmental effects or illegal activities.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1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with respect to the rate of inflation in the economy, monetary policies of governments, trade restrictions, and currency devaluations and revaluations.</w:t>
      </w:r>
    </w:p>
    <w:p>
      <w:pPr>
        <w:spacing w:after="0" w:line="12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we have observed a positive trend in the total market capitalization of cryptocurrency assets over the long 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w:t>
      </w:r>
    </w:p>
    <w:p>
      <w:pPr>
        <w:spacing w:after="0" w:line="20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While we currently support several cryptocurrencies for trading, market interest in particular cryptocurrencies can also be volatile and there are many cryptocurrencies in the market that we do not support. For example we support trading in Dogecoin and we benefited from a surge in interest for Dogecoin during the second quarter of 2021. For the first, second, and third quarters of 2021, transaction-based revenue attributable to transactions in Dogecoin generated approximately 7%, 32%, and 8% of our total net revenues, respectively. Our business could be adversely affected, and growth in our net revenue earned from cryptocurrency transactions could slow or decline, if the markets for the cryptocurrencies we support deteriorate or if demand moves to other cryptocurrencies not supported by our platforms. The listing committees of RHC and RHEC conduct regular reviews of the cryptocurrencies available on our platforms to ensure that they continue to meet our requirements under our internal policies and procedures (collectively, the “Crypto Listing Frameworks”) for continued support on our platforms and possess the authority to delist and cease support for any asset based on various factors.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the 2022 Crypto Bankruptcies did not have any material impact on our business—and neither our board of directors nor management have to date identified any material gaps or weaknesses with respect to our existing risk management processes and policies in light of recent cryptocurrency market conditions—we remain subject to cryptocurrency market risks. If we are unable to effectively identify, prevent or mitigate such risks, the success of our business, our financial condition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operations may be adversely affected. As part of our overall risk management processes, our management Enterprise Risk Committee, which comprises senior leaders of the Company, including the CEO, CFO, Chief Legal, Compliance and Corporate Affairs Officer Chief Security Officer, Vice President of Risk and Audit, and Chief Brokerage Officer and General Manager of Brokerage, among others, reviews on at least a quarterly basis risks that are escalated by the Company’s Enterprise Risk Management (“ERM”) function. ERM maintains a risk taxonomy and a scoring methodology design to ensure risks are evaluated in a clear and transparent manner, and further escalates top risks to the Safety, Risk and Regulatory Committee of the board of directors (the “Safety Committee”), along with planned mitigants and monitoring procedures. The Safety Committee reviews management’s procedures to identify, assess, manage, monitor and mitigate material risks not allocated to the board of directors or another committee. In addition to RHM-level processes, entity-level risk teams affiliated with our operating subsidiaries, including one at RHC, perform ongoing risk operations, including risk and control self-assessments and maintaining risk and control registers. As management identifies operational risks, the entity-level risk team tracks the risk drivers and planned mitigating measures and escalates such risks, as needed, to ERM.</w:t>
      </w:r>
    </w:p>
    <w:p>
      <w:pPr>
        <w:spacing w:after="0" w:line="21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light of events in 2022, including the 2022 Crypto Bankruptcies, cryptocurrency market risks were identified as a top risk to the Company and management has accordingly implemented certain measures, including enhanced monitoring for cryptocurrency markets (such as reducing net open position limits with liquidity partners through more frequent settlement; adding additional banking and liquidity partners; monitoring on-platform trading activity, coin deposits and withdrawals; and ongoing diligence for listings and banking relationships). ERM has also provided quarterly updates to the Safety Committee with respect to such risks and responses. In addition, RHC and RHEC maintain listing committees as described above.</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In the United States,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17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currently facilitate customer trades for certain cryptocurrencies that we have analyzed under applicable internal policies and procedures and, for cryptocurrencies supported on our the RHC platform, that we believe are not securities under U.S. federal and state securities laws. Determining whether any given cryptocurrency is a security is a highly complex, fact-driven analysis, the outcome of which is difficult to predict and may evolve over time based on changes in the cryptocurrency and its related ecosystem. Different parties may reach different conclusions about the outcome of this analysis based on the same facts. The analysis may become clearer depending on the</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outcome in certain cases currently pending in varying stages of litigation. The SEC Staff has indicated that the determination of whether or not a cryptocurrency is a security depends on the characteristics and use of that particular asset. The SEC and the SEC Staff have taken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positions that certain cryptocurrencies </w:t>
      </w:r>
      <w:r>
        <w:rPr>
          <w:rFonts w:ascii="Arial" w:cs="Arial" w:eastAsia="Arial" w:hAnsi="Arial"/>
          <w:sz w:val="18"/>
          <w:szCs w:val="18"/>
          <w:i w:val="1"/>
          <w:iCs w:val="1"/>
          <w:color w:val="auto"/>
        </w:rPr>
        <w:t>are</w:t>
      </w:r>
      <w:r>
        <w:rPr>
          <w:rFonts w:ascii="Arial" w:cs="Arial" w:eastAsia="Arial" w:hAnsi="Arial"/>
          <w:sz w:val="18"/>
          <w:szCs w:val="18"/>
          <w:color w:val="auto"/>
        </w:rPr>
        <w:t xml:space="preserve"> “securities” in the context of settled or litigated enforcement actions – and we do not currently support any cryptocurrencies in the U.S. for which the SEC or the SEC Staff has taken such a position. Otherwise, the SEC has not historically provided advance confirmation on the status of any particular cryptocurrency as a security. While prior public statements by senior officials at the SEC indicated that the SEC does not intend to take the position that Bitcoin or Ethereum are securities (in their current forms), Bitcoin and Ethereum were the only specific cryptocurrencies as to which senior officials at the SEC had publicly expressed such a view. Moreover, such statements are not official policy statements by the SEC and reflect only the speakers’ views, which are not binding on the SEC or any other agency or court, cannot be generalized to any other cryptocurrency, and might evolve. For example, Chair Gensler was quoted in a February 2023 interview as saying “[e]verything other than Bitcoin” when discussing the SEC’s purview with respect to cryptocurrency and in April 2023 declined to provide his view when asked if he considered Ethereum to be a security during his testimony to the U.S. House of Representatives Financial Services Committee. In May 2024, however, the SEC approved the listing and trading of ETFs whose assets include Ethereum on SEC-regulated exchanges; some view this approval as an implicit acknowledgement by the SEC that</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Ethereum is not necessarily a security. Similarly, although the SEC’s Strategic Hub for Innovation and Financial Technology published a framework for analyzing whether any given cryptocurrency is a security in April 2019, this framework is also not a rule, regulation,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statement of the SEC and is not binding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 With respect to all other cryptocurrencies, there is currently no certainty under the applicable legal test that such assets are not securities, and U.S. regulators have expressed concerns about cryptocurrency platforms adding multiple new coins, some of which the regulators question might be unregistered securities. Chair Gensler has made numerous statements (including in testimony before the U.S. Senate Committee on Banking, Housing, and Urban Affairs and the U.S. House of Representatives Committee on Financial Services) indicating that he believes most tokens in the crypto market are securities.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or a court were to assert or determine that a cryptocurrency supported by our RHC platform is a “security” under U.S. law. In July 2022, the SEC filed an insider trading case against, among others, an employee of one of our competitors in which the complaint alleged that certain</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cryptocurrencies (none of which we currently support) were securities under the Securities Act and the Exchange Act. Additionally, in June 2023, the SEC charged Binance Holdings Ltd., and its affiliated U.S. entity, among others (collectively, “Binance”) and, separately, Coinbase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Global, Inc., and Coinbase, Inc. (collectively, “Coinbase”) with operating their respective cryptocurrency trading platforms as unregistered national securities exchanges, brokers, and clearing agencies, also alleging that certain cryptocurrencies supported on their respective platforms are securities, including Cardano, Polygon, and Solana, which were supported on our RHC platform. The charges also implicated Coinbase’s staking-as-a-service program and its non-custodial wallet. Although we have since ceased support for Cardano, Polygon, and Solana, we do offer the Robinhood Wallet, which is a self-custodial crypto wallet. While the SEC’s September 2024 memorandum of law in support of motion for leave to amend the complaint against Binance states that the SEC’s prior use of “crypto asset securities” when referring to cryptocurrency assets did not mean that the SEC was referring to the “crypto asset itself as the security” but that the cryptocurrencies at issue were offered and sold as investment contracts (and therefore are securities), the SEC’s approach going forward remains unclear in light of this memorandum of law in support of motion for leave to amend the complaint as well as the August 2024 decision in the SEC’s case against Payward, Inc. and Payward Ventures, Inc. that the cryptocurrencies at issue were not themselves securities but were offered as, or sold as, investment contracts (and therefore were securities). The outcome of these matters and decisions by regulators not to bring</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enforcement actions provides, and any other action, settlement, or related investigation by regulators, might provide, additional guidance on the legal status of cryptocurrencies as securities more generally, which has affected and might significantly affect the actual or perceived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regulatory status and value of cryptocurrencies we currently support or might support in the future. From time to time, we also have received, and might in the future receive SEC inquiries regarding specific cryptocurrencies supported on our RHC platform and added features and since December 2022, following the 2022 Crypto Bankruptcies, we have received investigative subpoenas from the SEC regarding, among other topics, RHC’s supported cryptocurrencies, custody of cryptocurrencies, and platform operations. During our discussions with the SEC Staff in the fourth quarter of 2023, the Staff asserted that they are considering whether, and may recommend that the SEC find that, certain cryptocurrencies supported by our RHC platform are securities, and in the second quarter of 2024, we received the May 2024 Wells Notice. The potential action related to the May 2024 Wells Notice may involve a civil injunctive action, public administrative proceeding, and/or a cease-and-desist proceeding and may seek remedies that include an injunction, a cease-and-desist order, disgorgement, pre-judgment interest, civil money penalties, and censure, revocation, and limitations on activities.</w:t>
      </w:r>
    </w:p>
    <w:p>
      <w:pPr>
        <w:spacing w:after="0" w:line="208"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To the extent that the SEC or a court asserts or determines that any cryptocurrencies supported by our RHC platform are securities, that assertion or determination could prevent us from continuing to facilitate trading of those cryptocurrencies (including ceasing support for such</w:t>
      </w:r>
    </w:p>
    <w:p>
      <w:pPr>
        <w:jc w:val="both"/>
        <w:spacing w:after="0" w:line="226" w:lineRule="auto"/>
        <w:rPr>
          <w:sz w:val="20"/>
          <w:szCs w:val="20"/>
          <w:color w:val="auto"/>
        </w:rPr>
      </w:pPr>
      <w:r>
        <w:rPr>
          <w:rFonts w:ascii="Arial" w:cs="Arial" w:eastAsia="Arial" w:hAnsi="Arial"/>
          <w:sz w:val="18"/>
          <w:szCs w:val="18"/>
          <w:color w:val="auto"/>
        </w:rPr>
        <w:t>cryptocurrencies on our RHC platform). It could also result in regulatory enforcement penalties and financial losses in the event that we have liability to our customers and need to compensate them for any losses or damages. We could be subject to judicial or administrative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sanctions, including disgorgement or penalties which could be material, for failing to offer or sell the cryptocurrency in compliance with securities registration requirements, or for acting as a securities broker or dealer, national securities exchange, clearing agency, or other regulated entity without appropriate registration. Such an action could result in injunctions and cease and desist orders, as well as civil monetary penalties, fines, and disgorgement, criminal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reputational harm. Customers that traded such supported cryptocurrency through our RHC platform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Further, if Bitcoin, Ethereum, or any other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In particular, Chair Gensler noted in his April 2023 testimony that “Given that most crypto tokens are securities, it follows that many crypto intermediaries are transacting in securities and have</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register with the SEC” and that crypto investors should benefit from compliance with the securities laws. In April 2023, the SEC also reopened the comment period and provided supplemental information on proposed amendments to the definition of “exchange” under</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Exchange Act Rule 3b-16, including reiterating the applicability of existing rules to platforms that trade crypto asset securities. Additionally, any determination that Bitcoin or Ethereum is a security could draw negative publicity and cause a decline in the general acceptance of cryptocurrencies. Also, it would make it more difficult for Bitcoin or Ethereum, as applicable, to be traded, cleared, and custodied as compared to other cryptocurrencies that are not considered to be securities. In addition, our growth might be adversely affected if we are not able to expand our RHC platform to include additional cryptocurrencies that the SEC has determined to be securities or that we believe are likely to be determined to be securities.</w:t>
      </w:r>
    </w:p>
    <w:p>
      <w:pPr>
        <w:spacing w:after="0" w:line="20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continue to analyze the cryptocurrencies supported on the RHC platform under our internal policies and procedures (collectively, our “RHC Crypto Listing Framework”) on a periodic basis to ensure that they continue to meet our requirements for continued support on the RHC platform which include, among other factors, that we continue to believe they are not securities under U.S. federal and state securities laws. We may make the determination to cease support for a cryptocurrency for any one or a variety of factors based on a totality of the circumstances under our RHC Crypto Listing Framework. However, an assertion or determination by the SEC or a court that a</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cryptocurrency supported by our RHC platform constitutes a security could also result in our determination that it is advisable to remove that and other cryptocurrencies from our RHC platform that have similar characteristics to the cryptocurrency that was asserted or determined to</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 a security. If we proactively remove certain cryptocurrencies from our RHC platform because the SEC or a court has asserted or determined they constitute securities or because they share similarities with such cryptocurrencies or otherwise do not meet our RHC Crypto Listing Framework, it has (for instance, with respect to Cardano, Polygon, and Solana) and could in the future negatively impact customer sentiment and our business, operating results, and financial condition, especially to the extent that our competitors continue to support such cryptocurrency on their platforms.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laws, regulations, and accounting standards are often difficult to interpret and are rapidly evolving in ways that are</w:t>
      </w:r>
    </w:p>
    <w:p>
      <w:pPr>
        <w:spacing w:after="0" w:line="5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difficult to predict. Changes in these laws and regulations, or our failure to comply with them, could negatively impact cryptocurrency trading on our platforms.</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Domestic and foreign regulators and governments are increasingly focused on the regulation of cryptocurrencies. In the United States, cryptocurrencies are regulated by both federal and state authorities, depending on the context of their usage. Cryptocurrency market disruptions and resulting governmental interventions are unpredictable, and might make cryptocurrencies, or certain cryptocurrency business activities, illegal altogether. As regulation of cryptocurrencies continues to evolve, there is a substantial risk of inconsistent regulatory guidance among federal and state agencies and among state governments which, along with potential accounting and tax issues or other requirements relating to cryptocurrencies, could impede the growth of our cryptocurrency operations. The outcome of the upcoming presidential and Congressional elections in the U.S. also presents considerable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uncertainty as to future cryptocurrency regulations. Additionally, regulation in response to the climate impact of cryptocurrency mining could negatively impact cryptocurrency trading on our platforms.</w:t>
      </w:r>
    </w:p>
    <w:p>
      <w:pPr>
        <w:spacing w:after="0" w:line="18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 cryptocurrency accounting rules and regulations that we must comply with are complex and subject to interpretation by the FASB, the SEC, and various bodies formed to promulgate and interpret 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no official guidance has been provided by the FASB or the SEC. Accordingly, there remains significant uncertainty as to the appropriate accounting for cryptocurrency asset transactions, cryptocurrency assets, and related revenues. Uncertainties in or changes in regulatory or financial accounting standards could result in the need to change our accounting methods and/or restate our financial statements, and could impair our ability to provide timely and accurate financial information, which could adversely affect our financial statements, and result in a loss of investor confidence.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future regulatory actions or policies, including, for instance, the assertion of jurisdiction by domestic and foreign regulators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governments over cryptocurrency and cryptocurrency markets could limit or restrict cryptocurrency usage, custody, or trading, or the ability to convert cryptocurrencies to fiat currencies. For example, Chair Gensler remarked several times in 2021 and 2022 on the need for</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further regulatory oversight of crypto trading and crypto lending platforms. Additionally in February 2023, the SEC issued a new rule proposal (the “February 2023 Custody Rule Proposal”) related to the custody of client assets by registered investment advisers, which, if adopted as proposed, would expand the existing custody rules to apply to a broad range of assets, including cryptocurrencies, and would require that any client assets be maintained by a qualified custodian. In connection with the announcement of the February 2023 Custody Rule Proposal, Chair Gensler noted that “Based upon how crypto platforms generally operate, investment advisers cannot rely on them as qualified custodians.” If the February 2023 Custody Rule Proposal is adopted as proposed, and we are not deemed to be a “qualified custodian,” depending on how such proposal is applied, we may be required to cease our custodial crypto offerings under certain circumstances, which could have a material adverse impact on our business. Some lawmakers and regulators have also raised questions about Transaction Rebates from cryptocurrency trading. Transaction Rebates from cryptocurrency trading have historically, and might continue, to comprise a significant percentage of our total net revenues. Any future regulatory actions or policies could reduce the demand for cryptocurrency trading and might materially decrease our revenue derived from Transaction Rebates in absolute terms and as a proportion of our total revenues.</w:t>
      </w:r>
    </w:p>
    <w:p>
      <w:pPr>
        <w:spacing w:after="0" w:line="21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March 2022, the SEC Staff issued SAB 121 requiring crypto platforms to recognize a liability and a corresponding asset equal to the fair value of the cryptocurrencies the entity safeguards on behalf of users. Such accounting treatment enhances the information received by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investors regarding potential liabilities upon theft or loss of cryptocurrencies. But such treatment has also caused some users to question how safeguarded cryptocurrencies would be treated in a bankruptcy. We implemented SAB 121 for the quarter ended June 30, 2022, with retrospective application to the beginning of 2022. As a result of (and solely by virtue of) our implementation of SAB 121, the cryptocurrency we custody for users now appears on our balance sheets as an asset. In January 2023, the Bankruptcy Court for the Southern District of New York issued a ruling in </w:t>
      </w:r>
      <w:r>
        <w:rPr>
          <w:rFonts w:ascii="Arial" w:cs="Arial" w:eastAsia="Arial" w:hAnsi="Arial"/>
          <w:sz w:val="18"/>
          <w:szCs w:val="18"/>
          <w:i w:val="1"/>
          <w:iCs w:val="1"/>
          <w:color w:val="auto"/>
        </w:rPr>
        <w:t>In re Celsius Network LLC</w:t>
      </w:r>
      <w:r>
        <w:rPr>
          <w:rFonts w:ascii="Arial" w:cs="Arial" w:eastAsia="Arial" w:hAnsi="Arial"/>
          <w:sz w:val="18"/>
          <w:szCs w:val="18"/>
          <w:color w:val="auto"/>
        </w:rPr>
        <w:t>, that certain crypto assets held by Celsius customer accounts were the property of Celsius’s estate and that the holders of such accounts are unsecured creditors. However, unlike the terms of our user agreement, the terms of Celsius’s user agreement unambiguously provided that the rights to cryptocurrency held, including ownership rights, belonged to Celsius. Based on the terms of our user agreement, the structure of our crypto offerings, and applicable law, after consultation with internal and external legal counsel, we believe that the cryptocurrency we hold in custody for users of our platforms should be respected as 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 There is also no definitive guidance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whether or how SAB 121 applies to broker-dealer entities in a corporate organizational structure where another, separate entity in that structure safeguards cryptocurrencies on behalf of users.</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Furthermore, the Infrastructure Investment and Jobs Act significantly changes the tax reporting requirements applicable to brokers and holders of cryptocurrency and digital assets. On August 25, 2023, the Treasury Department and Internal Revenue Service released proposed regulations on the sale and exchange of digital assets by brokers. On June 28, 2024, final regulations were released that require information reporting by digital asset brokers on certain digital asset sales or exchanges that occur on or after January 1, 2025, and basis tracking for digital assets that are treated as “covered securities” if acquired on or after January 1, 2026. The implementation of these requirements, and any further legislative changes or related guidance from the Internal Revenue Service, might significantly impact our tax reporting and withholding processes and result in increased compliance costs. Failure to comply with these new information reporting and withholding requirements might subject us to significant tax liabilities and penalties. Similarly, the Organization for Economic Cooperation and Development has published final guidance on a new “crypto-asset reporting framework” and amendments to the existing rules for reporting crypto assets under the global “common reporting standard” that might apply to our international operations. These new rules might give rise to potential liabilities or disclosure requirements, and implementation of these requirements might significantly impact our operations and result in increased costs.</w:t>
      </w:r>
    </w:p>
    <w:p>
      <w:pPr>
        <w:spacing w:after="0" w:line="2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international expansion also subjects us to additional laws, regulations, or other government or regulatory scrutiny as discussed in “—Risks Related to Our Business—We recently started operating in certain international markets and plan to further expand our international operations, which exposes us to significant new risks, and our international expansion efforts might not succeed.” For example, when the provisions of Markets in the Crypto Asset Regulation (“MiCA”) take effect on December 30, 2024, we will be subject to the authorization, compliance, and disclosure regime of MiCA for crypto asset service providers (“CASP”) and issuers of certain crypto assets. We will need to obtain a MiCA compliant CASP license in our home member state and compliance with such regulation will require the implementation of new systems and processes, and updates to our policies. While MiCA provides member states with the option of implementing a transitional period from December 30, 2024 to July 1, 2026, at this time, Lithuania’s Ministry of Finance and the Bank of Lithuania have proposed a MiCA transitional period for registrants in Lithuania to June 1, 2025. The relevant Lithuanian authorities are actively preparing for MiCA regulation, but the application process in Lithuania has not yet been finalized. Notwithstanding the transitional period, however, if we are unable to obtain a MiCA compliant CASP license by the end of the year, we may need to cease operations in several member states in the EU. Obtaining a MiCA compliant CASP license in our home EU member state could take longer than we expect and would adversely affect our international operations.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Crypto Transfers, Robinhood Wallet, and Robinhood Connect features could result in loss of customer assets, customer disputes, and other liabilities, which could harm our reputation and adversely impact trading volumes and transaction-based revenues.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United States, we allow customers to deposit and withdraw cryptocurrencies to and from our RHC platform through our Crypto Transfers feature in the states in which RHC operates (other than New York, where our regulatory application is still pending). Since July 2024, we also allow customers in select jurisdictions in Europe to deposit crypto onto our RHEC platform, and since August 2024, we have allowed customers to withdraw crypto from our RHEC platform. Crypto Transfers are processed using Robinhood’s general custodial infrastructure in which we hold some cryptocurrencies on behalf of customers; when transactions are completed, coins are allocated to and from individuals’ accounts in our customer records. Additionally, U.S. customers have access to a fiat-to-crypto on-ramp tool that developers can embed directly into their decentralized applications (“Robinhood Connect”), allowing their customers to use their RHC accounts to buy and transfer crypto, and fund their self-custody wallets.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Crypto Transfers initiated by users are subject to a heightened risk of user error. Under blockchain protocol, recording a transfer of cryptocurrency on the blockchain involves both the private key of the sending wallet and the unique public key of the receiving wallet. Such</w:t>
      </w:r>
    </w:p>
    <w:p>
      <w:pPr>
        <w:jc w:val="both"/>
        <w:spacing w:after="0" w:line="262" w:lineRule="auto"/>
        <w:rPr>
          <w:sz w:val="20"/>
          <w:szCs w:val="20"/>
          <w:color w:val="auto"/>
        </w:rPr>
      </w:pPr>
      <w:r>
        <w:rPr>
          <w:rFonts w:ascii="Arial" w:cs="Arial" w:eastAsia="Arial" w:hAnsi="Arial"/>
          <w:sz w:val="18"/>
          <w:szCs w:val="18"/>
          <w:color w:val="auto"/>
        </w:rPr>
        <w:t>keys are strings of alphanumeric characters. In order for a customer to receive cryptocurrency on our platforms, the customer will need to arrange for the owner of an external source wallet to “sign” a transaction with the private key of that external wallet, directing a transfer of the cryptocurrency to our receiving custodial wallet by inputting the public key (which we will provide to the customer) of our custodial wallet. Similarly, in order to withdraw cryptocurrency from our platforms, the customer will need to provide us with the public key of the external</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wallet to which the cryptocurrency is to be transferred, and we will “sign” the transaction using the private key of our wallet. Some crypto networks might require additional information to be provided in connection 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 Dogecoin, or other cryptocurrency is sent to a Bitcoin wallet address, for example, or if any of the other foregoing errors occur, such cryptocurrencies could be permanently and irretrievably lost with no means of recovery.</w:t>
      </w:r>
    </w:p>
    <w:p>
      <w:pPr>
        <w:spacing w:after="0" w:line="2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Robinhood Wallet, our self-custody, web3 wallet, users have sole access and control over their cryptocurrencies on certain networks and personally hold and maintain their private keys. Although we do not custody cryptocurrencies held in a user’s Robinhood Wallet and do not have access to users’ private keys, users who lose their private keys, and thus access to their Robinhood Wallet balances, may react negatively. Although our account agreements for Crypto Transfers and licensing agreements for Robinhood Wallet disclaim responsibility for losses caused by user errors, such incidents could result in user disputes, damage to our brand and reputation, legal claims against us, and financial liabilities.</w:t>
      </w:r>
    </w:p>
    <w:p>
      <w:pPr>
        <w:spacing w:after="0" w:line="20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and Robinhood Connect also expose us to heightened risks related to potential violations of trade sanctions, including OFAC regulations, and anti-money laundering and counter-terrorist financing laws, which among other things impose strict liability for</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transacting with prohibited persons. We engage blockchain analytics vendors to help determine whether the external wallets involved in Crypto Transfers are controlled by persons on prohibited lists or involved in fraudulent or illegal activity. However, fraudulent and illegal</w:t>
      </w:r>
    </w:p>
    <w:p>
      <w:pPr>
        <w:jc w:val="both"/>
        <w:spacing w:after="0" w:line="257" w:lineRule="auto"/>
        <w:rPr>
          <w:sz w:val="20"/>
          <w:szCs w:val="20"/>
          <w:color w:val="auto"/>
        </w:rPr>
      </w:pPr>
      <w:r>
        <w:rPr>
          <w:rFonts w:ascii="Arial" w:cs="Arial" w:eastAsia="Arial" w:hAnsi="Arial"/>
          <w:sz w:val="18"/>
          <w:szCs w:val="18"/>
          <w:color w:val="auto"/>
        </w:rPr>
        <w:t>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20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Both Bitcoin and Ethereum protocols have been subject to “forks” that resulted in the creation of new networks, including, among others, Bitcoin Cash, BSV, Bitcoin Diamond, Bitcoin Gold, Ethereum Classic, and Ethereum Proof-of-Work.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spacing w:after="0" w:line="19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w:t>
      </w:r>
    </w:p>
    <w:p>
      <w:pPr>
        <w:spacing w:after="0" w:line="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splitting of some mining power across networks, making it easier for a malicious actor to exceed 50% of the mining power of that network. Such disruption and loss could cause our company to be exposed to liability, even in circumstances where we have no intention of supporting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cryptocurrency compromised by a fork.</w:t>
      </w:r>
    </w:p>
    <w:p>
      <w:pPr>
        <w:spacing w:after="0" w:line="23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Moreover, we might decide not to or not be able to support a cryptocurrency resulting from the fork of a network which might cause our customers to lose confidence in us or reduce their engagement on our platforms.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w:t>
      </w:r>
    </w:p>
    <w:p>
      <w:pPr>
        <w:spacing w:after="0" w:line="21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 a forked network and the approach to such forked cryptocurrencies and that we may temporarily suspend trading for a cryptocurrency whose network is undergoing a fork without advanced notice to the customer. 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Any inability to maintain adequate relationships with third-party banks, market makers, and liquidity providers with respect to, and any inability to settle customer trades related to, our cryptocurrency offerings would disrupt our ability to offer cryptocurrency trading to customers.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on third-party banks, market makers, and liquidity providers to provide cryptocurrency products and services to our customers. The cryptocurrency market operates 24 hours a day, seven days a week. The cryptocurrency market does not have a centralized clearinghouse, and the transactions in cryptocurrencies on our platforms rely on direct settlements between us and our customers and direct settlements between us and our market makers or liquidity providers after customer trades are executed. Accordingly, we rely on third-party banks to facilitate cash settlements with customers’ brokerage accounts and we rely on the ability of market makers and liquidity providers to complete cryptocurrency settlements with us to obtain cryptocurrency for customer accounts. In addition, we must maintain cash assets in our bank accounts sufficient to meet the working capital needs of our business, which includes deploying available working capital to facilitate cash settlements with our customers, market makers, and liquidity providers (as well as maintaining the minimum capital required by regulators). If we, third-party banks, market makers, or liquidity providers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spacing w:after="0" w:line="21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We might also be harmed by the loss of any of our banking partners and market makers. As a result of the many regulations applicable to cryptocurrencies or the risks of cryptocurrencies generally, many financial institutions have decided, and other financial institutions might in the future decide, not to provide bank accounts (or access to bank accounts), payments services, or other financial services to companies providing cryptocurrency products, including us. For instance, in May 2023, two prominent market makers announced their respective decisions to limit their offerings in cryptocurrency trading within the United States. If we or our market makers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might also be harmed by the loss of any of our liquidity partners. Unlike our customers’ orders for other cryptocurrencies, which are currently fulfilled by market makers, our RHC customers’ orders for USD coin (“USDC”), a stablecoin backed by dollar denominated assets held by the issuer in segregated accounts with U.S. regulated financial institutions, are fulfilled directly from Circle Internet Financial, LLC (“Circle”), the original issuer and main liquidity provider of USDC. If in the future we decide to offer other stablecoins, which are cryptocurrencies designed to minimize price volatility, we may also work directly with other liquidity partners to fulfill those orders. If we cannot maintain sufficient relationships with Circle or any other liquidity providers, it could be difficult for us to find alternative liquidity partners for our stablecoin offerings, which would disrupt our business and could cause cryptocurrency trading volumes and transaction-based revenues to decline significantly.</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From time to time, we might encounter technical issues in connection with changes and upgrades to the underlying networks of supported cryptocurrencies, which could cause revenues to decline and expose us to potential liability for customer losses.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Spending and Payments Products and Services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spending and payments products and services subject us to risks related to bank partnerships, FDIC pass-through insurance and other regulatory obligations.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offer a Spending Account (in connection with a partnership with J.P. Morgan Chase Bank, N.A.), and we have also partnered, on a non-exclusive basis, with Sutton Bank (“Sutton”), an Ohio -chartered bank, pursuant to a license from Mastercard International Incorporated, to offer the Robinhood Cash Card. Under the terms of our program agreement with Sutton, Robinhood Cash Card accounts for our users are opened and maintained by Sutton. We act as the service provider to, among other things, facilitate communication between our users and Sutton for which we receive compensation from Sutton. Additionally, Robinhood branded credit cards are issued by Coastal Bank, a Washington-chartered bank, pursuant to a partnership with Visa U.S.A. Inc. Our partner banks are members of the FDIC.</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record keeping for our users’ funds held in Robinhood Cash Card accounts at Sutton and held in a Spending Account at our other partner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funds held at our partner banks are not covered by deposit insurance, participating users might decide to withdraw their funds, which could adversely affect our brand and our business. Due to the fact that we are deemed a service-provider to our partner banks, we are subject to audit standards for third-party vendors in accordance with bank regulatory guidance and examinations by federal bank regulatory authorities and the CFPB.</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the stored value Spending Account program and the Robinhood Cash Card,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and is discussing with regulators, such as the Nebraska Department of Banking and Finance and Massachusetts Division of Banks, certain prior related activity.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 charges. Violations of any of these requirements could result in the assessment of significant actual damages or statutory damages or penalties (including treble damages in some instances) and plaintiffs’ attorneys’ fees.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Robinhood Credit increases our exposure to customer defaults and credit risk and could result in losses.</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market consumer credit cards, such as the Robinhood Gold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Rewards Program, depends in part on managing credit risk while attracting new customers with profitable usage patterns. The models and approaches used to manage credit risk may not accurately predict future charge-offs and our ability to avoid high charge-off rates also may be adversely affected by general economic conditions including unemployment, the availability of consumer credit and the competitive environment, as well as events that may be difficult to predict, such as a general downturn in economic conditions (like the one that occurred in 2022) or public health threats (like the COVID-19 pandemic). Additionally, if any of these factors make it economically unfeasible for us to continue to offer the Robinhood Gold Card Rewards Program and we cease to offer such rewards, it might make Robinhood Credit products less desirable to customers. Any material increase in credit losses and defaults or inability to retain existing or attract new Robinhood Credit customers could have adverse effects on our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our spending and payments services for illegal activities or improper purposes could harm our business</w:t>
      </w:r>
      <w:r>
        <w:rPr>
          <w:rFonts w:ascii="Arial" w:cs="Arial" w:eastAsia="Arial" w:hAnsi="Arial"/>
          <w:sz w:val="18"/>
          <w:szCs w:val="18"/>
          <w:i w:val="1"/>
          <w:iCs w:val="1"/>
          <w:color w:val="auto"/>
        </w:rPr>
        <w:t>.</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highly automated nature of, and liquidity offered by, our spending and payments services to move money make us and our customers a target for illegal or improper uses, including scams and fraud directed at our stored value Spending Account, Robinhood Cash Card, and Robinhood Credit customers,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 involved in the sale of infringing or allegedly infringing items. While we invest in measures intended to prevent and detect illegal activities with respect to our spending and payments services, these measures require continuous improvement and might not be effective in detecting and preventing illegal activity or improper uses.</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illegal or improper uses of our spending and payments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spending and payments services for illegal or improper activity, and our failure to detect or prevent such use. Illegitimate transactions can also prevent us from satisfying our contractual obligations to our third-party partners, which might cause us to be in breach of our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w:t>
      </w:r>
    </w:p>
    <w:p>
      <w:pPr>
        <w:spacing w:after="0" w:line="25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United States and some non-U.S. countries, and our intellectual property rights might not receive the same degree of protection in non-U.S. countries as they would in the United States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spacing w:after="0" w:line="36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w:t>
      </w:r>
    </w:p>
    <w:p>
      <w:pPr>
        <w:spacing w:after="0" w:line="21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color w:val="auto"/>
        </w:rPr>
        <w:t>In addition, we might need to expend significant resources to apply for, maintain, enforce and monitor our intellectual property rights and 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been, and might in the future be, subject to claims that we violated third-party intellectual property rights, which, even where meritless, can be costly to defend and could materially adversely affect our business, results of operations, and financial condition.</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success depends, in part, on our ability to develop and commercialize our products and services without infringing, misappropriating or otherwise violating the intellectual property rights of third parties. However, we might not be aware that our products, services, or marketing materials are infringing, misappropriating or otherwise violating third-party intellectual property rights and such third parties might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w:t>
      </w:r>
    </w:p>
    <w:p>
      <w:pPr>
        <w:spacing w:after="0" w:line="2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use of third-party software and other intellectual property rights might be subject to claims of infringement or misappropriation. The vendors who provide us with technology that we incorporate in our product offerings also could become subject to various infringement claims.</w:t>
      </w:r>
    </w:p>
    <w:p>
      <w:pPr>
        <w:spacing w:after="0" w:line="1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From time to time, our competitors or other third parties might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20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could pose particular risks to our proprietary software, products, and services in a manner that could harm our business.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 of our own proprietary source code and/or may make contributions to open source software. There is a risk that our proprietary software or contributions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 used in such a manner that we may need to enforce our rights to ownership of such open source software, including seeking proper usage, compliance with our license terms, or through litigation. Any actual or claimed requirement to disclose our proprietary source code or pay damages for breach of license terms, or failure to enforce our ownership rights over the use of our proprietary source code could harm our business and could help third parties, including our competitors, develop products and services that are similar to or better than ours.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27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Covenants in our credit agreements could restrict our operations and if we do not effectively manage our business to comply with these covenants, our financial condition could be adversely impacted.</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entered into certain credit agreements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 to incur debt to increase our liquidity position.</w:t>
      </w:r>
    </w:p>
    <w:p>
      <w:pPr>
        <w:spacing w:after="0" w:line="20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might be inadequate or expensive.</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cyber and data breach, crime, and fidelity bond insurance. Our insurance coverage is expensive and maintaining or expanding our insurance coverage might have an adverse effect on our results of operations and financial condition.</w:t>
      </w:r>
    </w:p>
    <w:p>
      <w:pPr>
        <w:spacing w:after="0" w:line="20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 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and foreign tax laws and policies could adversely impact our tax liabilities.</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and may in the future become, subject to complex and evolving U.S. and foreign tax laws and regulations, which might in the future make changes to corporate income tax rates, the treatment of foreign earnings, or other income tax laws that could have an adverse impact on our business, result of operations, financial condition and cash flows.</w:t>
      </w:r>
    </w:p>
    <w:p>
      <w:pPr>
        <w:spacing w:after="0" w:line="19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 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spacing w:after="0" w:line="21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also are subject to non-income taxes, such as payroll, sales, use, value-added, net worth, excise, goods and services, and property taxes in the United States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could be subject to certain limitations.</w:t>
      </w:r>
    </w:p>
    <w:p>
      <w:pPr>
        <w:spacing w:after="0" w:line="2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2023, we have net operating loss carryforwards (“NOLs”) available to reduce future taxable income. However, under Sections 382 and 383 of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For these reasons, we might not be able to utilize our NOLs, even if we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information reporting obligations are subject to change.</w:t>
      </w:r>
    </w:p>
    <w:p>
      <w:pPr>
        <w:spacing w:after="0" w:line="2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believe we are compliant with the tax reporting and withholding requirements with respect to our customers’ transactions in the 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 reporting or withholding requirements with respect to customer asset transactions, we may be exposed to additional withholding obligations, which could increase our compliance costs and result in penalties.</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could harm our reputation, adversely affect our stock price, and result in litigation.</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track certain operational metrics using internal company data gathered on an analytics platform that we developed and operate, including metrics such as Funded Customers, AUC, and Gold Subscribers,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Funded Customers, that, since November 2018, we have calculated based on data sourced and processed internally.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platforms are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14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spacing w:after="0" w:line="191" w:lineRule="exact"/>
        <w:rPr>
          <w:sz w:val="20"/>
          <w:szCs w:val="20"/>
          <w:color w:val="auto"/>
        </w:rPr>
      </w:pPr>
    </w:p>
    <w:p>
      <w:pPr>
        <w:jc w:val="both"/>
        <w:spacing w:after="0" w:line="341"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1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14"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w:t>
      </w:r>
    </w:p>
    <w:p>
      <w:pPr>
        <w:spacing w:after="0" w:line="19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we are unable to continue to meet these requirements, we might not be able to remain listed on the Nasdaq.</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w:t>
      </w:r>
    </w:p>
    <w:p>
      <w:pPr>
        <w:spacing w:after="0" w:line="25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trading price for our Class A common stock has been and might continue to be volatile and you could lose all or part of your investment.</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trading price of our Class A common stock has been and might continue to be highly volatile and could continue to be subject to fluctuations in response to one or more of the risk factors described in this report, many of which are beyond our control. For example, on November 8, 2022 (the day that FTX halted all non-fiat customer withdrawals from its platform) the intra-day trading price of our Class A common stock fell as much as 18%, and on December 14, 2022 (the day the December 2022 Rule Proposals were announced), the intra-day trading prices of our Class A common stock fell as much as 5.3%.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spacing w:after="0" w:line="210" w:lineRule="exact"/>
        <w:rPr>
          <w:sz w:val="20"/>
          <w:szCs w:val="20"/>
          <w:color w:val="auto"/>
        </w:rPr>
      </w:pPr>
    </w:p>
    <w:p>
      <w:pPr>
        <w:jc w:val="both"/>
        <w:ind w:left="66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new offerings or platform features;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public’s perception of the quality and accuracy of our key metrics on our customer base and engagement;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public’s reaction to our media statements, other public announcements and filings with the SEC;</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8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retail and other individual investors (as distinguished from institutional investors), including our customers, invest in our Class A common stock, which might result in increased volatility;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media coverage related to certain individuals and entities identified as having owned our stock, and any speculation related to plans to dispose of their holdings.</w:t>
      </w:r>
    </w:p>
    <w:p>
      <w:pPr>
        <w:spacing w:after="0" w:line="12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8"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spacing w:after="0" w:line="1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September 30, 2024, our founders and their related entities hold approximately 14% of our outstanding common stock (and, as described in the following risk factor, over 50% of the voting power of our outstanding capital stock). If our founders or other significant stockholders sell, or indicate an intent to sell, large amounts of stock in the public market, or the perception that these sales might occur, could cause the trading price of our Class A common stock to decline substantially.</w:t>
      </w:r>
    </w:p>
    <w:p>
      <w:pPr>
        <w:spacing w:after="0" w:line="20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Similarly,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and for issuance under our ESPP. All of these shares will become eligible for sale in the public market upon exercise, vesting, or settlement, as applicable (and to the extent granted in the discretion of our board of directors, in the case of shares available for grant). These and any future issuances of shares of our capital stock, or of securities convertible into or exercisable for our capital stock could depress the market price of our Class A common stock and result in a significant dilution for stockholders.</w:t>
      </w:r>
    </w:p>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have authorized more capital stock in recent years to provide additional stock options and RSUs to our employees and to permit for the consummation of equity and equity-linked financings and might continue to do so in the future. Our employee headcount has increased significantly in the past few years,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There are no guarantees that we will repurchase shares under the Repurchase Program or that the Repurchase Program will result in increased shareholder value.</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May 28, 2024, Robinhood announced that its board of directors approved the Repurchase Program authorizing the Company to repurchase up to $1 billion of its outstanding Class A common stock to return value to shareholders. In July 2024, Robinhood began to execute on the Repurchase Program. While the Repurchase Program does not have an expiration date, the Company’s management currently expects to conduct the Repurchase Program over a period of two to three years, beginning in the third quarter of 2024. The timing and amount of repurchase transactions will be determined by the Company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Exchange Act, or other financial 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spacing w:after="0" w:line="15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a number of ways in which the Repurchase Program could fail to result in enhanced shareholder value. For example, any failure to repurchase stock after we have announced our intention to do so may negatively impact the trading price of our Class A common stock. The existence of the Repurchase Program could also cause our stock price to trade higher than it otherwise would and could 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any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has one vote per share, our Class B common stock has 10 votes per share and our Class C common stock</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has no voting rights, except as otherwise required by law. Our founders and certain of their related entities (“Founder Affiliates”) together hold all of the issued and outstanding shares of our Class B common stock. Accordingly, Mr. Tenev, who is also our CEO, President and Chair of</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of directors, and Mr. Bhatt, who is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Charter and our Amended and Restated Bylaws (our “Bylaws”) and the approval of any merger, consolidation, sale of all or substantially all of our assets or other major corporate transaction.</w:t>
      </w:r>
    </w:p>
    <w:p>
      <w:pPr>
        <w:spacing w:after="0" w:line="22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addition, our founders and Founder Affiliates have entered into a voting agreement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proposed transfers that would otherwise cause Class B shares to convert into Class A shares under our Charter. The Founders’ Voting Agreement has the effect of concentrating voting power in our founders (or either one of them).</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pursuant to the equity exchange right agreements entered into between us and each of our founders in connection with our IPO, each of our founders has a right (but not an obligation) to require us to exchange, for shares of Class B common stock, any shares of Class A common stock received by them upon the vesting and settlement of pre-IPO RSUs (the “Equity Exchange Rights”). Any exercise by our founders of these Equity Exchange Rights will dilute the voting power of holders of our Class A common stock.</w:t>
      </w:r>
    </w:p>
    <w:p>
      <w:pPr>
        <w:spacing w:after="0" w:line="19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might prevent or delay an acquisition of Robinhood, which could decrease the trading price of our Class A common stock.</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Charter and our Bylaws contain, and Delaware law contains, provisions that might have the effect of deterring takeovers by making</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takeovers more expensive to the bidder and by encouraging prospective acquirers to negotiate with our board of directors rather than to attempt a hostile takeover, such as a classified board, limitations on the ability of stockholders to take action by written consent, and the</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 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a third party attempting to acquire us or a substantial position in our Class A common stock might be delayed or ultimately</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Financial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Authority, which regulates our U.K. authorized broker-dealer subsidiary, must be obtained in 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exclusive forum provisions of our Charter could limit our stockholders’ ability to choose the judicial forum for some types of lawsuits against us or our directors, officers, or employees.</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21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color w:val="auto"/>
        </w:rPr>
        <w:t>ITEM 2. UNREGISTERED SALES OF EQUITY SECURITIES AND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color w:val="auto"/>
        </w:rPr>
        <w:t>From January 1, 2024 through September 30, 2024 we did not sell any shares of Class A common stock (or other equity securities of Robinhood Markets, Inc.) that were not registered under the Securities 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repurchases of shares of our Class A common stock during the three months ended September 30, 2024:</w:t>
      </w:r>
    </w:p>
    <w:p>
      <w:pPr>
        <w:sectPr>
          <w:pgSz w:w="11900" w:h="16838" w:orient="portrait"/>
          <w:cols w:equalWidth="0" w:num="1">
            <w:col w:w="11240"/>
          </w:cols>
          <w:pgMar w:left="320" w:top="121" w:right="339" w:bottom="1440" w:gutter="0" w:footer="0" w:header="0"/>
        </w:sectPr>
      </w:pPr>
    </w:p>
    <w:p>
      <w:pPr>
        <w:spacing w:after="0" w:line="35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Total Number of</w:t>
      </w:r>
    </w:p>
    <w:p>
      <w:pPr>
        <w:ind w:left="20"/>
        <w:spacing w:after="0"/>
        <w:tabs>
          <w:tab w:leader="none" w:pos="4640" w:val="left"/>
        </w:tabs>
        <w:rPr>
          <w:sz w:val="20"/>
          <w:szCs w:val="20"/>
          <w:color w:val="auto"/>
        </w:rPr>
      </w:pPr>
      <w:r>
        <w:rPr>
          <w:rFonts w:ascii="Arial" w:cs="Arial" w:eastAsia="Arial" w:hAnsi="Arial"/>
          <w:sz w:val="14"/>
          <w:szCs w:val="14"/>
          <w:b w:val="1"/>
          <w:bCs w:val="1"/>
          <w:color w:val="auto"/>
        </w:rPr>
        <w:t>Period</w:t>
      </w:r>
      <w:r>
        <w:rPr>
          <w:sz w:val="20"/>
          <w:szCs w:val="20"/>
          <w:color w:val="auto"/>
        </w:rPr>
        <w:tab/>
      </w:r>
      <w:r>
        <w:rPr>
          <w:rFonts w:ascii="Arial" w:cs="Arial" w:eastAsia="Arial" w:hAnsi="Arial"/>
          <w:sz w:val="14"/>
          <w:szCs w:val="14"/>
          <w:b w:val="1"/>
          <w:bCs w:val="1"/>
          <w:color w:val="auto"/>
        </w:rPr>
        <w:t>Shares Purchased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840" w:type="dxa"/>
            <w:vAlign w:val="bottom"/>
          </w:tcPr>
          <w:p>
            <w:pPr>
              <w:jc w:val="center"/>
              <w:ind w:left="2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18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1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Plans</w:t>
            </w:r>
          </w:p>
        </w:tc>
        <w:tc>
          <w:tcPr>
            <w:tcW w:w="184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9"/>
                <w:szCs w:val="9"/>
                <w:b w:val="1"/>
                <w:bCs w:val="1"/>
                <w:color w:val="auto"/>
              </w:rPr>
              <w:t>(2)</w:t>
            </w:r>
          </w:p>
        </w:tc>
        <w:tc>
          <w:tcPr>
            <w:tcW w:w="1840" w:type="dxa"/>
            <w:vAlign w:val="bottom"/>
          </w:tcPr>
          <w:p>
            <w:pPr>
              <w:jc w:val="center"/>
              <w:ind w:left="28"/>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40" w:type="dxa"/>
            <w:vAlign w:val="bottom"/>
          </w:tcPr>
          <w:p>
            <w:pPr>
              <w:jc w:val="center"/>
              <w:ind w:left="28"/>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900" w:space="160"/>
            <w:col w:w="5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2024 - July 31, 2024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386,603</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August 1, 2024 - August 31, 2024</w:t>
            </w:r>
          </w:p>
        </w:tc>
        <w:tc>
          <w:tcPr>
            <w:tcW w:w="1400" w:type="dxa"/>
            <w:vAlign w:val="bottom"/>
          </w:tcPr>
          <w:p>
            <w:pPr>
              <w:jc w:val="right"/>
              <w:spacing w:after="0"/>
              <w:rPr>
                <w:sz w:val="20"/>
                <w:szCs w:val="20"/>
                <w:color w:val="auto"/>
              </w:rPr>
            </w:pPr>
            <w:r>
              <w:rPr>
                <w:rFonts w:ascii="Arial" w:cs="Arial" w:eastAsia="Arial" w:hAnsi="Arial"/>
                <w:sz w:val="18"/>
                <w:szCs w:val="18"/>
                <w:color w:val="auto"/>
              </w:rPr>
              <w:t>2,823,247</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18.86</w:t>
            </w:r>
          </w:p>
        </w:tc>
        <w:tc>
          <w:tcPr>
            <w:tcW w:w="1840" w:type="dxa"/>
            <w:vAlign w:val="bottom"/>
          </w:tcPr>
          <w:p>
            <w:pPr>
              <w:jc w:val="right"/>
              <w:spacing w:after="0"/>
              <w:rPr>
                <w:sz w:val="20"/>
                <w:szCs w:val="20"/>
                <w:color w:val="auto"/>
              </w:rPr>
            </w:pPr>
            <w:r>
              <w:rPr>
                <w:rFonts w:ascii="Arial" w:cs="Arial" w:eastAsia="Arial" w:hAnsi="Arial"/>
                <w:sz w:val="18"/>
                <w:szCs w:val="18"/>
                <w:color w:val="auto"/>
              </w:rPr>
              <w:t>2,823,247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2024- September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1,802,345</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1,802,345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5,012,195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19.42</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5,012,195</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r>
      <w:tr>
        <w:trPr>
          <w:trHeight w:val="20"/>
        </w:trPr>
        <w:tc>
          <w:tcPr>
            <w:tcW w:w="4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The average cost per share excludes the 1% excise tax on net share repurchase and commissions.</w:t>
      </w:r>
    </w:p>
    <w:p>
      <w:pPr>
        <w:jc w:val="both"/>
        <w:ind w:left="180" w:hanging="172"/>
        <w:spacing w:after="0" w:line="244" w:lineRule="auto"/>
        <w:tabs>
          <w:tab w:leader="none" w:pos="158"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On May 28, 2024, we announced that the Board of Directors approved the Repurchase Program authorizing the Company to repurchase up to $1 billion of its outstanding Class A common stock.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Refer to Note 11 - Common Stock and Stockholders' Equity to our unaudited condensed consolidated financial statements in this Quarterly Report for more information about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5"/>
          <w:szCs w:val="25"/>
          <w:color w:val="auto"/>
        </w:rPr>
        <w:t>ITEM 3. DEFAULTS UPON SENIOR SECURITIES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ITEM 4. MINE SAFETY DISCLOSURES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auto"/>
        </w:rPr>
        <w:t>ITEM 5. OTHER INFORMATION</w:t>
      </w:r>
    </w:p>
    <w:p>
      <w:pPr>
        <w:spacing w:after="0" w:line="229" w:lineRule="exact"/>
        <w:rPr>
          <w:sz w:val="20"/>
          <w:szCs w:val="20"/>
          <w:color w:val="auto"/>
        </w:rPr>
      </w:pPr>
    </w:p>
    <w:p>
      <w:pPr>
        <w:jc w:val="both"/>
        <w:ind w:firstLine="332"/>
        <w:spacing w:after="0" w:line="268" w:lineRule="auto"/>
        <w:tabs>
          <w:tab w:leader="none" w:pos="5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August 9, 2024, Daniel Gallagher, our Chief Legal Officer, adopted a “Rule 10b5-1 trading arrangement” (as defined in Item 408(a) of Regulation S-K) intended to satisfy the affirmative defense of Rule 10b5-1(c) under the Exchange Act pursuant to which he may sell up to 650,000 shares of our Class A common stock on or prior to November 21, 2025.</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certain of our officers may, from time to time, make elections to participate in our ESPP and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ITEM 6. EXHIBIT INDEX</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8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940" w:type="dxa"/>
            <w:vAlign w:val="bottom"/>
            <w:gridSpan w:val="10"/>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66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Filing Date</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5"/>
        </w:trPr>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940" w:type="dxa"/>
            <w:vAlign w:val="bottom"/>
            <w:gridSpan w:val="10"/>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8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400" w:type="dxa"/>
            <w:vAlign w:val="bottom"/>
            <w:tcBorders>
              <w:top w:val="single" w:sz="8" w:color="auto"/>
            </w:tcBorders>
            <w:gridSpan w:val="12"/>
            <w:shd w:val="clear" w:color="auto" w:fill="CCEEFF"/>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Amended and Restated Certificate of Incorporation of Robinhood</w:t>
              </w:r>
            </w:hyperlink>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center"/>
              <w:ind w:left="54"/>
              <w:spacing w:after="0" w:line="182" w:lineRule="exact"/>
              <w:rPr>
                <w:sz w:val="20"/>
                <w:szCs w:val="20"/>
                <w:color w:val="auto"/>
              </w:rPr>
            </w:pPr>
            <w:r>
              <w:rPr>
                <w:rFonts w:ascii="Arial" w:cs="Arial" w:eastAsia="Arial" w:hAnsi="Arial"/>
                <w:sz w:val="18"/>
                <w:szCs w:val="18"/>
                <w:color w:val="auto"/>
                <w:w w:val="99"/>
              </w:rPr>
              <w:t>8-K</w:t>
            </w: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2021-08-02</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0000FF"/>
            </w:tcBorders>
            <w:gridSpan w:val="7"/>
            <w:shd w:val="clear" w:color="auto" w:fill="CCEEFF"/>
          </w:tcPr>
          <w:p>
            <w:pPr>
              <w:spacing w:after="0" w:line="169" w:lineRule="exact"/>
              <w:rPr>
                <w:rFonts w:ascii="Arial" w:cs="Arial" w:eastAsia="Arial" w:hAnsi="Arial"/>
                <w:sz w:val="18"/>
                <w:szCs w:val="18"/>
                <w:color w:val="0000FF"/>
              </w:rPr>
            </w:pPr>
            <w:hyperlink r:id="rId148">
              <w:r>
                <w:rPr>
                  <w:rFonts w:ascii="Arial" w:cs="Arial" w:eastAsia="Arial" w:hAnsi="Arial"/>
                  <w:sz w:val="18"/>
                  <w:szCs w:val="18"/>
                  <w:color w:val="0000FF"/>
                </w:rPr>
                <w:t>Markets, Inc., dated August 2,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3"/>
          </w:tcPr>
          <w:p>
            <w:pPr>
              <w:spacing w:after="0" w:line="189" w:lineRule="exact"/>
              <w:rPr>
                <w:rFonts w:ascii="Arial" w:cs="Arial" w:eastAsia="Arial" w:hAnsi="Arial"/>
                <w:sz w:val="18"/>
                <w:szCs w:val="18"/>
                <w:color w:val="0000FF"/>
              </w:rPr>
            </w:pPr>
            <w:hyperlink r:id="rId149">
              <w:r>
                <w:rPr>
                  <w:rFonts w:ascii="Arial" w:cs="Arial" w:eastAsia="Arial" w:hAnsi="Arial"/>
                  <w:sz w:val="18"/>
                  <w:szCs w:val="18"/>
                  <w:color w:val="0000FF"/>
                </w:rPr>
                <w:t>Amended and Restated Bylaws of Robinhood Markets, Inc., dated</w:t>
              </w:r>
            </w:hyperlink>
          </w:p>
        </w:tc>
        <w:tc>
          <w:tcPr>
            <w:tcW w:w="660" w:type="dxa"/>
            <w:vAlign w:val="bottom"/>
          </w:tcPr>
          <w:p>
            <w:pPr>
              <w:jc w:val="center"/>
              <w:ind w:left="54"/>
              <w:spacing w:after="0" w:line="189" w:lineRule="exact"/>
              <w:rPr>
                <w:sz w:val="20"/>
                <w:szCs w:val="20"/>
                <w:color w:val="auto"/>
              </w:rPr>
            </w:pPr>
            <w:r>
              <w:rPr>
                <w:rFonts w:ascii="Arial" w:cs="Arial" w:eastAsia="Arial" w:hAnsi="Arial"/>
                <w:sz w:val="18"/>
                <w:szCs w:val="18"/>
                <w:color w:val="auto"/>
                <w:w w:val="99"/>
              </w:rPr>
              <w:t>8-K</w:t>
            </w:r>
          </w:p>
        </w:tc>
        <w:tc>
          <w:tcPr>
            <w:tcW w:w="1480" w:type="dxa"/>
            <w:vAlign w:val="bottom"/>
            <w:gridSpan w:val="3"/>
          </w:tcPr>
          <w:p>
            <w:pPr>
              <w:jc w:val="center"/>
              <w:ind w:left="155"/>
              <w:spacing w:after="0" w:line="189" w:lineRule="exact"/>
              <w:rPr>
                <w:sz w:val="20"/>
                <w:szCs w:val="20"/>
                <w:color w:val="auto"/>
              </w:rPr>
            </w:pPr>
            <w:r>
              <w:rPr>
                <w:rFonts w:ascii="Arial" w:cs="Arial" w:eastAsia="Arial" w:hAnsi="Arial"/>
                <w:sz w:val="18"/>
                <w:szCs w:val="18"/>
                <w:color w:val="auto"/>
                <w:w w:val="99"/>
              </w:rPr>
              <w:t>2022-12-16</w:t>
            </w:r>
          </w:p>
        </w:tc>
        <w:tc>
          <w:tcPr>
            <w:tcW w:w="12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December 14, 2022</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13"/>
            <w:shd w:val="clear" w:color="auto" w:fill="CCEEFF"/>
          </w:tcPr>
          <w:p>
            <w:pPr>
              <w:spacing w:after="0" w:line="189" w:lineRule="exact"/>
              <w:rPr>
                <w:rFonts w:ascii="Arial" w:cs="Arial" w:eastAsia="Arial" w:hAnsi="Arial"/>
                <w:sz w:val="18"/>
                <w:szCs w:val="18"/>
                <w:color w:val="0000FF"/>
              </w:rPr>
            </w:pPr>
            <w:hyperlink r:id="rId150">
              <w:r>
                <w:rPr>
                  <w:rFonts w:ascii="Arial" w:cs="Arial" w:eastAsia="Arial" w:hAnsi="Arial"/>
                  <w:sz w:val="18"/>
                  <w:szCs w:val="18"/>
                  <w:color w:val="0000FF"/>
                </w:rPr>
                <w:t>Form of Class A Common Stock Certificate of Robinhood Markets,</w:t>
              </w:r>
            </w:hyperlink>
          </w:p>
        </w:tc>
        <w:tc>
          <w:tcPr>
            <w:tcW w:w="660" w:type="dxa"/>
            <w:vAlign w:val="bottom"/>
            <w:shd w:val="clear" w:color="auto" w:fill="CCEEFF"/>
          </w:tcPr>
          <w:p>
            <w:pPr>
              <w:jc w:val="center"/>
              <w:ind w:left="54"/>
              <w:spacing w:after="0" w:line="189" w:lineRule="exact"/>
              <w:rPr>
                <w:sz w:val="20"/>
                <w:szCs w:val="20"/>
                <w:color w:val="auto"/>
              </w:rPr>
            </w:pPr>
            <w:r>
              <w:rPr>
                <w:rFonts w:ascii="Arial" w:cs="Arial" w:eastAsia="Arial" w:hAnsi="Arial"/>
                <w:sz w:val="18"/>
                <w:szCs w:val="18"/>
                <w:color w:val="auto"/>
                <w:w w:val="97"/>
              </w:rPr>
              <w:t>S-1/A</w:t>
            </w:r>
          </w:p>
        </w:tc>
        <w:tc>
          <w:tcPr>
            <w:tcW w:w="1480" w:type="dxa"/>
            <w:vAlign w:val="bottom"/>
            <w:gridSpan w:val="3"/>
            <w:shd w:val="clear" w:color="auto" w:fill="CCEEFF"/>
          </w:tcPr>
          <w:p>
            <w:pPr>
              <w:jc w:val="center"/>
              <w:ind w:left="155"/>
              <w:spacing w:after="0" w:line="189" w:lineRule="exact"/>
              <w:rPr>
                <w:sz w:val="20"/>
                <w:szCs w:val="20"/>
                <w:color w:val="auto"/>
              </w:rPr>
            </w:pPr>
            <w:r>
              <w:rPr>
                <w:rFonts w:ascii="Arial" w:cs="Arial" w:eastAsia="Arial" w:hAnsi="Arial"/>
                <w:sz w:val="18"/>
                <w:szCs w:val="18"/>
                <w:color w:val="auto"/>
                <w:w w:val="99"/>
              </w:rPr>
              <w:t>2021-07-19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4.1</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96"/>
              </w:rPr>
            </w:pPr>
            <w:hyperlink r:id="rId150">
              <w:r>
                <w:rPr>
                  <w:rFonts w:ascii="Arial" w:cs="Arial" w:eastAsia="Arial" w:hAnsi="Arial"/>
                  <w:sz w:val="18"/>
                  <w:szCs w:val="18"/>
                  <w:color w:val="0000FF"/>
                  <w:w w:val="96"/>
                </w:rPr>
                <w:t>Inc.</w:t>
              </w:r>
            </w:hyperlink>
          </w:p>
        </w:tc>
        <w:tc>
          <w:tcPr>
            <w:tcW w:w="500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3"/>
          </w:tcPr>
          <w:p>
            <w:pPr>
              <w:spacing w:after="0" w:line="189" w:lineRule="exact"/>
              <w:rPr>
                <w:rFonts w:ascii="Arial" w:cs="Arial" w:eastAsia="Arial" w:hAnsi="Arial"/>
                <w:sz w:val="18"/>
                <w:szCs w:val="18"/>
                <w:color w:val="0000FF"/>
              </w:rPr>
            </w:pPr>
            <w:hyperlink r:id="rId151">
              <w:r>
                <w:rPr>
                  <w:rFonts w:ascii="Arial" w:cs="Arial" w:eastAsia="Arial" w:hAnsi="Arial"/>
                  <w:sz w:val="18"/>
                  <w:szCs w:val="18"/>
                  <w:color w:val="0000FF"/>
                </w:rPr>
                <w:t>Form of ten-year Warrant to Purchase Stock of Robinhood Markets,</w:t>
              </w:r>
            </w:hyperlink>
          </w:p>
        </w:tc>
        <w:tc>
          <w:tcPr>
            <w:tcW w:w="660" w:type="dxa"/>
            <w:vAlign w:val="bottom"/>
          </w:tcPr>
          <w:p>
            <w:pPr>
              <w:jc w:val="center"/>
              <w:ind w:left="54"/>
              <w:spacing w:after="0" w:line="189" w:lineRule="exact"/>
              <w:rPr>
                <w:sz w:val="20"/>
                <w:szCs w:val="20"/>
                <w:color w:val="auto"/>
              </w:rPr>
            </w:pPr>
            <w:r>
              <w:rPr>
                <w:rFonts w:ascii="Arial" w:cs="Arial" w:eastAsia="Arial" w:hAnsi="Arial"/>
                <w:sz w:val="18"/>
                <w:szCs w:val="18"/>
                <w:color w:val="auto"/>
                <w:w w:val="99"/>
              </w:rPr>
              <w:t>S-1</w:t>
            </w:r>
          </w:p>
        </w:tc>
        <w:tc>
          <w:tcPr>
            <w:tcW w:w="1480" w:type="dxa"/>
            <w:vAlign w:val="bottom"/>
            <w:gridSpan w:val="3"/>
          </w:tcPr>
          <w:p>
            <w:pPr>
              <w:jc w:val="center"/>
              <w:ind w:left="155"/>
              <w:spacing w:after="0" w:line="189" w:lineRule="exact"/>
              <w:rPr>
                <w:sz w:val="20"/>
                <w:szCs w:val="20"/>
                <w:color w:val="auto"/>
              </w:rPr>
            </w:pPr>
            <w:r>
              <w:rPr>
                <w:rFonts w:ascii="Arial" w:cs="Arial" w:eastAsia="Arial" w:hAnsi="Arial"/>
                <w:sz w:val="18"/>
                <w:szCs w:val="18"/>
                <w:color w:val="auto"/>
                <w:w w:val="99"/>
              </w:rPr>
              <w:t>2021-07-01</w:t>
            </w:r>
          </w:p>
        </w:tc>
        <w:tc>
          <w:tcPr>
            <w:tcW w:w="12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8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151">
              <w:r>
                <w:rPr>
                  <w:rFonts w:ascii="Arial" w:cs="Arial" w:eastAsia="Arial" w:hAnsi="Arial"/>
                  <w:sz w:val="18"/>
                  <w:szCs w:val="18"/>
                  <w:color w:val="0000FF"/>
                </w:rPr>
                <w:t>Inc., issued to multiple investors on February 12, 2021</w:t>
              </w:r>
            </w:hyperlink>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CEO Certification pursuant to Section 302 of the Sarbanes-Oxley</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8"/>
            <w:shd w:val="clear" w:color="auto" w:fill="CCEEFF"/>
          </w:tcPr>
          <w:p>
            <w:pPr>
              <w:spacing w:after="0" w:line="169" w:lineRule="exact"/>
              <w:rPr>
                <w:sz w:val="20"/>
                <w:szCs w:val="20"/>
                <w:color w:val="auto"/>
              </w:rPr>
            </w:pPr>
            <w:r>
              <w:rPr>
                <w:rFonts w:ascii="Arial" w:cs="Arial" w:eastAsia="Arial" w:hAnsi="Arial"/>
                <w:sz w:val="18"/>
                <w:szCs w:val="18"/>
                <w:color w:val="0000FF"/>
              </w:rPr>
              <w:t>Act</w:t>
            </w:r>
          </w:p>
        </w:tc>
        <w:tc>
          <w:tcPr>
            <w:tcW w:w="300" w:type="dxa"/>
            <w:vAlign w:val="bottom"/>
            <w:tcBorders>
              <w:top w:val="single" w:sz="8" w:color="CCEEFF"/>
            </w:tcBorders>
            <w:gridSpan w:val="5"/>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3"/>
          </w:tcPr>
          <w:p>
            <w:pPr>
              <w:spacing w:after="0" w:line="189" w:lineRule="exact"/>
              <w:rPr>
                <w:sz w:val="20"/>
                <w:szCs w:val="20"/>
                <w:color w:val="auto"/>
              </w:rPr>
            </w:pPr>
            <w:r>
              <w:rPr>
                <w:rFonts w:ascii="Arial" w:cs="Arial" w:eastAsia="Arial" w:hAnsi="Arial"/>
                <w:sz w:val="18"/>
                <w:szCs w:val="18"/>
                <w:color w:val="0000FF"/>
              </w:rPr>
              <w:t>CFO Certification pursuant to Section 302 of the Sarbanes-Oxley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Act</w:t>
            </w:r>
          </w:p>
        </w:tc>
        <w:tc>
          <w:tcPr>
            <w:tcW w:w="34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6"/>
                <w:szCs w:val="16"/>
                <w:color w:val="auto"/>
              </w:rPr>
            </w:pPr>
          </w:p>
        </w:tc>
        <w:tc>
          <w:tcPr>
            <w:tcW w:w="552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CEO Certification pursuant to Section 906 of the Sarbanes-Oxley</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8"/>
            <w:shd w:val="clear" w:color="auto" w:fill="CCEEFF"/>
          </w:tcPr>
          <w:p>
            <w:pPr>
              <w:spacing w:after="0" w:line="169" w:lineRule="exact"/>
              <w:rPr>
                <w:sz w:val="20"/>
                <w:szCs w:val="20"/>
                <w:color w:val="auto"/>
              </w:rPr>
            </w:pPr>
            <w:r>
              <w:rPr>
                <w:rFonts w:ascii="Arial" w:cs="Arial" w:eastAsia="Arial" w:hAnsi="Arial"/>
                <w:sz w:val="18"/>
                <w:szCs w:val="18"/>
                <w:color w:val="0000FF"/>
              </w:rPr>
              <w:t>Act</w:t>
            </w:r>
          </w:p>
        </w:tc>
        <w:tc>
          <w:tcPr>
            <w:tcW w:w="300" w:type="dxa"/>
            <w:vAlign w:val="bottom"/>
            <w:tcBorders>
              <w:top w:val="single" w:sz="8" w:color="CCEEFF"/>
            </w:tcBorders>
            <w:gridSpan w:val="5"/>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6"/>
                <w:szCs w:val="16"/>
                <w:color w:val="auto"/>
              </w:rPr>
            </w:pPr>
          </w:p>
        </w:tc>
        <w:tc>
          <w:tcPr>
            <w:tcW w:w="5520" w:type="dxa"/>
            <w:vAlign w:val="bottom"/>
            <w:gridSpan w:val="13"/>
          </w:tcPr>
          <w:p>
            <w:pPr>
              <w:spacing w:after="0" w:line="189" w:lineRule="exact"/>
              <w:rPr>
                <w:sz w:val="20"/>
                <w:szCs w:val="20"/>
                <w:color w:val="auto"/>
              </w:rPr>
            </w:pPr>
            <w:r>
              <w:rPr>
                <w:rFonts w:ascii="Arial" w:cs="Arial" w:eastAsia="Arial" w:hAnsi="Arial"/>
                <w:sz w:val="18"/>
                <w:szCs w:val="18"/>
                <w:color w:val="0000FF"/>
              </w:rPr>
              <w:t>CFO Certification pursuant to Section 906 of the Sarbanes-Oxley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Act</w:t>
            </w:r>
          </w:p>
        </w:tc>
        <w:tc>
          <w:tcPr>
            <w:tcW w:w="34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1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15"/>
                <w:szCs w:val="15"/>
                <w:color w:val="auto"/>
              </w:rPr>
            </w:pPr>
          </w:p>
        </w:tc>
        <w:tc>
          <w:tcPr>
            <w:tcW w:w="5520" w:type="dxa"/>
            <w:vAlign w:val="bottom"/>
            <w:gridSpan w:val="13"/>
            <w:shd w:val="clear" w:color="auto" w:fill="CCEEFF"/>
          </w:tcPr>
          <w:p>
            <w:pPr>
              <w:spacing w:after="0" w:line="183" w:lineRule="exact"/>
              <w:rPr>
                <w:sz w:val="20"/>
                <w:szCs w:val="20"/>
                <w:color w:val="auto"/>
              </w:rPr>
            </w:pPr>
            <w:r>
              <w:rPr>
                <w:rFonts w:ascii="Arial" w:cs="Arial" w:eastAsia="Arial" w:hAnsi="Arial"/>
                <w:sz w:val="18"/>
                <w:szCs w:val="18"/>
                <w:color w:val="auto"/>
              </w:rPr>
              <w:t>iXBRL (Inline eXtensible Business Reporting Language) Instance</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1"/>
        </w:trPr>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20" w:type="dxa"/>
            <w:vAlign w:val="bottom"/>
            <w:gridSpan w:val="13"/>
            <w:shd w:val="clear" w:color="auto" w:fill="CCEEFF"/>
          </w:tcPr>
          <w:p>
            <w:pPr>
              <w:spacing w:after="0" w:line="181" w:lineRule="exact"/>
              <w:rPr>
                <w:sz w:val="20"/>
                <w:szCs w:val="20"/>
                <w:color w:val="auto"/>
              </w:rPr>
            </w:pPr>
            <w:r>
              <w:rPr>
                <w:rFonts w:ascii="Arial" w:cs="Arial" w:eastAsia="Arial" w:hAnsi="Arial"/>
                <w:sz w:val="18"/>
                <w:szCs w:val="18"/>
                <w:color w:val="auto"/>
              </w:rPr>
              <w:t>Document - the instance document does not appear in the</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2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52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5520" w:type="dxa"/>
            <w:vAlign w:val="bottom"/>
            <w:gridSpan w:val="13"/>
          </w:tcPr>
          <w:p>
            <w:pPr>
              <w:spacing w:after="0"/>
              <w:rPr>
                <w:sz w:val="20"/>
                <w:szCs w:val="20"/>
                <w:color w:val="auto"/>
              </w:rPr>
            </w:pPr>
            <w:r>
              <w:rPr>
                <w:rFonts w:ascii="Arial" w:cs="Arial" w:eastAsia="Arial" w:hAnsi="Arial"/>
                <w:sz w:val="18"/>
                <w:szCs w:val="18"/>
                <w:color w:val="auto"/>
              </w:rPr>
              <w:t>iXBRL Taxonomy Extension Schema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9"/>
                <w:szCs w:val="19"/>
                <w:color w:val="auto"/>
              </w:rPr>
            </w:pPr>
          </w:p>
        </w:tc>
        <w:tc>
          <w:tcPr>
            <w:tcW w:w="552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5520" w:type="dxa"/>
            <w:vAlign w:val="bottom"/>
            <w:gridSpan w:val="13"/>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19"/>
                <w:szCs w:val="19"/>
                <w:color w:val="auto"/>
              </w:rPr>
            </w:pPr>
          </w:p>
        </w:tc>
        <w:tc>
          <w:tcPr>
            <w:tcW w:w="552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iXBRL Taxonomy Extension Label Linkbase Document.</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5520" w:type="dxa"/>
            <w:vAlign w:val="bottom"/>
            <w:gridSpan w:val="13"/>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52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Cover Page Interactive Data File (contained in Exhibit 101)</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0"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File number is 001-40691 except that the S-1 (and S-1/A) file number is 333-257602.</w:t>
      </w:r>
    </w:p>
    <w:p>
      <w:pPr>
        <w:spacing w:after="0" w:line="69" w:lineRule="exact"/>
        <w:rPr>
          <w:sz w:val="20"/>
          <w:szCs w:val="20"/>
          <w:color w:val="auto"/>
        </w:rPr>
      </w:pPr>
    </w:p>
    <w:p>
      <w:pPr>
        <w:jc w:val="both"/>
        <w:ind w:left="180" w:hanging="172"/>
        <w:spacing w:after="0" w:line="273" w:lineRule="auto"/>
        <w:tabs>
          <w:tab w:leader="none" w:pos="34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Robinhood Markets,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SIGNATURES</w:t>
      </w:r>
    </w:p>
    <w:p>
      <w:pPr>
        <w:spacing w:after="0" w:line="22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signed this report to be signed on its behalf by the undersigned, thereunto duly authorized, in Menlo Park, California, on October 30, 2024.</w:t>
      </w:r>
    </w:p>
    <w:p>
      <w:pPr>
        <w:spacing w:after="0" w:line="15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Robinhood Markets, Inc.</w:t>
      </w:r>
    </w:p>
    <w:p>
      <w:pPr>
        <w:spacing w:after="0" w:line="293" w:lineRule="exact"/>
        <w:rPr>
          <w:sz w:val="20"/>
          <w:szCs w:val="20"/>
          <w:color w:val="auto"/>
        </w:rPr>
      </w:pPr>
    </w:p>
    <w:tbl>
      <w:tblPr>
        <w:tblLayout w:type="fixed"/>
        <w:tblInd w:w="654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Vladimir Tenev</w:t>
            </w:r>
          </w:p>
        </w:tc>
        <w:tc>
          <w:tcPr>
            <w:tcW w:w="0" w:type="dxa"/>
            <w:vAlign w:val="bottom"/>
          </w:tcPr>
          <w:p>
            <w:pPr>
              <w:spacing w:after="0"/>
              <w:rPr>
                <w:sz w:val="1"/>
                <w:szCs w:val="1"/>
                <w:color w:val="auto"/>
              </w:rPr>
            </w:pPr>
          </w:p>
        </w:tc>
      </w:tr>
      <w:tr>
        <w:trPr>
          <w:trHeight w:val="21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Vladimir Tenev</w:t>
            </w:r>
          </w:p>
        </w:tc>
        <w:tc>
          <w:tcPr>
            <w:tcW w:w="0" w:type="dxa"/>
            <w:vAlign w:val="bottom"/>
          </w:tcPr>
          <w:p>
            <w:pPr>
              <w:spacing w:after="0"/>
              <w:rPr>
                <w:sz w:val="1"/>
                <w:szCs w:val="1"/>
                <w:color w:val="auto"/>
              </w:rPr>
            </w:pPr>
          </w:p>
        </w:tc>
      </w:tr>
      <w:tr>
        <w:trPr>
          <w:trHeight w:val="189"/>
        </w:trPr>
        <w:tc>
          <w:tcPr>
            <w:tcW w:w="8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89" w:lineRule="exact"/>
              <w:rPr>
                <w:sz w:val="20"/>
                <w:szCs w:val="20"/>
                <w:color w:val="auto"/>
              </w:rPr>
            </w:pPr>
            <w:r>
              <w:rPr>
                <w:rFonts w:ascii="Arial" w:cs="Arial" w:eastAsia="Arial" w:hAnsi="Arial"/>
                <w:sz w:val="18"/>
                <w:szCs w:val="18"/>
                <w:color w:val="auto"/>
              </w:rPr>
              <w:t>Co-Founder, Chief Executive Officer and</w:t>
            </w:r>
          </w:p>
        </w:tc>
        <w:tc>
          <w:tcPr>
            <w:tcW w:w="0" w:type="dxa"/>
            <w:vAlign w:val="bottom"/>
          </w:tcPr>
          <w:p>
            <w:pPr>
              <w:spacing w:after="0"/>
              <w:rPr>
                <w:sz w:val="1"/>
                <w:szCs w:val="1"/>
                <w:color w:val="auto"/>
              </w:rPr>
            </w:pPr>
          </w:p>
        </w:tc>
      </w:tr>
      <w:tr>
        <w:trPr>
          <w:trHeight w:val="239"/>
        </w:trPr>
        <w:tc>
          <w:tcPr>
            <w:tcW w:w="820" w:type="dxa"/>
            <w:vAlign w:val="bottom"/>
            <w:vMerge w:val="continue"/>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65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Warnick</w:t>
            </w:r>
          </w:p>
        </w:tc>
        <w:tc>
          <w:tcPr>
            <w:tcW w:w="0" w:type="dxa"/>
            <w:vAlign w:val="bottom"/>
          </w:tcPr>
          <w:p>
            <w:pPr>
              <w:spacing w:after="0"/>
              <w:rPr>
                <w:sz w:val="1"/>
                <w:szCs w:val="1"/>
                <w:color w:val="auto"/>
              </w:rPr>
            </w:pPr>
          </w:p>
        </w:tc>
      </w:tr>
      <w:tr>
        <w:trPr>
          <w:trHeight w:val="21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Jason Warnick</w:t>
            </w: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880" w:type="dxa"/>
            <w:vAlign w:val="bottom"/>
          </w:tcPr>
          <w:p>
            <w:pPr>
              <w:ind w:left="20"/>
              <w:spacing w:after="0" w:line="191"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79"/>
        </w:trPr>
        <w:tc>
          <w:tcPr>
            <w:tcW w:w="8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79" w:lineRule="exact"/>
              <w:rPr>
                <w:sz w:val="20"/>
                <w:szCs w:val="20"/>
                <w:color w:val="auto"/>
              </w:rPr>
            </w:pPr>
            <w:r>
              <w:rPr>
                <w:rFonts w:ascii="Arial" w:cs="Arial" w:eastAsia="Arial" w:hAnsi="Arial"/>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7"/>
        </w:trPr>
        <w:tc>
          <w:tcPr>
            <w:tcW w:w="820" w:type="dxa"/>
            <w:vAlign w:val="bottom"/>
            <w:vMerge w:val="continue"/>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83"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Vladimir Tenev, certify that:</w:t>
      </w:r>
    </w:p>
    <w:p>
      <w:pPr>
        <w:spacing w:after="0" w:line="19"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Robinhood Markets, Inc.;</w:t>
      </w:r>
    </w:p>
    <w:p>
      <w:pPr>
        <w:spacing w:after="0" w:line="36" w:lineRule="exact"/>
        <w:rPr>
          <w:rFonts w:ascii="Arial" w:cs="Arial" w:eastAsia="Arial" w:hAnsi="Arial"/>
          <w:sz w:val="18"/>
          <w:szCs w:val="18"/>
          <w:color w:val="auto"/>
        </w:rPr>
      </w:pPr>
    </w:p>
    <w:p>
      <w:pPr>
        <w:ind w:right="200" w:firstLine="8"/>
        <w:spacing w:after="0" w:line="276" w:lineRule="auto"/>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right="380" w:firstLine="8"/>
        <w:spacing w:after="0" w:line="295" w:lineRule="auto"/>
        <w:tabs>
          <w:tab w:leader="none" w:pos="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40" w:firstLine="8"/>
        <w:spacing w:after="0" w:line="278" w:lineRule="auto"/>
        <w:tabs>
          <w:tab w:leader="none" w:pos="3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380" w:firstLine="200"/>
        <w:spacing w:after="0" w:line="276"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right="260"/>
        <w:spacing w:after="0" w:line="276"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jc w:val="both"/>
        <w:ind w:right="80" w:firstLine="208"/>
        <w:spacing w:after="0" w:line="279" w:lineRule="auto"/>
        <w:tabs>
          <w:tab w:leader="none" w:pos="5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20" w:firstLine="208"/>
        <w:spacing w:after="0" w:line="278" w:lineRule="auto"/>
        <w:tabs>
          <w:tab w:leader="none" w:pos="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20" w:firstLine="8"/>
        <w:spacing w:after="0" w:line="276" w:lineRule="auto"/>
        <w:tabs>
          <w:tab w:leader="none" w:pos="3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right="320" w:firstLine="208"/>
        <w:spacing w:after="0" w:line="273" w:lineRule="auto"/>
        <w:tabs>
          <w:tab w:leader="none" w:pos="59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right="560" w:firstLine="208"/>
        <w:spacing w:after="0" w:line="318" w:lineRule="auto"/>
        <w:tabs>
          <w:tab w:leader="none" w:pos="59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1D1C1D"/>
        </w:rPr>
        <w:t>Date: October 30,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D1C1D"/>
        </w:rPr>
        <w:t>/s/</w:t>
      </w:r>
      <w:r>
        <w:rPr>
          <w:rFonts w:ascii="Arial" w:cs="Arial" w:eastAsia="Arial" w:hAnsi="Arial"/>
          <w:sz w:val="18"/>
          <w:szCs w:val="18"/>
          <w:color w:val="000000"/>
        </w:rPr>
        <w:t>Vladimir Tenev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Vladimir Tenev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39"/>
          </w:cols>
          <w:pgMar w:left="320" w:top="1430"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83"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Jason Warnick, certify that:</w:t>
      </w:r>
    </w:p>
    <w:p>
      <w:pPr>
        <w:spacing w:after="0" w:line="19"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Robinhood Markets, Inc.;</w:t>
      </w:r>
    </w:p>
    <w:p>
      <w:pPr>
        <w:spacing w:after="0" w:line="36" w:lineRule="exact"/>
        <w:rPr>
          <w:rFonts w:ascii="Arial" w:cs="Arial" w:eastAsia="Arial" w:hAnsi="Arial"/>
          <w:sz w:val="18"/>
          <w:szCs w:val="18"/>
          <w:color w:val="auto"/>
        </w:rPr>
      </w:pPr>
    </w:p>
    <w:p>
      <w:pPr>
        <w:ind w:right="200" w:firstLine="8"/>
        <w:spacing w:after="0" w:line="276"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right="380" w:firstLine="8"/>
        <w:spacing w:after="0" w:line="295" w:lineRule="auto"/>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40" w:firstLine="8"/>
        <w:spacing w:after="0" w:line="278" w:lineRule="auto"/>
        <w:tabs>
          <w:tab w:leader="none" w:pos="3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380" w:firstLine="200"/>
        <w:spacing w:after="0" w:line="276"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right="260"/>
        <w:spacing w:after="0" w:line="276"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jc w:val="both"/>
        <w:ind w:right="80" w:firstLine="208"/>
        <w:spacing w:after="0" w:line="279" w:lineRule="auto"/>
        <w:tabs>
          <w:tab w:leader="none" w:pos="5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20" w:firstLine="208"/>
        <w:spacing w:after="0" w:line="278" w:lineRule="auto"/>
        <w:tabs>
          <w:tab w:leader="none" w:pos="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20" w:firstLine="8"/>
        <w:spacing w:after="0" w:line="276" w:lineRule="auto"/>
        <w:tabs>
          <w:tab w:leader="none" w:pos="39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right="320" w:firstLine="208"/>
        <w:spacing w:after="0" w:line="273" w:lineRule="auto"/>
        <w:tabs>
          <w:tab w:leader="none" w:pos="5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right="560" w:firstLine="208"/>
        <w:spacing w:after="0" w:line="318" w:lineRule="auto"/>
        <w:tabs>
          <w:tab w:leader="none" w:pos="5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1D1C1D"/>
        </w:rPr>
        <w:t>Date: October 30,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D1C1D"/>
        </w:rPr>
        <w:t>/s/Jason Warnick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D1C1D"/>
        </w:rPr>
        <w:t>Jason Warnick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p>
      <w:pPr>
        <w:sectPr>
          <w:pgSz w:w="11900" w:h="16838" w:orient="portrait"/>
          <w:cols w:equalWidth="0" w:num="1">
            <w:col w:w="10139"/>
          </w:cols>
          <w:pgMar w:left="320" w:top="143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73" w:lineRule="auto"/>
        <w:rPr>
          <w:sz w:val="20"/>
          <w:szCs w:val="20"/>
          <w:color w:val="auto"/>
        </w:rPr>
      </w:pPr>
      <w:r>
        <w:rPr>
          <w:rFonts w:ascii="Arial" w:cs="Arial" w:eastAsia="Arial" w:hAnsi="Arial"/>
          <w:sz w:val="18"/>
          <w:szCs w:val="18"/>
          <w:b w:val="1"/>
          <w:bCs w:val="1"/>
          <w:color w:val="1D1C1D"/>
        </w:rPr>
        <w:t>CERTIFICATION BY THE CHIEF EXECUTIVE OFFICER PURSUANT TO 18 U. S. C. SECTION 1350, AS ADOPTED PURSUANT TO SECTION 906 OF THE SARBANES-OXLEY ACT OF 2002</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Pursuant to 18 U.S.C. Section 1350, I, Vladimir Tenev, hereby certify that, to the best of my knowledge, Robinhood Markets, Inc.’s Quarterly Report on Form 10-Q for the quarterly period ended </w:t>
      </w:r>
      <w:r>
        <w:rPr>
          <w:rFonts w:ascii="Arial" w:cs="Arial" w:eastAsia="Arial" w:hAnsi="Arial"/>
          <w:sz w:val="18"/>
          <w:szCs w:val="18"/>
          <w:color w:val="1D1C1D"/>
        </w:rPr>
        <w:t>September 30, 2024</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1D1C1D"/>
        </w:rPr>
        <w:t>Date: October 30,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/s/Vladimir Tenev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1C1D"/>
        </w:rPr>
        <w:t>Vladimir Tenev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1C1D"/>
        </w:rPr>
        <w:t>Chief Executive Officer</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1D1C1D"/>
        </w:rPr>
        <w:t>CERTIFICATION BY THE CHIEF FINANCIAL OFFICER PURSUANT TO 18 U. S. C. SECTION 1350, AS ADOPTED PURSUANT TO SECTION 906 OF THE SARBANES-OXLEY ACT OF 2002</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Pursuant to 18 U.S.C. Section 1350, I, Jason Warnick, hereby certify that, to the best of my knowledge, Robinhood Markets, Inc.’s Quarterly Report on Form 10-Q for the quarterly period ended </w:t>
      </w:r>
      <w:r>
        <w:rPr>
          <w:rFonts w:ascii="Arial" w:cs="Arial" w:eastAsia="Arial" w:hAnsi="Arial"/>
          <w:sz w:val="18"/>
          <w:szCs w:val="18"/>
          <w:color w:val="1D1C1D"/>
        </w:rPr>
        <w:t>September 30, 2024</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1D1C1D"/>
        </w:rPr>
        <w:t>Date: October 30,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D1C1D"/>
        </w:rPr>
        <w:t>/s/Jason Warnick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D1C1D"/>
        </w:rPr>
        <w:t>Jason Warnick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lvl w:ilvl="1">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3"/>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3"/>
    </w:lvl>
  </w:abstractNum>
  <w:abstractNum w:abstractNumId="39">
    <w:nsid w:val="3855585C"/>
    <w:multiLevelType w:val="hybridMultilevel"/>
    <w:lvl w:ilvl="0">
      <w:lvlJc w:val="left"/>
      <w:lvlText w:val="%1."/>
      <w:numFmt w:val="decimal"/>
      <w:start w:val="5"/>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3"/>
    </w:lvl>
  </w:abstractNum>
  <w:abstractNum w:abstractNumId="42">
    <w:nsid w:val="2A487CB0"/>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2" Type="http://schemas.openxmlformats.org/officeDocument/2006/relationships/image" Target="media/image141.png"/><Relationship Id="rId148" Type="http://schemas.openxmlformats.org/officeDocument/2006/relationships/hyperlink" Target="https://www.sec.gov/Archives/edgar/data/0001783879/000162828021015177/exhibit31-8xkx8221.htm" TargetMode="External"/><Relationship Id="rId149" Type="http://schemas.openxmlformats.org/officeDocument/2006/relationships/hyperlink" Target="https://www.sec.gov/Archives/edgar/data/1783879/000178387922000044/exhibit32.htm" TargetMode="External"/><Relationship Id="rId150" Type="http://schemas.openxmlformats.org/officeDocument/2006/relationships/hyperlink" Target="https://www.sec.gov/Archives/edgar/data/1783879/000162828021013986/exhibit41-sx1a1.htm" TargetMode="External"/><Relationship Id="rId151" Type="http://schemas.openxmlformats.org/officeDocument/2006/relationships/hyperlink" Target="https://www.sec.gov/Archives/edgar/data/1783879/000162828021013318/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2024-10-31T05:19:44Z</dcterms:created>
  <dcterms:modified xsi:type="dcterms:W3CDTF">2024-10-31T05:19:44Z</dcterms:modified>
</cp:coreProperties>
</file>