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8, 2024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526"/>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712"/>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4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2300" w:type="dxa"/>
            <w:vAlign w:val="bottom"/>
          </w:tcPr>
          <w:p>
            <w:pPr>
              <w:jc w:val="center"/>
              <w:ind w:right="108"/>
              <w:spacing w:after="0"/>
              <w:rPr>
                <w:sz w:val="20"/>
                <w:szCs w:val="20"/>
                <w:color w:val="auto"/>
              </w:rPr>
            </w:pPr>
            <w:r>
              <w:rPr>
                <w:rFonts w:ascii="Arial" w:cs="Arial" w:eastAsia="Arial" w:hAnsi="Arial"/>
                <w:sz w:val="14"/>
                <w:szCs w:val="14"/>
                <w:color w:val="auto"/>
              </w:rPr>
              <w:t>Trading Symbol(s)</w:t>
            </w:r>
          </w:p>
        </w:tc>
        <w:tc>
          <w:tcPr>
            <w:tcW w:w="4380" w:type="dxa"/>
            <w:vAlign w:val="bottom"/>
          </w:tcPr>
          <w:p>
            <w:pPr>
              <w:jc w:val="center"/>
              <w:ind w:right="148"/>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208"/>
        </w:trPr>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300" w:type="dxa"/>
            <w:vAlign w:val="bottom"/>
          </w:tcPr>
          <w:p>
            <w:pPr>
              <w:jc w:val="center"/>
              <w:ind w:right="108"/>
              <w:spacing w:after="0"/>
              <w:rPr>
                <w:sz w:val="20"/>
                <w:szCs w:val="20"/>
                <w:color w:val="auto"/>
              </w:rPr>
            </w:pPr>
            <w:r>
              <w:rPr>
                <w:rFonts w:ascii="Arial" w:cs="Arial" w:eastAsia="Arial" w:hAnsi="Arial"/>
                <w:sz w:val="14"/>
                <w:szCs w:val="14"/>
                <w:b w:val="1"/>
                <w:bCs w:val="1"/>
                <w:color w:val="auto"/>
              </w:rPr>
              <w:t>HOOD</w:t>
            </w:r>
          </w:p>
        </w:tc>
        <w:tc>
          <w:tcPr>
            <w:tcW w:w="4380" w:type="dxa"/>
            <w:vAlign w:val="bottom"/>
          </w:tcPr>
          <w:p>
            <w:pPr>
              <w:jc w:val="center"/>
              <w:ind w:right="14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00" w:lineRule="exact"/>
        <w:rPr>
          <w:sz w:val="24"/>
          <w:szCs w:val="24"/>
          <w:color w:val="auto"/>
        </w:rPr>
      </w:pPr>
    </w:p>
    <w:p>
      <w:pPr>
        <w:spacing w:after="0" w:line="206" w:lineRule="exact"/>
        <w:rPr>
          <w:sz w:val="24"/>
          <w:szCs w:val="24"/>
          <w:color w:val="auto"/>
        </w:rPr>
      </w:pPr>
    </w:p>
    <w:p>
      <w:pPr>
        <w:ind w:left="20" w:right="10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420" w:type="dxa"/>
            <w:vAlign w:val="bottom"/>
          </w:tcPr>
          <w:p>
            <w:pPr>
              <w:ind w:left="83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438"/>
        </w:trPr>
        <w:tc>
          <w:tcPr>
            <w:tcW w:w="10420" w:type="dxa"/>
            <w:vAlign w:val="bottom"/>
          </w:tcPr>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15"/>
        </w:trPr>
        <w:tc>
          <w:tcPr>
            <w:tcW w:w="10420" w:type="dxa"/>
            <w:vAlign w:val="bottom"/>
          </w:tcPr>
          <w:p>
            <w:pPr>
              <w:ind w:left="20"/>
              <w:spacing w:after="0"/>
              <w:rPr>
                <w:sz w:val="20"/>
                <w:szCs w:val="20"/>
                <w:color w:val="auto"/>
              </w:rPr>
            </w:pPr>
            <w:r>
              <w:rPr>
                <w:rFonts w:ascii="Arial" w:cs="Arial" w:eastAsia="Arial" w:hAnsi="Arial"/>
                <w:sz w:val="16"/>
                <w:szCs w:val="16"/>
                <w:color w:val="auto"/>
              </w:rPr>
              <w:t>with any new or revised financial accounting standards provided pursuant to Section 13(a) of the Exchange Act.</w:t>
            </w:r>
          </w:p>
        </w:tc>
        <w:tc>
          <w:tcPr>
            <w:tcW w:w="820" w:type="dxa"/>
            <w:vAlign w:val="bottom"/>
          </w:tcPr>
          <w:p>
            <w:pPr>
              <w:spacing w:after="0"/>
              <w:rPr>
                <w:sz w:val="18"/>
                <w:szCs w:val="18"/>
                <w:color w:val="auto"/>
              </w:rPr>
            </w:pPr>
          </w:p>
        </w:tc>
      </w:tr>
      <w:tr>
        <w:trPr>
          <w:trHeight w:val="1116"/>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582"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for the First Quarter of 2024</w:t>
      </w:r>
    </w:p>
    <w:p>
      <w:pPr>
        <w:spacing w:after="0" w:line="25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On May 8, 2024, Robinhood Markets, Inc. (“Robinhood,” the “Company,” "we," or "us") issued a press release regarding its financial results for the quarter ended March 31, 2024. A copy of the press release is furnished as Exhibit 99.1 to this report. As previously announced, Robinhood will hold an earnings conference call on May 8, 2024 at 2:00 p.m. PT/5:00 p.m. ET.</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information furnished with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gridSpan w:val="3"/>
          </w:tcPr>
          <w:p>
            <w:pPr>
              <w:spacing w:after="0"/>
              <w:rPr>
                <w:sz w:val="20"/>
                <w:szCs w:val="20"/>
                <w:color w:val="auto"/>
              </w:rPr>
            </w:pPr>
            <w:r>
              <w:rPr>
                <w:rFonts w:ascii="Arial" w:cs="Arial" w:eastAsia="Arial" w:hAnsi="Arial"/>
                <w:sz w:val="18"/>
                <w:szCs w:val="18"/>
                <w:i w:val="1"/>
                <w:iCs w:val="1"/>
                <w:color w:val="auto"/>
              </w:rPr>
              <w:t>Exhibits</w:t>
            </w: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9"/>
              </w:rPr>
              <w:t>Exhibit Number</w:t>
            </w:r>
          </w:p>
        </w:tc>
        <w:tc>
          <w:tcPr>
            <w:tcW w:w="17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720" w:type="dxa"/>
            <w:vAlign w:val="bottom"/>
          </w:tcPr>
          <w:p>
            <w:pPr>
              <w:spacing w:after="0"/>
              <w:rPr>
                <w:sz w:val="21"/>
                <w:szCs w:val="21"/>
                <w:color w:val="auto"/>
              </w:rPr>
            </w:pPr>
          </w:p>
        </w:tc>
        <w:tc>
          <w:tcPr>
            <w:tcW w:w="2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Press release dated May 8, 2024</w:t>
            </w:r>
          </w:p>
        </w:tc>
        <w:tc>
          <w:tcPr>
            <w:tcW w:w="5180" w:type="dxa"/>
            <w:vAlign w:val="bottom"/>
          </w:tcPr>
          <w:p>
            <w:pPr>
              <w:spacing w:after="0"/>
              <w:rPr>
                <w:sz w:val="21"/>
                <w:szCs w:val="21"/>
                <w:color w:val="auto"/>
              </w:rPr>
            </w:pPr>
          </w:p>
        </w:tc>
      </w:tr>
      <w:tr>
        <w:trPr>
          <w:trHeight w:val="272"/>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(the cover page XBRL tags are embedded within the Inline XBRL</w:t>
            </w:r>
          </w:p>
        </w:tc>
      </w:tr>
      <w:tr>
        <w:trPr>
          <w:trHeight w:val="239"/>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Robinhood Markets, Inc.</w:t>
      </w:r>
    </w:p>
    <w:p>
      <w:pPr>
        <w:spacing w:after="0" w:line="333" w:lineRule="exact"/>
        <w:rPr>
          <w:sz w:val="20"/>
          <w:szCs w:val="20"/>
          <w:color w:val="auto"/>
        </w:rPr>
      </w:pPr>
    </w:p>
    <w:p>
      <w:pPr>
        <w:ind w:left="20"/>
        <w:spacing w:after="0"/>
        <w:tabs>
          <w:tab w:leader="none" w:pos="1000" w:val="left"/>
          <w:tab w:leader="none" w:pos="424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Jason Warnick</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3"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20"/>
          <w:szCs w:val="20"/>
          <w:b w:val="1"/>
          <w:bCs w:val="1"/>
          <w:color w:val="auto"/>
        </w:rPr>
        <w:t>Robinhood Reports First Quarter 2024 Results</w:t>
      </w:r>
    </w:p>
    <w:p>
      <w:pPr>
        <w:spacing w:after="0" w:line="258" w:lineRule="exact"/>
        <w:rPr>
          <w:sz w:val="20"/>
          <w:szCs w:val="20"/>
          <w:color w:val="auto"/>
        </w:rPr>
      </w:pPr>
    </w:p>
    <w:p>
      <w:pPr>
        <w:ind w:left="840" w:right="1080" w:firstLine="723"/>
        <w:spacing w:after="0" w:line="526" w:lineRule="auto"/>
        <w:rPr>
          <w:sz w:val="20"/>
          <w:szCs w:val="20"/>
          <w:color w:val="auto"/>
        </w:rPr>
      </w:pPr>
      <w:r>
        <w:rPr>
          <w:rFonts w:ascii="Arial" w:cs="Arial" w:eastAsia="Arial" w:hAnsi="Arial"/>
          <w:sz w:val="19"/>
          <w:szCs w:val="19"/>
          <w:i w:val="1"/>
          <w:iCs w:val="1"/>
          <w:color w:val="auto"/>
        </w:rPr>
        <w:t>Record Revenues of $618 million, up 40% year-over-year and Record GAAP Diluted EPS of $0.18 Record Net Deposits of $11.2B, including net positive transfers from every major incumbent brokerage firm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Gold Subscribers reached a new high of 1.7 million, up 42% year-over-year</w:t>
      </w:r>
    </w:p>
    <w:p>
      <w:pPr>
        <w:spacing w:after="0" w:line="2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MENLO PARK, Calif. – May 8, 2024 – Robinhood Markets, Inc. (“Robinhood”) (NASDAQ: HOOD) today announced financial results for the first quarter of 2024, which ended March 31, 2024.</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“We continued to aggressively execute on our product roadmap in Q1, leading to all-time highs for Net Deposits and Gold Subscribers," </w:t>
      </w:r>
      <w:r>
        <w:rPr>
          <w:rFonts w:ascii="Arial" w:cs="Arial" w:eastAsia="Arial" w:hAnsi="Arial"/>
          <w:sz w:val="18"/>
          <w:szCs w:val="18"/>
          <w:b w:val="1"/>
          <w:bCs w:val="1"/>
          <w:i w:val="1"/>
          <w:iCs w:val="1"/>
          <w:color w:val="auto"/>
        </w:rPr>
        <w:t>said</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Vlad Tenev, CEO and Co-Founder of Robinhood. </w:t>
      </w:r>
      <w:r>
        <w:rPr>
          <w:rFonts w:ascii="Arial" w:cs="Arial" w:eastAsia="Arial" w:hAnsi="Arial"/>
          <w:sz w:val="18"/>
          <w:szCs w:val="18"/>
          <w:i w:val="1"/>
          <w:iCs w:val="1"/>
          <w:color w:val="auto"/>
        </w:rPr>
        <w:t>"Q2 is off to a strong start with April being our highest month of the year for Net Deposits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Gold Subscriber growth, and we’re excited to see strong interest from over 1 million customers in our Robinhood Gold Card."</w:t>
      </w: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"We delivered significant revenue growth and margin expansion in Q1 as we remain focused on driving another year of profitable growth in 2024,” </w:t>
      </w:r>
      <w:r>
        <w:rPr>
          <w:rFonts w:ascii="Arial" w:cs="Arial" w:eastAsia="Arial" w:hAnsi="Arial"/>
          <w:sz w:val="18"/>
          <w:szCs w:val="18"/>
          <w:b w:val="1"/>
          <w:bCs w:val="1"/>
          <w:i w:val="1"/>
          <w:iCs w:val="1"/>
          <w:color w:val="auto"/>
        </w:rPr>
        <w:t>said Jason Warnick, Chief Financial Officer of Robinhood.</w:t>
      </w:r>
      <w:r>
        <w:rPr>
          <w:rFonts w:ascii="Arial" w:cs="Arial" w:eastAsia="Arial" w:hAnsi="Arial"/>
          <w:sz w:val="18"/>
          <w:szCs w:val="18"/>
          <w:i w:val="1"/>
          <w:iCs w:val="1"/>
          <w:color w:val="auto"/>
        </w:rPr>
        <w:t xml:space="preserve"> “In Q1, we set records for quarterly revenues, net income, and EPS, even as we stepped up our marketing and growth 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Results:</w:t>
      </w:r>
    </w:p>
    <w:p>
      <w:pPr>
        <w:spacing w:after="0" w:line="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increased 40% year-over-year to $618 million.</w:t>
      </w:r>
    </w:p>
    <w:p>
      <w:pPr>
        <w:spacing w:after="0" w:line="45" w:lineRule="exact"/>
        <w:rPr>
          <w:rFonts w:ascii="Arial" w:cs="Arial" w:eastAsia="Arial" w:hAnsi="Arial"/>
          <w:sz w:val="18"/>
          <w:szCs w:val="18"/>
          <w:b w:val="1"/>
          <w:bCs w:val="1"/>
          <w:color w:val="auto"/>
        </w:rPr>
      </w:pPr>
    </w:p>
    <w:p>
      <w:pPr>
        <w:ind w:left="1300" w:hanging="320"/>
        <w:spacing w:after="0" w:line="281"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Transaction-based revenues </w:t>
      </w:r>
      <w:r>
        <w:rPr>
          <w:rFonts w:ascii="Arial" w:cs="Arial" w:eastAsia="Arial" w:hAnsi="Arial"/>
          <w:sz w:val="18"/>
          <w:szCs w:val="18"/>
          <w:color w:val="auto"/>
        </w:rPr>
        <w:t>increased 59% year-over-year to $329 million, primarily driven by cryptocurrencies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$126 million, up 232%, options revenue of $154 million, up 16%, and equities revenue of $39 million, up 44%.</w:t>
      </w:r>
    </w:p>
    <w:p>
      <w:pPr>
        <w:spacing w:after="0" w:line="1" w:lineRule="exact"/>
        <w:rPr>
          <w:rFonts w:ascii="Arial" w:cs="Arial" w:eastAsia="Arial" w:hAnsi="Arial"/>
          <w:sz w:val="18"/>
          <w:szCs w:val="18"/>
          <w:color w:val="auto"/>
        </w:rPr>
      </w:pPr>
    </w:p>
    <w:p>
      <w:pPr>
        <w:ind w:left="1300" w:hanging="320"/>
        <w:spacing w:after="0" w:line="281"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interest revenues </w:t>
      </w:r>
      <w:r>
        <w:rPr>
          <w:rFonts w:ascii="Arial" w:cs="Arial" w:eastAsia="Arial" w:hAnsi="Arial"/>
          <w:sz w:val="18"/>
          <w:szCs w:val="18"/>
          <w:color w:val="auto"/>
        </w:rPr>
        <w:t>increased 22% year-over-year to $254 million, driven by growth in interest-earning assets and higher</w:t>
      </w:r>
      <w:r>
        <w:rPr>
          <w:rFonts w:ascii="Arial" w:cs="Arial" w:eastAsia="Arial" w:hAnsi="Arial"/>
          <w:sz w:val="18"/>
          <w:szCs w:val="18"/>
          <w:b w:val="1"/>
          <w:bCs w:val="1"/>
          <w:color w:val="auto"/>
        </w:rPr>
        <w:t xml:space="preserve"> </w:t>
      </w:r>
      <w:r>
        <w:rPr>
          <w:rFonts w:ascii="Arial" w:cs="Arial" w:eastAsia="Arial" w:hAnsi="Arial"/>
          <w:sz w:val="18"/>
          <w:szCs w:val="18"/>
          <w:color w:val="auto"/>
        </w:rPr>
        <w:t>short term interest rates.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increased 35% year-over-year to $35 million, primarily driven by higher Gold subscription revenue.</w:t>
      </w:r>
    </w:p>
    <w:p>
      <w:pPr>
        <w:spacing w:after="0" w:line="26"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increased year-over-year to $157 million, or diluted earnings per share (EPS) of $0.18, compared with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$511 million, or diluted EPS of -$0.57, in Q1 2023.</w:t>
      </w:r>
    </w:p>
    <w:p>
      <w:pPr>
        <w:jc w:val="both"/>
        <w:ind w:left="1300" w:right="20" w:hanging="320"/>
        <w:spacing w:after="0" w:line="258" w:lineRule="auto"/>
        <w:tabs>
          <w:tab w:leader="none" w:pos="1310" w:val="left"/>
        </w:tabs>
        <w:numPr>
          <w:ilvl w:val="1"/>
          <w:numId w:val="2"/>
        </w:numPr>
        <w:rPr>
          <w:rFonts w:ascii="Arial" w:cs="Arial" w:eastAsia="Arial" w:hAnsi="Arial"/>
          <w:sz w:val="18"/>
          <w:szCs w:val="18"/>
          <w:color w:val="auto"/>
        </w:rPr>
      </w:pPr>
      <w:r>
        <w:rPr>
          <w:rFonts w:ascii="Arial" w:cs="Arial" w:eastAsia="Arial" w:hAnsi="Arial"/>
          <w:sz w:val="18"/>
          <w:szCs w:val="18"/>
          <w:color w:val="auto"/>
        </w:rPr>
        <w:t>Q1 2023 diluted EPS of -$0.57 included a -$0.54 impact from a one-time $485 million share-based compensation ("SBC") expense related to our co-founders cancelling their 2021 market-based restricted stock unit awards in February 2023 (the "2021 Founders Award Cancellation").</w:t>
      </w:r>
    </w:p>
    <w:p>
      <w:pPr>
        <w:spacing w:after="0" w:line="16"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decreased 52% year-over-year to $460 million primarily due to the 2021 Founders Award Cancellation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Q1 2023.</w:t>
      </w:r>
    </w:p>
    <w:p>
      <w:pPr>
        <w:spacing w:after="0" w:line="1" w:lineRule="exact"/>
        <w:rPr>
          <w:rFonts w:ascii="Arial" w:cs="Arial" w:eastAsia="Arial" w:hAnsi="Arial"/>
          <w:sz w:val="18"/>
          <w:szCs w:val="18"/>
          <w:color w:val="auto"/>
        </w:rPr>
      </w:pPr>
    </w:p>
    <w:p>
      <w:pPr>
        <w:ind w:left="1300" w:right="20" w:hanging="320"/>
        <w:spacing w:after="0" w:line="260" w:lineRule="auto"/>
        <w:tabs>
          <w:tab w:leader="none" w:pos="1323"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Adjusted Operating Expenses (non-GAAP) </w:t>
      </w:r>
      <w:r>
        <w:rPr>
          <w:rFonts w:ascii="Arial" w:cs="Arial" w:eastAsia="Arial" w:hAnsi="Arial"/>
          <w:sz w:val="18"/>
          <w:szCs w:val="18"/>
          <w:color w:val="auto"/>
        </w:rPr>
        <w:t>increased 13% year-over-year to $398 million, primarily due to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growth investments.</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SBC </w:t>
      </w:r>
      <w:r>
        <w:rPr>
          <w:rFonts w:ascii="Arial" w:cs="Arial" w:eastAsia="Arial" w:hAnsi="Arial"/>
          <w:sz w:val="18"/>
          <w:szCs w:val="18"/>
          <w:color w:val="auto"/>
        </w:rPr>
        <w:t>decreased 90% year-over-year to $62 million, primarily due to the 2021 Founders Award Cancellation in Q1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(non-GAAP) </w:t>
      </w:r>
      <w:r>
        <w:rPr>
          <w:rFonts w:ascii="Arial" w:cs="Arial" w:eastAsia="Arial" w:hAnsi="Arial"/>
          <w:sz w:val="18"/>
          <w:szCs w:val="18"/>
          <w:color w:val="auto"/>
        </w:rPr>
        <w:t>increased 115% year-over-year to $247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Funded Customers </w:t>
      </w:r>
      <w:r>
        <w:rPr>
          <w:rFonts w:ascii="Arial" w:cs="Arial" w:eastAsia="Arial" w:hAnsi="Arial"/>
          <w:sz w:val="18"/>
          <w:szCs w:val="18"/>
          <w:color w:val="auto"/>
        </w:rPr>
        <w:t>increased by 810 thousand year-over-year to 23.9 million.</w:t>
      </w:r>
    </w:p>
    <w:p>
      <w:pPr>
        <w:spacing w:after="0" w:line="4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Investment Accounts </w:t>
      </w:r>
      <w:r>
        <w:rPr>
          <w:rFonts w:ascii="Arial" w:cs="Arial" w:eastAsia="Arial" w:hAnsi="Arial"/>
          <w:sz w:val="18"/>
          <w:szCs w:val="18"/>
          <w:color w:val="auto"/>
        </w:rPr>
        <w:t>increased by 1.1 million year-over-year to 24.4 million.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Assets Under Custody (AUC) </w:t>
      </w:r>
      <w:r>
        <w:rPr>
          <w:rFonts w:ascii="Arial" w:cs="Arial" w:eastAsia="Arial" w:hAnsi="Arial"/>
          <w:sz w:val="18"/>
          <w:szCs w:val="18"/>
          <w:color w:val="auto"/>
        </w:rPr>
        <w:t>increased 65% year-over-year to $129.6 billion, primarily driven by higher equity and cryptocurrency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valuations and continued Net Deposits.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Deposits </w:t>
      </w:r>
      <w:r>
        <w:rPr>
          <w:rFonts w:ascii="Arial" w:cs="Arial" w:eastAsia="Arial" w:hAnsi="Arial"/>
          <w:sz w:val="18"/>
          <w:szCs w:val="18"/>
          <w:color w:val="auto"/>
        </w:rPr>
        <w:t>were $11.2 billion, an annualized growth rate of 44% relative to AUC at the end of Q4 2023. Over the past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Net Deposits were $23.9 billion, a growth rate of 30% relative to AUC at the end of Q1 2023.</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Average Revenue Per User (ARPU) </w:t>
      </w:r>
      <w:r>
        <w:rPr>
          <w:rFonts w:ascii="Arial" w:cs="Arial" w:eastAsia="Arial" w:hAnsi="Arial"/>
          <w:sz w:val="18"/>
          <w:szCs w:val="18"/>
          <w:color w:val="auto"/>
        </w:rPr>
        <w:t>increased by 35% year-over-year to $104.</w:t>
      </w:r>
    </w:p>
    <w:p>
      <w:pPr>
        <w:spacing w:after="0" w:line="6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Gold Subscribers </w:t>
      </w:r>
      <w:r>
        <w:rPr>
          <w:rFonts w:ascii="Arial" w:cs="Arial" w:eastAsia="Arial" w:hAnsi="Arial"/>
          <w:sz w:val="18"/>
          <w:szCs w:val="18"/>
          <w:color w:val="auto"/>
        </w:rPr>
        <w:t>increased by 500 thousand, or 42%, year-over-year to 1.7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$4.7 billion compared with $5.5 billion at the end of Q1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Highlights</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Robinhood drives value for customers as it makes progress on its goal to be the most trusted, lowest cost, and most culturally relevant money app worldwide</w:t>
      </w:r>
    </w:p>
    <w:p>
      <w:pPr>
        <w:spacing w:after="0" w:line="2" w:lineRule="exact"/>
        <w:rPr>
          <w:sz w:val="20"/>
          <w:szCs w:val="20"/>
          <w:color w:val="auto"/>
        </w:rPr>
      </w:pPr>
    </w:p>
    <w:p>
      <w:pPr>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Gold Subscribers continue to accelerate - </w:t>
      </w:r>
      <w:r>
        <w:rPr>
          <w:rFonts w:ascii="Arial" w:cs="Arial" w:eastAsia="Arial" w:hAnsi="Arial"/>
          <w:sz w:val="18"/>
          <w:szCs w:val="18"/>
          <w:color w:val="auto"/>
        </w:rPr>
        <w:t>Gold Subscribers grew to a record high of 1.7 million in Q1 2024, up 260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quarter-over-quarter, marking the fastest quarterly growth in three years.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New 1% unlimited deposit boost with Gold - </w:t>
      </w:r>
      <w:r>
        <w:rPr>
          <w:rFonts w:ascii="Arial" w:cs="Arial" w:eastAsia="Arial" w:hAnsi="Arial"/>
          <w:sz w:val="18"/>
          <w:szCs w:val="18"/>
          <w:color w:val="auto"/>
        </w:rPr>
        <w:t>Announced in March and launching soon, deposit boost will provide even more value</w:t>
      </w:r>
      <w:r>
        <w:rPr>
          <w:rFonts w:ascii="Arial" w:cs="Arial" w:eastAsia="Arial" w:hAnsi="Arial"/>
          <w:sz w:val="18"/>
          <w:szCs w:val="18"/>
          <w:b w:val="1"/>
          <w:bCs w:val="1"/>
          <w:color w:val="auto"/>
        </w:rPr>
        <w:t xml:space="preserve"> </w:t>
      </w:r>
      <w:r>
        <w:rPr>
          <w:rFonts w:ascii="Arial" w:cs="Arial" w:eastAsia="Arial" w:hAnsi="Arial"/>
          <w:sz w:val="18"/>
          <w:szCs w:val="18"/>
          <w:color w:val="auto"/>
        </w:rPr>
        <w:t>to customers with Robinhood Gold.</w:t>
      </w:r>
    </w:p>
    <w:p>
      <w:pPr>
        <w:jc w:val="both"/>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Robinhood announces new Gold Credit Card - </w:t>
      </w:r>
      <w:r>
        <w:rPr>
          <w:rFonts w:ascii="Arial" w:cs="Arial" w:eastAsia="Arial" w:hAnsi="Arial"/>
          <w:sz w:val="18"/>
          <w:szCs w:val="18"/>
          <w:color w:val="auto"/>
        </w:rPr>
        <w:t>Announced in March and exclusively for Robinhood Gold Subscribers, the Gold</w:t>
      </w:r>
      <w:r>
        <w:rPr>
          <w:rFonts w:ascii="Arial" w:cs="Arial" w:eastAsia="Arial" w:hAnsi="Arial"/>
          <w:sz w:val="18"/>
          <w:szCs w:val="18"/>
          <w:b w:val="1"/>
          <w:bCs w:val="1"/>
          <w:color w:val="auto"/>
        </w:rPr>
        <w:t xml:space="preserve"> </w:t>
      </w:r>
      <w:r>
        <w:rPr>
          <w:rFonts w:ascii="Arial" w:cs="Arial" w:eastAsia="Arial" w:hAnsi="Arial"/>
          <w:sz w:val="18"/>
          <w:szCs w:val="18"/>
          <w:color w:val="auto"/>
        </w:rPr>
        <w:t>credit card provides industry leading benefits such as 3% cash back on all categories and no annual or foreign transaction fees. More than 1 million customers have joined the waitlist.</w:t>
      </w:r>
    </w:p>
    <w:p>
      <w:pPr>
        <w:spacing w:after="0" w:line="1" w:lineRule="exact"/>
        <w:rPr>
          <w:rFonts w:ascii="Arial" w:cs="Arial" w:eastAsia="Arial" w:hAnsi="Arial"/>
          <w:sz w:val="18"/>
          <w:szCs w:val="18"/>
          <w:b w:val="1"/>
          <w:bCs w:val="1"/>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 Retirement Transfer Match Drives Adoption - </w:t>
      </w:r>
      <w:r>
        <w:rPr>
          <w:rFonts w:ascii="Arial" w:cs="Arial" w:eastAsia="Arial" w:hAnsi="Arial"/>
          <w:sz w:val="18"/>
          <w:szCs w:val="18"/>
          <w:color w:val="auto"/>
        </w:rPr>
        <w:t>Customers transferred over $4 billion in retirement assets from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competitors during Robinhood's 3% transfer promotion between January 2024 and April 2024, averaging over $90 thousand per customer.</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Robinhood Retirement grows more than 4X year-to-date - </w:t>
      </w:r>
      <w:r>
        <w:rPr>
          <w:rFonts w:ascii="Arial" w:cs="Arial" w:eastAsia="Arial" w:hAnsi="Arial"/>
          <w:sz w:val="18"/>
          <w:szCs w:val="18"/>
          <w:color w:val="auto"/>
        </w:rPr>
        <w:t>In early May, Retirement AUC reached a new high with over $7 billion.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Robinhood UK Reaches Full Availability - </w:t>
      </w:r>
      <w:r>
        <w:rPr>
          <w:rFonts w:ascii="Arial" w:cs="Arial" w:eastAsia="Arial" w:hAnsi="Arial"/>
          <w:sz w:val="18"/>
          <w:szCs w:val="18"/>
          <w:color w:val="auto"/>
        </w:rPr>
        <w:t>Marking another step in global expansion, Robinhood rolled all eligible customers off the</w:t>
      </w:r>
      <w:r>
        <w:rPr>
          <w:rFonts w:ascii="Arial" w:cs="Arial" w:eastAsia="Arial" w:hAnsi="Arial"/>
          <w:sz w:val="18"/>
          <w:szCs w:val="18"/>
          <w:b w:val="1"/>
          <w:bCs w:val="1"/>
          <w:color w:val="auto"/>
        </w:rPr>
        <w:t xml:space="preserve"> </w:t>
      </w:r>
      <w:r>
        <w:rPr>
          <w:rFonts w:ascii="Arial" w:cs="Arial" w:eastAsia="Arial" w:hAnsi="Arial"/>
          <w:sz w:val="18"/>
          <w:szCs w:val="18"/>
          <w:color w:val="auto"/>
        </w:rPr>
        <w:t>waitlist in March.</w:t>
      </w:r>
    </w:p>
    <w:p>
      <w:pPr>
        <w:jc w:val="both"/>
        <w:ind w:left="660" w:hanging="328"/>
        <w:spacing w:after="0" w:line="258"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 Hour Market Sees Record Overnight Volumes - </w:t>
      </w:r>
      <w:r>
        <w:rPr>
          <w:rFonts w:ascii="Arial" w:cs="Arial" w:eastAsia="Arial" w:hAnsi="Arial"/>
          <w:sz w:val="18"/>
          <w:szCs w:val="18"/>
          <w:color w:val="auto"/>
        </w:rPr>
        <w:t>With over 900 stocks and ETFs available, Robinhood 24 Hour Market reached</w:t>
      </w:r>
      <w:r>
        <w:rPr>
          <w:rFonts w:ascii="Arial" w:cs="Arial" w:eastAsia="Arial" w:hAnsi="Arial"/>
          <w:sz w:val="18"/>
          <w:szCs w:val="18"/>
          <w:b w:val="1"/>
          <w:bCs w:val="1"/>
          <w:color w:val="auto"/>
        </w:rPr>
        <w:t xml:space="preserve"> </w:t>
      </w:r>
      <w:r>
        <w:rPr>
          <w:rFonts w:ascii="Arial" w:cs="Arial" w:eastAsia="Arial" w:hAnsi="Arial"/>
          <w:sz w:val="18"/>
          <w:szCs w:val="18"/>
          <w:color w:val="auto"/>
        </w:rPr>
        <w:t>new highs in its overnight trading volumes. Through March, customers have traded over $10 billion in Notional Trading Volume during the overnight session since launch.</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Q1 2024 Operating Data</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AUC </w:t>
      </w:r>
      <w:r>
        <w:rPr>
          <w:rFonts w:ascii="Arial" w:cs="Arial" w:eastAsia="Arial" w:hAnsi="Arial"/>
          <w:sz w:val="18"/>
          <w:szCs w:val="18"/>
          <w:color w:val="auto"/>
        </w:rPr>
        <w:t>totaled $4.2 billion compared with $0.3 billion at the end of Q1 2023.</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Sweep </w:t>
      </w:r>
      <w:r>
        <w:rPr>
          <w:rFonts w:ascii="Arial" w:cs="Arial" w:eastAsia="Arial" w:hAnsi="Arial"/>
          <w:sz w:val="18"/>
          <w:szCs w:val="18"/>
          <w:color w:val="auto"/>
        </w:rPr>
        <w:t>increased 113% year-over-year to $19.0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Margin Book </w:t>
      </w:r>
      <w:r>
        <w:rPr>
          <w:rFonts w:ascii="Arial" w:cs="Arial" w:eastAsia="Arial" w:hAnsi="Arial"/>
          <w:sz w:val="18"/>
          <w:szCs w:val="18"/>
          <w:color w:val="auto"/>
        </w:rPr>
        <w:t>increased 32% year-over-year to $4.1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Equity Notional Trading Volumes </w:t>
      </w:r>
      <w:r>
        <w:rPr>
          <w:rFonts w:ascii="Arial" w:cs="Arial" w:eastAsia="Arial" w:hAnsi="Arial"/>
          <w:sz w:val="18"/>
          <w:szCs w:val="18"/>
          <w:color w:val="auto"/>
        </w:rPr>
        <w:t>increased 40% year-over-year to $225.0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Contracts Traded </w:t>
      </w:r>
      <w:r>
        <w:rPr>
          <w:rFonts w:ascii="Arial" w:cs="Arial" w:eastAsia="Arial" w:hAnsi="Arial"/>
          <w:sz w:val="18"/>
          <w:szCs w:val="18"/>
          <w:color w:val="auto"/>
        </w:rPr>
        <w:t>increased 26% year-over-year to 343.6 million.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Crypto Notional Trading Volumes </w:t>
      </w:r>
      <w:r>
        <w:rPr>
          <w:rFonts w:ascii="Arial" w:cs="Arial" w:eastAsia="Arial" w:hAnsi="Arial"/>
          <w:sz w:val="18"/>
          <w:szCs w:val="18"/>
          <w:color w:val="auto"/>
        </w:rPr>
        <w:t>increased 224% year-over-year to $36.0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Monthly Active Users (MAU) </w:t>
      </w:r>
      <w:r>
        <w:rPr>
          <w:rFonts w:ascii="Arial" w:cs="Arial" w:eastAsia="Arial" w:hAnsi="Arial"/>
          <w:sz w:val="18"/>
          <w:szCs w:val="18"/>
          <w:color w:val="auto"/>
        </w:rPr>
        <w:t>increased 16% year-over-year to 13.7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Robinhood will host a conference call to discuss its results at 2 p.m. PT / 5 p.m. ET today, May 8, 2024. The live webcast of Robinhood's earnings conference call can be accessed at investors.robinhood.com, along with the earnings press release and accompanying slide presentation.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call, a replay and transcript will also be available at the same website.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2024 expense plan includes growth investments in new products, features, and international expansion while also getting more efficient in our existing businesses. Taken together, we continue to expect both GAAP total operating expenses and Non-GAAP combined Adjusted Operating Expenses and SBC for full-year 2024 to be in the range of $1.85 billion to $1.95 billion.</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Actual results might differ materially from our outlook due to several factors, including the rate of growth in Funded Customers and our effectiveness to cross-sell products which affects variable marketing costs, the degree to which we are successful in managing credit losses and preventing fraud, and our ability to manage web-hosting expenses efficiently, among other factors. The above expense outlook does not include potential significant regulatory matters or other significant expenses (such as impairments, restructuring charges, and business acquisition- or disposition-related expenses) that may arise or accruals we may determine in the future are required, as we are unable to accurately predict the size or timing of such matters, expenses or accruals at this time.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9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Robinhood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Robinhood Markets, Inc. is on a mission to democratize finance for all. In the U.S., people can invest with no account minimums through Robinhood Financial LLC, a registered broker dealer (member SIPC), buy and sell crypto through Robinhood Crypto, LLC, and spend and earn rewards through debit cards with Robinhood Money, LLC and credit cards with Robinhood Credit, Inc. People can also trade U.S. stocks without commission or FX fees in the UK through Robinhood U.K. Ltd., trade crypto in select jurisdictions in the European Union through Robinhood Europe, UAB, and access easy-to-understand educational content through Robinhood Learn.</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“Robinhood” and the Robinhood feather logo are registered trademarks of Robinhood Markets, Inc. All other names are trademarks and/or registered trademarks of their respective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ir@robinhood.com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press@robinhood.com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7"/>
                <w:szCs w:val="17"/>
                <w:color w:val="auto"/>
              </w:rPr>
            </w:pPr>
          </w:p>
        </w:tc>
        <w:tc>
          <w:tcPr>
            <w:tcW w:w="1280" w:type="dxa"/>
            <w:vAlign w:val="bottom"/>
          </w:tcPr>
          <w:p>
            <w:pPr>
              <w:jc w:val="right"/>
              <w:ind w:right="36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04"/>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4,717</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4,448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4,521</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3,495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4,303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borrowed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related to user cryptocurrencies safeguarding obligation</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26,223</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User-held fractional shares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Held-to-maturity investments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31,790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45,545</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Property, software, and equipment, net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Non-current held-to-maturity investments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Other non-current assets, including non-current prepaid expenses of $3 as of December 31, 2023 and $4 as of March</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5"/>
        </w:trPr>
        <w:tc>
          <w:tcPr>
            <w:tcW w:w="7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31, 2024</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32,332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46,088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7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5,097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6,074</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w:t>
            </w: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User cryptocurrencies safeguarding obligation</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14,708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26,223</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Fractional shares repurchase obligation</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25,545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39,113</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0"/>
        </w:trPr>
        <w:tc>
          <w:tcPr>
            <w:tcW w:w="7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25,636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39,203</w:t>
            </w:r>
          </w:p>
        </w:tc>
        <w:tc>
          <w:tcPr>
            <w:tcW w:w="0" w:type="dxa"/>
            <w:vAlign w:val="bottom"/>
          </w:tcPr>
          <w:p>
            <w:pPr>
              <w:spacing w:after="0"/>
              <w:rPr>
                <w:sz w:val="1"/>
                <w:szCs w:val="1"/>
                <w:color w:val="auto"/>
              </w:rPr>
            </w:pPr>
          </w:p>
        </w:tc>
      </w:tr>
      <w:tr>
        <w:trPr>
          <w:trHeight w:val="178"/>
        </w:trPr>
        <w:tc>
          <w:tcPr>
            <w:tcW w:w="77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240"/>
              <w:spacing w:after="0" w:line="153"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w:t>
            </w:r>
          </w:p>
        </w:tc>
        <w:tc>
          <w:tcPr>
            <w:tcW w:w="2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80" w:type="dxa"/>
            <w:vAlign w:val="bottom"/>
          </w:tcPr>
          <w:p>
            <w:pPr>
              <w:ind w:left="400"/>
              <w:spacing w:after="0"/>
              <w:rPr>
                <w:sz w:val="20"/>
                <w:szCs w:val="20"/>
                <w:color w:val="auto"/>
              </w:rPr>
            </w:pPr>
            <w:r>
              <w:rPr>
                <w:rFonts w:ascii="Arial" w:cs="Arial" w:eastAsia="Arial" w:hAnsi="Arial"/>
                <w:sz w:val="14"/>
                <w:szCs w:val="14"/>
                <w:color w:val="auto"/>
              </w:rPr>
              <w:t>31, 2023 and March 31, 2024.</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A common stock, $0.0001 par value. 21,000,000,000 shares authorized, 745,401,862 shares issued and</w:t>
            </w: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80" w:type="dxa"/>
            <w:vAlign w:val="bottom"/>
            <w:shd w:val="clear" w:color="auto" w:fill="CCEEFF"/>
          </w:tcPr>
          <w:p>
            <w:pPr>
              <w:ind w:left="460"/>
              <w:spacing w:after="0" w:line="145" w:lineRule="exact"/>
              <w:rPr>
                <w:sz w:val="20"/>
                <w:szCs w:val="20"/>
                <w:color w:val="auto"/>
              </w:rPr>
            </w:pPr>
            <w:r>
              <w:rPr>
                <w:rFonts w:ascii="Arial" w:cs="Arial" w:eastAsia="Arial" w:hAnsi="Arial"/>
                <w:sz w:val="14"/>
                <w:szCs w:val="14"/>
                <w:color w:val="auto"/>
              </w:rPr>
              <w:t>outstanding as of December 31, 2023; 21,000,000,000 shares authorized, 753,880,032 shares issued and</w:t>
            </w:r>
          </w:p>
        </w:tc>
        <w:tc>
          <w:tcPr>
            <w:tcW w:w="2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outstanding as of March 31, 2024.</w:t>
            </w:r>
          </w:p>
        </w:tc>
        <w:tc>
          <w:tcPr>
            <w:tcW w:w="2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300"/>
              <w:spacing w:after="0" w:line="153" w:lineRule="exact"/>
              <w:rPr>
                <w:sz w:val="20"/>
                <w:szCs w:val="20"/>
                <w:color w:val="auto"/>
              </w:rPr>
            </w:pPr>
            <w:r>
              <w:rPr>
                <w:rFonts w:ascii="Arial" w:cs="Arial" w:eastAsia="Arial" w:hAnsi="Arial"/>
                <w:sz w:val="14"/>
                <w:szCs w:val="14"/>
                <w:color w:val="auto"/>
              </w:rPr>
              <w:t>Class B common stock, $0.0001 par value. 700,000,000 shares authorized, 126,760,802 shares issued and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80" w:type="dxa"/>
            <w:vAlign w:val="bottom"/>
          </w:tcPr>
          <w:p>
            <w:pPr>
              <w:ind w:left="460"/>
              <w:spacing w:after="0" w:line="145" w:lineRule="exact"/>
              <w:rPr>
                <w:sz w:val="20"/>
                <w:szCs w:val="20"/>
                <w:color w:val="auto"/>
              </w:rPr>
            </w:pPr>
            <w:r>
              <w:rPr>
                <w:rFonts w:ascii="Arial" w:cs="Arial" w:eastAsia="Arial" w:hAnsi="Arial"/>
                <w:sz w:val="14"/>
                <w:szCs w:val="14"/>
                <w:color w:val="auto"/>
              </w:rPr>
              <w:t>outstanding as of December 31, 2023; 700,000,000 shares authorized, 124,480,224 shares issued and</w:t>
            </w:r>
          </w:p>
        </w:tc>
        <w:tc>
          <w:tcPr>
            <w:tcW w:w="220" w:type="dxa"/>
            <w:vAlign w:val="bottom"/>
          </w:tcPr>
          <w:p>
            <w:pPr>
              <w:spacing w:after="0"/>
              <w:rPr>
                <w:sz w:val="12"/>
                <w:szCs w:val="12"/>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tcPr>
          <w:p>
            <w:pPr>
              <w:ind w:left="460"/>
              <w:spacing w:after="0"/>
              <w:rPr>
                <w:sz w:val="20"/>
                <w:szCs w:val="20"/>
                <w:color w:val="auto"/>
              </w:rPr>
            </w:pPr>
            <w:r>
              <w:rPr>
                <w:rFonts w:ascii="Arial" w:cs="Arial" w:eastAsia="Arial" w:hAnsi="Arial"/>
                <w:sz w:val="14"/>
                <w:szCs w:val="14"/>
                <w:color w:val="auto"/>
              </w:rPr>
              <w:t>outstanding as of March 31, 2024.</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w:t>
            </w:r>
          </w:p>
        </w:tc>
        <w:tc>
          <w:tcPr>
            <w:tcW w:w="22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December 31, 2023 and March 31, 2024.</w:t>
            </w:r>
          </w:p>
        </w:tc>
        <w:tc>
          <w:tcPr>
            <w:tcW w:w="2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12,145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12,176</w:t>
            </w: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(5,289)</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6,696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6,885</w:t>
            </w:r>
          </w:p>
        </w:tc>
        <w:tc>
          <w:tcPr>
            <w:tcW w:w="0" w:type="dxa"/>
            <w:vAlign w:val="bottom"/>
          </w:tcPr>
          <w:p>
            <w:pPr>
              <w:spacing w:after="0"/>
              <w:rPr>
                <w:sz w:val="1"/>
                <w:szCs w:val="1"/>
                <w:color w:val="auto"/>
              </w:rPr>
            </w:pPr>
          </w:p>
        </w:tc>
      </w:tr>
      <w:tr>
        <w:trPr>
          <w:trHeight w:val="200"/>
        </w:trPr>
        <w:tc>
          <w:tcPr>
            <w:tcW w:w="7780" w:type="dxa"/>
            <w:vAlign w:val="bottom"/>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32,332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46,088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121"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vMerge w:val="restart"/>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rPr>
              <w:t>Three Months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Ended</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March 31,</w:t>
            </w:r>
          </w:p>
        </w:tc>
        <w:tc>
          <w:tcPr>
            <w:tcW w:w="1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share, per share, and percentage data)</w:t>
            </w:r>
          </w:p>
        </w:tc>
        <w:tc>
          <w:tcPr>
            <w:tcW w:w="200" w:type="dxa"/>
            <w:vAlign w:val="bottom"/>
          </w:tcPr>
          <w:p>
            <w:pPr>
              <w:spacing w:after="0"/>
              <w:rPr>
                <w:sz w:val="15"/>
                <w:szCs w:val="15"/>
                <w:color w:val="auto"/>
              </w:rPr>
            </w:pPr>
          </w:p>
        </w:tc>
        <w:tc>
          <w:tcPr>
            <w:tcW w:w="106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2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YOY% Change</w:t>
            </w:r>
          </w:p>
        </w:tc>
        <w:tc>
          <w:tcPr>
            <w:tcW w:w="120" w:type="dxa"/>
            <w:vAlign w:val="bottom"/>
          </w:tcPr>
          <w:p>
            <w:pPr>
              <w:spacing w:after="0"/>
              <w:rPr>
                <w:sz w:val="15"/>
                <w:szCs w:val="15"/>
                <w:color w:val="auto"/>
              </w:rPr>
            </w:pPr>
          </w:p>
        </w:tc>
        <w:tc>
          <w:tcPr>
            <w:tcW w:w="11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2023</w:t>
            </w:r>
          </w:p>
        </w:tc>
        <w:tc>
          <w:tcPr>
            <w:tcW w:w="1140" w:type="dxa"/>
            <w:vAlign w:val="bottom"/>
          </w:tcPr>
          <w:p>
            <w:pPr>
              <w:jc w:val="right"/>
              <w:ind w:right="220"/>
              <w:spacing w:after="0"/>
              <w:rPr>
                <w:sz w:val="20"/>
                <w:szCs w:val="20"/>
                <w:color w:val="auto"/>
              </w:rPr>
            </w:pPr>
            <w:r>
              <w:rPr>
                <w:rFonts w:ascii="Arial" w:cs="Arial" w:eastAsia="Arial" w:hAnsi="Arial"/>
                <w:sz w:val="14"/>
                <w:szCs w:val="14"/>
                <w:b w:val="1"/>
                <w:bCs w:val="1"/>
                <w:color w:val="auto"/>
              </w:rPr>
              <w:t>QOQ%</w:t>
            </w:r>
          </w:p>
        </w:tc>
        <w:tc>
          <w:tcPr>
            <w:tcW w:w="0" w:type="dxa"/>
            <w:vAlign w:val="bottom"/>
          </w:tcPr>
          <w:p>
            <w:pPr>
              <w:spacing w:after="0"/>
              <w:rPr>
                <w:sz w:val="1"/>
                <w:szCs w:val="1"/>
                <w:color w:val="auto"/>
              </w:rPr>
            </w:pPr>
          </w:p>
        </w:tc>
      </w:tr>
      <w:tr>
        <w:trPr>
          <w:trHeight w:val="185"/>
        </w:trPr>
        <w:tc>
          <w:tcPr>
            <w:tcW w:w="50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CCEEFF"/>
            </w:tcBorders>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Transaction-based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200</w:t>
            </w: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35 %</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Brokerage and transaction</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140" w:type="dxa"/>
            <w:vAlign w:val="bottom"/>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0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14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NM</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1140" w:type="dxa"/>
            <w:vAlign w:val="bottom"/>
          </w:tcPr>
          <w:p>
            <w:pPr>
              <w:jc w:val="right"/>
              <w:spacing w:after="0"/>
              <w:rPr>
                <w:sz w:val="20"/>
                <w:szCs w:val="20"/>
                <w:color w:val="auto"/>
              </w:rPr>
            </w:pPr>
            <w:r>
              <w:rPr>
                <w:rFonts w:ascii="Arial" w:cs="Arial" w:eastAsia="Arial" w:hAnsi="Arial"/>
                <w:sz w:val="16"/>
                <w:szCs w:val="16"/>
                <w:color w:val="auto"/>
              </w:rPr>
              <w:t>459 %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150 %</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w:t>
            </w:r>
          </w:p>
        </w:tc>
        <w:tc>
          <w:tcPr>
            <w:tcW w:w="1140" w:type="dxa"/>
            <w:vAlign w:val="bottom"/>
          </w:tcPr>
          <w:p>
            <w:pPr>
              <w:jc w:val="right"/>
              <w:spacing w:after="0"/>
              <w:rPr>
                <w:sz w:val="20"/>
                <w:szCs w:val="20"/>
                <w:color w:val="auto"/>
              </w:rPr>
            </w:pPr>
            <w:r>
              <w:rPr>
                <w:rFonts w:ascii="Arial" w:cs="Arial" w:eastAsia="Arial" w:hAnsi="Arial"/>
                <w:sz w:val="16"/>
                <w:szCs w:val="16"/>
                <w:color w:val="auto"/>
              </w:rPr>
              <w:t>423 %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shares used to compute net income (loss) per</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 attributable to common stockholders: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896,924,695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875,319,407</w:t>
            </w: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867,298,537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896,924,695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895,779,155</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883,227,967</w:t>
            </w: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61" w:right="3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ROBINHOOD MARKETS, INC.</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The following table presents operating expenses as a percent of total net revenues: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140" w:type="dxa"/>
            <w:vAlign w:val="bottom"/>
            <w:gridSpan w:val="4"/>
            <w:vMerge w:val="restart"/>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89"/>
        </w:trPr>
        <w:tc>
          <w:tcPr>
            <w:tcW w:w="64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8"/>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Technology and development</w:t>
            </w:r>
          </w:p>
        </w:tc>
        <w:tc>
          <w:tcPr>
            <w:tcW w:w="44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07"/>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8"/>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Marketing</w:t>
            </w:r>
          </w:p>
        </w:tc>
        <w:tc>
          <w:tcPr>
            <w:tcW w:w="44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00"/>
        </w:trPr>
        <w:tc>
          <w:tcPr>
            <w:tcW w:w="7180" w:type="dxa"/>
            <w:vAlign w:val="bottom"/>
            <w:gridSpan w:val="2"/>
          </w:tcPr>
          <w:p>
            <w:pPr>
              <w:ind w:left="120"/>
              <w:spacing w:after="0"/>
              <w:rPr>
                <w:sz w:val="20"/>
                <w:szCs w:val="20"/>
                <w:color w:val="auto"/>
              </w:rPr>
            </w:pPr>
            <w:r>
              <w:rPr>
                <w:rFonts w:ascii="Arial" w:cs="Arial" w:eastAsia="Arial" w:hAnsi="Arial"/>
                <w:sz w:val="14"/>
                <w:szCs w:val="14"/>
                <w:color w:val="auto"/>
              </w:rPr>
              <w:t>Total operating expenses</w:t>
            </w:r>
          </w:p>
        </w:tc>
        <w:tc>
          <w:tcPr>
            <w:tcW w:w="44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74 %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the SBC on our unaudited condensed consolidated statements of operations for the periods indicated:</w:t>
      </w:r>
    </w:p>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and transaction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662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6620" w:type="dxa"/>
            <w:vAlign w:val="bottom"/>
          </w:tcPr>
          <w:p>
            <w:pPr>
              <w:ind w:left="20"/>
              <w:spacing w:after="0"/>
              <w:rPr>
                <w:sz w:val="20"/>
                <w:szCs w:val="20"/>
                <w:color w:val="auto"/>
              </w:rPr>
            </w:pPr>
            <w:r>
              <w:rPr>
                <w:rFonts w:ascii="Arial" w:cs="Arial" w:eastAsia="Arial" w:hAnsi="Arial"/>
                <w:sz w:val="14"/>
                <w:szCs w:val="14"/>
                <w:color w:val="auto"/>
              </w:rPr>
              <w:t>Marketing</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0"/>
        </w:trPr>
        <w:tc>
          <w:tcPr>
            <w:tcW w:w="6620" w:type="dxa"/>
            <w:vAlign w:val="bottom"/>
          </w:tcPr>
          <w:p>
            <w:pPr>
              <w:ind w:left="120"/>
              <w:spacing w:after="0"/>
              <w:rPr>
                <w:sz w:val="20"/>
                <w:szCs w:val="20"/>
                <w:color w:val="auto"/>
              </w:rPr>
            </w:pPr>
            <w:r>
              <w:rPr>
                <w:rFonts w:ascii="Arial" w:cs="Arial" w:eastAsia="Arial" w:hAnsi="Arial"/>
                <w:sz w:val="14"/>
                <w:szCs w:val="14"/>
                <w:color w:val="auto"/>
              </w:rPr>
              <w:t>Total SBC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161"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195"/>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r>
      <w:tr>
        <w:trPr>
          <w:trHeight w:val="157"/>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88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180"/>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Provision for credit losses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598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86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Securities segregated under federal and other regulations</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Receivables from brokers, dealers, and clearing organizations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Receivables from users, net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Securities borrowed</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(505)</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Deposits with clearing organizations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Current and non-current prepaid expenses</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current and non-current assets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Accounts payable and accrued expenses</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Payables to users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Securities loaned</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775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668</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current and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4"/>
        </w:trPr>
        <w:tc>
          <w:tcPr>
            <w:tcW w:w="886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Net cash provided by (used in) operating activities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828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w:t>
            </w:r>
          </w:p>
        </w:tc>
      </w:tr>
      <w:tr>
        <w:trPr>
          <w:trHeight w:val="160"/>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Purchases of property, software, and equipment</w:t>
            </w:r>
          </w:p>
        </w:tc>
        <w:tc>
          <w:tcPr>
            <w:tcW w:w="2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Capitalization of internally developed software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Proceeds from sales and maturities of available-for-sale investments</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held-to-maturity investments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Proceeds from maturities of held-to-maturity investments</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credit card receivables</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Collections of purchased credit card receivables</w:t>
            </w:r>
          </w:p>
        </w:tc>
        <w:tc>
          <w:tcPr>
            <w:tcW w:w="2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Asset acquisition, net of cash acquired</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4"/>
        </w:trPr>
        <w:tc>
          <w:tcPr>
            <w:tcW w:w="886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Net cash used in investing activities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(481)</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w:t>
            </w:r>
          </w:p>
        </w:tc>
      </w:tr>
      <w:tr>
        <w:trPr>
          <w:trHeight w:val="160"/>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Payments of debt issuance costs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Borrowings on Credit Card Funding Trust</w:t>
            </w:r>
          </w:p>
        </w:tc>
        <w:tc>
          <w:tcPr>
            <w:tcW w:w="2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principal collected from customers due to Coastal Bank</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8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Proceeds from exercise of stock options, net of repurchases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74"/>
        </w:trPr>
        <w:tc>
          <w:tcPr>
            <w:tcW w:w="8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cash used in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64"/>
        </w:trPr>
        <w:tc>
          <w:tcPr>
            <w:tcW w:w="8860" w:type="dxa"/>
            <w:vAlign w:val="bottom"/>
          </w:tcPr>
          <w:p>
            <w:pPr>
              <w:ind w:left="460"/>
              <w:spacing w:after="0"/>
              <w:rPr>
                <w:sz w:val="20"/>
                <w:szCs w:val="20"/>
                <w:color w:val="auto"/>
              </w:rPr>
            </w:pPr>
            <w:r>
              <w:rPr>
                <w:rFonts w:ascii="Arial" w:cs="Arial" w:eastAsia="Arial" w:hAnsi="Arial"/>
                <w:sz w:val="13"/>
                <w:szCs w:val="13"/>
                <w:color w:val="auto"/>
              </w:rPr>
              <w:t>Net increase (decrease) in cash, cash equivalents, segregated cash, and restricted cash</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(700)</w:t>
            </w:r>
          </w:p>
        </w:tc>
      </w:tr>
      <w:tr>
        <w:trPr>
          <w:trHeight w:val="175"/>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segregated cash, and restricted cash, beginning of the period</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9,357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9,346</w:t>
            </w:r>
          </w:p>
        </w:tc>
      </w:tr>
      <w:tr>
        <w:trPr>
          <w:trHeight w:val="174"/>
        </w:trPr>
        <w:tc>
          <w:tcPr>
            <w:tcW w:w="8860" w:type="dxa"/>
            <w:vAlign w:val="bottom"/>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9,693</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8,646</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8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Reconciliation of cash, cash equivalents, segregated cash, and restricted cash, end of the period: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71"/>
        </w:trPr>
        <w:tc>
          <w:tcPr>
            <w:tcW w:w="8860" w:type="dxa"/>
            <w:vAlign w:val="bottom"/>
          </w:tcPr>
          <w:p>
            <w:pPr>
              <w:ind w:left="20"/>
              <w:spacing w:after="0"/>
              <w:rPr>
                <w:sz w:val="20"/>
                <w:szCs w:val="20"/>
                <w:color w:val="auto"/>
              </w:rPr>
            </w:pPr>
            <w:r>
              <w:rPr>
                <w:rFonts w:ascii="Arial" w:cs="Arial" w:eastAsia="Arial" w:hAnsi="Arial"/>
                <w:sz w:val="13"/>
                <w:szCs w:val="13"/>
                <w:color w:val="auto"/>
              </w:rPr>
              <w:t>Cash and cash equivalents, end of the period</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5,459</w:t>
            </w:r>
          </w:p>
        </w:tc>
        <w:tc>
          <w:tcPr>
            <w:tcW w:w="8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4,717</w:t>
            </w:r>
          </w:p>
        </w:tc>
      </w:tr>
      <w:tr>
        <w:trPr>
          <w:trHeight w:val="180"/>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Segregated cash and cash equivalents, end of the period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3,829</w:t>
            </w:r>
          </w:p>
        </w:tc>
      </w:tr>
      <w:tr>
        <w:trPr>
          <w:trHeight w:val="171"/>
        </w:trPr>
        <w:tc>
          <w:tcPr>
            <w:tcW w:w="8860" w:type="dxa"/>
            <w:vAlign w:val="bottom"/>
          </w:tcPr>
          <w:p>
            <w:pPr>
              <w:ind w:left="20"/>
              <w:spacing w:after="0"/>
              <w:rPr>
                <w:sz w:val="20"/>
                <w:szCs w:val="20"/>
                <w:color w:val="auto"/>
              </w:rPr>
            </w:pPr>
            <w:r>
              <w:rPr>
                <w:rFonts w:ascii="Arial" w:cs="Arial" w:eastAsia="Arial" w:hAnsi="Arial"/>
                <w:sz w:val="13"/>
                <w:szCs w:val="13"/>
                <w:color w:val="auto"/>
              </w:rPr>
              <w:t>Restricted cash in other current assets, end of the period</w:t>
            </w:r>
          </w:p>
        </w:tc>
        <w:tc>
          <w:tcPr>
            <w:tcW w:w="26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75"/>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 other non-current assets, end of the period</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74"/>
        </w:trPr>
        <w:tc>
          <w:tcPr>
            <w:tcW w:w="8860" w:type="dxa"/>
            <w:vAlign w:val="bottom"/>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9,693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8,646</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3"/>
        </w:trPr>
        <w:tc>
          <w:tcPr>
            <w:tcW w:w="88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Supplemental disclosures: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71"/>
        </w:trPr>
        <w:tc>
          <w:tcPr>
            <w:tcW w:w="8860" w:type="dxa"/>
            <w:vAlign w:val="bottom"/>
          </w:tcPr>
          <w:p>
            <w:pPr>
              <w:ind w:left="240"/>
              <w:spacing w:after="0"/>
              <w:rPr>
                <w:sz w:val="20"/>
                <w:szCs w:val="20"/>
                <w:color w:val="auto"/>
              </w:rPr>
            </w:pPr>
            <w:r>
              <w:rPr>
                <w:rFonts w:ascii="Arial" w:cs="Arial" w:eastAsia="Arial" w:hAnsi="Arial"/>
                <w:sz w:val="13"/>
                <w:szCs w:val="13"/>
                <w:color w:val="auto"/>
              </w:rPr>
              <w:t>Cash paid for interest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80"/>
        </w:trPr>
        <w:tc>
          <w:tcPr>
            <w:tcW w:w="8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paid for income taxes, net of refund received</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64" w:right="339" w:bottom="1440" w:gutter="0" w:footer="0" w:header="0"/>
        </w:sectPr>
      </w:pPr>
    </w:p>
    <w:bookmarkStart w:id="9" w:name="page10"/>
    <w:bookmarkEnd w:id="9"/>
    <w:p>
      <w:pPr>
        <w:jc w:val="center"/>
        <w:ind w:right="56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40" w:lineRule="exact"/>
        <w:rPr>
          <w:sz w:val="20"/>
          <w:szCs w:val="20"/>
          <w:color w:val="auto"/>
        </w:rPr>
      </w:pPr>
    </w:p>
    <w:p>
      <w:pPr>
        <w:jc w:val="center"/>
        <w:ind w:right="56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Net margin</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Interest expenses related to credit facilities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 (non-GAAP)</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Less: SBC</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Founders Award Cancellation</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SBC Excluding 2021 Founders Award Cancellation</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Adjusted EBITDA margin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1"/>
        </w:trPr>
        <w:tc>
          <w:tcPr>
            <w:tcW w:w="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8"/>
                <w:szCs w:val="18"/>
                <w:color w:val="auto"/>
              </w:rPr>
              <w:t>Less: SBC</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 Founders Award Cancellation</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SBC Excluding 2021 Founders Award Cancellation</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Operating Expenses (Non-GAAP)</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rPr>
              <w:t>Financial Outlook</w:t>
            </w:r>
          </w:p>
        </w:tc>
      </w:tr>
      <w:tr>
        <w:trPr>
          <w:trHeight w:val="185"/>
        </w:trPr>
        <w:tc>
          <w:tcPr>
            <w:tcW w:w="7920" w:type="dxa"/>
            <w:vAlign w:val="bottom"/>
          </w:tcPr>
          <w:p>
            <w:pPr>
              <w:spacing w:after="0"/>
              <w:rPr>
                <w:sz w:val="16"/>
                <w:szCs w:val="16"/>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the Year Ending December 31, 2024</w:t>
            </w:r>
          </w:p>
        </w:tc>
      </w:tr>
      <w:tr>
        <w:trPr>
          <w:trHeight w:val="148"/>
        </w:trPr>
        <w:tc>
          <w:tcPr>
            <w:tcW w:w="7920" w:type="dxa"/>
            <w:vAlign w:val="bottom"/>
          </w:tcPr>
          <w:p>
            <w:pPr>
              <w:spacing w:after="0"/>
              <w:rPr>
                <w:sz w:val="12"/>
                <w:szCs w:val="12"/>
                <w:color w:val="auto"/>
              </w:rPr>
            </w:pPr>
          </w:p>
        </w:tc>
        <w:tc>
          <w:tcPr>
            <w:tcW w:w="33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9"/>
              </w:rPr>
              <w:t>Outlook</w:t>
            </w:r>
          </w:p>
        </w:tc>
      </w:tr>
      <w:tr>
        <w:trPr>
          <w:trHeight w:val="183"/>
        </w:trPr>
        <w:tc>
          <w:tcPr>
            <w:tcW w:w="792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i w:val="1"/>
                <w:iCs w:val="1"/>
                <w:color w:val="auto"/>
              </w:rPr>
              <w:t>(in millions)</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 (GAAP)</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$1,850 - $1,950</w:t>
            </w:r>
          </w:p>
        </w:tc>
      </w:tr>
      <w:tr>
        <w:trPr>
          <w:trHeight w:val="230"/>
        </w:trPr>
        <w:tc>
          <w:tcPr>
            <w:tcW w:w="7920" w:type="dxa"/>
            <w:vAlign w:val="bottom"/>
          </w:tcPr>
          <w:p>
            <w:pPr>
              <w:ind w:left="140"/>
              <w:spacing w:after="0" w:line="230" w:lineRule="exact"/>
              <w:rPr>
                <w:sz w:val="20"/>
                <w:szCs w:val="20"/>
                <w:color w:val="auto"/>
              </w:rPr>
            </w:pPr>
            <w:r>
              <w:rPr>
                <w:rFonts w:ascii="Arial" w:cs="Arial" w:eastAsia="Arial" w:hAnsi="Arial"/>
                <w:sz w:val="18"/>
                <w:szCs w:val="18"/>
                <w:color w:val="auto"/>
              </w:rPr>
              <w:t>Significant reconciliation items</w:t>
            </w:r>
            <w:r>
              <w:rPr>
                <w:rFonts w:ascii="Arial" w:cs="Arial" w:eastAsia="Arial" w:hAnsi="Arial"/>
                <w:sz w:val="23"/>
                <w:szCs w:val="23"/>
                <w:color w:val="auto"/>
                <w:vertAlign w:val="superscript"/>
              </w:rPr>
              <w:t>(1)</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 and SBC (non-GAAP)</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$1,850 - $1,950</w:t>
            </w:r>
          </w:p>
        </w:tc>
      </w:tr>
    </w:tbl>
    <w:p>
      <w:pPr>
        <w:spacing w:after="0" w:line="139" w:lineRule="exact"/>
        <w:rPr>
          <w:sz w:val="20"/>
          <w:szCs w:val="20"/>
          <w:color w:val="auto"/>
        </w:rPr>
      </w:pPr>
    </w:p>
    <w:p>
      <w:pPr>
        <w:jc w:val="both"/>
        <w:ind w:firstLine="8"/>
        <w:spacing w:after="0" w:line="267" w:lineRule="auto"/>
        <w:tabs>
          <w:tab w:leader="none" w:pos="241"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Actual results might differ materially from our outlook, see “Financial Outlook” for more information. The above expense outlook does not include potential significant regulatory matters or other significant expenses (such as impairments, restructuring charges, and business acquisition- or disposition-related expenses) that may arise or accruals we may determine in the future are required, as we are unable to accurately predict the size or timing of such matters, expenses or accruals at this time. See “Non-GAAP Financial Measures” for more information on Adjusted Operating Expenses and SBC, including significant items that we believe are not indicative of our ongoing expenses that would be adjusted out of total operating expenses (GAAP) to get to Adjusted Operating Expenses and SBC (non-GAAP) should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This press release contains forward-looking statements regarding the expected financial performance of Robinhood Markets, Inc. and its consolidated subsidiaries (“we,” “Robinhood,” or the “Company”) and our strategic and operational plans, including (among others) statements regarding that we remain focused on driving another year of profitable growth in 2024; we drive value for customers as we make progress on our goal to be the most trusted, lowest cost, and most culturally relevant money app worldwide; the new 1% unlimited deposit boost</w:t>
      </w:r>
    </w:p>
    <w:p>
      <w:pPr>
        <w:jc w:val="both"/>
        <w:spacing w:after="0" w:line="250" w:lineRule="auto"/>
        <w:rPr>
          <w:sz w:val="20"/>
          <w:szCs w:val="20"/>
          <w:color w:val="auto"/>
        </w:rPr>
      </w:pPr>
      <w:r>
        <w:rPr>
          <w:rFonts w:ascii="Arial" w:cs="Arial" w:eastAsia="Arial" w:hAnsi="Arial"/>
          <w:sz w:val="18"/>
          <w:szCs w:val="18"/>
          <w:color w:val="auto"/>
        </w:rPr>
        <w:t>with Gold will be launching soon and will provide even more value to customers with Robinhood Gold; and all statements and information under the headings “Financial Outlook” and “Reconciliation of GAAP to Non-GAAP Financial Outlook.”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Our forward-looking statements are subject to a number of known and unknown risks, uncertainties, assumptions, and other factors that may cause our actual future results, performance, or achievements to differ materially from any future results expressed or implied in this press release. Reported results should not be considered an indication of future performance. Factors that contribute to the uncertain nature of our forward-looking statements include, among others: our limited operating experience at our current scale; the difficulty of managing our business effectively, including the size of our workforce, and the risk of continued declining or negative growth; the fluctuations in our financial results and key metrics from quarter to quarter; our reliance on transaction-based revenue, including payment for order flow (“PFOF”), and the risk of new regulation or bans on PFOF and similar practices; our exposure to fluctuations in interest rates and rapidly changing interest rate environments; the difficulty of raising additional capital (to provide liquidity needs and support business growth and objectives) on reasonable terms, if at all; the need to maintain capital levels required by regulators and self-regulatory organizations; the risk that we might mishandle the cash, securities, and cryptocurrencies we hold on behalf of customers, and our exposure to liability for processing, operational, or technical errors in clearing functions; the impact of negative publicity on our brand and reputation; the risk that changes in business, economic, or political conditions that impact the global financial markets, or a systemic market event, might harm our business; our dependence on key employees and a skilled workforce; the difficulty of complying with an extensive, complex, and changing regulatory environment and the need to adjust our business model in response to new or modified laws and regulations; the possibility of adverse developments in pending litigation and regulatory investigations; the effects of competition; our need to innovate and invest in new products, services, technologies, and geographies in order to attract and retain customers and deepen their engagement with us in order to maintain growth; our reliance on third parties to perform some key functions and the risk that processing, operational or technological failures could impair the availability or stability of our platforms; the risk of cybersecurity incidents, theft, data breaches, and other online attacks; the difficulty of processing customer data in compliance with privacy laws; our need as a regulated financial services company to develop and maintain effective compliance and risk management infrastructures; the risks associated with incorporating artificial intelligence technologies into some of our products and processes; the volatility of cryptocurrency prices and trading volumes; the risk that our platforms and services could be exploited to facilitate illegal payments; and the risk that substantial future sales of Class A common stock in the public market, or the perception that they may occur, could cause the price of our stock to fall.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can be found in Part II, Item 1A of our Quarterly Report on Form 10-Q for the quarter ended March 31, 2024 (our "Q1 2024 10-Q"),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of this press release, May 8, 2024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press release whether as a result of any new information, future events, changed circumstances, or otherwise. You should read this press release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earnings before interest, taxes, depreciation and amortization (“Adjusted EBITDA”), Adjusted EBITDA margin, Adjusted Operating Expenses, and Adjusted Operating Expenses and SBC.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Reconciliations of these non-GAAP measures to the most directly comparable financial measures calculated and presented in accordance with GAAP are provided in the financial tables included in this release.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Adjusted EBITDA is defined as net income (loss),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EBITDA Margin is calculated as Adjusted EBITDA divided by total net revenues. The most directly comparable GAAP measure is net margin (calculated as net income (loss) divided by total net revenues). We believe Adjusted EBITDA Margin provides useful information to investors and others in understanding and evaluating our results of operations, as well as providing a useful measure for period-to-period comparisons of our business performance. Adjusted EBITDA Margin is used by our management internally to make operating decisions, including those related to operating expenses, evaluate performance, and perform strategic planning and annual budgeting.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Adjusted Operating Expenses is defined as GAAP total operating expenses minus (i) SBC, (ii) significant legal and tax settlements and reserves, and (iii)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 We believe Adjusted Operating Expenses provides useful information to investors and others in understanding and evaluating our results of operations, as well as providing a useful measure for period-to-period comparisons of our cost structure. Adjusted Operating Expenses is used by our management internally to make operating decisions, including those related to operating expenses, evaluate performance, and perform strategic planning and annual budgeting.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Expenses and SBC</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Adjusted Operating Expenses and SBC is defined as GAAP total operating expenses minus (i) significant legal and tax settlements and reserves and (ii) other significant expenses (such as impairments, restructuring charges, and business acquisition- or disposition-related expenses), that we believe are not indicative of our ongoing expenses. The amount and timing of the excluded items are unpredictable, are not driven by core results, of operations, and render comparisons with prior periods less meaningful. Unlike Adjusted Operating Expenses,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0"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Adjusted Operating Expenses and SBC does not adjust for SBC. We believe Adjusted Operating Expense and SBC provides useful information to investors and others in understanding and evaluating our results of operations, as well as providing a useful measure for period-to-period comparisons of our cost structure. Adjusted Operating Expenses and SBC is used by our management internally to make operating decisions, including those related to operating expenses, evaluate performance, and perform strategic planning and annual budgeting.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 For information on changes to our key performance metrics, see 'Key Performance Metrics" in Part I, Item 2 "Management's Discussion and Analysis of Financial Condition and Results of Operations" in our Q1 2024 10-Q.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Customers</w:t>
      </w: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We define an Investment Account as a funded individual brokerage account or a funded individual retirement account ("IRA"). As of March 31, 2024, a Funded Customer can have up to three Investment Accounts - individual brokerage account, traditional IRA, and Roth IRA.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Custody (“AUC”)</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AUC as the sum of the fair value of all equities, options, cryptocurrency and cash held by users in their accounts, net of receivables from users, as of a stated date or period end on a trade date basis. Net Deposits and net market gains (losses) drive the change in AUC in any given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Deposits</w:t>
      </w:r>
    </w:p>
    <w:p>
      <w:pPr>
        <w:spacing w:after="0" w:line="25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define Net Deposits as all cash deposits and asset transfers from, as well as dividends and interest received by customers, net of reversals, customer cash withdrawals, margin interest, Gold subscription fees, and other assets transferred out of our platforms (assets transferred in or out include debit card transactions, Automated</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Customer Account Transfer Service transfers, and custodial crypto wallet transfers) for a stated period. Prior to January 2024, Net Deposits did not include inflows from dividends and interest or outflows from Robinhood Gold subscription fees and margin interest, although we have not restated amounts in prior periods as the impact to those figures was immaterial.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User (“ARPU”)</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ARPU as total revenue for a given period divided by the average number of Funded Customers on the last day of that period and the last day of the immediately preceding period. Figures in this release represent ARPU annualized for each three-month period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Rate and Annualized Growth Rate with respect to Net Deposits</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When used with respect to Net Deposits, “growth rate” and “annualized growth rate” provide information about Net Deposits relative to total AUC. “Growth rate” is calculated as aggregate Net Deposits over a specified 12 month period, divided by AUC for the fiscal quarter that immediately precedes such 12 month period. “Annualized growth rate” is calculated as Net Deposits for a specified quarter multiplied by 4 and divided by AUC for the immediately preceding quarter.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 Subscribers</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define a Gold Subscriber as a unique person who has at least one account with a Robinhood entity and who, as of the end of the relevant period (a) is subscribed to Robinhood Gold and (b) has made at least one Robinhood Gold subscription fee payment.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Additional Operating Metrics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AUC</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Retirement AUC as the total AUC in traditional IRAs and Roth IRAs.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define Cash Sweep as the period-end aggregate balances in our brokerage sweep program (i.e., the period-end total amount of participating users’ uninvested brokerage cash that has been automatically “swept”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Book</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define Margin Book as our period-end aggregate outstanding margin loan balances receivable (i.e., the period-end total amount we are owed by customers on loans made for the purchase of securities, supported by a pledge of assets in their margin-enabled brokerage accounts).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Trading Volume</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define Notional Trading Volume for any specified asset class as the aggregate dollar value (purchase price or sale price as applicable) of trades executed in that asset class over a specified period of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Contracts Traded</w:t>
      </w:r>
    </w:p>
    <w:p>
      <w:pPr>
        <w:spacing w:after="0" w:line="25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define Options Contracts Traded as the total number of options contracts bought or sold over a specified period of time. Each contract generally entitles the holder to trade 100 shares of the underlying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 ("MAU")</w:t>
      </w:r>
    </w:p>
    <w:p>
      <w:pPr>
        <w:spacing w:after="0" w:line="2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MAUs as the number of unique persons who, using one or more accounts with a Robinhood entity, meet one of the following criteria at any point during a specified calendar month: a) executes a debit card or credit card transaction, b) transitions between two different screens on a mobile device while logged into their account or c) loads a page in a web browser while logged into their account. A person need not satisfy these conditions on a recurring monthly basis or be a Funded Customer to be included in MAU. MAU figures in this release reflect MAU for the last month of the relevant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2024-05-08T15:20:56Z</dcterms:created>
  <dcterms:modified xsi:type="dcterms:W3CDTF">2024-05-08T15:20:56Z</dcterms:modified>
</cp:coreProperties>
</file>