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center"/>
        <w:rPr/>
      </w:pPr>
      <w:r>
        <w:rPr/>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ind w:left="0" w:right="0" w:firstLine="36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ind w:left="0" w:right="0" w:firstLine="360"/>
        <w:jc w:val="center"/>
        <w:rPr>
          <w:rFonts w:ascii="Helvetica;sans-serif" w:hAnsi="Helvetica;sans-serif"/>
          <w:b/>
          <w:color w:val="000000"/>
          <w:sz w:val="20"/>
        </w:rPr>
      </w:pPr>
      <w:r>
        <w:rPr>
          <w:rFonts w:ascii="Helvetica;sans-serif" w:hAnsi="Helvetica;sans-serif"/>
          <w:b/>
          <w:color w:val="000000"/>
          <w:sz w:val="20"/>
        </w:rPr>
        <w:t>Washington, D.C. 20549</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240" w:after="283"/>
        <w:ind w:left="0" w:right="0" w:firstLine="360"/>
        <w:jc w:val="center"/>
        <w:rPr>
          <w:rFonts w:ascii="Helvetica;sans-serif" w:hAnsi="Helvetica;sans-serif"/>
          <w:b/>
          <w:color w:val="000000"/>
          <w:sz w:val="32"/>
        </w:rPr>
      </w:pPr>
      <w:r>
        <w:rPr>
          <w:rFonts w:ascii="Helvetica;sans-serif" w:hAnsi="Helvetica;sans-serif"/>
          <w:b/>
          <w:color w:val="000000"/>
          <w:sz w:val="32"/>
        </w:rPr>
        <w:t>FORM 10-Q</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lineRule="auto" w:line="288" w:before="0" w:after="0"/>
        <w:jc w:val="center"/>
        <w:rPr>
          <w:rFonts w:ascii="Helvetica;sans-serif" w:hAnsi="Helvetica;sans-serif"/>
          <w:b/>
          <w:color w:val="000000"/>
          <w:sz w:val="16"/>
        </w:rPr>
      </w:pPr>
      <w:r>
        <w:rPr>
          <w:rFonts w:ascii="Helvetica;sans-serif" w:hAnsi="Helvetica;sans-serif"/>
          <w:b/>
          <w:color w:val="000000"/>
          <w:sz w:val="16"/>
        </w:rPr>
        <w:t>(Mark One)</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QUARTERLY REPORT PURSUANT TO SECTION 13 OR 15(d) OF THE SECURITIES EXCHANGE ACT OF 1934</w:t>
            </w:r>
          </w:p>
        </w:tc>
      </w:tr>
    </w:tbl>
    <w:p>
      <w:pPr>
        <w:pStyle w:val="TextBody"/>
        <w:bidi w:val="0"/>
        <w:spacing w:lineRule="auto" w:line="288" w:before="0" w:after="200"/>
        <w:ind w:left="0" w:right="0" w:firstLine="360"/>
        <w:jc w:val="center"/>
        <w:rPr/>
      </w:pPr>
      <w:r>
        <w:rPr>
          <w:rFonts w:ascii="Helvetica;sans-serif" w:hAnsi="Helvetica;sans-serif"/>
          <w:b/>
          <w:color w:val="000000"/>
          <w:sz w:val="18"/>
        </w:rPr>
        <w:t>For the quarterly period ended</w:t>
      </w:r>
      <w:r>
        <w:rPr>
          <w:color w:val="000000"/>
        </w:rPr>
        <w:t xml:space="preserve"> </w:t>
      </w:r>
      <w:r>
        <w:rPr>
          <w:rFonts w:ascii="Helvetica;sans-serif" w:hAnsi="Helvetica;sans-serif"/>
          <w:b/>
          <w:color w:val="000000"/>
          <w:sz w:val="18"/>
        </w:rPr>
        <w:t>March 31, 2025</w:t>
      </w:r>
    </w:p>
    <w:p>
      <w:pPr>
        <w:pStyle w:val="TextBody"/>
        <w:bidi w:val="0"/>
        <w:spacing w:lineRule="auto" w:line="288" w:before="0" w:after="0"/>
        <w:ind w:left="0" w:right="0" w:firstLine="360"/>
        <w:jc w:val="center"/>
        <w:rPr>
          <w:rFonts w:ascii="Helvetica;sans-serif" w:hAnsi="Helvetica;sans-serif"/>
          <w:b/>
          <w:color w:val="000000"/>
          <w:sz w:val="18"/>
        </w:rPr>
      </w:pPr>
      <w:r>
        <w:rPr>
          <w:rFonts w:ascii="Helvetica;sans-serif" w:hAnsi="Helvetica;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TRANSITION REPORT PURSUANT TO SECTION 13 OR 15(d) OF THE SECURITIES EXCHANGE ACT OF 1934</w:t>
            </w:r>
          </w:p>
        </w:tc>
      </w:tr>
    </w:tbl>
    <w:p>
      <w:pPr>
        <w:pStyle w:val="TextBody"/>
        <w:bidi w:val="0"/>
        <w:spacing w:lineRule="auto" w:line="288" w:before="0" w:after="100"/>
        <w:ind w:left="0" w:right="0" w:firstLine="360"/>
        <w:jc w:val="center"/>
        <w:rPr>
          <w:rFonts w:ascii="Helvetica;sans-serif" w:hAnsi="Helvetica;sans-serif"/>
          <w:b/>
          <w:color w:val="000000"/>
          <w:sz w:val="18"/>
        </w:rPr>
      </w:pPr>
      <w:r>
        <w:rPr>
          <w:rFonts w:ascii="Helvetica;sans-serif" w:hAnsi="Helvetica;sans-serif"/>
          <w:b/>
          <w:color w:val="000000"/>
          <w:sz w:val="18"/>
        </w:rPr>
        <w:t>For the transition period from ________ to ________</w:t>
      </w:r>
    </w:p>
    <w:p>
      <w:pPr>
        <w:pStyle w:val="TextBody"/>
        <w:bidi w:val="0"/>
        <w:spacing w:lineRule="auto" w:line="288" w:before="240" w:after="283"/>
        <w:ind w:left="0" w:right="0" w:firstLine="360"/>
        <w:jc w:val="center"/>
        <w:rPr/>
      </w:pPr>
      <w:r>
        <w:rPr>
          <w:rFonts w:ascii="Helvetica;sans-serif" w:hAnsi="Helvetica;sans-serif"/>
          <w:b w:val="false"/>
          <w:color w:val="000000"/>
          <w:sz w:val="20"/>
        </w:rPr>
        <w:t xml:space="preserve">Commission File Number: </w:t>
      </w:r>
      <w:r>
        <w:rPr>
          <w:rFonts w:ascii="Helvetica;sans-serif" w:hAnsi="Helvetica;sans-serif"/>
          <w:b/>
          <w:color w:val="000000"/>
          <w:sz w:val="20"/>
        </w:rPr>
        <w:t>001-40691</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bidi w:val="0"/>
        <w:spacing w:before="0" w:after="0"/>
        <w:ind w:left="0" w:right="0" w:firstLine="360"/>
        <w:jc w:val="center"/>
        <w:rPr/>
      </w:pPr>
      <w:r>
        <w:rPr/>
        <w:drawing>
          <wp:inline distT="0" distB="0" distL="0" distR="0">
            <wp:extent cx="45720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57200" cy="581025"/>
                    </a:xfrm>
                    <a:prstGeom prst="rect">
                      <a:avLst/>
                    </a:prstGeom>
                  </pic:spPr>
                </pic:pic>
              </a:graphicData>
            </a:graphic>
          </wp:inline>
        </w:drawing>
      </w:r>
    </w:p>
    <w:p>
      <w:pPr>
        <w:pStyle w:val="TextBody"/>
        <w:bidi w:val="0"/>
        <w:spacing w:lineRule="auto" w:line="288" w:before="0" w:after="0"/>
        <w:ind w:left="0" w:right="0" w:firstLine="360"/>
        <w:jc w:val="center"/>
        <w:rPr>
          <w:rFonts w:ascii="Helvetica;sans-serif" w:hAnsi="Helvetica;sans-serif"/>
          <w:b/>
          <w:color w:val="000000"/>
          <w:sz w:val="48"/>
        </w:rPr>
      </w:pPr>
      <w:r>
        <w:rPr>
          <w:rFonts w:ascii="Helvetica;sans-serif" w:hAnsi="Helvetica;sans-serif"/>
          <w:b/>
          <w:color w:val="000000"/>
          <w:sz w:val="48"/>
        </w:rPr>
        <w:t>Robinhood Markets, Inc.</w:t>
      </w:r>
    </w:p>
    <w:p>
      <w:pPr>
        <w:pStyle w:val="TextBody"/>
        <w:bidi w:val="0"/>
        <w:spacing w:lineRule="auto" w:line="288" w:before="60" w:after="6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(Exact name of registrant as specified in its charter)</w:t>
      </w:r>
    </w:p>
    <w:p>
      <w:pPr>
        <w:pStyle w:val="TextBody"/>
        <w:bidi w:val="0"/>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tbl>
      <w:tblPr>
        <w:tblW w:w="3987" w:type="dxa"/>
        <w:jc w:val="left"/>
        <w:tblInd w:w="0" w:type="dxa"/>
        <w:tblLayout w:type="fixed"/>
        <w:tblCellMar>
          <w:top w:w="28" w:type="dxa"/>
          <w:left w:w="28" w:type="dxa"/>
          <w:bottom w:w="28" w:type="dxa"/>
          <w:right w:w="28" w:type="dxa"/>
        </w:tblCellMar>
      </w:tblPr>
      <w:tblGrid>
        <w:gridCol w:w="815"/>
        <w:gridCol w:w="715"/>
        <w:gridCol w:w="720"/>
        <w:gridCol w:w="109"/>
        <w:gridCol w:w="109"/>
        <w:gridCol w:w="109"/>
        <w:gridCol w:w="412"/>
        <w:gridCol w:w="412"/>
        <w:gridCol w:w="586"/>
      </w:tblGrid>
      <w:tr>
        <w:trPr/>
        <w:tc>
          <w:tcPr>
            <w:tcW w:w="8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(IRS Employer</w:t>
              <w:br/>
              <w:t>Identification No.)</w:t>
            </w:r>
          </w:p>
        </w:tc>
      </w:tr>
    </w:tbl>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85 Willow Rd</w:t>
      </w:r>
    </w:p>
    <w:p>
      <w:pPr>
        <w:pStyle w:val="TextBody"/>
        <w:bidi w:val="0"/>
        <w:spacing w:lineRule="auto" w:line="288" w:before="0" w:after="0"/>
        <w:ind w:left="0" w:right="0" w:firstLine="36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Menlo Park, CA 94025</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(Address of principal executive offices, including zip code)</w:t>
      </w:r>
    </w:p>
    <w:p>
      <w:pPr>
        <w:pStyle w:val="TextBody"/>
        <w:bidi w:val="0"/>
        <w:spacing w:lineRule="auto" w:line="288" w:before="120" w:after="283"/>
        <w:ind w:left="0" w:right="0" w:firstLine="360"/>
        <w:jc w:val="center"/>
        <w:rPr>
          <w:rFonts w:ascii="Helvetica;sans-serif" w:hAnsi="Helvetica;sans-serif"/>
          <w:b/>
          <w:color w:val="000000"/>
          <w:sz w:val="20"/>
        </w:rPr>
      </w:pPr>
      <w:r>
        <w:rPr>
          <w:rFonts w:ascii="Helvetica;sans-serif" w:hAnsi="Helvetica;sans-serif"/>
          <w:b/>
          <w:color w:val="000000"/>
          <w:sz w:val="20"/>
        </w:rPr>
        <w:t>(844) 428-5411</w:t>
      </w:r>
    </w:p>
    <w:p>
      <w:pPr>
        <w:pStyle w:val="TextBody"/>
        <w:bidi w:val="0"/>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(Registrant’s telephone number, including area code)</w:t>
      </w:r>
    </w:p>
    <w:p>
      <w:pPr>
        <w:pStyle w:val="TextBody"/>
        <w:bidi w:val="0"/>
        <w:spacing w:before="0" w:after="0"/>
        <w:ind w:left="0" w:right="0" w:firstLine="360"/>
        <w:jc w:val="center"/>
        <w:rPr/>
      </w:pPr>
      <w:r>
        <w:rPr/>
      </w:r>
    </w:p>
    <w:p>
      <w:pPr>
        <w:pStyle w:val="TextBody"/>
        <w:bidi w:val="0"/>
        <w:spacing w:lineRule="auto" w:line="288" w:before="0" w:after="120"/>
        <w:jc w:val="both"/>
        <w:rPr>
          <w:rFonts w:ascii="Helvetica;sans-serif" w:hAnsi="Helvetica;sans-serif"/>
          <w:b/>
          <w:color w:val="000000"/>
          <w:sz w:val="18"/>
        </w:rPr>
      </w:pPr>
      <w:r>
        <w:rPr>
          <w:rFonts w:ascii="Helvetica;sans-serif" w:hAnsi="Helvetica;sans-serif"/>
          <w:b/>
          <w:color w:val="000000"/>
          <w:sz w:val="18"/>
        </w:rPr>
        <w:t>Securities registered pursuant to Section 12(b) of the Act:</w:t>
      </w:r>
    </w:p>
    <w:tbl>
      <w:tblPr>
        <w:tblW w:w="9658" w:type="dxa"/>
        <w:jc w:val="left"/>
        <w:tblInd w:w="0" w:type="dxa"/>
        <w:tblLayout w:type="fixed"/>
        <w:tblCellMar>
          <w:top w:w="28" w:type="dxa"/>
          <w:left w:w="28" w:type="dxa"/>
          <w:bottom w:w="28" w:type="dxa"/>
          <w:right w:w="28" w:type="dxa"/>
        </w:tblCellMar>
      </w:tblPr>
      <w:tblGrid>
        <w:gridCol w:w="1546"/>
        <w:gridCol w:w="1356"/>
        <w:gridCol w:w="1372"/>
        <w:gridCol w:w="479"/>
        <w:gridCol w:w="479"/>
        <w:gridCol w:w="481"/>
        <w:gridCol w:w="1154"/>
        <w:gridCol w:w="1154"/>
        <w:gridCol w:w="1637"/>
      </w:tblGrid>
      <w:tr>
        <w:trPr/>
        <w:tc>
          <w:tcPr>
            <w:tcW w:w="15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Name of each exchange on which registered</w:t>
            </w:r>
          </w:p>
        </w:tc>
      </w:tr>
      <w:tr>
        <w:trPr/>
        <w:tc>
          <w:tcPr>
            <w:tcW w:w="4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Class A Common Stock - $0.0001 par value per share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p>
      <w:pPr>
        <w:pStyle w:val="TextBody"/>
        <w:bidi w:val="0"/>
        <w:spacing w:lineRule="auto" w:line="288" w:before="0" w:after="0"/>
        <w:jc w:val="both"/>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Large accelerated filer </w:t>
      </w:r>
      <w:r>
        <w:rPr>
          <w:color w:val="000000"/>
        </w:rPr>
        <w:t xml:space="preserve">☒     </w:t>
      </w:r>
      <w:r>
        <w:rPr>
          <w:rFonts w:ascii="Helvetica;sans-serif" w:hAnsi="Helvetica;sans-serif"/>
          <w:b w:val="false"/>
          <w:color w:val="000000"/>
          <w:sz w:val="18"/>
        </w:rPr>
        <w:t>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Non-accelerated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Smaller reporting company </w:t>
      </w:r>
      <w:r>
        <w:rPr>
          <w:color w:val="000000"/>
        </w:rPr>
        <w:t xml:space="preserve">☐ </w:t>
      </w:r>
      <w:r>
        <w:rPr>
          <w:rFonts w:ascii="Helvetica;sans-serif" w:hAnsi="Helvetica;sans-serif"/>
          <w:b w:val="false"/>
          <w:color w:val="000000"/>
          <w:sz w:val="18"/>
        </w:rPr>
        <w:t xml:space="preserve">Emerging growth company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Helvetica;sans-serif" w:hAnsi="Helvetica;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Helvetica;sans-serif" w:hAnsi="Helvetica;sans-serif"/>
          <w:b w:val="false"/>
          <w:color w:val="000000"/>
          <w:sz w:val="18"/>
        </w:rPr>
        <w:t>No </w:t>
      </w:r>
      <w:r>
        <w:rPr>
          <w:color w:val="000000"/>
        </w:rPr>
        <w:t>☒</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As of April 24, 2025, the numbers of shares of the issuer’s Class A and Class B common stock outstanding were 767,047,021 and 115,421,940.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20"/>
        <w:jc w:val="center"/>
        <w:rPr/>
      </w:pPr>
      <w:r>
        <w:rPr/>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TABLE OF CONTENTS</w:t>
      </w:r>
    </w:p>
    <w:tbl>
      <w:tblPr>
        <w:tblW w:w="10205" w:type="dxa"/>
        <w:jc w:val="left"/>
        <w:tblInd w:w="0" w:type="dxa"/>
        <w:tblLayout w:type="fixed"/>
        <w:tblCellMar>
          <w:top w:w="28" w:type="dxa"/>
          <w:left w:w="28" w:type="dxa"/>
          <w:bottom w:w="28" w:type="dxa"/>
          <w:right w:w="28" w:type="dxa"/>
        </w:tblCellMar>
      </w:tblPr>
      <w:tblGrid>
        <w:gridCol w:w="601"/>
        <w:gridCol w:w="529"/>
        <w:gridCol w:w="529"/>
        <w:gridCol w:w="2487"/>
        <w:gridCol w:w="2432"/>
        <w:gridCol w:w="2429"/>
        <w:gridCol w:w="109"/>
        <w:gridCol w:w="109"/>
        <w:gridCol w:w="109"/>
        <w:gridCol w:w="109"/>
        <w:gridCol w:w="221"/>
        <w:gridCol w:w="221"/>
        <w:gridCol w:w="320"/>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PART I - FINANCIAL INFORMATION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PAGE </w:t>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16">
              <w:r>
                <w:rPr>
                  <w:rStyle w:val="InternetLink"/>
                  <w:rFonts w:ascii="Helvetica;sans-serif" w:hAnsi="Helvetica;sans-serif"/>
                  <w:b w:val="false"/>
                  <w:color w:val="0000FF"/>
                  <w:sz w:val="20"/>
                  <w:u w:val="single"/>
                </w:rPr>
                <w:t>Unaudited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16">
              <w:r>
                <w:rPr>
                  <w:rStyle w:val="InternetLink"/>
                  <w:rFonts w:ascii="Helvetica;sans-serif" w:hAnsi="Helvetica;sans-serif"/>
                  <w:b w:val="false"/>
                  <w:color w:val="0000FF"/>
                  <w:sz w:val="20"/>
                  <w:u w:val="single"/>
                </w:rPr>
                <w:t xml:space="preserve">Condensed Consolidated Balance Sheets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16">
              <w:r>
                <w:rPr>
                  <w:rStyle w:val="InternetLink"/>
                  <w:rFonts w:ascii="Helvetica;sans-serif" w:hAnsi="Helvetica;sans-serif"/>
                  <w:b w:val="false"/>
                  <w:color w:val="0000FF"/>
                  <w:sz w:val="20"/>
                  <w:u w:val="single"/>
                </w:rPr>
                <w:t>5</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19">
              <w:r>
                <w:rPr>
                  <w:rStyle w:val="InternetLink"/>
                  <w:rFonts w:ascii="Helvetica;sans-serif" w:hAnsi="Helvetica;sans-serif"/>
                  <w:b w:val="false"/>
                  <w:color w:val="0000FF"/>
                  <w:sz w:val="20"/>
                  <w:u w:val="single"/>
                </w:rPr>
                <w:t>Condensed Consolidated Statements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19">
              <w:r>
                <w:rPr>
                  <w:rStyle w:val="InternetLink"/>
                  <w:rFonts w:ascii="Helvetica;sans-serif" w:hAnsi="Helvetica;sans-serif"/>
                  <w:b w:val="false"/>
                  <w:color w:val="0000FF"/>
                  <w:sz w:val="20"/>
                  <w:u w:val="single"/>
                </w:rPr>
                <w:t>6</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b8b81867b844d428e88aba4b4502696_22">
              <w:r>
                <w:rPr>
                  <w:rStyle w:val="InternetLink"/>
                  <w:rFonts w:ascii="Helvetica;sans-serif" w:hAnsi="Helvetica;sans-serif"/>
                  <w:b w:val="false"/>
                  <w:color w:val="0000FF"/>
                  <w:sz w:val="20"/>
                  <w:u w:val="single"/>
                </w:rPr>
                <w:t>Condensed Consolidated Statements of Comprehensive Income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2">
              <w:r>
                <w:rPr>
                  <w:rStyle w:val="InternetLink"/>
                  <w:rFonts w:ascii="Helvetica;sans-serif" w:hAnsi="Helvetica;sans-serif"/>
                  <w:b w:val="false"/>
                  <w:color w:val="0000FF"/>
                  <w:sz w:val="20"/>
                  <w:u w:val="single"/>
                </w:rPr>
                <w:t>7</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5">
              <w:r>
                <w:rPr>
                  <w:rStyle w:val="InternetLink"/>
                  <w:rFonts w:ascii="Helvetica;sans-serif" w:hAnsi="Helvetica;sans-serif"/>
                  <w:b w:val="false"/>
                  <w:color w:val="0000FF"/>
                  <w:sz w:val="20"/>
                  <w:u w:val="single"/>
                </w:rPr>
                <w:t xml:space="preserve">Condensed Consolidated Statements of Cash Flows </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5">
              <w:r>
                <w:rPr>
                  <w:rStyle w:val="InternetLink"/>
                  <w:rFonts w:ascii="Helvetica;sans-serif" w:hAnsi="Helvetica;sans-serif"/>
                  <w:b w:val="false"/>
                  <w:color w:val="0000FF"/>
                  <w:sz w:val="20"/>
                  <w:u w:val="single"/>
                </w:rPr>
                <w:t>8</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8">
              <w:r>
                <w:rPr>
                  <w:rStyle w:val="InternetLink"/>
                  <w:rFonts w:ascii="Helvetica;sans-serif" w:hAnsi="Helvetica;sans-serif"/>
                  <w:b w:val="false"/>
                  <w:color w:val="0000FF"/>
                  <w:sz w:val="20"/>
                  <w:u w:val="single"/>
                </w:rPr>
                <w:t>Condensed Consolidated Statements of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8">
              <w:r>
                <w:rPr>
                  <w:rStyle w:val="InternetLink"/>
                  <w:rFonts w:ascii="Helvetica;sans-serif" w:hAnsi="Helvetica;sans-serif"/>
                  <w:b w:val="false"/>
                  <w:color w:val="0000FF"/>
                  <w:sz w:val="20"/>
                  <w:u w:val="single"/>
                </w:rPr>
                <w:t>9</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34">
              <w:r>
                <w:rPr>
                  <w:rStyle w:val="InternetLink"/>
                  <w:rFonts w:ascii="Helvetica;sans-serif" w:hAnsi="Helvetica;sans-serif"/>
                  <w:b w:val="false"/>
                  <w:color w:val="0000FF"/>
                  <w:sz w:val="20"/>
                  <w:u w:val="single"/>
                </w:rPr>
                <w:t>Notes to Unaudited Condensed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37">
              <w:r>
                <w:rPr>
                  <w:rStyle w:val="InternetLink"/>
                  <w:rFonts w:ascii="Helvetica;sans-serif" w:hAnsi="Helvetica;sans-serif"/>
                  <w:b w:val="false"/>
                  <w:color w:val="0000FF"/>
                  <w:sz w:val="20"/>
                  <w:u w:val="single"/>
                </w:rPr>
                <w:t>Note 1 - Description of Business and Summary of Significant Accounting Policies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37">
              <w:r>
                <w:rPr>
                  <w:rStyle w:val="InternetLink"/>
                  <w:rFonts w:ascii="Helvetica;sans-serif" w:hAnsi="Helvetica;sans-serif"/>
                  <w:b w:val="false"/>
                  <w:color w:val="0000FF"/>
                  <w:sz w:val="20"/>
                  <w:u w:val="single"/>
                </w:rPr>
                <w:t>10</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40">
              <w:r>
                <w:rPr>
                  <w:rStyle w:val="InternetLink"/>
                  <w:rFonts w:ascii="Helvetica;sans-serif" w:hAnsi="Helvetica;sans-serif"/>
                  <w:b w:val="false"/>
                  <w:color w:val="0000FF"/>
                  <w:sz w:val="20"/>
                  <w:u w:val="single"/>
                </w:rPr>
                <w:t>Note 2 - Recent Accounting Pronouncements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40">
              <w:r>
                <w:rPr>
                  <w:rStyle w:val="InternetLink"/>
                  <w:rFonts w:ascii="Helvetica;sans-serif" w:hAnsi="Helvetica;sans-serif"/>
                  <w:b w:val="false"/>
                  <w:color w:val="0000FF"/>
                  <w:sz w:val="20"/>
                  <w:u w:val="single"/>
                </w:rPr>
                <w:t>11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46">
              <w:bookmarkStart w:id="0" w:name="i9cffe96cbc734c0eb6e3c885a7b7edcd_14-1-1"/>
              <w:bookmarkEnd w:id="0"/>
              <w:r>
                <w:rPr>
                  <w:rStyle w:val="InternetLink"/>
                  <w:rFonts w:ascii="Helvetica;sans-serif" w:hAnsi="Helvetica;sans-serif"/>
                  <w:b w:val="false"/>
                  <w:color w:val="000080"/>
                  <w:sz w:val="20"/>
                  <w:u w:val="single"/>
                </w:rPr>
                <w:t xml:space="preserve">Note </w:t>
              </w:r>
            </w:hyperlink>
            <w:hyperlink w:anchor="ieb8b81867b844d428e88aba4b4502696_46">
              <w:r>
                <w:rPr>
                  <w:rStyle w:val="InternetLink"/>
                  <w:rFonts w:ascii="Helvetica;sans-serif" w:hAnsi="Helvetica;sans-serif"/>
                  <w:b w:val="false"/>
                  <w:color w:val="000080"/>
                  <w:sz w:val="20"/>
                  <w:u w:val="single"/>
                </w:rPr>
                <w:t>3</w:t>
              </w:r>
            </w:hyperlink>
            <w:hyperlink w:anchor="ieb8b81867b844d428e88aba4b4502696_46">
              <w:r>
                <w:rPr>
                  <w:rStyle w:val="InternetLink"/>
                  <w:rFonts w:ascii="Helvetica;sans-serif" w:hAnsi="Helvetica;sans-serif"/>
                  <w:b w:val="false"/>
                  <w:color w:val="000080"/>
                  <w:sz w:val="20"/>
                  <w:u w:val="single"/>
                </w:rPr>
                <w:t xml:space="preserve"> - Business Combinations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46">
              <w:r>
                <w:rPr>
                  <w:rStyle w:val="InternetLink"/>
                  <w:rFonts w:ascii="Helvetica;sans-serif" w:hAnsi="Helvetica;sans-serif"/>
                  <w:b w:val="false"/>
                  <w:color w:val="0000FF"/>
                  <w:sz w:val="20"/>
                  <w:u w:val="single"/>
                </w:rPr>
                <w:t>12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91">
              <w:r>
                <w:rPr>
                  <w:rStyle w:val="InternetLink"/>
                  <w:rFonts w:ascii="Helvetica;sans-serif" w:hAnsi="Helvetica;sans-serif"/>
                  <w:b w:val="false"/>
                  <w:color w:val="000080"/>
                  <w:sz w:val="20"/>
                  <w:u w:val="single"/>
                </w:rPr>
                <w:t xml:space="preserve">Note </w:t>
              </w:r>
            </w:hyperlink>
            <w:hyperlink w:anchor="ieb8b81867b844d428e88aba4b4502696_91">
              <w:r>
                <w:rPr>
                  <w:rStyle w:val="InternetLink"/>
                  <w:rFonts w:ascii="Helvetica;sans-serif" w:hAnsi="Helvetica;sans-serif"/>
                  <w:b w:val="false"/>
                  <w:color w:val="000080"/>
                  <w:sz w:val="20"/>
                  <w:u w:val="single"/>
                </w:rPr>
                <w:t>4</w:t>
              </w:r>
            </w:hyperlink>
            <w:hyperlink w:anchor="ieb8b81867b844d428e88aba4b4502696_91">
              <w:r>
                <w:rPr>
                  <w:rStyle w:val="InternetLink"/>
                  <w:rFonts w:ascii="Helvetica;sans-serif" w:hAnsi="Helvetica;sans-serif"/>
                  <w:b w:val="false"/>
                  <w:color w:val="000080"/>
                  <w:sz w:val="20"/>
                  <w:u w:val="single"/>
                </w:rPr>
                <w:t xml:space="preserve"> - Goodwill and Intangible Assets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91">
              <w:r>
                <w:rPr>
                  <w:rStyle w:val="InternetLink"/>
                  <w:rFonts w:ascii="Helvetica;sans-serif" w:hAnsi="Helvetica;sans-serif"/>
                  <w:b w:val="false"/>
                  <w:color w:val="0000FF"/>
                  <w:sz w:val="20"/>
                  <w:u w:val="single"/>
                </w:rPr>
                <w:t>14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43">
              <w:r>
                <w:rPr>
                  <w:rStyle w:val="InternetLink"/>
                  <w:rFonts w:ascii="Helvetica;sans-serif" w:hAnsi="Helvetica;sans-serif"/>
                  <w:b w:val="false"/>
                  <w:color w:val="000080"/>
                  <w:sz w:val="20"/>
                  <w:u w:val="single"/>
                </w:rPr>
                <w:t xml:space="preserve">Note </w:t>
              </w:r>
            </w:hyperlink>
            <w:hyperlink w:anchor="ieb8b81867b844d428e88aba4b4502696_43">
              <w:r>
                <w:rPr>
                  <w:rStyle w:val="InternetLink"/>
                  <w:rFonts w:ascii="Helvetica;sans-serif" w:hAnsi="Helvetica;sans-serif"/>
                  <w:b w:val="false"/>
                  <w:color w:val="000080"/>
                  <w:sz w:val="20"/>
                  <w:u w:val="single"/>
                </w:rPr>
                <w:t>5</w:t>
              </w:r>
            </w:hyperlink>
            <w:hyperlink w:anchor="ieb8b81867b844d428e88aba4b4502696_43">
              <w:r>
                <w:rPr>
                  <w:rStyle w:val="InternetLink"/>
                  <w:rFonts w:ascii="Helvetica;sans-serif" w:hAnsi="Helvetica;sans-serif"/>
                  <w:b w:val="false"/>
                  <w:color w:val="000080"/>
                  <w:sz w:val="20"/>
                  <w:u w:val="single"/>
                </w:rPr>
                <w:t xml:space="preserve"> - Revenues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43">
              <w:r>
                <w:rPr>
                  <w:rStyle w:val="InternetLink"/>
                  <w:rFonts w:ascii="Helvetica;sans-serif" w:hAnsi="Helvetica;sans-serif"/>
                  <w:b w:val="false"/>
                  <w:color w:val="0000FF"/>
                  <w:sz w:val="20"/>
                  <w:u w:val="single"/>
                </w:rPr>
                <w:t>16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49">
              <w:r>
                <w:rPr>
                  <w:rStyle w:val="InternetLink"/>
                  <w:rFonts w:ascii="Helvetica;sans-serif" w:hAnsi="Helvetica;sans-serif"/>
                  <w:b w:val="false"/>
                  <w:color w:val="000080"/>
                  <w:sz w:val="20"/>
                  <w:u w:val="single"/>
                </w:rPr>
                <w:t xml:space="preserve">Note </w:t>
              </w:r>
            </w:hyperlink>
            <w:hyperlink w:anchor="ieb8b81867b844d428e88aba4b4502696_49">
              <w:r>
                <w:rPr>
                  <w:rStyle w:val="InternetLink"/>
                  <w:rFonts w:ascii="Helvetica;sans-serif" w:hAnsi="Helvetica;sans-serif"/>
                  <w:b w:val="false"/>
                  <w:color w:val="000080"/>
                  <w:sz w:val="20"/>
                  <w:u w:val="single"/>
                </w:rPr>
                <w:t>6</w:t>
              </w:r>
            </w:hyperlink>
            <w:hyperlink w:anchor="ieb8b81867b844d428e88aba4b4502696_49">
              <w:r>
                <w:rPr>
                  <w:rStyle w:val="InternetLink"/>
                  <w:rFonts w:ascii="Helvetica;sans-serif" w:hAnsi="Helvetica;sans-serif"/>
                  <w:b w:val="false"/>
                  <w:color w:val="000080"/>
                  <w:sz w:val="20"/>
                  <w:u w:val="single"/>
                </w:rPr>
                <w:t xml:space="preserve"> - Allowance for Credit Losses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49">
              <w:r>
                <w:rPr>
                  <w:rStyle w:val="InternetLink"/>
                  <w:rFonts w:ascii="Helvetica;sans-serif" w:hAnsi="Helvetica;sans-serif"/>
                  <w:b w:val="false"/>
                  <w:color w:val="0000FF"/>
                  <w:sz w:val="20"/>
                  <w:u w:val="single"/>
                </w:rPr>
                <w:t>17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52">
              <w:r>
                <w:rPr>
                  <w:rStyle w:val="InternetLink"/>
                  <w:rFonts w:ascii="Helvetica;sans-serif" w:hAnsi="Helvetica;sans-serif"/>
                  <w:b w:val="false"/>
                  <w:color w:val="000080"/>
                  <w:sz w:val="20"/>
                  <w:u w:val="single"/>
                </w:rPr>
                <w:t xml:space="preserve">Note </w:t>
              </w:r>
            </w:hyperlink>
            <w:hyperlink w:anchor="ieb8b81867b844d428e88aba4b4502696_52">
              <w:r>
                <w:rPr>
                  <w:rStyle w:val="InternetLink"/>
                  <w:rFonts w:ascii="Helvetica;sans-serif" w:hAnsi="Helvetica;sans-serif"/>
                  <w:b w:val="false"/>
                  <w:color w:val="000080"/>
                  <w:sz w:val="20"/>
                  <w:u w:val="single"/>
                </w:rPr>
                <w:t>7</w:t>
              </w:r>
            </w:hyperlink>
            <w:hyperlink w:anchor="ieb8b81867b844d428e88aba4b4502696_52">
              <w:r>
                <w:rPr>
                  <w:rStyle w:val="InternetLink"/>
                  <w:rFonts w:ascii="Helvetica;sans-serif" w:hAnsi="Helvetica;sans-serif"/>
                  <w:b w:val="false"/>
                  <w:color w:val="000080"/>
                  <w:sz w:val="20"/>
                  <w:u w:val="single"/>
                </w:rPr>
                <w:t xml:space="preserve"> - Investments and Fair Value Measurement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52">
              <w:r>
                <w:rPr>
                  <w:rStyle w:val="InternetLink"/>
                  <w:rFonts w:ascii="Helvetica;sans-serif" w:hAnsi="Helvetica;sans-serif"/>
                  <w:b w:val="false"/>
                  <w:color w:val="0000FF"/>
                  <w:sz w:val="20"/>
                  <w:u w:val="single"/>
                </w:rPr>
                <w:t>19</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61">
              <w:r>
                <w:rPr>
                  <w:rStyle w:val="InternetLink"/>
                  <w:rFonts w:ascii="Helvetica;sans-serif" w:hAnsi="Helvetica;sans-serif"/>
                  <w:b w:val="false"/>
                  <w:color w:val="000080"/>
                  <w:sz w:val="20"/>
                  <w:u w:val="single"/>
                </w:rPr>
                <w:t xml:space="preserve">Note </w:t>
              </w:r>
            </w:hyperlink>
            <w:hyperlink w:anchor="ieb8b81867b844d428e88aba4b4502696_61">
              <w:r>
                <w:rPr>
                  <w:rStyle w:val="InternetLink"/>
                  <w:rFonts w:ascii="Helvetica;sans-serif" w:hAnsi="Helvetica;sans-serif"/>
                  <w:b w:val="false"/>
                  <w:color w:val="000080"/>
                  <w:sz w:val="20"/>
                  <w:u w:val="single"/>
                </w:rPr>
                <w:t>8</w:t>
              </w:r>
            </w:hyperlink>
            <w:hyperlink w:anchor="ieb8b81867b844d428e88aba4b4502696_61">
              <w:r>
                <w:rPr>
                  <w:rStyle w:val="InternetLink"/>
                  <w:rFonts w:ascii="Helvetica;sans-serif" w:hAnsi="Helvetica;sans-serif"/>
                  <w:b w:val="false"/>
                  <w:color w:val="000080"/>
                  <w:sz w:val="20"/>
                  <w:u w:val="single"/>
                </w:rPr>
                <w:t xml:space="preserve"> - Income Taxes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61">
              <w:r>
                <w:rPr>
                  <w:rStyle w:val="InternetLink"/>
                  <w:rFonts w:ascii="Helvetica;sans-serif" w:hAnsi="Helvetica;sans-serif"/>
                  <w:b w:val="false"/>
                  <w:color w:val="0000FF"/>
                  <w:sz w:val="20"/>
                  <w:u w:val="single"/>
                </w:rPr>
                <w:t>23</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64">
              <w:r>
                <w:rPr>
                  <w:rStyle w:val="InternetLink"/>
                  <w:rFonts w:ascii="Helvetica;sans-serif" w:hAnsi="Helvetica;sans-serif"/>
                  <w:b w:val="false"/>
                  <w:color w:val="000080"/>
                  <w:sz w:val="20"/>
                  <w:u w:val="single"/>
                </w:rPr>
                <w:t xml:space="preserve">Note </w:t>
              </w:r>
            </w:hyperlink>
            <w:hyperlink w:anchor="ieb8b81867b844d428e88aba4b4502696_64">
              <w:r>
                <w:rPr>
                  <w:rStyle w:val="InternetLink"/>
                  <w:rFonts w:ascii="Helvetica;sans-serif" w:hAnsi="Helvetica;sans-serif"/>
                  <w:b w:val="false"/>
                  <w:color w:val="000080"/>
                  <w:sz w:val="20"/>
                  <w:u w:val="single"/>
                </w:rPr>
                <w:t>9</w:t>
              </w:r>
            </w:hyperlink>
            <w:hyperlink w:anchor="ieb8b81867b844d428e88aba4b4502696_64">
              <w:r>
                <w:rPr>
                  <w:rStyle w:val="InternetLink"/>
                  <w:rFonts w:ascii="Helvetica;sans-serif" w:hAnsi="Helvetica;sans-serif"/>
                  <w:b w:val="false"/>
                  <w:color w:val="000080"/>
                  <w:sz w:val="20"/>
                  <w:u w:val="single"/>
                </w:rPr>
                <w:t xml:space="preserve"> - Securities Borrowing and Lending</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64">
              <w:r>
                <w:rPr>
                  <w:rStyle w:val="InternetLink"/>
                  <w:rFonts w:ascii="Helvetica;sans-serif" w:hAnsi="Helvetica;sans-serif"/>
                  <w:b w:val="false"/>
                  <w:color w:val="0000FF"/>
                  <w:sz w:val="20"/>
                  <w:u w:val="single"/>
                </w:rPr>
                <w:t>23</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67">
              <w:r>
                <w:rPr>
                  <w:rStyle w:val="InternetLink"/>
                  <w:rFonts w:ascii="Helvetica;sans-serif" w:hAnsi="Helvetica;sans-serif"/>
                  <w:b w:val="false"/>
                  <w:color w:val="000080"/>
                  <w:sz w:val="20"/>
                  <w:u w:val="single"/>
                </w:rPr>
                <w:t xml:space="preserve">Note </w:t>
              </w:r>
            </w:hyperlink>
            <w:hyperlink w:anchor="ieb8b81867b844d428e88aba4b4502696_67">
              <w:r>
                <w:rPr>
                  <w:rStyle w:val="InternetLink"/>
                  <w:rFonts w:ascii="Helvetica;sans-serif" w:hAnsi="Helvetica;sans-serif"/>
                  <w:b w:val="false"/>
                  <w:color w:val="000080"/>
                  <w:sz w:val="20"/>
                  <w:u w:val="single"/>
                </w:rPr>
                <w:t>10</w:t>
              </w:r>
            </w:hyperlink>
            <w:hyperlink w:anchor="ieb8b81867b844d428e88aba4b4502696_67">
              <w:r>
                <w:rPr>
                  <w:rStyle w:val="InternetLink"/>
                  <w:rFonts w:ascii="Helvetica;sans-serif" w:hAnsi="Helvetica;sans-serif"/>
                  <w:b w:val="false"/>
                  <w:color w:val="000080"/>
                  <w:sz w:val="20"/>
                  <w:u w:val="single"/>
                </w:rPr>
                <w:t xml:space="preserve"> - Financing Activities and Off-Balance Sheet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67">
              <w:r>
                <w:rPr>
                  <w:rStyle w:val="InternetLink"/>
                  <w:rFonts w:ascii="Helvetica;sans-serif" w:hAnsi="Helvetica;sans-serif"/>
                  <w:b w:val="false"/>
                  <w:color w:val="0000FF"/>
                  <w:sz w:val="20"/>
                  <w:u w:val="single"/>
                </w:rPr>
                <w:t>24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70">
              <w:r>
                <w:rPr>
                  <w:rStyle w:val="InternetLink"/>
                  <w:rFonts w:ascii="Helvetica;sans-serif" w:hAnsi="Helvetica;sans-serif"/>
                  <w:b w:val="false"/>
                  <w:color w:val="000080"/>
                  <w:sz w:val="20"/>
                  <w:u w:val="single"/>
                </w:rPr>
                <w:t>Note 1</w:t>
              </w:r>
            </w:hyperlink>
            <w:hyperlink w:anchor="ieb8b81867b844d428e88aba4b4502696_70">
              <w:r>
                <w:rPr>
                  <w:rStyle w:val="InternetLink"/>
                  <w:rFonts w:ascii="Helvetica;sans-serif" w:hAnsi="Helvetica;sans-serif"/>
                  <w:b w:val="false"/>
                  <w:color w:val="000080"/>
                  <w:sz w:val="20"/>
                  <w:u w:val="single"/>
                </w:rPr>
                <w:t>1</w:t>
              </w:r>
            </w:hyperlink>
            <w:hyperlink w:anchor="ieb8b81867b844d428e88aba4b4502696_70">
              <w:r>
                <w:rPr>
                  <w:rStyle w:val="InternetLink"/>
                  <w:rFonts w:ascii="Helvetica;sans-serif" w:hAnsi="Helvetica;sans-serif"/>
                  <w:b w:val="false"/>
                  <w:color w:val="000080"/>
                  <w:sz w:val="20"/>
                  <w:u w:val="single"/>
                </w:rPr>
                <w:t xml:space="preserve"> </w:t>
              </w:r>
            </w:hyperlink>
            <w:hyperlink w:anchor="ieb8b81867b844d428e88aba4b4502696_70">
              <w:r>
                <w:rPr>
                  <w:rStyle w:val="InternetLink"/>
                  <w:rFonts w:ascii="Helvetica;sans-serif" w:hAnsi="Helvetica;sans-serif"/>
                  <w:b w:val="false"/>
                  <w:color w:val="000080"/>
                  <w:sz w:val="20"/>
                  <w:u w:val="single"/>
                </w:rPr>
                <w:t>- Common Stock and Stockholders' Equity</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70">
              <w:r>
                <w:rPr>
                  <w:rStyle w:val="InternetLink"/>
                  <w:rFonts w:ascii="Helvetica;sans-serif" w:hAnsi="Helvetica;sans-serif"/>
                  <w:b w:val="false"/>
                  <w:color w:val="0000FF"/>
                  <w:sz w:val="20"/>
                  <w:u w:val="single"/>
                </w:rPr>
                <w:t>27</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73">
              <w:r>
                <w:rPr>
                  <w:rStyle w:val="InternetLink"/>
                  <w:rFonts w:ascii="Helvetica;sans-serif" w:hAnsi="Helvetica;sans-serif"/>
                  <w:b w:val="false"/>
                  <w:color w:val="000080"/>
                  <w:sz w:val="20"/>
                  <w:u w:val="single"/>
                </w:rPr>
                <w:t>Note 1</w:t>
              </w:r>
            </w:hyperlink>
            <w:hyperlink w:anchor="ieb8b81867b844d428e88aba4b4502696_73">
              <w:r>
                <w:rPr>
                  <w:rStyle w:val="InternetLink"/>
                  <w:rFonts w:ascii="Helvetica;sans-serif" w:hAnsi="Helvetica;sans-serif"/>
                  <w:b w:val="false"/>
                  <w:color w:val="000080"/>
                  <w:sz w:val="20"/>
                  <w:u w:val="single"/>
                </w:rPr>
                <w:t>2</w:t>
              </w:r>
            </w:hyperlink>
            <w:hyperlink w:anchor="ieb8b81867b844d428e88aba4b4502696_73">
              <w:r>
                <w:rPr>
                  <w:rStyle w:val="InternetLink"/>
                  <w:rFonts w:ascii="Helvetica;sans-serif" w:hAnsi="Helvetica;sans-serif"/>
                  <w:b w:val="false"/>
                  <w:color w:val="000080"/>
                  <w:sz w:val="20"/>
                  <w:u w:val="single"/>
                </w:rPr>
                <w:t xml:space="preserve"> - Net Income</w:t>
              </w:r>
            </w:hyperlink>
            <w:hyperlink w:anchor="ieb8b81867b844d428e88aba4b4502696_73">
              <w:r>
                <w:rPr>
                  <w:rStyle w:val="InternetLink"/>
                  <w:rFonts w:ascii="Helvetica;sans-serif" w:hAnsi="Helvetica;sans-serif"/>
                  <w:b w:val="false"/>
                  <w:color w:val="000080"/>
                  <w:sz w:val="20"/>
                  <w:u w:val="single"/>
                </w:rPr>
                <w:t xml:space="preserve"> per Share</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73">
              <w:r>
                <w:rPr>
                  <w:rStyle w:val="InternetLink"/>
                  <w:rFonts w:ascii="Helvetica;sans-serif" w:hAnsi="Helvetica;sans-serif"/>
                  <w:b w:val="false"/>
                  <w:color w:val="0000FF"/>
                  <w:sz w:val="20"/>
                  <w:u w:val="single"/>
                </w:rPr>
                <w:t>31</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76">
              <w:r>
                <w:rPr>
                  <w:rStyle w:val="InternetLink"/>
                  <w:rFonts w:ascii="Helvetica;sans-serif" w:hAnsi="Helvetica;sans-serif"/>
                  <w:b w:val="false"/>
                  <w:color w:val="000080"/>
                  <w:sz w:val="20"/>
                  <w:u w:val="single"/>
                </w:rPr>
                <w:t>Note 1</w:t>
              </w:r>
            </w:hyperlink>
            <w:hyperlink w:anchor="ieb8b81867b844d428e88aba4b4502696_76">
              <w:r>
                <w:rPr>
                  <w:rStyle w:val="InternetLink"/>
                  <w:rFonts w:ascii="Helvetica;sans-serif" w:hAnsi="Helvetica;sans-serif"/>
                  <w:b w:val="false"/>
                  <w:color w:val="000080"/>
                  <w:sz w:val="20"/>
                  <w:u w:val="single"/>
                </w:rPr>
                <w:t>3</w:t>
              </w:r>
            </w:hyperlink>
            <w:hyperlink w:anchor="ieb8b81867b844d428e88aba4b4502696_76">
              <w:r>
                <w:rPr>
                  <w:rStyle w:val="InternetLink"/>
                  <w:rFonts w:ascii="Helvetica;sans-serif" w:hAnsi="Helvetica;sans-serif"/>
                  <w:b w:val="false"/>
                  <w:color w:val="000080"/>
                  <w:sz w:val="20"/>
                  <w:u w:val="single"/>
                </w:rPr>
                <w:t xml:space="preserve"> - Leases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76">
              <w:r>
                <w:rPr>
                  <w:rStyle w:val="InternetLink"/>
                  <w:rFonts w:ascii="Helvetica;sans-serif" w:hAnsi="Helvetica;sans-serif"/>
                  <w:b w:val="false"/>
                  <w:color w:val="0000FF"/>
                  <w:sz w:val="20"/>
                  <w:u w:val="single"/>
                </w:rPr>
                <w:t>32</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79">
              <w:r>
                <w:rPr>
                  <w:rStyle w:val="InternetLink"/>
                  <w:rFonts w:ascii="Helvetica;sans-serif" w:hAnsi="Helvetica;sans-serif"/>
                  <w:b w:val="false"/>
                  <w:color w:val="000080"/>
                  <w:sz w:val="20"/>
                  <w:u w:val="single"/>
                </w:rPr>
                <w:t>Note 1</w:t>
              </w:r>
            </w:hyperlink>
            <w:hyperlink w:anchor="ieb8b81867b844d428e88aba4b4502696_79">
              <w:r>
                <w:rPr>
                  <w:rStyle w:val="InternetLink"/>
                  <w:rFonts w:ascii="Helvetica;sans-serif" w:hAnsi="Helvetica;sans-serif"/>
                  <w:b w:val="false"/>
                  <w:color w:val="000080"/>
                  <w:sz w:val="20"/>
                  <w:u w:val="single"/>
                </w:rPr>
                <w:t>4</w:t>
              </w:r>
            </w:hyperlink>
            <w:hyperlink w:anchor="ieb8b81867b844d428e88aba4b4502696_79">
              <w:r>
                <w:rPr>
                  <w:rStyle w:val="InternetLink"/>
                  <w:rFonts w:ascii="Helvetica;sans-serif" w:hAnsi="Helvetica;sans-serif"/>
                  <w:b w:val="false"/>
                  <w:color w:val="000080"/>
                  <w:sz w:val="20"/>
                  <w:u w:val="single"/>
                </w:rPr>
                <w:t xml:space="preserve"> - Commitments &amp; Contingencies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79">
              <w:r>
                <w:rPr>
                  <w:rStyle w:val="InternetLink"/>
                  <w:rFonts w:ascii="Helvetica;sans-serif" w:hAnsi="Helvetica;sans-serif"/>
                  <w:b w:val="false"/>
                  <w:color w:val="0000FF"/>
                  <w:sz w:val="20"/>
                  <w:u w:val="single"/>
                </w:rPr>
                <w:t>32</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121">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121">
              <w:r>
                <w:rPr>
                  <w:rStyle w:val="InternetLink"/>
                  <w:rFonts w:ascii="Helvetica;sans-serif" w:hAnsi="Helvetica;sans-serif"/>
                  <w:b w:val="false"/>
                  <w:color w:val="0000FF"/>
                  <w:sz w:val="20"/>
                  <w:u w:val="single"/>
                </w:rPr>
                <w:t>38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3. </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05">
              <w:r>
                <w:rPr>
                  <w:rStyle w:val="InternetLink"/>
                  <w:rFonts w:ascii="Helvetica;sans-serif" w:hAnsi="Helvetica;sans-serif"/>
                  <w:b w:val="false"/>
                  <w:color w:val="0000FF"/>
                  <w:sz w:val="20"/>
                  <w:u w:val="single"/>
                </w:rPr>
                <w:t>Quantitative and Qualitative Disclosures About Market Risk</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05">
              <w:r>
                <w:rPr>
                  <w:rStyle w:val="InternetLink"/>
                  <w:rFonts w:ascii="Helvetica;sans-serif" w:hAnsi="Helvetica;sans-serif"/>
                  <w:b w:val="false"/>
                  <w:color w:val="0000FF"/>
                  <w:sz w:val="20"/>
                  <w:u w:val="single"/>
                </w:rPr>
                <w:t>54</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4. </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08">
              <w:r>
                <w:rPr>
                  <w:rStyle w:val="InternetLink"/>
                  <w:rFonts w:ascii="Helvetica;sans-serif" w:hAnsi="Helvetica;sans-serif"/>
                  <w:b w:val="false"/>
                  <w:color w:val="0000FF"/>
                  <w:sz w:val="20"/>
                  <w:u w:val="single"/>
                </w:rPr>
                <w:t>Controls and Procedures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08">
              <w:r>
                <w:rPr>
                  <w:rStyle w:val="InternetLink"/>
                  <w:rFonts w:ascii="Helvetica;sans-serif" w:hAnsi="Helvetica;sans-serif"/>
                  <w:b w:val="false"/>
                  <w:color w:val="0000FF"/>
                  <w:sz w:val="20"/>
                  <w:u w:val="single"/>
                </w:rPr>
                <w:t>56</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11">
              <w:r>
                <w:rPr>
                  <w:rStyle w:val="InternetLink"/>
                  <w:rFonts w:ascii="Helvetica;sans-serif" w:hAnsi="Helvetica;sans-serif"/>
                  <w:b/>
                  <w:color w:val="0000FF"/>
                  <w:sz w:val="20"/>
                  <w:u w:val="single"/>
                </w:rPr>
                <w:t>PART II - 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14">
              <w:r>
                <w:rPr>
                  <w:rStyle w:val="InternetLink"/>
                  <w:rFonts w:ascii="Helvetica;sans-serif" w:hAnsi="Helvetica;sans-serif"/>
                  <w:b w:val="false"/>
                  <w:color w:val="0000FF"/>
                  <w:sz w:val="20"/>
                  <w:u w:val="single"/>
                </w:rPr>
                <w:t>Legal Proceedings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14">
              <w:r>
                <w:rPr>
                  <w:rStyle w:val="InternetLink"/>
                  <w:rFonts w:ascii="Helvetica;sans-serif" w:hAnsi="Helvetica;sans-serif"/>
                  <w:b w:val="false"/>
                  <w:color w:val="0000FF"/>
                  <w:sz w:val="20"/>
                  <w:u w:val="single"/>
                </w:rPr>
                <w:t>57</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1A. </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17">
              <w:r>
                <w:rPr>
                  <w:rStyle w:val="InternetLink"/>
                  <w:rFonts w:ascii="Helvetica;sans-serif" w:hAnsi="Helvetica;sans-serif"/>
                  <w:b w:val="false"/>
                  <w:color w:val="0000FF"/>
                  <w:sz w:val="20"/>
                  <w:u w:val="single"/>
                </w:rPr>
                <w:t>Risk Factors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17">
              <w:r>
                <w:rPr>
                  <w:rStyle w:val="InternetLink"/>
                  <w:rFonts w:ascii="Helvetica;sans-serif" w:hAnsi="Helvetica;sans-serif"/>
                  <w:b w:val="false"/>
                  <w:color w:val="0000FF"/>
                  <w:sz w:val="20"/>
                  <w:u w:val="single"/>
                </w:rPr>
                <w:t>58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20">
              <w:r>
                <w:rPr>
                  <w:rStyle w:val="InternetLink"/>
                  <w:rFonts w:ascii="Helvetica;sans-serif" w:hAnsi="Helvetica;sans-serif"/>
                  <w:b w:val="false"/>
                  <w:color w:val="0000FF"/>
                  <w:sz w:val="20"/>
                  <w:u w:val="single"/>
                </w:rPr>
                <w:t>Unregistered Sales of Equity Securities and Use of Proceeds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20">
              <w:r>
                <w:rPr>
                  <w:rStyle w:val="InternetLink"/>
                  <w:rFonts w:ascii="Helvetica;sans-serif" w:hAnsi="Helvetica;sans-serif"/>
                  <w:b w:val="false"/>
                  <w:color w:val="0000FF"/>
                  <w:sz w:val="20"/>
                  <w:u w:val="single"/>
                </w:rPr>
                <w:t>116</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23">
              <w:r>
                <w:rPr>
                  <w:rStyle w:val="InternetLink"/>
                  <w:rFonts w:ascii="Helvetica;sans-serif" w:hAnsi="Helvetica;sans-serif"/>
                  <w:b w:val="false"/>
                  <w:color w:val="0000FF"/>
                  <w:sz w:val="20"/>
                  <w:u w:val="single"/>
                </w:rPr>
                <w:t>Defaults Upon Senior Securities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23">
              <w:r>
                <w:rPr>
                  <w:rStyle w:val="InternetLink"/>
                  <w:rFonts w:ascii="Helvetica;sans-serif" w:hAnsi="Helvetica;sans-serif"/>
                  <w:b w:val="false"/>
                  <w:color w:val="0000FF"/>
                  <w:sz w:val="20"/>
                  <w:u w:val="single"/>
                </w:rPr>
                <w:t>118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4.</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26">
              <w:r>
                <w:rPr>
                  <w:rStyle w:val="InternetLink"/>
                  <w:rFonts w:ascii="Helvetica;sans-serif" w:hAnsi="Helvetica;sans-serif"/>
                  <w:b w:val="false"/>
                  <w:color w:val="0000FF"/>
                  <w:sz w:val="20"/>
                  <w:u w:val="single"/>
                </w:rPr>
                <w:t>Mine Safety Disclosures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26">
              <w:r>
                <w:rPr>
                  <w:rStyle w:val="InternetLink"/>
                  <w:rFonts w:ascii="Helvetica;sans-serif" w:hAnsi="Helvetica;sans-serif"/>
                  <w:b w:val="false"/>
                  <w:color w:val="0000FF"/>
                  <w:sz w:val="20"/>
                  <w:u w:val="single"/>
                </w:rPr>
                <w:t>118</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5.</w:t>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29">
              <w:r>
                <w:rPr>
                  <w:rStyle w:val="InternetLink"/>
                  <w:rFonts w:ascii="Helvetica;sans-serif" w:hAnsi="Helvetica;sans-serif"/>
                  <w:b w:val="false"/>
                  <w:color w:val="0000FF"/>
                  <w:sz w:val="20"/>
                  <w:u w:val="single"/>
                </w:rPr>
                <w:t>Other Information</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29">
              <w:r>
                <w:rPr>
                  <w:rStyle w:val="InternetLink"/>
                  <w:rFonts w:ascii="Helvetica;sans-serif" w:hAnsi="Helvetica;sans-serif"/>
                  <w:b w:val="false"/>
                  <w:color w:val="0000FF"/>
                  <w:sz w:val="20"/>
                  <w:u w:val="single"/>
                </w:rPr>
                <w:t>118</w:t>
              </w:r>
            </w:hyperlink>
          </w:p>
        </w:tc>
      </w:tr>
      <w:tr>
        <w:trPr/>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6.</w:t>
            </w:r>
          </w:p>
        </w:tc>
        <w:tc>
          <w:tcPr>
            <w:tcW w:w="7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35">
              <w:r>
                <w:rPr>
                  <w:rStyle w:val="InternetLink"/>
                  <w:rFonts w:ascii="Helvetica;sans-serif" w:hAnsi="Helvetica;sans-serif"/>
                  <w:b w:val="false"/>
                  <w:color w:val="0000FF"/>
                  <w:sz w:val="20"/>
                  <w:u w:val="single"/>
                </w:rPr>
                <w:t>Exhibit Index</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35">
              <w:r>
                <w:rPr>
                  <w:rStyle w:val="InternetLink"/>
                  <w:rFonts w:ascii="Helvetica;sans-serif" w:hAnsi="Helvetica;sans-serif"/>
                  <w:b w:val="false"/>
                  <w:color w:val="0000FF"/>
                  <w:sz w:val="20"/>
                  <w:u w:val="single"/>
                </w:rPr>
                <w:t>119</w:t>
              </w:r>
            </w:hyperlink>
          </w:p>
        </w:tc>
      </w:tr>
      <w:tr>
        <w:trPr/>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b8b81867b844d428e88aba4b4502696_238">
              <w:r>
                <w:rPr>
                  <w:rStyle w:val="InternetLink"/>
                  <w:rFonts w:ascii="Helvetica;sans-serif" w:hAnsi="Helvetica;sans-serif"/>
                  <w:b w:val="false"/>
                  <w:color w:val="0000FF"/>
                  <w:sz w:val="20"/>
                  <w:u w:val="single"/>
                </w:rPr>
                <w:t>Signatures</w:t>
              </w:r>
            </w:hyperlink>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b8b81867b844d428e88aba4b4502696_238">
              <w:r>
                <w:rPr>
                  <w:rStyle w:val="InternetLink"/>
                  <w:rFonts w:ascii="Helvetica;sans-serif" w:hAnsi="Helvetica;sans-serif"/>
                  <w:b w:val="false"/>
                  <w:color w:val="0000FF"/>
                  <w:sz w:val="20"/>
                  <w:u w:val="single"/>
                </w:rPr>
                <w:t>120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48310"/>
                <wp:effectExtent l="0" t="0" r="0" b="0"/>
                <wp:wrapNone/>
                <wp:docPr id="3" name="Frame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CAUTIONARY NOTE REGARDING FORWARD</w:t>
        <w:noBreakHyphen/>
        <w:t>LOOKING STATEMENTS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Quarterly Report on Form 10-Q (this “Quarterly Report”) of Robinhood Markets, Inc. (“RHM” and, together with its subsidiaries, “we,” “us,”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expectations regarding legal and regulatory proceedings and investigations;</w:t>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 xml:space="preserve">our intent to continue expanding our operations outside of the United States;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that we are continuously introducing new products and diversifying our services;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our expectations with respect to our pending acquisition of Bitstamp Ltd. (“Bitstamp”);</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Helvetica;sans-serif" w:hAnsi="Helvetica;sans-serif"/>
          <w:b w:val="false"/>
          <w:color w:val="000000"/>
          <w:sz w:val="20"/>
        </w:rPr>
        <w:t>the Repurchase Program (as defined below) and our current expectations with respect to timing; and</w:t>
      </w:r>
    </w:p>
    <w:p>
      <w:pPr>
        <w:pStyle w:val="TextBody"/>
        <w:bidi w:val="0"/>
        <w:spacing w:before="0" w:after="0"/>
        <w:jc w:val="both"/>
        <w:rPr/>
      </w:pPr>
      <w:r>
        <w:rPr/>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belief that, based on our current level of operations, our primary sources of liquidity will be adequate to meet our current liquidity needs for the next 12 months.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rapid and continuing expansion, including continuing to introduce new products and services on our platforms as well as geographic expansion;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managing our business effectively, including the size of our workforce, and the risk of declining or negative growth;</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fluctuations in our financial results and key metrics from quarter to quarter;</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reliance on transaction-based revenue, including payment for order flow (“PFOF”), the risk of new regulation or bans on PFOF and similar practices, and the addition of our new fee-based model for cryptocurrency;</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exposure to fluctuations in interest rates and rapidly changing interest rate environments;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the difficulty of raising additional capital (to provide liquidity needs and support business growth and objectives) on reasonable terms, if at all;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need to maintain capital levels required by regulators and self-regulatory organizations (“SROs”);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48310"/>
                <wp:effectExtent l="0" t="0" r="0" b="0"/>
                <wp:wrapNone/>
                <wp:docPr id="4" name="Frame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we might mishandle the cash, securities, and cryptocurrencies we hold on behalf of customers, and our exposure to liability for processing, operational, or technical errors in clearing functions;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impact of negative publicity on our brand and reputation;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changes in business, economic, or political conditions that impact the global financial markets, or a systemic market event, might harm our business;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dependence on key employees and a skilled workforce;</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complying with an extensive, complex, and changing regulatory environment and the need to adjust our business model in response to new or modified laws and regulations;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possibility of adverse developments in pending litigation and regulatory investigations;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effects of competition;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need to innovate and acquire or invest in new products, services, technologies and geographies in order to attract and retain customers and deepen their engagement with us in order to maintain growth;</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reliance on third parties to perform some key functions and the risk that processing, operational or technological failures could impair the availability or stability of our platforms;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of cybersecurity incidents, theft, data breaches, and other online attacks;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difficulty of processing customer data in compliance with privacy laws;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our need as a regulated financial services company to develop and maintain effective compliance and risk management infrastructures;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the risks associated with incorporating artificial intelligence (“AI”) technologies into some of our products and processes;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volatility of cryptocurrency prices and trading volumes;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our platforms and services could be exploited to facilitate illegal payments;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the risk that substantial future sales of Class A common stock in the public market, or the perception that they may occur, could cause the price of our stock to fall.</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all of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48310"/>
                <wp:effectExtent l="0" t="0" r="0" b="0"/>
                <wp:wrapNone/>
                <wp:docPr id="5" name="Frame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events, changed circumstances, or otherwise. You should read this Quarterly Report with the understanding that our actual future results, performance, events, and circumstances might be materially different from what we expect.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48310"/>
                <wp:effectExtent l="0" t="0" r="0" b="0"/>
                <wp:wrapNone/>
                <wp:docPr id="6" name="Frame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3"/>
        <w:gridCol w:w="2203"/>
        <w:gridCol w:w="2212"/>
        <w:gridCol w:w="109"/>
        <w:gridCol w:w="109"/>
        <w:gridCol w:w="109"/>
        <w:gridCol w:w="211"/>
        <w:gridCol w:w="698"/>
        <w:gridCol w:w="117"/>
        <w:gridCol w:w="109"/>
        <w:gridCol w:w="109"/>
        <w:gridCol w:w="109"/>
        <w:gridCol w:w="196"/>
        <w:gridCol w:w="646"/>
        <w:gridCol w:w="109"/>
        <w:gridCol w:w="109"/>
        <w:gridCol w:w="157"/>
      </w:tblGrid>
      <w:tr>
        <w:trPr/>
        <w:tc>
          <w:tcPr>
            <w:tcW w:w="2893"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and securities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User-held fractional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Held-to-maturity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25,103 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Property, software,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deferred customer match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Helvetica;sans-serif" w:hAnsi="Helvetica;sans-serif"/>
                <w:b w:val="false"/>
                <w:color w:val="000000"/>
                <w:sz w:val="16"/>
              </w:rPr>
              <w:t>Other non-current assets, including non-current prepaid expenses of $17 as of December 31, 2024 and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26,187 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Fractional shares repurchase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18,104 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18,215 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Commitments and contingencies (Note 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Preferred stock, $0.0001 par value. 210,000,000 shares authorized, no shares issued and outstanding as of December 31, 2024 and March 31, 2025.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Class A common stock, $0.0001 par value. 21,000,000,000 shares authorized, 764,903,997 shares issued and outstanding as of December 31, 2024; 21,000,000,000 shares authorized, 767,854,773 shares issued and outstanding as of March 31, 2025.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B common stock, $0.0001 par value. 700,000,000 shares authorized, 119,588,986 shares issued and outstanding as of December 31, 2024; 700,000,000 shares authorized, 116,720,012 shares issued and outstanding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C common stock, $0.0001 par value. 7,000,000,000 shares authorized, no shares issued and outstanding as of December 31, 2024 and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8310"/>
                <wp:effectExtent l="0" t="0" r="0" b="0"/>
                <wp:wrapNone/>
                <wp:docPr id="7" name="Frame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55"/>
        <w:gridCol w:w="1838"/>
        <w:gridCol w:w="1825"/>
        <w:gridCol w:w="109"/>
        <w:gridCol w:w="109"/>
        <w:gridCol w:w="198"/>
        <w:gridCol w:w="198"/>
        <w:gridCol w:w="498"/>
        <w:gridCol w:w="1062"/>
        <w:gridCol w:w="198"/>
        <w:gridCol w:w="109"/>
        <w:gridCol w:w="109"/>
        <w:gridCol w:w="109"/>
        <w:gridCol w:w="345"/>
        <w:gridCol w:w="886"/>
        <w:gridCol w:w="157"/>
      </w:tblGrid>
      <w:tr>
        <w:trPr/>
        <w:tc>
          <w:tcPr>
            <w:tcW w:w="245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 March 31,</w:t>
            </w:r>
          </w:p>
        </w:tc>
        <w:tc>
          <w:tcPr>
            <w:tcW w:w="1715" w:type="dxa"/>
            <w:gridSpan w:val="6"/>
            <w:tcBorders/>
          </w:tcPr>
          <w:p>
            <w:pPr>
              <w:pStyle w:val="TableContents"/>
              <w:bidi w:val="0"/>
              <w:spacing w:before="0" w:after="283"/>
              <w:jc w:val="left"/>
              <w:rPr>
                <w:sz w:val="4"/>
                <w:szCs w:val="4"/>
              </w:rPr>
            </w:pPr>
            <w:r>
              <w:rPr>
                <w:sz w:val="4"/>
                <w:szCs w:val="4"/>
              </w:rPr>
            </w:r>
          </w:p>
        </w:tc>
      </w:tr>
      <w:tr>
        <w:trPr/>
        <w:tc>
          <w:tcPr>
            <w:tcW w:w="6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bookmarkStart w:id="1" w:name="i4b78d48adcb341889aa5e29529b11022_2-0-1-"/>
            <w:bookmarkEnd w:id="1"/>
            <w:r>
              <w:rPr>
                <w:rFonts w:ascii="Helvetica;sans-serif" w:hAnsi="Helvetica;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0.37 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875,319,407 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884,577,603 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6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895,779,155 </w:t>
            </w:r>
          </w:p>
        </w:tc>
        <w:tc>
          <w:tcPr>
            <w:tcW w:w="1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909,241,619 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8310"/>
                <wp:effectExtent l="0" t="0" r="0" b="0"/>
                <wp:wrapNone/>
                <wp:docPr id="8" name="Frame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COMPREHENSIVE INCOME </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8771" w:type="dxa"/>
        <w:jc w:val="center"/>
        <w:tblInd w:w="0" w:type="dxa"/>
        <w:tblLayout w:type="fixed"/>
        <w:tblCellMar>
          <w:top w:w="28" w:type="dxa"/>
          <w:left w:w="28" w:type="dxa"/>
          <w:bottom w:w="28" w:type="dxa"/>
          <w:right w:w="28" w:type="dxa"/>
        </w:tblCellMar>
      </w:tblPr>
      <w:tblGrid>
        <w:gridCol w:w="2541"/>
        <w:gridCol w:w="1563"/>
        <w:gridCol w:w="1566"/>
        <w:gridCol w:w="109"/>
        <w:gridCol w:w="187"/>
        <w:gridCol w:w="187"/>
        <w:gridCol w:w="363"/>
        <w:gridCol w:w="828"/>
        <w:gridCol w:w="187"/>
        <w:gridCol w:w="109"/>
        <w:gridCol w:w="109"/>
        <w:gridCol w:w="109"/>
        <w:gridCol w:w="211"/>
        <w:gridCol w:w="481"/>
        <w:gridCol w:w="221"/>
      </w:tblGrid>
      <w:tr>
        <w:trPr/>
        <w:tc>
          <w:tcPr>
            <w:tcW w:w="254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1240" w:type="dxa"/>
            <w:gridSpan w:val="6"/>
            <w:tcBorders/>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Helvetica;sans-serif" w:hAnsi="Helvetica;sans-serif"/>
                <w:b w:val="false"/>
                <w:color w:val="000000"/>
                <w:sz w:val="20"/>
              </w:rPr>
            </w:pPr>
            <w:r>
              <w:rPr>
                <w:rFonts w:ascii="Helvetica;sans-serif" w:hAnsi="Helvetica;sans-serif"/>
                <w:b w:val="false"/>
                <w:color w:val="000000"/>
                <w:sz w:val="20"/>
              </w:rPr>
              <w:t>Reclassification adjustment for net gains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8310"/>
                <wp:effectExtent l="0" t="0" r="0" b="0"/>
                <wp:wrapNone/>
                <wp:docPr id="9" name="Frame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before="0" w:after="200"/>
        <w:jc w:val="center"/>
        <w:rPr/>
      </w:pPr>
      <w:r>
        <w:rPr/>
      </w:r>
    </w:p>
    <w:tbl>
      <w:tblPr>
        <w:tblW w:w="10205" w:type="dxa"/>
        <w:jc w:val="center"/>
        <w:tblInd w:w="0" w:type="dxa"/>
        <w:tblLayout w:type="fixed"/>
        <w:tblCellMar>
          <w:top w:w="28" w:type="dxa"/>
          <w:left w:w="28" w:type="dxa"/>
          <w:bottom w:w="28" w:type="dxa"/>
          <w:right w:w="28" w:type="dxa"/>
        </w:tblCellMar>
      </w:tblPr>
      <w:tblGrid>
        <w:gridCol w:w="2779"/>
        <w:gridCol w:w="2373"/>
        <w:gridCol w:w="2412"/>
        <w:gridCol w:w="109"/>
        <w:gridCol w:w="109"/>
        <w:gridCol w:w="109"/>
        <w:gridCol w:w="196"/>
        <w:gridCol w:w="556"/>
        <w:gridCol w:w="109"/>
        <w:gridCol w:w="109"/>
        <w:gridCol w:w="109"/>
        <w:gridCol w:w="109"/>
        <w:gridCol w:w="196"/>
        <w:gridCol w:w="556"/>
        <w:gridCol w:w="109"/>
        <w:gridCol w:w="109"/>
        <w:gridCol w:w="156"/>
      </w:tblGrid>
      <w:tr>
        <w:trPr/>
        <w:tc>
          <w:tcPr>
            <w:tcW w:w="2779"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Adjustments to reconcile net income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segregated under federal and other regulations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and non-current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and non-current deferred customer match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Purchases of property, software,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Capitalization of 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acquisition, net of cash and cash equivalents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Purchases of held-to-maturity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Proceeds from maturities of held-to-maturity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Purchases of credit card receivables by Credit Card Funding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Collections of purchased credit card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Asset acquisition,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Borrowings by the Credit Card Funding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principal collected from customers due to Coastal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Effect of foreign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increase (decrease) in cash, cash equivalents, segregated cash,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Reconciliation of cash, cash equivalents, segregated cash and restricted cash,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Segregated cash and cash equivalents,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Restricted cash in other current assets,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Restricted cash in other non-current assets,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Supplemental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income taxes, net of refund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Helvetica;sans-serif" w:hAnsi="Helvetica;sans-serif"/>
          <w:b w:val="false"/>
          <w:i/>
          <w:color w:val="000000"/>
          <w:sz w:val="18"/>
        </w:rPr>
      </w:pPr>
      <w:r>
        <w:rPr>
          <w:rFonts w:ascii="Helvetica;sans-serif" w:hAnsi="Helvetica;sans-serif"/>
          <w:b w:val="false"/>
          <w:i/>
          <w:color w:val="000000"/>
          <w:sz w:val="18"/>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8310"/>
                <wp:effectExtent l="0" t="0" r="0" b="0"/>
                <wp:wrapNone/>
                <wp:docPr id="10" name="Frame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lineRule="auto" w:line="288" w:before="0" w:after="20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29"/>
        <w:gridCol w:w="290"/>
        <w:gridCol w:w="291"/>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43"/>
        <w:gridCol w:w="804"/>
        <w:gridCol w:w="137"/>
        <w:gridCol w:w="109"/>
        <w:gridCol w:w="109"/>
        <w:gridCol w:w="109"/>
        <w:gridCol w:w="332"/>
        <w:gridCol w:w="433"/>
        <w:gridCol w:w="186"/>
        <w:gridCol w:w="109"/>
        <w:gridCol w:w="109"/>
        <w:gridCol w:w="109"/>
        <w:gridCol w:w="221"/>
        <w:gridCol w:w="647"/>
        <w:gridCol w:w="124"/>
        <w:gridCol w:w="109"/>
        <w:gridCol w:w="109"/>
        <w:gridCol w:w="109"/>
        <w:gridCol w:w="196"/>
        <w:gridCol w:w="556"/>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42" w:type="dxa"/>
            <w:gridSpan w:val="6"/>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872,162,664 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(5,446)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1,265,016 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4,932,576 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878,360,256 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12,176 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(5,289)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6,885 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9"/>
        <w:gridCol w:w="290"/>
        <w:gridCol w:w="291"/>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43"/>
        <w:gridCol w:w="804"/>
        <w:gridCol w:w="137"/>
        <w:gridCol w:w="109"/>
        <w:gridCol w:w="109"/>
        <w:gridCol w:w="109"/>
        <w:gridCol w:w="261"/>
        <w:gridCol w:w="543"/>
        <w:gridCol w:w="147"/>
        <w:gridCol w:w="109"/>
        <w:gridCol w:w="109"/>
        <w:gridCol w:w="109"/>
        <w:gridCol w:w="221"/>
        <w:gridCol w:w="647"/>
        <w:gridCol w:w="124"/>
        <w:gridCol w:w="109"/>
        <w:gridCol w:w="109"/>
        <w:gridCol w:w="109"/>
        <w:gridCol w:w="196"/>
        <w:gridCol w:w="556"/>
        <w:gridCol w:w="163"/>
      </w:tblGrid>
      <w:tr>
        <w:trPr/>
        <w:tc>
          <w:tcPr>
            <w:tcW w:w="92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4"/>
              </w:rPr>
              <w:t xml:space="preserve">Common stock </w:t>
            </w:r>
            <w:r>
              <w:rPr>
                <w:rFonts w:ascii="Helvetica;sans-serif" w:hAnsi="Helvetica;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4"/>
              </w:rPr>
            </w:pPr>
            <w:r>
              <w:rPr>
                <w:rFonts w:ascii="Helvetica;sans-serif" w:hAnsi="Helvetica;sans-serif"/>
                <w:b/>
                <w:color w:val="000000"/>
                <w:sz w:val="14"/>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equity</w:t>
            </w:r>
          </w:p>
        </w:tc>
        <w:tc>
          <w:tcPr>
            <w:tcW w:w="1242" w:type="dxa"/>
            <w:gridSpan w:val="6"/>
            <w:tcBorders/>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884,492,983 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1,703,994 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warrants exercises,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417,253 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in connection with a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2,049,711 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3,079,213 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Repurchase and retirement of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(7,168,369)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884,574,785 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11,652 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(3,699)</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rPr>
        <w:t>(1)</w:t>
      </w:r>
      <w:r>
        <w:rPr>
          <w:rFonts w:ascii="Helvetica;sans-serif" w:hAnsi="Helvetica;sans-serif"/>
          <w:b w:val="false"/>
          <w:color w:val="000000"/>
          <w:sz w:val="16"/>
        </w:rPr>
        <w:t>The share amounts listed above combine Class A common stock and Class B common stock.</w:t>
      </w:r>
    </w:p>
    <w:p>
      <w:pPr>
        <w:pStyle w:val="TextBody"/>
        <w:bidi w:val="0"/>
        <w:spacing w:before="0" w:after="0"/>
        <w:ind w:left="0" w:right="0" w:firstLine="1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8310"/>
                <wp:effectExtent l="0" t="0" r="0" b="0"/>
                <wp:wrapNone/>
                <wp:docPr id="11" name="Frame1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THE CONDENSED CONSOLIDATED FINANCIAL STATEMENTS</w:t>
      </w:r>
    </w:p>
    <w:p>
      <w:pPr>
        <w:pStyle w:val="TextBody"/>
        <w:bidi w:val="0"/>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 DESCRIPTION OF BUSINESS AND SUMMARY OF SIGNIFICANT ACCOUNTING POLICIES</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in 2013 and our mission is to democratize finance for all. Our platforms enable customers to buy, sell, and trade equities, options, and futures, as well as buy, sell, and transfer cryptocurrencies. We are also responsible for the custody of user-held cryptocurrencies. In addition, we offer credit cards with certain rewards offerings, as well as a cash card and spending account that help our customers in investing, saving, and earning rewards.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continuously introducing new products and diversifying our services that further expand access to the financial system. In February 2025, we acquired TradePMR, a custodial and portfolio management platform for Registered Investment Advisors (“RIAs”). In March 2025, we launched Robinhood Strategies, a digital investment advisory service that offers tailored, expert-managed, and goal-based portfolios directly within our mobile platform, featuring low and capped fees.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Acting as the agent of the user, we facilitate the purchase and sale of options, cryptocurrencies, equities, and futures through our platforms. Options, cryptocurrencies, and equities transactions are routed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For futures, users are legally obligated to buy or sell the underlying asset at a specified future date, with the price determined at the time of trade execution. We facilitate and confirm trades only when there are binding, matched legal obligations from the user and the market maker on both sides of the trade. Our users have ownership of the securities they transact on our platforms, including those that collateralize margin loans, and, as a result, such securities are not presented on our unaudited condensed consolidated balance sheets, other than user-held fractional shares which are presented gross. Our users also have ownership of the cryptocurrencies they transact on our platforms (none of which are allowed to be purchased on margin and which do not serve as collateral for margin loans), and, as a result, user-held cryptocurrencies are not presented on our unaudited condensed consolidated balance sheets.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Basis of Presentation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2025 or any future period. These unaudited condensed consolidated financial statements should be read in conjunction with the audited annual consolidated financial statements and notes included in our Annual Report on Form 10-K for the year ended December 31, 2024 (“2024 Form 10-K”).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have been no material changes in our significant accounting policies as described in our audited consolidated financial statements included in our 2024 Form 10-K, other than as disclosed below. The unaudited condensed consolidated financial statements include the accounts of RHM and its wholly-owned direct and indirect subsidiaries. All intercompany balances and transactions have been eliminated.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reclassifications have been made to prior period amounts to conform to the current period’s presentation. The impact of these reclassifications is immaterial to the presentation of the unaudited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48310"/>
                <wp:effectExtent l="0" t="0" r="0" b="0"/>
                <wp:wrapNone/>
                <wp:docPr id="12" name="Frame1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condensed consolidated financial statements taken as a whole and had no impact on previously reported total assets, total liabilities and net income.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Use of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share-based compensation (“SBC”), the determination of allowances for credit losses, investment valuation, capitalization of internally developed software, useful lives of property, software, and equipment, valuation and useful lives 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Concentrations of Revenue and Credit Risk</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Revenue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derived transaction-based revenues from individual market makers in excess of 10% of total revenues, as follows:</w:t>
      </w:r>
    </w:p>
    <w:tbl>
      <w:tblPr>
        <w:tblW w:w="5684" w:type="dxa"/>
        <w:jc w:val="left"/>
        <w:tblInd w:w="0" w:type="dxa"/>
        <w:tblLayout w:type="fixed"/>
        <w:tblCellMar>
          <w:top w:w="28" w:type="dxa"/>
          <w:left w:w="28" w:type="dxa"/>
          <w:bottom w:w="28" w:type="dxa"/>
          <w:right w:w="28" w:type="dxa"/>
        </w:tblCellMar>
      </w:tblPr>
      <w:tblGrid>
        <w:gridCol w:w="1183"/>
        <w:gridCol w:w="1041"/>
        <w:gridCol w:w="1046"/>
        <w:gridCol w:w="188"/>
        <w:gridCol w:w="188"/>
        <w:gridCol w:w="376"/>
        <w:gridCol w:w="143"/>
        <w:gridCol w:w="143"/>
        <w:gridCol w:w="143"/>
        <w:gridCol w:w="188"/>
        <w:gridCol w:w="188"/>
        <w:gridCol w:w="376"/>
        <w:gridCol w:w="109"/>
        <w:gridCol w:w="109"/>
        <w:gridCol w:w="109"/>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makers:</w:t>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Citadel Securities, LLC</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B2C2 USA Inc.</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Wintermute Trading Ltd</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others individually less than 10%</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 percentage of total revenue</w:t>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NOTE 2: RECENT ACCOUNTING PRONOUNCEMENTS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Adopted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2023, the Financial Accounting Standards Board (“FASB”) issued Accounting Standards Update 2023-09, “Income taxes (Topic 740): Improvements to Income Taxes Disclosures.” This guidance requires annual disclosure of specific categories in the rate reconciliation and provides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48310"/>
                <wp:effectExtent l="0" t="0" r="0" b="0"/>
                <wp:wrapNone/>
                <wp:docPr id="13" name="Frame1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information for reconciling items that meet a quantitative threshold. The guidance is effective for annual periods beginning after December 15, 2024. Early adoption is permitted. We adopted this guidance effective January 1, 2025 on a prospective basis. The adoption of this guidance did not have a material impact on our unaudited condensed consolidated financial statements and related disclosures.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Recently Issued Accounting Pronouncements Not Yet Adopted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in March 2025 the SEC voted to end its defense of the climate disclosure rules. We continue to monitor the status of the Final Rules and evaluate the potential impact of the Final Rules.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3: BUSINESS COMBINATIONS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pPr>
      <w:r>
        <w:rPr>
          <w:rFonts w:ascii="Helvetica;sans-serif" w:hAnsi="Helvetica;sans-serif"/>
          <w:b w:val="false"/>
          <w:color w:val="000000"/>
          <w:sz w:val="20"/>
        </w:rPr>
        <w:t>On February 26, 2025, we acquired all of the outstanding equity of TradePMR, a custodial and portfolio management platform for RIAs. The acquisition of TradePMR allows us to deliver investment advisory capabilities to customers by bringing in a scaled RIA custodial and portfolio management platform that connects financial advisors to a new generation of investors.</w:t>
      </w:r>
      <w:r>
        <w:rPr>
          <w:color w:val="000000"/>
        </w:rPr>
        <w:t xml:space="preserv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post-acquisition, subject to the terms of a vesting agreement. Shares of unvested restricted stock have the same voting rights as all other Class A common stock and are considered to be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48310"/>
                <wp:effectExtent l="0" t="0" r="0" b="0"/>
                <wp:wrapNone/>
                <wp:docPr id="14" name="Frame1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and outstanding. These shares are not part of the equity incentive plans described in Note 11 - Common Stock and Stockholders' Equity. </w:t>
      </w:r>
    </w:p>
    <w:p>
      <w:pPr>
        <w:pStyle w:val="TextBody"/>
        <w:bidi w:val="0"/>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tbl>
      <w:tblPr>
        <w:tblW w:w="4961" w:type="dxa"/>
        <w:jc w:val="left"/>
        <w:tblInd w:w="0" w:type="dxa"/>
        <w:tblLayout w:type="fixed"/>
        <w:tblCellMar>
          <w:top w:w="28" w:type="dxa"/>
          <w:left w:w="28" w:type="dxa"/>
          <w:bottom w:w="28" w:type="dxa"/>
          <w:right w:w="28" w:type="dxa"/>
        </w:tblCellMar>
      </w:tblPr>
      <w:tblGrid>
        <w:gridCol w:w="1340"/>
        <w:gridCol w:w="1174"/>
        <w:gridCol w:w="1190"/>
        <w:gridCol w:w="109"/>
        <w:gridCol w:w="109"/>
        <w:gridCol w:w="109"/>
        <w:gridCol w:w="232"/>
        <w:gridCol w:w="529"/>
        <w:gridCol w:w="169"/>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Receivable from users,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excess of purchase consideration over the fair value of net tangible and identifiable intangible assets acquired was recorded as goodwill, which is not deductible for tax purposes. Goodwill is primarily attributed to the assembled workforce of TradePMR and anticipated operational synergies. The fair values assigned to tangible and identifiable intangible assets acquired and liabilities assumed are based on management’s estimates and assumptions at the time of acquisition.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components of identifiable intangible assets acquired and their estimated useful lives as of the date of acquisition:</w:t>
      </w:r>
    </w:p>
    <w:tbl>
      <w:tblPr>
        <w:tblW w:w="4656" w:type="dxa"/>
        <w:jc w:val="left"/>
        <w:tblInd w:w="0" w:type="dxa"/>
        <w:tblLayout w:type="fixed"/>
        <w:tblCellMar>
          <w:top w:w="28" w:type="dxa"/>
          <w:left w:w="28" w:type="dxa"/>
          <w:bottom w:w="28" w:type="dxa"/>
          <w:right w:w="28" w:type="dxa"/>
        </w:tblCellMar>
      </w:tblPr>
      <w:tblGrid>
        <w:gridCol w:w="765"/>
        <w:gridCol w:w="673"/>
        <w:gridCol w:w="676"/>
        <w:gridCol w:w="109"/>
        <w:gridCol w:w="109"/>
        <w:gridCol w:w="109"/>
        <w:gridCol w:w="268"/>
        <w:gridCol w:w="478"/>
        <w:gridCol w:w="138"/>
        <w:gridCol w:w="109"/>
        <w:gridCol w:w="109"/>
        <w:gridCol w:w="109"/>
        <w:gridCol w:w="293"/>
        <w:gridCol w:w="293"/>
        <w:gridCol w:w="418"/>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Useful Life</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overall weighted average useful life of the identified amortizable intangible assets acquired is 9.76 years. The estimated fair value of the intangible assets acquired approximate the amounts a market participant would pay for these intangible assets as of the acquisition date. We used a multi-period excess earnings method to estimate the fair value of customer relationships and the relief from royalty method to estimate the fair value of developed technology and trade name.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Tangible net assets were valued at their respective carrying amounts as of the acquisition date, as these amounts approximated fair value.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 forma results of operations for TradePMR have not been presented as the effect of this acquisition was not material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48310"/>
                <wp:effectExtent l="0" t="0" r="0" b="0"/>
                <wp:wrapNone/>
                <wp:docPr id="15" name="Frame1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Pending Acquisition of Bitstamp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June 2024, we entered into an agreement to acquire all outstanding equity of Bitstamp, a globally-scaled cryptocurrency exchange with retail and institutional customers, for an aggregate consideration of approximately $200 million, subject to customary purchase price adjustments and payable in cash. The pending acquisition is subject to customary closing conditions, including regulatory approvals, and is expected to close in the middle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4: GOODWILL AND INTANGIBLE ASSETS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Goodwill</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carrying amount of goodwill for the period indicated was as follows:</w:t>
      </w:r>
    </w:p>
    <w:tbl>
      <w:tblPr>
        <w:tblW w:w="5576" w:type="dxa"/>
        <w:jc w:val="left"/>
        <w:tblInd w:w="0" w:type="dxa"/>
        <w:tblLayout w:type="fixed"/>
        <w:tblCellMar>
          <w:top w:w="28" w:type="dxa"/>
          <w:left w:w="28" w:type="dxa"/>
          <w:bottom w:w="28" w:type="dxa"/>
          <w:right w:w="28" w:type="dxa"/>
        </w:tblCellMar>
      </w:tblPr>
      <w:tblGrid>
        <w:gridCol w:w="1352"/>
        <w:gridCol w:w="1184"/>
        <w:gridCol w:w="1199"/>
        <w:gridCol w:w="109"/>
        <w:gridCol w:w="109"/>
        <w:gridCol w:w="109"/>
        <w:gridCol w:w="378"/>
        <w:gridCol w:w="861"/>
        <w:gridCol w:w="27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Carrying Amount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Additions due to acquisition of TradePMR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was no impairment of goodwill during the three months ended March 31, 2025.</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Intangible Assets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components of intangible assets, net as of March 31, 2025 were as follows:</w:t>
      </w:r>
    </w:p>
    <w:tbl>
      <w:tblPr>
        <w:tblW w:w="10205" w:type="dxa"/>
        <w:jc w:val="left"/>
        <w:tblInd w:w="0" w:type="dxa"/>
        <w:tblLayout w:type="fixed"/>
        <w:tblCellMar>
          <w:top w:w="28" w:type="dxa"/>
          <w:left w:w="28" w:type="dxa"/>
          <w:bottom w:w="28" w:type="dxa"/>
          <w:right w:w="28" w:type="dxa"/>
        </w:tblCellMar>
      </w:tblPr>
      <w:tblGrid>
        <w:gridCol w:w="1002"/>
        <w:gridCol w:w="612"/>
        <w:gridCol w:w="615"/>
        <w:gridCol w:w="355"/>
        <w:gridCol w:w="809"/>
        <w:gridCol w:w="183"/>
        <w:gridCol w:w="109"/>
        <w:gridCol w:w="109"/>
        <w:gridCol w:w="109"/>
        <w:gridCol w:w="531"/>
        <w:gridCol w:w="947"/>
        <w:gridCol w:w="276"/>
        <w:gridCol w:w="109"/>
        <w:gridCol w:w="109"/>
        <w:gridCol w:w="109"/>
        <w:gridCol w:w="324"/>
        <w:gridCol w:w="739"/>
        <w:gridCol w:w="167"/>
        <w:gridCol w:w="109"/>
        <w:gridCol w:w="109"/>
        <w:gridCol w:w="109"/>
        <w:gridCol w:w="776"/>
        <w:gridCol w:w="776"/>
        <w:gridCol w:w="1112"/>
      </w:tblGrid>
      <w:tr>
        <w:trPr/>
        <w:tc>
          <w:tcPr>
            <w:tcW w:w="100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years)</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Remaining Useful Life - Years</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Finite-lived intangible assets:</w:t>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11.83</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 names</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r>
      <w:tr>
        <w:trPr/>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Indefinite-lived intangible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Helvetica;sans-serif" w:hAnsi="Helvetica;sans-serif"/>
                <w:b w:val="false"/>
                <w:color w:val="000000"/>
                <w:sz w:val="20"/>
              </w:rPr>
            </w:pPr>
            <w:r>
              <w:rPr>
                <w:rFonts w:ascii="Helvetica;sans-serif" w:hAnsi="Helvetica;sans-serif"/>
                <w:b w:val="false"/>
                <w:color w:val="000000"/>
                <w:sz w:val="20"/>
              </w:rPr>
              <w:t>N/A</w:t>
            </w:r>
          </w:p>
        </w:tc>
      </w:tr>
      <w:tr>
        <w:trPr/>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48310"/>
                <wp:effectExtent l="0" t="0" r="0" b="0"/>
                <wp:wrapNone/>
                <wp:docPr id="16" name="Frame1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of intangible assets was $4 million for the three months ended March 31, 2025. There was no impairment of intangible assets during the three months ended March 31, 2025.</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2025, the estimated future amortization expense of finite-lived intangible assets was as follows:</w:t>
      </w:r>
    </w:p>
    <w:tbl>
      <w:tblPr>
        <w:tblW w:w="4540" w:type="dxa"/>
        <w:jc w:val="left"/>
        <w:tblInd w:w="0" w:type="dxa"/>
        <w:tblLayout w:type="fixed"/>
        <w:tblCellMar>
          <w:top w:w="28" w:type="dxa"/>
          <w:left w:w="28" w:type="dxa"/>
          <w:bottom w:w="28" w:type="dxa"/>
          <w:right w:w="28" w:type="dxa"/>
        </w:tblCellMar>
      </w:tblPr>
      <w:tblGrid>
        <w:gridCol w:w="634"/>
        <w:gridCol w:w="556"/>
        <w:gridCol w:w="564"/>
        <w:gridCol w:w="109"/>
        <w:gridCol w:w="109"/>
        <w:gridCol w:w="109"/>
        <w:gridCol w:w="612"/>
        <w:gridCol w:w="1399"/>
        <w:gridCol w:w="448"/>
      </w:tblGrid>
      <w:tr>
        <w:trPr/>
        <w:tc>
          <w:tcPr>
            <w:tcW w:w="63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Finite-lived Intangible Assets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48310"/>
                <wp:effectExtent l="0" t="0" r="0" b="0"/>
                <wp:wrapNone/>
                <wp:docPr id="17" name="Frame1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5: REVENUES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Disaggregation of Revenues</w:t>
      </w:r>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The following table presents our revenues disaggregated by revenue source:</w:t>
      </w:r>
    </w:p>
    <w:tbl>
      <w:tblPr>
        <w:tblW w:w="8310" w:type="dxa"/>
        <w:jc w:val="left"/>
        <w:tblInd w:w="0" w:type="dxa"/>
        <w:tblLayout w:type="fixed"/>
        <w:tblCellMar>
          <w:top w:w="28" w:type="dxa"/>
          <w:left w:w="28" w:type="dxa"/>
          <w:bottom w:w="28" w:type="dxa"/>
          <w:right w:w="28" w:type="dxa"/>
        </w:tblCellMar>
      </w:tblPr>
      <w:tblGrid>
        <w:gridCol w:w="2293"/>
        <w:gridCol w:w="2005"/>
        <w:gridCol w:w="2032"/>
        <w:gridCol w:w="308"/>
        <w:gridCol w:w="210"/>
        <w:gridCol w:w="211"/>
        <w:gridCol w:w="159"/>
        <w:gridCol w:w="159"/>
        <w:gridCol w:w="159"/>
        <w:gridCol w:w="308"/>
        <w:gridCol w:w="193"/>
        <w:gridCol w:w="273"/>
      </w:tblGrid>
      <w:tr>
        <w:trPr/>
        <w:tc>
          <w:tcPr>
            <w:tcW w:w="2293"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7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5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927</w:t>
            </w:r>
          </w:p>
        </w:tc>
      </w:tr>
    </w:tbl>
    <w:p>
      <w:pPr>
        <w:pStyle w:val="TextBody"/>
        <w:bidi w:val="0"/>
        <w:spacing w:lineRule="auto" w:line="268" w:before="0" w:after="0"/>
        <w:jc w:val="both"/>
        <w:rPr>
          <w:rFonts w:ascii="Helvetica;sans-serif" w:hAnsi="Helvetica;sans-serif"/>
          <w:b w:val="false"/>
          <w:i/>
          <w:color w:val="000000"/>
          <w:sz w:val="20"/>
        </w:rPr>
      </w:pPr>
      <w:r>
        <w:rPr>
          <w:rFonts w:ascii="Helvetica;sans-serif" w:hAnsi="Helvetica;sans-serif"/>
          <w:b w:val="false"/>
          <w:i/>
          <w:color w:val="000000"/>
          <w:sz w:val="20"/>
        </w:rPr>
        <w:t>Fully-Paid Securities Lending</w:t>
      </w:r>
    </w:p>
    <w:p>
      <w:pPr>
        <w:pStyle w:val="TextBody"/>
        <w:bidi w:val="0"/>
        <w:spacing w:before="0" w:after="0"/>
        <w:ind w:left="0" w:right="0" w:firstLine="360"/>
        <w:jc w:val="both"/>
        <w:rPr/>
      </w:pPr>
      <w:r>
        <w:rPr/>
      </w:r>
    </w:p>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our fully-paid securities lending program under which we borrow fully-paid shares from participating users and lend them to third parties (“Fully-Paid Securities Lending”), we earn revenue for lending certain securities based on demand for those securities and portions of such revenues are paid to participating users, and those payments are recorded as interest expense. The following table presents interest revenue earned and interest expense paid from Fully-Paid Securities Lending:</w:t>
      </w:r>
    </w:p>
    <w:tbl>
      <w:tblPr>
        <w:tblW w:w="4842" w:type="dxa"/>
        <w:jc w:val="left"/>
        <w:tblInd w:w="0" w:type="dxa"/>
        <w:tblLayout w:type="fixed"/>
        <w:tblCellMar>
          <w:top w:w="28" w:type="dxa"/>
          <w:left w:w="28" w:type="dxa"/>
          <w:bottom w:w="28" w:type="dxa"/>
          <w:right w:w="28" w:type="dxa"/>
        </w:tblCellMar>
      </w:tblPr>
      <w:tblGrid>
        <w:gridCol w:w="1104"/>
        <w:gridCol w:w="965"/>
        <w:gridCol w:w="976"/>
        <w:gridCol w:w="215"/>
        <w:gridCol w:w="383"/>
        <w:gridCol w:w="111"/>
        <w:gridCol w:w="111"/>
        <w:gridCol w:w="111"/>
        <w:gridCol w:w="111"/>
        <w:gridCol w:w="215"/>
        <w:gridCol w:w="383"/>
        <w:gridCol w:w="157"/>
      </w:tblGrid>
      <w:tr>
        <w:trPr/>
        <w:tc>
          <w:tcPr>
            <w:tcW w:w="110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Fully-Paid Securities Lending, net</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48310"/>
                <wp:effectExtent l="0" t="0" r="0" b="0"/>
                <wp:wrapNone/>
                <wp:docPr id="18" name="Frame1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Contract Balances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March 31, 2025, contract liabilities include $23 million acquired as part of the TradePMR acquisition, with $8 million recorded in other current liabilities and $15 million in other non-current liabilities on the unaudited condensed consolidated balance sheets. This liability represents consideration received in advance of satisfying the related performance obligations and is subject to repayment if certain contractual conditions are not met. Contract liabilities also include $20 million of unearned Robinhood Gold subscription revenue, recognized when users remit cash payments in advance of the time we satisfy our performance obligations. The unearned subscription revenue was recorded as other current liabilities on the unaudited condensed consolidated balance sheets. </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contract receivables and liabilities balances for the period indicated:</w:t>
      </w:r>
    </w:p>
    <w:tbl>
      <w:tblPr>
        <w:tblW w:w="7719" w:type="dxa"/>
        <w:jc w:val="left"/>
        <w:tblInd w:w="0" w:type="dxa"/>
        <w:tblLayout w:type="fixed"/>
        <w:tblCellMar>
          <w:top w:w="28" w:type="dxa"/>
          <w:left w:w="28" w:type="dxa"/>
          <w:bottom w:w="28" w:type="dxa"/>
          <w:right w:w="28" w:type="dxa"/>
        </w:tblCellMar>
      </w:tblPr>
      <w:tblGrid>
        <w:gridCol w:w="1313"/>
        <w:gridCol w:w="1149"/>
        <w:gridCol w:w="1168"/>
        <w:gridCol w:w="109"/>
        <w:gridCol w:w="109"/>
        <w:gridCol w:w="109"/>
        <w:gridCol w:w="469"/>
        <w:gridCol w:w="1072"/>
        <w:gridCol w:w="244"/>
        <w:gridCol w:w="109"/>
        <w:gridCol w:w="109"/>
        <w:gridCol w:w="109"/>
        <w:gridCol w:w="468"/>
        <w:gridCol w:w="836"/>
        <w:gridCol w:w="346"/>
      </w:tblGrid>
      <w:tr>
        <w:trPr/>
        <w:tc>
          <w:tcPr>
            <w:tcW w:w="131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Liabilities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of the period,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 of the period,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difference between the opening and ending balances of our contract receivables was primarily driven by lower cryptocurrency transaction-based revenues due to decreased trading volumes and timing differences between our performance and counterparties’ payments for the three months ended March 31, 2025. The difference between the opening and ending balances of our contract liabilities was primarily driven by contract liabilities acquired as part of the TradePMR acquisition and an increase in Robinhood Gold Subscribers. We recognized all revenue from amounts included in the opening contract liabilities balance in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6: ALLOWANCE FOR CREDIT LOSSES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Brokerage Related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brokerage related allowance for credit losses, which is primarily related to fraudulent activities, included in receivables from users, net on the unaudited condensed consolidated balance sheet: </w:t>
      </w:r>
    </w:p>
    <w:tbl>
      <w:tblPr>
        <w:tblW w:w="4181" w:type="dxa"/>
        <w:jc w:val="left"/>
        <w:tblInd w:w="0" w:type="dxa"/>
        <w:tblLayout w:type="fixed"/>
        <w:tblCellMar>
          <w:top w:w="28" w:type="dxa"/>
          <w:left w:w="28" w:type="dxa"/>
          <w:bottom w:w="28" w:type="dxa"/>
          <w:right w:w="28" w:type="dxa"/>
        </w:tblCellMar>
      </w:tblPr>
      <w:tblGrid>
        <w:gridCol w:w="862"/>
        <w:gridCol w:w="755"/>
        <w:gridCol w:w="767"/>
        <w:gridCol w:w="215"/>
        <w:gridCol w:w="383"/>
        <w:gridCol w:w="111"/>
        <w:gridCol w:w="111"/>
        <w:gridCol w:w="111"/>
        <w:gridCol w:w="111"/>
        <w:gridCol w:w="215"/>
        <w:gridCol w:w="383"/>
        <w:gridCol w:w="157"/>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48310"/>
                <wp:effectExtent l="0" t="0" r="0" b="0"/>
                <wp:wrapNone/>
                <wp:docPr id="19" name="Frame1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Allowance for Credit Losses - Credit Card Related</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two types of allowance for credit losses related to credit cards: i) an allowance related to off-balance sheet credit card receivables, shown as part of accounts payable and accrued expenses on the unaudited condensed consolidated balance sheet, and ii) an allowance related to purchased credit card receivables and interest receivable from customers, included in receivables from users, net on the unaudited condensed consolidated balance sheet.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allowance related to off-balance sheet credit card receivables:</w:t>
      </w:r>
    </w:p>
    <w:p>
      <w:pPr>
        <w:pStyle w:val="TextBody"/>
        <w:bidi w:val="0"/>
        <w:spacing w:before="0" w:after="0"/>
        <w:ind w:left="0" w:right="0" w:firstLine="360"/>
        <w:jc w:val="both"/>
        <w:rPr/>
      </w:pPr>
      <w:r>
        <w:rPr/>
      </w:r>
    </w:p>
    <w:tbl>
      <w:tblPr>
        <w:tblW w:w="4475" w:type="dxa"/>
        <w:jc w:val="left"/>
        <w:tblInd w:w="0" w:type="dxa"/>
        <w:tblLayout w:type="fixed"/>
        <w:tblCellMar>
          <w:top w:w="28" w:type="dxa"/>
          <w:left w:w="28" w:type="dxa"/>
          <w:bottom w:w="28" w:type="dxa"/>
          <w:right w:w="28" w:type="dxa"/>
        </w:tblCellMar>
      </w:tblPr>
      <w:tblGrid>
        <w:gridCol w:w="889"/>
        <w:gridCol w:w="779"/>
        <w:gridCol w:w="791"/>
        <w:gridCol w:w="215"/>
        <w:gridCol w:w="384"/>
        <w:gridCol w:w="111"/>
        <w:gridCol w:w="111"/>
        <w:gridCol w:w="111"/>
        <w:gridCol w:w="111"/>
        <w:gridCol w:w="215"/>
        <w:gridCol w:w="384"/>
        <w:gridCol w:w="111"/>
        <w:gridCol w:w="109"/>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to Coastal Bank</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Recoveries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Helvetica;sans-serif" w:hAnsi="Helvetica;sans-serif"/>
          <w:b w:val="false"/>
          <w:color w:val="000000"/>
          <w:sz w:val="20"/>
        </w:rPr>
        <w:t>The following table summarizes the allowance related to purchased credit card receivables and</w:t>
      </w:r>
      <w:r>
        <w:rPr>
          <w:color w:val="000000"/>
        </w:rPr>
        <w:t xml:space="preserve"> </w:t>
      </w:r>
      <w:r>
        <w:rPr>
          <w:rFonts w:ascii="Helvetica;sans-serif" w:hAnsi="Helvetica;sans-serif"/>
          <w:b w:val="false"/>
          <w:color w:val="000000"/>
          <w:sz w:val="20"/>
        </w:rPr>
        <w:t xml:space="preserve">interest receivables from customers: </w:t>
      </w:r>
    </w:p>
    <w:p>
      <w:pPr>
        <w:pStyle w:val="TextBody"/>
        <w:bidi w:val="0"/>
        <w:spacing w:before="0" w:after="0"/>
        <w:ind w:left="0" w:right="0" w:firstLine="360"/>
        <w:jc w:val="both"/>
        <w:rPr/>
      </w:pPr>
      <w:r>
        <w:rPr/>
      </w:r>
    </w:p>
    <w:tbl>
      <w:tblPr>
        <w:tblW w:w="4183" w:type="dxa"/>
        <w:jc w:val="left"/>
        <w:tblInd w:w="0" w:type="dxa"/>
        <w:tblLayout w:type="fixed"/>
        <w:tblCellMar>
          <w:top w:w="28" w:type="dxa"/>
          <w:left w:w="28" w:type="dxa"/>
          <w:bottom w:w="28" w:type="dxa"/>
          <w:right w:w="28" w:type="dxa"/>
        </w:tblCellMar>
      </w:tblPr>
      <w:tblGrid>
        <w:gridCol w:w="862"/>
        <w:gridCol w:w="755"/>
        <w:gridCol w:w="767"/>
        <w:gridCol w:w="229"/>
        <w:gridCol w:w="294"/>
        <w:gridCol w:w="118"/>
        <w:gridCol w:w="118"/>
        <w:gridCol w:w="118"/>
        <w:gridCol w:w="118"/>
        <w:gridCol w:w="229"/>
        <w:gridCol w:w="408"/>
        <w:gridCol w:w="167"/>
      </w:tblGrid>
      <w:tr>
        <w:trPr/>
        <w:tc>
          <w:tcPr>
            <w:tcW w:w="86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the aging analysis of our credit card receivables for the periods presented and the delinquency aging includes all past due principal on loans. Accrued interest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48310"/>
                <wp:effectExtent l="0" t="0" r="0" b="0"/>
                <wp:wrapNone/>
                <wp:docPr id="20" name="Frame1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of $3 million and $5 million as of December 31, 2024 and March 31, 2025 were not included in the tables below.</w:t>
      </w:r>
    </w:p>
    <w:tbl>
      <w:tblPr>
        <w:tblW w:w="10011" w:type="dxa"/>
        <w:jc w:val="left"/>
        <w:tblInd w:w="0" w:type="dxa"/>
        <w:tblLayout w:type="fixed"/>
        <w:tblCellMar>
          <w:top w:w="28" w:type="dxa"/>
          <w:left w:w="28" w:type="dxa"/>
          <w:bottom w:w="28" w:type="dxa"/>
          <w:right w:w="28" w:type="dxa"/>
        </w:tblCellMar>
      </w:tblPr>
      <w:tblGrid>
        <w:gridCol w:w="929"/>
        <w:gridCol w:w="815"/>
        <w:gridCol w:w="820"/>
        <w:gridCol w:w="248"/>
        <w:gridCol w:w="128"/>
        <w:gridCol w:w="335"/>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44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Past due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3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10011" w:type="dxa"/>
        <w:jc w:val="left"/>
        <w:tblInd w:w="0" w:type="dxa"/>
        <w:tblLayout w:type="fixed"/>
        <w:tblCellMar>
          <w:top w:w="28" w:type="dxa"/>
          <w:left w:w="28" w:type="dxa"/>
          <w:bottom w:w="28" w:type="dxa"/>
          <w:right w:w="28" w:type="dxa"/>
        </w:tblCellMar>
      </w:tblPr>
      <w:tblGrid>
        <w:gridCol w:w="929"/>
        <w:gridCol w:w="815"/>
        <w:gridCol w:w="820"/>
        <w:gridCol w:w="248"/>
        <w:gridCol w:w="128"/>
        <w:gridCol w:w="335"/>
        <w:gridCol w:w="109"/>
        <w:gridCol w:w="109"/>
        <w:gridCol w:w="109"/>
        <w:gridCol w:w="282"/>
        <w:gridCol w:w="145"/>
        <w:gridCol w:w="382"/>
        <w:gridCol w:w="109"/>
        <w:gridCol w:w="109"/>
        <w:gridCol w:w="109"/>
        <w:gridCol w:w="313"/>
        <w:gridCol w:w="162"/>
        <w:gridCol w:w="425"/>
        <w:gridCol w:w="109"/>
        <w:gridCol w:w="109"/>
        <w:gridCol w:w="109"/>
        <w:gridCol w:w="757"/>
        <w:gridCol w:w="390"/>
        <w:gridCol w:w="1027"/>
        <w:gridCol w:w="109"/>
        <w:gridCol w:w="109"/>
        <w:gridCol w:w="109"/>
        <w:gridCol w:w="500"/>
        <w:gridCol w:w="258"/>
        <w:gridCol w:w="787"/>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5"/>
              </w:rPr>
            </w:pPr>
            <w:r>
              <w:rPr>
                <w:rFonts w:ascii="Helvetica;sans-serif" w:hAnsi="Helvetica;sans-serif"/>
                <w:b w:val="false"/>
                <w:i/>
                <w:color w:val="000000"/>
                <w:sz w:val="15"/>
              </w:rPr>
              <w:t>(in millions, except for percentages)</w:t>
            </w:r>
          </w:p>
        </w:tc>
        <w:tc>
          <w:tcPr>
            <w:tcW w:w="74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2025</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Past due receivables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Helvetica;sans-serif" w:hAnsi="Helvetica;sans-serif"/>
                <w:b/>
                <w:color w:val="000000"/>
                <w:sz w:val="16"/>
              </w:rPr>
              <w:t>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Past due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Receivables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 xml:space="preserve">On-balance sheet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Off-balance sheet</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4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of Total loans</w:t>
            </w:r>
          </w:p>
        </w:tc>
        <w:tc>
          <w:tcPr>
            <w:tcW w:w="37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33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2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2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2024 and March 31, 2025. Our receivables by FICO scores:</w:t>
      </w:r>
    </w:p>
    <w:tbl>
      <w:tblPr>
        <w:tblW w:w="4917" w:type="dxa"/>
        <w:jc w:val="left"/>
        <w:tblInd w:w="0" w:type="dxa"/>
        <w:tblLayout w:type="fixed"/>
        <w:tblCellMar>
          <w:top w:w="28" w:type="dxa"/>
          <w:left w:w="28" w:type="dxa"/>
          <w:bottom w:w="28" w:type="dxa"/>
          <w:right w:w="28" w:type="dxa"/>
        </w:tblCellMar>
      </w:tblPr>
      <w:tblGrid>
        <w:gridCol w:w="912"/>
        <w:gridCol w:w="802"/>
        <w:gridCol w:w="806"/>
        <w:gridCol w:w="308"/>
        <w:gridCol w:w="703"/>
        <w:gridCol w:w="159"/>
        <w:gridCol w:w="109"/>
        <w:gridCol w:w="109"/>
        <w:gridCol w:w="109"/>
        <w:gridCol w:w="224"/>
        <w:gridCol w:w="512"/>
        <w:gridCol w:w="16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i/>
                <w:color w:val="000000"/>
                <w:sz w:val="16"/>
              </w:rPr>
            </w:pPr>
            <w:r>
              <w:rPr>
                <w:rFonts w:ascii="Helvetica;sans-serif" w:hAnsi="Helvetica;sans-serif"/>
                <w:b w:val="false"/>
                <w:i/>
                <w:color w:val="000000"/>
                <w:sz w:val="16"/>
              </w:rPr>
              <w:t>(in millions, except FICO scores)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Below 640</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640-690</w:t>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Greater than 690</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credit card loans </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429 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7: INVESTMENTS AND FAIR VALUE MEASUREMENT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Investments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Available-for-sale</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As of December 31, 2024 and March 31, 2025, we had $750 million and $500 million of available-for-sale time deposits classified as cash equivalents on the unaudited condensed consolidated balance sheets. These investments had a maturity of three months or less at the time of purchase, and an aggregate market value equal to amortized cost. Refer to </w:t>
      </w:r>
      <w:r>
        <w:rPr>
          <w:rFonts w:ascii="Helvetica;sans-serif" w:hAnsi="Helvetica;sans-serif"/>
          <w:b w:val="false"/>
          <w:i/>
          <w:color w:val="000000"/>
          <w:sz w:val="20"/>
        </w:rPr>
        <w:t>Fair Value of Financial Instruments</w:t>
      </w:r>
      <w:r>
        <w:rPr>
          <w:color w:val="000000"/>
        </w:rPr>
        <w:t xml:space="preserve"> </w:t>
      </w:r>
      <w:r>
        <w:rPr>
          <w:rFonts w:ascii="Helvetica;sans-serif" w:hAnsi="Helvetica;sans-serif"/>
          <w:b w:val="false"/>
          <w:color w:val="000000"/>
          <w:sz w:val="20"/>
        </w:rPr>
        <w:t xml:space="preserve">below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48310"/>
                <wp:effectExtent l="0" t="0" r="0" b="0"/>
                <wp:wrapNone/>
                <wp:docPr id="21" name="Frame2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Held-to-maturity</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summarize our held-to-maturity investments:</w:t>
      </w:r>
    </w:p>
    <w:tbl>
      <w:tblPr>
        <w:tblW w:w="10205" w:type="dxa"/>
        <w:jc w:val="left"/>
        <w:tblInd w:w="0" w:type="dxa"/>
        <w:tblLayout w:type="fixed"/>
        <w:tblCellMar>
          <w:top w:w="28" w:type="dxa"/>
          <w:left w:w="28" w:type="dxa"/>
          <w:bottom w:w="28" w:type="dxa"/>
          <w:right w:w="28" w:type="dxa"/>
        </w:tblCellMar>
      </w:tblPr>
      <w:tblGrid>
        <w:gridCol w:w="1033"/>
        <w:gridCol w:w="722"/>
        <w:gridCol w:w="733"/>
        <w:gridCol w:w="310"/>
        <w:gridCol w:w="709"/>
        <w:gridCol w:w="160"/>
        <w:gridCol w:w="109"/>
        <w:gridCol w:w="109"/>
        <w:gridCol w:w="109"/>
        <w:gridCol w:w="513"/>
        <w:gridCol w:w="989"/>
        <w:gridCol w:w="267"/>
        <w:gridCol w:w="109"/>
        <w:gridCol w:w="109"/>
        <w:gridCol w:w="109"/>
        <w:gridCol w:w="444"/>
        <w:gridCol w:w="571"/>
        <w:gridCol w:w="232"/>
        <w:gridCol w:w="109"/>
        <w:gridCol w:w="109"/>
        <w:gridCol w:w="109"/>
        <w:gridCol w:w="380"/>
        <w:gridCol w:w="733"/>
        <w:gridCol w:w="197"/>
        <w:gridCol w:w="109"/>
        <w:gridCol w:w="109"/>
        <w:gridCol w:w="109"/>
        <w:gridCol w:w="223"/>
        <w:gridCol w:w="509"/>
        <w:gridCol w:w="172"/>
      </w:tblGrid>
      <w:tr>
        <w:trPr/>
        <w:tc>
          <w:tcPr>
            <w:tcW w:w="10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Allowance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3"/>
        <w:gridCol w:w="722"/>
        <w:gridCol w:w="733"/>
        <w:gridCol w:w="310"/>
        <w:gridCol w:w="709"/>
        <w:gridCol w:w="160"/>
        <w:gridCol w:w="109"/>
        <w:gridCol w:w="109"/>
        <w:gridCol w:w="109"/>
        <w:gridCol w:w="513"/>
        <w:gridCol w:w="989"/>
        <w:gridCol w:w="267"/>
        <w:gridCol w:w="109"/>
        <w:gridCol w:w="109"/>
        <w:gridCol w:w="109"/>
        <w:gridCol w:w="361"/>
        <w:gridCol w:w="698"/>
        <w:gridCol w:w="188"/>
        <w:gridCol w:w="109"/>
        <w:gridCol w:w="109"/>
        <w:gridCol w:w="109"/>
        <w:gridCol w:w="380"/>
        <w:gridCol w:w="733"/>
        <w:gridCol w:w="197"/>
        <w:gridCol w:w="109"/>
        <w:gridCol w:w="109"/>
        <w:gridCol w:w="109"/>
        <w:gridCol w:w="223"/>
        <w:gridCol w:w="509"/>
        <w:gridCol w:w="172"/>
      </w:tblGrid>
      <w:tr>
        <w:trPr/>
        <w:tc>
          <w:tcPr>
            <w:tcW w:w="10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2025</w:t>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Allowance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sales of held-to-maturity investments during the three months ended March 31, 2025.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presents the amortized cost and fair value of held-to-maturity investments by contractual maturity:</w:t>
      </w:r>
    </w:p>
    <w:tbl>
      <w:tblPr>
        <w:tblW w:w="7275" w:type="dxa"/>
        <w:jc w:val="left"/>
        <w:tblInd w:w="0" w:type="dxa"/>
        <w:tblLayout w:type="fixed"/>
        <w:tblCellMar>
          <w:top w:w="28" w:type="dxa"/>
          <w:left w:w="28" w:type="dxa"/>
          <w:bottom w:w="28" w:type="dxa"/>
          <w:right w:w="28" w:type="dxa"/>
        </w:tblCellMar>
      </w:tblPr>
      <w:tblGrid>
        <w:gridCol w:w="1150"/>
        <w:gridCol w:w="1009"/>
        <w:gridCol w:w="1021"/>
        <w:gridCol w:w="300"/>
        <w:gridCol w:w="685"/>
        <w:gridCol w:w="155"/>
        <w:gridCol w:w="109"/>
        <w:gridCol w:w="109"/>
        <w:gridCol w:w="109"/>
        <w:gridCol w:w="296"/>
        <w:gridCol w:w="570"/>
        <w:gridCol w:w="153"/>
        <w:gridCol w:w="109"/>
        <w:gridCol w:w="109"/>
        <w:gridCol w:w="109"/>
        <w:gridCol w:w="109"/>
        <w:gridCol w:w="109"/>
        <w:gridCol w:w="109"/>
        <w:gridCol w:w="109"/>
        <w:gridCol w:w="211"/>
        <w:gridCol w:w="48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1173" w:type="dxa"/>
            <w:gridSpan w:val="6"/>
            <w:tcBorders/>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Within 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Amortized cost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Fair value</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48310"/>
                <wp:effectExtent l="0" t="0" r="0" b="0"/>
                <wp:wrapNone/>
                <wp:docPr id="22" name="Frame2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tbl>
      <w:tblPr>
        <w:tblW w:w="7274" w:type="dxa"/>
        <w:jc w:val="left"/>
        <w:tblInd w:w="0" w:type="dxa"/>
        <w:tblLayout w:type="fixed"/>
        <w:tblCellMar>
          <w:top w:w="28" w:type="dxa"/>
          <w:left w:w="28" w:type="dxa"/>
          <w:bottom w:w="28" w:type="dxa"/>
          <w:right w:w="28" w:type="dxa"/>
        </w:tblCellMar>
      </w:tblPr>
      <w:tblGrid>
        <w:gridCol w:w="1149"/>
        <w:gridCol w:w="1009"/>
        <w:gridCol w:w="1021"/>
        <w:gridCol w:w="300"/>
        <w:gridCol w:w="685"/>
        <w:gridCol w:w="155"/>
        <w:gridCol w:w="109"/>
        <w:gridCol w:w="109"/>
        <w:gridCol w:w="109"/>
        <w:gridCol w:w="296"/>
        <w:gridCol w:w="570"/>
        <w:gridCol w:w="153"/>
        <w:gridCol w:w="109"/>
        <w:gridCol w:w="109"/>
        <w:gridCol w:w="109"/>
        <w:gridCol w:w="109"/>
        <w:gridCol w:w="109"/>
        <w:gridCol w:w="109"/>
        <w:gridCol w:w="109"/>
        <w:gridCol w:w="211"/>
        <w:gridCol w:w="481"/>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2025</w:t>
            </w:r>
          </w:p>
        </w:tc>
        <w:tc>
          <w:tcPr>
            <w:tcW w:w="1173"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Within 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Amortized cost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Fair value</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Fair Value of Financial Instruments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assets and liabilities measured at fair value on a recurring basis were presented on our unaudited condensed consolidated balance sheets as follows:</w:t>
      </w:r>
    </w:p>
    <w:tbl>
      <w:tblPr>
        <w:tblW w:w="10205" w:type="dxa"/>
        <w:jc w:val="left"/>
        <w:tblInd w:w="0" w:type="dxa"/>
        <w:tblLayout w:type="fixed"/>
        <w:tblCellMar>
          <w:top w:w="28" w:type="dxa"/>
          <w:left w:w="28" w:type="dxa"/>
          <w:bottom w:w="28" w:type="dxa"/>
          <w:right w:w="28" w:type="dxa"/>
        </w:tblCellMar>
      </w:tblPr>
      <w:tblGrid>
        <w:gridCol w:w="2527"/>
        <w:gridCol w:w="1587"/>
        <w:gridCol w:w="1605"/>
        <w:gridCol w:w="211"/>
        <w:gridCol w:w="646"/>
        <w:gridCol w:w="109"/>
        <w:gridCol w:w="109"/>
        <w:gridCol w:w="109"/>
        <w:gridCol w:w="109"/>
        <w:gridCol w:w="211"/>
        <w:gridCol w:w="481"/>
        <w:gridCol w:w="109"/>
        <w:gridCol w:w="109"/>
        <w:gridCol w:w="109"/>
        <w:gridCol w:w="109"/>
        <w:gridCol w:w="211"/>
        <w:gridCol w:w="406"/>
        <w:gridCol w:w="109"/>
        <w:gridCol w:w="109"/>
        <w:gridCol w:w="109"/>
        <w:gridCol w:w="109"/>
        <w:gridCol w:w="211"/>
        <w:gridCol w:w="646"/>
        <w:gridCol w:w="155"/>
      </w:tblGrid>
      <w:tr>
        <w:trPr/>
        <w:tc>
          <w:tcPr>
            <w:tcW w:w="2527"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5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securities segregated under federal and other regulations: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48310"/>
                <wp:effectExtent l="0" t="0" r="0" b="0"/>
                <wp:wrapNone/>
                <wp:docPr id="23" name="Frame2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tbl>
      <w:tblPr>
        <w:tblW w:w="8115" w:type="dxa"/>
        <w:jc w:val="left"/>
        <w:tblInd w:w="0" w:type="dxa"/>
        <w:tblLayout w:type="fixed"/>
        <w:tblCellMar>
          <w:top w:w="28" w:type="dxa"/>
          <w:left w:w="28" w:type="dxa"/>
          <w:bottom w:w="28" w:type="dxa"/>
          <w:right w:w="28" w:type="dxa"/>
        </w:tblCellMar>
      </w:tblPr>
      <w:tblGrid>
        <w:gridCol w:w="1598"/>
        <w:gridCol w:w="1010"/>
        <w:gridCol w:w="1022"/>
        <w:gridCol w:w="211"/>
        <w:gridCol w:w="646"/>
        <w:gridCol w:w="109"/>
        <w:gridCol w:w="109"/>
        <w:gridCol w:w="109"/>
        <w:gridCol w:w="109"/>
        <w:gridCol w:w="211"/>
        <w:gridCol w:w="481"/>
        <w:gridCol w:w="109"/>
        <w:gridCol w:w="109"/>
        <w:gridCol w:w="109"/>
        <w:gridCol w:w="109"/>
        <w:gridCol w:w="211"/>
        <w:gridCol w:w="406"/>
        <w:gridCol w:w="109"/>
        <w:gridCol w:w="109"/>
        <w:gridCol w:w="109"/>
        <w:gridCol w:w="109"/>
        <w:gridCol w:w="211"/>
        <w:gridCol w:w="646"/>
        <w:gridCol w:w="154"/>
      </w:tblGrid>
      <w:tr>
        <w:trPr/>
        <w:tc>
          <w:tcPr>
            <w:tcW w:w="159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2025</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Deposits with clearing organizations: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U.S. Treasury securities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Stablecoin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 - escrow account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shares repurchase obligations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Helvetica;sans-serif" w:hAnsi="Helvetica;sans-serif"/>
          <w:b w:val="false"/>
          <w:color w:val="000000"/>
          <w:sz w:val="20"/>
        </w:rPr>
      </w:pPr>
      <w:r>
        <w:rPr>
          <w:rFonts w:ascii="Helvetica;sans-serif" w:hAnsi="Helvetica;sans-serif"/>
          <w:b w:val="false"/>
          <w:color w:val="000000"/>
          <w:sz w:val="20"/>
        </w:rPr>
        <w:br/>
        <w:t>____________________________</w:t>
      </w:r>
    </w:p>
    <w:p>
      <w:pPr>
        <w:pStyle w:val="TextBody"/>
        <w:bidi w:val="0"/>
        <w:spacing w:lineRule="auto" w:line="288" w:before="0" w:after="200"/>
        <w:jc w:val="both"/>
        <w:rPr/>
      </w:pPr>
      <w:r>
        <w:rPr>
          <w:rFonts w:ascii="Helvetica;sans-serif" w:hAnsi="Helvetica;sans-serif"/>
          <w:b w:val="false"/>
          <w:color w:val="000000"/>
          <w:sz w:val="13"/>
        </w:rPr>
        <w:t xml:space="preserve">(1) </w:t>
      </w:r>
      <w:r>
        <w:rPr>
          <w:rFonts w:ascii="Helvetica;sans-serif" w:hAnsi="Helvetica;sans-serif"/>
          <w:b w:val="false"/>
          <w:color w:val="000000"/>
          <w:sz w:val="16"/>
        </w:rPr>
        <w:t>As of March 31, 2025, $1 million of our U.S. Treasury securities are deposited with an exchange to enable the execution, clearing, and settlement of event contracts.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for certain financial instruments that are not required to be measured or reported at fair value was presented on our unaudited condensed consolidated balance sheets as follows:</w:t>
      </w:r>
    </w:p>
    <w:tbl>
      <w:tblPr>
        <w:tblW w:w="7260" w:type="dxa"/>
        <w:jc w:val="left"/>
        <w:tblInd w:w="0" w:type="dxa"/>
        <w:tblLayout w:type="fixed"/>
        <w:tblCellMar>
          <w:top w:w="28" w:type="dxa"/>
          <w:left w:w="28" w:type="dxa"/>
          <w:bottom w:w="28" w:type="dxa"/>
          <w:right w:w="28" w:type="dxa"/>
        </w:tblCellMar>
      </w:tblPr>
      <w:tblGrid>
        <w:gridCol w:w="1399"/>
        <w:gridCol w:w="886"/>
        <w:gridCol w:w="895"/>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Held-to-maturity investments: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0" w:type="dxa"/>
        <w:jc w:val="left"/>
        <w:tblInd w:w="0" w:type="dxa"/>
        <w:tblLayout w:type="fixed"/>
        <w:tblCellMar>
          <w:top w:w="28" w:type="dxa"/>
          <w:left w:w="28" w:type="dxa"/>
          <w:bottom w:w="28" w:type="dxa"/>
          <w:right w:w="28" w:type="dxa"/>
        </w:tblCellMar>
      </w:tblPr>
      <w:tblGrid>
        <w:gridCol w:w="1399"/>
        <w:gridCol w:w="886"/>
        <w:gridCol w:w="895"/>
        <w:gridCol w:w="211"/>
        <w:gridCol w:w="481"/>
        <w:gridCol w:w="109"/>
        <w:gridCol w:w="109"/>
        <w:gridCol w:w="109"/>
        <w:gridCol w:w="109"/>
        <w:gridCol w:w="211"/>
        <w:gridCol w:w="406"/>
        <w:gridCol w:w="109"/>
        <w:gridCol w:w="109"/>
        <w:gridCol w:w="109"/>
        <w:gridCol w:w="109"/>
        <w:gridCol w:w="211"/>
        <w:gridCol w:w="406"/>
        <w:gridCol w:w="109"/>
        <w:gridCol w:w="109"/>
        <w:gridCol w:w="109"/>
        <w:gridCol w:w="109"/>
        <w:gridCol w:w="211"/>
        <w:gridCol w:w="481"/>
        <w:gridCol w:w="154"/>
      </w:tblGrid>
      <w:tr>
        <w:trPr/>
        <w:tc>
          <w:tcPr>
            <w:tcW w:w="13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2025</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Held-to-maturity investments: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48310"/>
                <wp:effectExtent l="0" t="0" r="0" b="0"/>
                <wp:wrapNone/>
                <wp:docPr id="24" name="Frame2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quality controls utilized by the pricing services in management's overall assessment of the reasonableness of the fair values provided.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2025, we did not have any transfers in or out of Level 3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8: INCOME TAXES</w:t>
      </w:r>
    </w:p>
    <w:tbl>
      <w:tblPr>
        <w:tblW w:w="5249" w:type="dxa"/>
        <w:jc w:val="left"/>
        <w:tblInd w:w="0" w:type="dxa"/>
        <w:tblLayout w:type="fixed"/>
        <w:tblCellMar>
          <w:top w:w="28" w:type="dxa"/>
          <w:left w:w="28" w:type="dxa"/>
          <w:bottom w:w="28" w:type="dxa"/>
          <w:right w:w="28" w:type="dxa"/>
        </w:tblCellMar>
      </w:tblPr>
      <w:tblGrid>
        <w:gridCol w:w="939"/>
        <w:gridCol w:w="826"/>
        <w:gridCol w:w="829"/>
        <w:gridCol w:w="109"/>
        <w:gridCol w:w="109"/>
        <w:gridCol w:w="109"/>
        <w:gridCol w:w="211"/>
        <w:gridCol w:w="481"/>
        <w:gridCol w:w="286"/>
        <w:gridCol w:w="109"/>
        <w:gridCol w:w="109"/>
        <w:gridCol w:w="109"/>
        <w:gridCol w:w="211"/>
        <w:gridCol w:w="481"/>
        <w:gridCol w:w="331"/>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tax provision for interim periods is determined using an estimated annual effective tax rate (“ETR”), adjusted for discrete items arising in the period. In each quarter, we update our estimated annual ETR and make a year-to-date calculation of the provision.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three months ended March 31, 2024, the ETR was lower than the U.S. federal statutory rate primarily due to the full valuation allowance on our U.S. federal and state deferred tax assets offset by current taxes payable. For the three months ended March 31, 2025, the ETR was lower than the U.S. federal statutory rate primarily due to excess tax benefits from SBC.</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realization of tax benefits of net deferred assets is dependent upon future levels of taxable income, of an appropriate character, in the periods the items are expected to be deductible or taxable. Based on the available objective evidence for the three months ended March 31, 2025, we believe it is more likely than not that the tax benefits of our California, certain other U.S. states and certain foreign net deferred tax assets may not be realized until sufficient positive evidence exists to support reversal of the valuation allowance.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9: SECURITIES BORROWING AND LENDING</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unaudited condensed consolidated balance sheets.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we borrow securities from users participating in the Fully-Paid Securities Lending program or from third parties, we provide cash collateral to our users and third parties, which is recorded on our consolidated balance sheets as “securities borrowed”, an asset, representing our rights to the return of that collateral. When we lend securities to third parties, we receive cash as collateral, which is recorded on our consolidated balance sheets as “securities loaned”, a liability, representing our obligation to return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48310"/>
                <wp:effectExtent l="0" t="0" r="0" b="0"/>
                <wp:wrapNone/>
                <wp:docPr id="25" name="Frame2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certain balances related to our securities borrowing and lending activities as of December 31, 2024 and March 31, 2025:</w:t>
      </w:r>
    </w:p>
    <w:tbl>
      <w:tblPr>
        <w:tblW w:w="10205" w:type="dxa"/>
        <w:jc w:val="left"/>
        <w:tblInd w:w="0" w:type="dxa"/>
        <w:tblLayout w:type="fixed"/>
        <w:tblCellMar>
          <w:top w:w="28" w:type="dxa"/>
          <w:left w:w="28" w:type="dxa"/>
          <w:bottom w:w="28" w:type="dxa"/>
          <w:right w:w="28" w:type="dxa"/>
        </w:tblCellMar>
      </w:tblPr>
      <w:tblGrid>
        <w:gridCol w:w="2912"/>
        <w:gridCol w:w="2383"/>
        <w:gridCol w:w="2421"/>
        <w:gridCol w:w="250"/>
        <w:gridCol w:w="769"/>
        <w:gridCol w:w="129"/>
        <w:gridCol w:w="109"/>
        <w:gridCol w:w="109"/>
        <w:gridCol w:w="109"/>
        <w:gridCol w:w="211"/>
        <w:gridCol w:w="646"/>
        <w:gridCol w:w="157"/>
      </w:tblGrid>
      <w:tr>
        <w:trPr/>
        <w:tc>
          <w:tcPr>
            <w:tcW w:w="2912"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7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7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2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borrowed</w:t>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provided to users for securities borrowing transactions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assets presented on the consolidated balance sheets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provided to users and third parties for securities borrowing transactions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borrowed from users and third parties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(3,995)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w:t>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Securities loaned</w:t>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cash collateral received from counterparties for securities lending transactions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liabilities presented on the consolidated balance sheets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not offset on the consolidated balance sheets: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collateral received from counterparties for securities lending transactions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9,098 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Fair value of securities pledged to counterparties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(6,887)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(8,523)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obtain securities on terms that permit us to pledge and/or transfer securities to others. As of December 31, 2024 and March 31, 2025, we were permitted to re-pledge securities with a fair value of $11.04 billion and $12.34 billion under margin account agreements with users. As of December 31, 2024, we were permitted to re-pledge securities with a fair value of an immaterial balance that we borrowed under the master securities loan agreements (“MSLAs”) with third parties. As of March 31, 2025, there were no securities re-pledged from borrowing under MSLAs with third parties. Under the Fully-Paid Securities Lending program, as of December 31, 2024 and March 31, 2025, we were permitted to borrow securities with a fair value of $38.70 billion and $40.28 billion including securities with a fair value of $3.12 billion and $3.99 billion that we had borrowed from users.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March 31, 2025, we had re-pledged securities with a fair value of $6.89 billion and $8.52 billion, in each case under MSLAs and fixed-term securities lending agreements with third parties. In addition, as of December 31, 2024 and March 31, 2025, we had re-pledged $1.60 billion and $1.56 billion of the permitted amounts under the margin account agreements with clearing organizations to meet deposit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10: FINANCING ACTIVITIES AND OFF-BALANCE SHEET RISK</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Revolving Credit Facilities</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RHM March 2025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March 21, 2025, RHM entered into the Third Amended and Restated Credit Agreement with a syndicate of banks (the “RHM March 2025 Credit Agreement”) amending and restating the unsecured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48310"/>
                <wp:effectExtent l="0" t="0" r="0" b="0"/>
                <wp:wrapNone/>
                <wp:docPr id="26" name="Frame2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revolving line of credit entered into in March 2024 (refer to Note 12 - Financing Activities and Off-Balance Sheet Risk, of the 2024 Form 10-K for more information). The RHM March 2025 Credit Agreement has an initial commitment of $1 billion with a maturity date of March 21, 2028. Under circumstances described in the RHM March 2025 Credit Agreement, the aggregate commitments may be increased by up to $250 million, for a total commitment of up to $1.250 billion. Borrowings under the RHM March 2025 Credit Agreement will bear interest at a rate per annum equal to the Alternate Base Rate or Adjusted Term Secured Overnight Financing Rate (“SOFR”) plus an applicable margin rate of 1.50%. For purposes of the RHM March 2025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 such rate shall be deemed to be equal to the floor. RHM is obligated to pay a commitment fee calculated at a per annum rate equal to 0.25% on any unused amount of the RHM March 2025 Credit Agreement.</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Robinhood Securities, LLC (“RHS”) March 2025 Credit Agreement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21, 2025, RHS, our wholly-owned subsidiary, entered into the Fourth Amended and Restated Credit Agreement (the “RHS March 2025 Credit Agreement”) among RHS, as borrower, the lenders party thereto, and JPMorgan Chase Bank, N.A., as administrative agent, amending and restating the $2.25 billion 364-day senior secured revolving credit facility entered into in March 2024 (refer to Note 12 - Financing Activities and Off-Balance Sheet Risk, of the 2024 Form 10-K for more information).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RHS March 2025 Credit Agreement provides for a 364-day senior secured revolving credit facility with a total commitment of $2.65 billion. Under circumstances described in the RHS March 2025 Credit Agreement, the aggregate commitments may be increased by up to $1.325 billion, for a total commitment of $3.975 billion. Borrowings under the credit facility must be specified to be Tranche A, Tranche B, Tranche C or a combination thereof, with each tranche being secured by different assets of RHS as set forth in the RHS March 2025 Credit Agreement. Borrowings under the RHS March 2025 Credit Agreement will bear interest at a rate per annum equal to the greatest of (i) Daily Simple SOFR (as defined in the RHS March 2025 Credit Agreement) plus 0.10% , (ii) the Federal Funds Effective Rate (as defined in the RHS March 2025 Credit Agreement) and (iii) the Overnight Bank Funding Rate (as defined in the RHS March 2025 Credit Agreement), in each case, as of the day the loan is initiated, plus an applicable margin rate. The applicable margin rate is 1.25% for Tranche A loans and 2.50% for Tranche B and Tranche C loans. Undrawn commitments will accrue commitment fees at a rate per annum equal to 0.50%.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RHS March 2025 Credit Agreement requires RHS to maintain a minimum consolidated tangible net worth and a minimum excess net capital, and subjects RHS to a specified limit on minimum net capital to aggregate debit items. In addition, the RHS March 2025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2025 Credit Agreement may be accelerated upon an “event of default,” as defined in the RHS March 2025 Credit Agreement, such as failure to pay amounts owed thereunder when due, breach of a covenant, material inaccuracy of a representation, or occurrence of bankruptcy or insolvency, subject in some cases to cure periods.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2024 and March 31, 2025, there were no borrowings outstanding and we were in compliance with all covenants, as applicable, under our revolving credit facilities.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Credit Card Funding Trust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terms of the Coastal Community Bank (“Coastal Bank”) Program Agreement (discussed below), Robinhood Credit Inc. (“Robinhood Credit”) has the ability to purchase credit card receivables originated and held for a period of time by Coastal Bank. Robinhood Credit continues to earn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48310"/>
                <wp:effectExtent l="0" t="0" r="0" b="0"/>
                <wp:wrapNone/>
                <wp:docPr id="27" name="Frame2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from customers and uses these purchased credit card receivables as collateral under a trust structure to access debt financing in the ordinary course of business. To help facilitate these transactions, we created a variable interest entity known as the Credit Card Funding Trust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the primary beneficiary of the Trust as, through our role as the servicer and administrator, we have the power to direct the activities that most significantly affect the Trust's economic performance and, due to owning all the equity interest in the Trust, have the right to receive benefits or the obligation to absorb losses. As such, we consolidate the Trust in the unaudited condensed consolidated financial statements. Substantially all of the Trust’s assets and liabilities are the purchased credit card receivables, included in receivables from users, net, and the outstanding borrowing, included in other current liabilities, on the unaudited condensed consolidated balance sheets.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losses in the Trust is limited to the carrying value of net assets held by the Trust, including expected credit losses related to the purchased credit card receivables (Refer to Note 6 - Allowance for Credit Losses). For the Trust, the creditors have no recourse to our general credit and the liabilities of the Trust can only be settled by the Trust’s assets. Additionally, the assets of the Trust can only be used to settle obligations of the Trust.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March 31, 2025, the Trust had two arrangements in place, one to borrow up to $200 million from Barclays Bank (“Barclays”) and one to borrow up to $200 million from Silicon Valley Bank (“SVB”), which was amended on March 17, 2025 to increase the borrowing capacity and extend the maturity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Barclays arrangement, the Trust may borrow, repay, and re-borrow up to a committed amount of $200 million during the revolving period, which ends in November 2026. During this period, borrowings bear interest at Barclays’ commercial paper rate plus 1.75%. After the revolving period ends, the facility enters an amortization period during which no new borrowings are permitted, and the Trust repays the outstanding balance. The interest margin increases during this amortization phase.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SVB arrangement, the Trust may borrow, repay, and re-borrow up to a committed amount of $200 million during the revolving period, which ends in April 2027. During this period, borrowings bear interest at SOFR plus 2.75% for amounts outstanding under $100 million, and SOFR plus 2.50% for amounts exceeding $100 million.</w:t>
      </w:r>
    </w:p>
    <w:p>
      <w:pPr>
        <w:pStyle w:val="TextBody"/>
        <w:bidi w:val="0"/>
        <w:spacing w:lineRule="auto" w:line="288" w:before="0" w:after="200"/>
        <w:ind w:left="0" w:right="0" w:firstLine="360"/>
        <w:jc w:val="both"/>
        <w:rPr/>
      </w:pPr>
      <w:r>
        <w:rPr>
          <w:rFonts w:ascii="Helvetica;sans-serif" w:hAnsi="Helvetica;sans-serif"/>
          <w:b w:val="false"/>
          <w:color w:val="000000"/>
          <w:sz w:val="20"/>
        </w:rPr>
        <w:t>As of December 31, 2024 and March 31, 2025, the weighted average interest rate of the SVB and Barclays arrangements was 7.81% and 6.67%. As of December 31, 2024 and during the three months ended March 31, 2025, the Trust purchased $748 million and $549 million of credit card receivables. As of December 31, 2024 and March 31, 2025, the carrying value of purchased credit card receivables that had not been collected, net of provision for credit losses, was $179 million and $208 million, and the outstanding balance of borrowing principal and interest was $131 million and $156 million. For the three months ended March 31, 2024</w:t>
      </w:r>
      <w:r>
        <w:rPr>
          <w:color w:val="000000"/>
        </w:rPr>
        <w:t xml:space="preserve"> </w:t>
      </w:r>
      <w:r>
        <w:rPr>
          <w:rFonts w:ascii="Helvetica;sans-serif" w:hAnsi="Helvetica;sans-serif"/>
          <w:b w:val="false"/>
          <w:color w:val="000000"/>
          <w:sz w:val="20"/>
        </w:rPr>
        <w:t>and</w:t>
      </w:r>
      <w:r>
        <w:rPr>
          <w:color w:val="000000"/>
        </w:rPr>
        <w:t xml:space="preserve"> </w:t>
      </w:r>
      <w:r>
        <w:rPr>
          <w:rFonts w:ascii="Helvetica;sans-serif" w:hAnsi="Helvetica;sans-serif"/>
          <w:b w:val="false"/>
          <w:color w:val="000000"/>
          <w:sz w:val="20"/>
        </w:rPr>
        <w:t>2025, the related interest revenue and expense of the Trust were immaterial.</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Off-Balance Sheet Risk</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Coastal Bank Program Agreement</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a program agreement between us and Coastal Bank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 </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credit card receivables and the funding from Coastal Bank are off-balance sheet, considering Coastal Bank is the legal lender and originator, the party to which the customer has a creditor-borrower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48310"/>
                <wp:effectExtent l="0" t="0" r="0" b="0"/>
                <wp:wrapNone/>
                <wp:docPr id="28" name="Frame2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 xml:space="preserve">relationship, and the legal owner of the receivables. As of March 31, 2025, the off-balance sheet credit card receivables funded under the Program Agreement was $206 million. </w:t>
      </w:r>
    </w:p>
    <w:p>
      <w:pPr>
        <w:pStyle w:val="TextBody"/>
        <w:bidi w:val="0"/>
        <w:spacing w:before="0" w:after="0"/>
        <w:ind w:left="0" w:right="0" w:firstLine="720"/>
        <w:jc w:val="both"/>
        <w:rPr/>
      </w:pPr>
      <w:r>
        <w:rPr/>
      </w:r>
    </w:p>
    <w:p>
      <w:pPr>
        <w:pStyle w:val="TextBody"/>
        <w:bidi w:val="0"/>
        <w:spacing w:lineRule="auto" w:line="276" w:before="0" w:after="0"/>
        <w:jc w:val="both"/>
        <w:rPr>
          <w:rFonts w:ascii="Helvetica;sans-serif" w:hAnsi="Helvetica;sans-serif"/>
          <w:b w:val="false"/>
          <w:i/>
          <w:color w:val="000000"/>
          <w:sz w:val="20"/>
        </w:rPr>
      </w:pPr>
      <w:r>
        <w:rPr>
          <w:rFonts w:ascii="Helvetica;sans-serif" w:hAnsi="Helvetica;sans-serif"/>
          <w:b w:val="false"/>
          <w:i/>
          <w:color w:val="000000"/>
          <w:sz w:val="20"/>
        </w:rPr>
        <w:t>Transaction Settlement</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normal course of business, we engage in activities involving settlement and financing of securities transactions. User securities transactions are recorded on a settlement date basis. Effective May 2024, the settlement date for equities has been shortened from two business days after the trade date to one business day after the trade date, while the settlement date for options remains unchanged at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 </w:t>
      </w:r>
    </w:p>
    <w:p>
      <w:pPr>
        <w:pStyle w:val="TextBody"/>
        <w:bidi w:val="0"/>
        <w:spacing w:lineRule="auto" w:line="276" w:before="0" w:after="0"/>
        <w:jc w:val="both"/>
        <w:rPr>
          <w:rFonts w:ascii="Helvetica;sans-serif" w:hAnsi="Helvetica;sans-serif"/>
          <w:b w:val="false"/>
          <w:i/>
          <w:color w:val="000000"/>
          <w:sz w:val="20"/>
        </w:rPr>
      </w:pPr>
      <w:r>
        <w:rPr>
          <w:rFonts w:ascii="Helvetica;sans-serif" w:hAnsi="Helvetica;sans-serif"/>
          <w:b w:val="false"/>
          <w:i/>
          <w:color w:val="000000"/>
          <w:sz w:val="20"/>
        </w:rPr>
        <w:t>Cryptocurrency Held in Custody on Behalf of Users</w:t>
      </w:r>
    </w:p>
    <w:p>
      <w:pPr>
        <w:pStyle w:val="TextBody"/>
        <w:bidi w:val="0"/>
        <w:spacing w:before="0" w:after="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hold cryptocurrencies in custody on behalf of our users totaling $35.2 billion and $27.4 billion at fair value at December 31, 2024 and March 31, 2025, and these assets were not recorded on our unaudited condensed consolidated balance sheets. The fair value was determined based on observed market pricing representing the last price executed for trades of each cryptocurrency at period ends. We also considered whether a liability representing anticipated losses from crypto assets which we hold in custody on behalf of users should be recognized and determined the likelihood of such losses was remote. As such, we did not record a liability at December 31, 2024 and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11: COMMON STOCK AND STOCKHOLDERS' EQUITY</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Preferred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2025, no terms of the preferred stock were designated and no shares of preferred stock were outstanding.</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Common Stock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Amended and Restated Certificate of Incorporation (our “Charter”) or applicable law.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Warrants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2025, we had outstanding warrants with a strike price of $26.60 that can be exercised to purchase 12.10 million shares of Class A common stock. The warrants expire on February 12, 2031 and can be exercised with cash or net shares settled at the holder’s option. As of March 31, 2025, 0.77 million warrants had been exercised via net settlement, resulting in 0.42 million shares of Class A common stock issued, and the maximum purchase amount of all remaining outstanding warrants was $322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48310"/>
                <wp:effectExtent l="0" t="0" r="0" b="0"/>
                <wp:wrapNone/>
                <wp:docPr id="29" name="Frame2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shd w:fill="FFFFFF" w:val="clear"/>
        </w:rPr>
      </w:pPr>
      <w:r>
        <w:rPr>
          <w:rFonts w:ascii="Helvetica;sans-serif" w:hAnsi="Helvetica;sans-serif"/>
          <w:b/>
          <w:i/>
          <w:color w:val="000000"/>
          <w:sz w:val="24"/>
          <w:shd w:fill="FFFFFF" w:val="clear"/>
        </w:rPr>
        <w:t>Share Repurchase Program</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May 28, 2024, we announced that our board of directors approved a share repurchase program (the “Repurchase Program”) authorizing the Company to repurchase up to $1 billion of its outstanding Class A common stock. The timing and amount of repurchase transactions will be determined by us from time to time at our discretion based on our evaluation of market conditions, share price, and other factors.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During the three months ended March 31, 2025, we repurchased approximately 7.2 million shares of our Class A common stock for $322 million. On April 30, 2025, we announced that our board of directors has authorized an additional $500 million, bringing the Repurchase Program authorization to a total of $1.5 billion. While the Repurchase Program does not have an expiration date, we expect to execute over the next roughly two years with flexibility to accelerate if market conditions warrant.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Equity Incentive Plans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2021 Omnibus Incentive Plan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2021 Omnibus Incentive Plan (the “2021 Plan”) became effective on July 27, 2021, and provides for the grant of share-based awards (such as options, including incentive stock options, non statutory stock options, stock appreciation rights, restricted stock awards, restricted stock units (“RSUs”), performance units, and other equity-based awards) and cash-based awards.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2025, an aggregate of 492 million shares had been authorized for issuance under our Amended and Restated 2013 Stock Plan, as amended, 2020 Equity Incentive Plan, as amended, and 2021 Plan, of which 156 million shares had been issued under the plans, 34 million shares were reserved for issuance upon the exercise or settlement of outstanding equity awards under the plans, and 302 million shares remained available for new grants under the 2021 Plan.</w:t>
      </w:r>
    </w:p>
    <w:p>
      <w:pPr>
        <w:pStyle w:val="TextBody"/>
        <w:bidi w:val="0"/>
        <w:spacing w:lineRule="auto" w:line="288" w:before="0" w:after="20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Time-Based RSUs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grant RSUs that vest upon the satisfaction of a time-based service condition (“Time-Based RSUs”). The following table summarizes the activity for the three months ended March 31, 2025, which is the period we grant our company-wide annual refresh grants: </w:t>
      </w:r>
    </w:p>
    <w:tbl>
      <w:tblPr>
        <w:tblW w:w="8092" w:type="dxa"/>
        <w:jc w:val="left"/>
        <w:tblInd w:w="0" w:type="dxa"/>
        <w:tblLayout w:type="fixed"/>
        <w:tblCellMar>
          <w:top w:w="28" w:type="dxa"/>
          <w:left w:w="28" w:type="dxa"/>
          <w:bottom w:w="28" w:type="dxa"/>
          <w:right w:w="28" w:type="dxa"/>
        </w:tblCellMar>
      </w:tblPr>
      <w:tblGrid>
        <w:gridCol w:w="1058"/>
        <w:gridCol w:w="930"/>
        <w:gridCol w:w="936"/>
        <w:gridCol w:w="563"/>
        <w:gridCol w:w="563"/>
        <w:gridCol w:w="476"/>
        <w:gridCol w:w="109"/>
        <w:gridCol w:w="109"/>
        <w:gridCol w:w="109"/>
        <w:gridCol w:w="676"/>
        <w:gridCol w:w="2070"/>
        <w:gridCol w:w="49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18,233,088 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15.20 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5,045,743 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(5,525,366)</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17.02 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(653,043)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16.44 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March 31, 2025</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17,100,422 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23.52 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48310"/>
                <wp:effectExtent l="0" t="0" r="0" b="0"/>
                <wp:wrapNone/>
                <wp:docPr id="30" name="Frame2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Market-Based RSUs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2019 and 2021, we granted to our founders RSUs under which vesting is conditioned upon both the achievement of share price targets and the continued employment by each recipient over defined service periods (“Market-Based RSUs”).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activity for the three months ended March 31, 2025: </w:t>
      </w:r>
    </w:p>
    <w:tbl>
      <w:tblPr>
        <w:tblW w:w="10205" w:type="dxa"/>
        <w:jc w:val="left"/>
        <w:tblInd w:w="0" w:type="dxa"/>
        <w:tblLayout w:type="fixed"/>
        <w:tblCellMar>
          <w:top w:w="28" w:type="dxa"/>
          <w:left w:w="28" w:type="dxa"/>
          <w:bottom w:w="28" w:type="dxa"/>
          <w:right w:w="28" w:type="dxa"/>
        </w:tblCellMar>
      </w:tblPr>
      <w:tblGrid>
        <w:gridCol w:w="989"/>
        <w:gridCol w:w="869"/>
        <w:gridCol w:w="875"/>
        <w:gridCol w:w="109"/>
        <w:gridCol w:w="109"/>
        <w:gridCol w:w="599"/>
        <w:gridCol w:w="591"/>
        <w:gridCol w:w="565"/>
        <w:gridCol w:w="109"/>
        <w:gridCol w:w="109"/>
        <w:gridCol w:w="109"/>
        <w:gridCol w:w="624"/>
        <w:gridCol w:w="611"/>
        <w:gridCol w:w="589"/>
        <w:gridCol w:w="109"/>
        <w:gridCol w:w="109"/>
        <w:gridCol w:w="109"/>
        <w:gridCol w:w="629"/>
        <w:gridCol w:w="1928"/>
        <w:gridCol w:w="46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Not Eligible to Vest</w:t>
            </w:r>
            <w:r>
              <w:rPr>
                <w:rFonts w:ascii="Helvetica;sans-serif" w:hAnsi="Helvetica;sans-serif"/>
                <w:b/>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26.04 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26.04 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(1)Represents RSUs that have not yet become eligible to vest because share price targets have not yet been achieved.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Acquisition of TradePMR</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 acquisition of TradePMR, we issued 2,049,711 unvested shares of Class A common stock, valued at approximately $100 million as of the closing date of the acquisition, that will vest over a four-year period post-acquisition, subject to the terms of a vesting agreement. These shares are not part of the equity incentive plans described above. Shares of unvested restricted stock have the same voting rights as all other Class A common stock and are considered to be issued and outstanding. The following table summarizes the activity for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48310"/>
                <wp:effectExtent l="0" t="0" r="0" b="0"/>
                <wp:wrapNone/>
                <wp:docPr id="31" name="Frame3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tbl>
      <w:tblPr>
        <w:tblW w:w="7987" w:type="dxa"/>
        <w:jc w:val="left"/>
        <w:tblInd w:w="0" w:type="dxa"/>
        <w:tblLayout w:type="fixed"/>
        <w:tblCellMar>
          <w:top w:w="28" w:type="dxa"/>
          <w:left w:w="28" w:type="dxa"/>
          <w:bottom w:w="28" w:type="dxa"/>
          <w:right w:w="28" w:type="dxa"/>
        </w:tblCellMar>
      </w:tblPr>
      <w:tblGrid>
        <w:gridCol w:w="1058"/>
        <w:gridCol w:w="930"/>
        <w:gridCol w:w="936"/>
        <w:gridCol w:w="510"/>
        <w:gridCol w:w="511"/>
        <w:gridCol w:w="476"/>
        <w:gridCol w:w="109"/>
        <w:gridCol w:w="109"/>
        <w:gridCol w:w="109"/>
        <w:gridCol w:w="676"/>
        <w:gridCol w:w="2070"/>
        <w:gridCol w:w="493"/>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Issued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2,049,711 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March 31, 2025</w:t>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2,049,711 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48.85 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Share-Based Compensation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SBC on our unaudited condensed consolidated statements of operations for the periods indicated:</w:t>
      </w:r>
    </w:p>
    <w:tbl>
      <w:tblPr>
        <w:tblW w:w="5770" w:type="dxa"/>
        <w:jc w:val="left"/>
        <w:tblInd w:w="0" w:type="dxa"/>
        <w:tblLayout w:type="fixed"/>
        <w:tblCellMar>
          <w:top w:w="28" w:type="dxa"/>
          <w:left w:w="28" w:type="dxa"/>
          <w:bottom w:w="28" w:type="dxa"/>
          <w:right w:w="28" w:type="dxa"/>
        </w:tblCellMar>
      </w:tblPr>
      <w:tblGrid>
        <w:gridCol w:w="988"/>
        <w:gridCol w:w="866"/>
        <w:gridCol w:w="876"/>
        <w:gridCol w:w="109"/>
        <w:gridCol w:w="109"/>
        <w:gridCol w:w="209"/>
        <w:gridCol w:w="209"/>
        <w:gridCol w:w="405"/>
        <w:gridCol w:w="722"/>
        <w:gridCol w:w="209"/>
        <w:gridCol w:w="109"/>
        <w:gridCol w:w="109"/>
        <w:gridCol w:w="109"/>
        <w:gridCol w:w="211"/>
        <w:gridCol w:w="3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68" w:type="dxa"/>
            <w:gridSpan w:val="6"/>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Brokerage and 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Technology and development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Total</w:t>
            </w:r>
            <w:r>
              <w:rPr>
                <w:rFonts w:ascii="Helvetica;sans-serif" w:hAnsi="Helvetica;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(1)For the three months ended March 31, 2024, SBC expense primarily consisted of $68 million related to Time-Based RSUs and a negative $9 million related to Market-Based RSUs as a result of a reversal of $11 million of previously recognized expense related to unvested awards that were forfeited upon the resignation of our co-founder and former Chief Creative Officer. For the three months ended March 31, 2025, SBC expense primarily consisted of $70 million related to Time-Based RSUs. All eligible to vest Market-Based RSUs have been fully expensed in 2024. </w:t>
      </w:r>
    </w:p>
    <w:p>
      <w:pPr>
        <w:pStyle w:val="TextBody"/>
        <w:bidi w:val="0"/>
        <w:spacing w:lineRule="auto" w:line="288" w:before="200" w:after="283"/>
        <w:ind w:left="0" w:right="0" w:firstLine="360"/>
        <w:jc w:val="both"/>
        <w:rPr/>
      </w:pPr>
      <w:r>
        <w:rPr>
          <w:rFonts w:ascii="Helvetica;sans-serif" w:hAnsi="Helvetica;sans-serif"/>
          <w:b w:val="false"/>
          <w:color w:val="000000"/>
          <w:sz w:val="20"/>
        </w:rPr>
        <w:t>We capitalized SBC expense related to internally developed software of $5 million and $6 million during the three months ended March 31, 2024</w:t>
      </w:r>
      <w:r>
        <w:rPr>
          <w:color w:val="000000"/>
        </w:rPr>
        <w:t xml:space="preserve"> </w:t>
      </w:r>
      <w:r>
        <w:rPr>
          <w:rFonts w:ascii="Helvetica;sans-serif" w:hAnsi="Helvetica;sans-serif"/>
          <w:b w:val="false"/>
          <w:color w:val="000000"/>
          <w:sz w:val="20"/>
        </w:rPr>
        <w:t>and</w:t>
      </w:r>
      <w:r>
        <w:rPr>
          <w:color w:val="000000"/>
        </w:rPr>
        <w:t xml:space="preserve"> </w:t>
      </w:r>
      <w:r>
        <w:rPr>
          <w:rFonts w:ascii="Helvetica;sans-serif" w:hAnsi="Helvetica;sans-serif"/>
          <w:b w:val="false"/>
          <w:color w:val="000000"/>
          <w:sz w:val="20"/>
        </w:rPr>
        <w:t xml:space="preserve">2025. </w:t>
      </w:r>
    </w:p>
    <w:p>
      <w:pPr>
        <w:pStyle w:val="TextBody"/>
        <w:bidi w:val="0"/>
        <w:spacing w:lineRule="auto" w:line="288" w:before="200" w:after="283"/>
        <w:ind w:left="0" w:right="0" w:firstLine="360"/>
        <w:jc w:val="both"/>
        <w:rPr/>
      </w:pPr>
      <w:r>
        <w:rPr>
          <w:rFonts w:ascii="Helvetica;sans-serif" w:hAnsi="Helvetica;sans-serif"/>
          <w:b w:val="false"/>
          <w:color w:val="000000"/>
          <w:sz w:val="20"/>
          <w:shd w:fill="FFFFFF" w:val="clear"/>
        </w:rPr>
        <w:t xml:space="preserve">As of March 31, 2025, there was </w:t>
      </w:r>
      <w:r>
        <w:rPr>
          <w:rFonts w:ascii="Helvetica;sans-serif" w:hAnsi="Helvetica;sans-serif"/>
          <w:b w:val="false"/>
          <w:color w:val="000000"/>
          <w:sz w:val="20"/>
        </w:rPr>
        <w:t>$471 million</w:t>
      </w:r>
      <w:r>
        <w:rPr>
          <w:color w:val="000000"/>
          <w:shd w:fill="FFFFFF" w:val="clear"/>
        </w:rPr>
        <w:t xml:space="preserve"> </w:t>
      </w:r>
      <w:r>
        <w:rPr>
          <w:rFonts w:ascii="Helvetica;sans-serif" w:hAnsi="Helvetica;sans-serif"/>
          <w:b w:val="false"/>
          <w:color w:val="000000"/>
          <w:sz w:val="20"/>
          <w:shd w:fill="FFFFFF" w:val="clear"/>
        </w:rPr>
        <w:t xml:space="preserve">of unrecognized SBC expense that is expected to be recognized over a weighted-average period of </w:t>
      </w:r>
      <w:r>
        <w:rPr>
          <w:rFonts w:ascii="Helvetica;sans-serif" w:hAnsi="Helvetica;sans-serif"/>
          <w:b w:val="false"/>
          <w:color w:val="000000"/>
          <w:sz w:val="20"/>
        </w:rPr>
        <w:t>1.24 years.</w:t>
      </w:r>
    </w:p>
    <w:p>
      <w:pPr>
        <w:pStyle w:val="TextBody"/>
        <w:bidi w:val="0"/>
        <w:spacing w:before="20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48310"/>
                <wp:effectExtent l="0" t="0" r="0" b="0"/>
                <wp:wrapNone/>
                <wp:docPr id="32" name="Frame3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12: NET INCOME PER SHARE</w:t>
      </w:r>
    </w:p>
    <w:p>
      <w:pPr>
        <w:pStyle w:val="TextBody"/>
        <w:bidi w:val="0"/>
        <w:spacing w:lineRule="auto" w:line="288" w:before="0" w:after="20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presents the calculation of basic and diluted earnings per share (“EPS”):</w:t>
      </w:r>
    </w:p>
    <w:tbl>
      <w:tblPr>
        <w:tblW w:w="10205" w:type="dxa"/>
        <w:jc w:val="left"/>
        <w:tblInd w:w="0" w:type="dxa"/>
        <w:tblLayout w:type="fixed"/>
        <w:tblCellMar>
          <w:top w:w="28" w:type="dxa"/>
          <w:left w:w="28" w:type="dxa"/>
          <w:bottom w:w="28" w:type="dxa"/>
          <w:right w:w="28" w:type="dxa"/>
        </w:tblCellMar>
      </w:tblPr>
      <w:tblGrid>
        <w:gridCol w:w="1795"/>
        <w:gridCol w:w="1289"/>
        <w:gridCol w:w="1297"/>
        <w:gridCol w:w="311"/>
        <w:gridCol w:w="740"/>
        <w:gridCol w:w="109"/>
        <w:gridCol w:w="311"/>
        <w:gridCol w:w="740"/>
        <w:gridCol w:w="109"/>
        <w:gridCol w:w="109"/>
        <w:gridCol w:w="109"/>
        <w:gridCol w:w="109"/>
        <w:gridCol w:w="311"/>
        <w:gridCol w:w="740"/>
        <w:gridCol w:w="109"/>
        <w:gridCol w:w="311"/>
        <w:gridCol w:w="740"/>
        <w:gridCol w:w="109"/>
        <w:gridCol w:w="109"/>
        <w:gridCol w:w="109"/>
        <w:gridCol w:w="109"/>
        <w:gridCol w:w="109"/>
        <w:gridCol w:w="109"/>
        <w:gridCol w:w="312"/>
      </w:tblGrid>
      <w:tr>
        <w:trPr/>
        <w:tc>
          <w:tcPr>
            <w:tcW w:w="179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49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4"/>
            <w:tcBorders/>
          </w:tcPr>
          <w:p>
            <w:pPr>
              <w:pStyle w:val="TableContents"/>
              <w:bidi w:val="0"/>
              <w:spacing w:before="0" w:after="283"/>
              <w:jc w:val="left"/>
              <w:rPr>
                <w:sz w:val="4"/>
                <w:szCs w:val="4"/>
              </w:rPr>
            </w:pPr>
            <w:r>
              <w:rPr>
                <w:sz w:val="4"/>
                <w:szCs w:val="4"/>
              </w:rPr>
            </w:r>
          </w:p>
        </w:tc>
      </w:tr>
      <w:tr>
        <w:trPr/>
        <w:tc>
          <w:tcPr>
            <w:tcW w:w="4381" w:type="dxa"/>
            <w:gridSpan w:val="3"/>
            <w:vMerge w:val="continue"/>
            <w:tcBorders/>
            <w:tcMar>
              <w:top w:w="0" w:type="dxa"/>
              <w:left w:w="0" w:type="dxa"/>
              <w:bottom w:w="0" w:type="dxa"/>
              <w:right w:w="0" w:type="dxa"/>
            </w:tcMar>
            <w:vAlign w:val="center"/>
          </w:tcPr>
          <w:p>
            <w:pPr>
              <w:pStyle w:val="Normal"/>
              <w:bidi w:val="0"/>
              <w:jc w:val="left"/>
              <w:rPr/>
            </w:pPr>
            <w:r>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A</w:t>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common stockholders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749,497,411 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125,821,996 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767,148,225 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117,429,378 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Basic EPS</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Numerator</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Net income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as a result of conversion of Class B to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Reallocation of net income to Class B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income for diluted EPS</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Denominator</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749,497,411 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125,821,996 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767,148,225 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117,429,378 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Dilutive effect of stock options and unvested shares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20,459,748 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24,664,016 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Conversion of Class B to Class A common stock</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125,821,996 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117,429,378 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Weighted-average common shares outstanding - diluted</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895,779,155 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125,821,996 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909,241,619 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117,429,378 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Diluted EPS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potential common shares were excluded from the calculation of diluted EPS because their effect would have been anti-dilutive or issuance of such shares is contingent upon the satisfaction of certain conditions that were not satisfied by the end of the period:</w:t>
      </w:r>
    </w:p>
    <w:tbl>
      <w:tblPr>
        <w:tblW w:w="6460" w:type="dxa"/>
        <w:jc w:val="left"/>
        <w:tblInd w:w="0" w:type="dxa"/>
        <w:tblLayout w:type="fixed"/>
        <w:tblCellMar>
          <w:top w:w="28" w:type="dxa"/>
          <w:left w:w="28" w:type="dxa"/>
          <w:bottom w:w="28" w:type="dxa"/>
          <w:right w:w="28" w:type="dxa"/>
        </w:tblCellMar>
      </w:tblPr>
      <w:tblGrid>
        <w:gridCol w:w="907"/>
        <w:gridCol w:w="797"/>
        <w:gridCol w:w="801"/>
        <w:gridCol w:w="614"/>
        <w:gridCol w:w="512"/>
        <w:gridCol w:w="195"/>
        <w:gridCol w:w="195"/>
        <w:gridCol w:w="195"/>
        <w:gridCol w:w="195"/>
        <w:gridCol w:w="615"/>
        <w:gridCol w:w="511"/>
        <w:gridCol w:w="195"/>
        <w:gridCol w:w="109"/>
        <w:gridCol w:w="109"/>
        <w:gridCol w:w="109"/>
        <w:gridCol w:w="401"/>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Market-Based RSUs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6,045,473 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11,065,463 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Time-Based RSUs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4,595,054 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2,602,524 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14,278,034 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anti-dilutive securities</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27,521,085 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11,096,005 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48310"/>
                <wp:effectExtent l="0" t="0" r="0" b="0"/>
                <wp:wrapNone/>
                <wp:docPr id="33" name="Frame3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13: LEASES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operating leases are comprised of office facilities, and we do not have any finance leases. Lease assets and liabilities recognized on our unaudited condensed consolidated balance sheets were as follows:</w:t>
      </w:r>
    </w:p>
    <w:tbl>
      <w:tblPr>
        <w:tblW w:w="8468" w:type="dxa"/>
        <w:jc w:val="left"/>
        <w:tblInd w:w="0" w:type="dxa"/>
        <w:tblLayout w:type="fixed"/>
        <w:tblCellMar>
          <w:top w:w="28" w:type="dxa"/>
          <w:left w:w="28" w:type="dxa"/>
          <w:bottom w:w="28" w:type="dxa"/>
          <w:right w:w="28" w:type="dxa"/>
        </w:tblCellMar>
      </w:tblPr>
      <w:tblGrid>
        <w:gridCol w:w="1201"/>
        <w:gridCol w:w="1050"/>
        <w:gridCol w:w="1064"/>
        <w:gridCol w:w="809"/>
        <w:gridCol w:w="809"/>
        <w:gridCol w:w="811"/>
        <w:gridCol w:w="109"/>
        <w:gridCol w:w="109"/>
        <w:gridCol w:w="109"/>
        <w:gridCol w:w="308"/>
        <w:gridCol w:w="703"/>
        <w:gridCol w:w="159"/>
        <w:gridCol w:w="109"/>
        <w:gridCol w:w="109"/>
        <w:gridCol w:w="109"/>
        <w:gridCol w:w="224"/>
        <w:gridCol w:w="512"/>
        <w:gridCol w:w="16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right-of-use assets:</w:t>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assets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operating lease liabilities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liabilities</w:t>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270"/>
        <w:jc w:val="left"/>
        <w:rPr>
          <w:rFonts w:ascii="Helvetica;sans-serif" w:hAnsi="Helvetica;sans-serif"/>
          <w:b w:val="false"/>
          <w:color w:val="000000"/>
          <w:sz w:val="20"/>
        </w:rPr>
      </w:pPr>
      <w:r>
        <w:rPr>
          <w:rFonts w:ascii="Helvetica;sans-serif" w:hAnsi="Helvetica;sans-serif"/>
          <w:b w:val="false"/>
          <w:color w:val="000000"/>
          <w:sz w:val="20"/>
        </w:rPr>
        <w:t>Cash flows related to leases were as follows:</w:t>
      </w:r>
    </w:p>
    <w:tbl>
      <w:tblPr>
        <w:tblW w:w="7180" w:type="dxa"/>
        <w:jc w:val="left"/>
        <w:tblInd w:w="0" w:type="dxa"/>
        <w:tblLayout w:type="fixed"/>
        <w:tblCellMar>
          <w:top w:w="28" w:type="dxa"/>
          <w:left w:w="28" w:type="dxa"/>
          <w:bottom w:w="28" w:type="dxa"/>
          <w:right w:w="28" w:type="dxa"/>
        </w:tblCellMar>
      </w:tblPr>
      <w:tblGrid>
        <w:gridCol w:w="1831"/>
        <w:gridCol w:w="1600"/>
        <w:gridCol w:w="1624"/>
        <w:gridCol w:w="109"/>
        <w:gridCol w:w="109"/>
        <w:gridCol w:w="109"/>
        <w:gridCol w:w="244"/>
        <w:gridCol w:w="314"/>
        <w:gridCol w:w="126"/>
        <w:gridCol w:w="126"/>
        <w:gridCol w:w="126"/>
        <w:gridCol w:w="126"/>
        <w:gridCol w:w="244"/>
        <w:gridCol w:w="314"/>
        <w:gridCol w:w="178"/>
      </w:tblGrid>
      <w:tr>
        <w:trPr/>
        <w:tc>
          <w:tcPr>
            <w:tcW w:w="18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Supplemental cash flow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NOTE 14: COMMITMENTS &amp; CONTINGENCIES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$128 million as of December 31, 2024 and $60 million as of March 31, 2025. In our opinion, an adequate accrual had been made as of each such date to provide for the probable losses of which we are aware and for which we can reasonably estimate an amount.</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Legal and Regulatory Matters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securities industry, and many other industries in which we operate, are highly regulated and many aspects of our business involve substantial risk of liability. In past years, there has been an increase in litigation and regulatory investigations involving the brokerage, advisory, cryptocurrency, derivatives,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48310"/>
                <wp:effectExtent l="0" t="0" r="0" b="0"/>
                <wp:wrapNone/>
                <wp:docPr id="34" name="Frame3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that may result in enforcement action. We are also subject to periodic regulatory audits and inspections that have in the past and could in the future lead to enforcement investigations or actions.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matters discussed below, we believe, based on current knowledge, that any losses (in excess of amounts accrued, if applicable) as of March 31, 2025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Described below are certain pending matters in which there is at least a reasonable possibility that a material loss could be incurred. We intend to continue to defend these matters vigorously.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Best Execution, Payment for Order Flow, and Sources of Revenue Civil Litigation</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in December 2020, multiple putative securities fraud class action lawsuits were filed against RHM, Robinhood Financial LLC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State Regulatory Matters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New York Attorney General is conducting an investigation into brokerage execution quality and collaring the prices of certain trade orders. The Massachusetts Securities Division (“MSD”) is examining RHF’s customer complaint supervision, the disruptions experienced by Blue Oceans ATS, LLC (“BOATS”) during the Robinhood 24 Hour Market overnight trading session on August 4-5, 2024, and the offerings of presidential election and sports event contracts. We are cooperating with these investigations.</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SEC Settlement</w:t>
      </w:r>
    </w:p>
    <w:p>
      <w:pPr>
        <w:pStyle w:val="TextBody"/>
        <w:bidi w:val="0"/>
        <w:spacing w:before="0" w:after="0"/>
        <w:jc w:val="both"/>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January 13, 2025, RHF and RHS resolved the SEC’s investigations concerning Regulation SHO, Electronic Blue Sheets (“EBS”) requests, account takeovers, anti-money laundering compliance and cybersecurity issues, including the data security incident we experienced in November 2021 when an unauthorized third-party socially engineered a customer support employee by phone and obtained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48310"/>
                <wp:effectExtent l="0" t="0" r="0" b="0"/>
                <wp:wrapNone/>
                <wp:docPr id="35" name="Frame3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pPr>
      <w:r>
        <w:rPr>
          <w:rFonts w:ascii="Helvetica;sans-serif" w:hAnsi="Helvetica;sans-serif"/>
          <w:b w:val="false"/>
          <w:color w:val="000000"/>
          <w:sz w:val="20"/>
        </w:rPr>
        <w:t>to certain customer support systems (the “November 2021 Data Security Incident”), and various brokerage recordkeeping issues, including off-channel communications (</w:t>
      </w:r>
      <w:r>
        <w:rPr>
          <w:rFonts w:ascii="Arial;sans-serif" w:hAnsi="Arial;sans-serif"/>
          <w:b w:val="false"/>
          <w:color w:val="000000"/>
          <w:sz w:val="20"/>
        </w:rPr>
        <w:t>together, the “January 2025 SEC Settlement”)</w:t>
      </w:r>
      <w:r>
        <w:rPr>
          <w:rFonts w:ascii="Helvetica;sans-serif" w:hAnsi="Helvetica;sans-serif"/>
          <w:b w:val="false"/>
          <w:color w:val="000000"/>
          <w:sz w:val="20"/>
        </w:rPr>
        <w:t>. RHF and RHS paid penalties totaling $45 million for these violations, were censured, and agreed to certain undertakings. The settlement related to (i) RHS’s failures to comply with various provisions of Regulation SHO in connection with its stock lending and fractional trading programs from May 2019 until March 2020 and December 2019 until December 2023, respectively; (ii) RHS’s failures to submit complete and accurate EBS data in response to SEC staff EBS requests from at least October 2018 through April 2024; (iii) RHF and RHS’s untimely filing of suspicious activity reports (“SARs”) from January 2020 through March 2022; (iv) RHF and RHS’s failure to implement adequate policies and procedures designed to detect, prevent, and mitigate identity theft in connection with customer accounts from April 2019 through June 2022 in violation of Regulation S-ID; (v) RHF and RHS’s failure to adequately address known risks posed by a vulnerability related to remote access to our systems from at least June 28, 2021 through November 3, 2021 in violation of Regulation S-P; and (vi) RHF and RHS’s failures to maintain and preserve (a) off-channel brokerage communications sent or received by employees from at least 2019 through 2022, (b) core operational databases in a manner required by regulation or for the required length of time between December 2020 and December 2023, and (c) certain customer communications between 2020 and March 2021 due to our third-party archiving vendor’s ingestion limits being exceeded.</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Financial Industry Regulatory Authority (“FINRA”) Settlement</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March 6, 2025, RHF and RHS resolved FINRA Enforcement and Examination staff’s investigations and examinations concerning RHS’s reporting of fractional share trades, as applicable, to FINRA, FINRA Trade Reporting Facilities (“TRF”), and Consolidated Audit Trail (“CAT”), reporting of accounts holding significant options positions to the Large Option Position Report system, processing of certain requests for transfers of assets from Robinhood through the Automated Customer Account Transfer Service (“ACATS”), responses to EBS requests from FINRA, compliance with FINRA Rules 6190, 5260, and 6121, and short interest reporting; RHF’s marketing involving social media influencers and affiliates, collaring the prices of certain trade orders, compliance with regulations governing the delivery of required documents, origin code reporting for professional customers, and Customer Identification Program (“CIP”); RHF and RHS’s compliance with FINRA registration requirements for member personnel; the Early 2021 Trading Restrictions (as defined below); employee trading issues as described more fully below; account takeovers (i.e., circumstances under which an unauthorized actor successfully logs into a customer account); and anti-money laundering (“AML”) compliance and cybersecurity issues (together, the “March 2025 FINRA Settlement”). RHF and RHS paid a penalty totaling $26 million to resolve these investigations, plus restitution of approximately $3.76 million plus interest to certain customers identified by FINRA. RHF and RHS also agreed to certain undertakings. </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Brokerage Enforcement Matters </w:t>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FINRA Enforcement and Examination staff are conducting investigations related to, among other things, the delays in notification from third parties and process failures within our brokerage systems and operations in connection with the handling of a 1-for-25 reverse stock split transaction of Cosmo Health, Inc, in December 2022; RHS’s and RHF’s compliance with best execution obligations; matters related to RHS’s and RHF’s supervision of technology; and the disruptions experienced by BOATS during the Robinhood 24 Hour Market overnight trading session on August 4-5, 2024. In December 2024, January 2025, and March 2025, FINRA advised us in writing that it had closed the previously disclosed examinations and investigations into compliance with Rule 3210, Regulation SHO, recordkeeping (including off-channel communications), and customer complaint supervision and restriction issues.</w:t>
      </w:r>
    </w:p>
    <w:p>
      <w:pPr>
        <w:pStyle w:val="TextBody"/>
        <w:bidi w:val="0"/>
        <w:spacing w:before="0" w:after="0"/>
        <w:jc w:val="left"/>
        <w:rPr/>
      </w:pPr>
      <w:r>
        <w:rPr/>
      </w:r>
    </w:p>
    <w:p>
      <w:pPr>
        <w:pStyle w:val="TextBody"/>
        <w:bidi w:val="0"/>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FDIC is investigating issues related to compliance with the Electronic Funds Transfer Act (“EFTA”). On January 13, 2025, the SEC advised us in writing that it had closed the previously disclosed investigation into the broker-dealers’ compliance with the EFTA.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48310"/>
                <wp:effectExtent l="0" t="0" r="0" b="0"/>
                <wp:wrapNone/>
                <wp:docPr id="36" name="Frame3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Robinhood Crypto Matters</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Crypto, LLC (“RHC”) received investigative subpoenas from the SEC regarding, among other topics, RHC’s cryptocurrency listings, custody of cryptocurrencies, and platform operations. On May 4, 2024, RHC received a “Wells Notice” (the “May 2024 Wells Notice”) from the Staff of the SEC (the “SEC Staff”) stating that the SEC Staff has advised RHC that it made a “preliminary determination” to recommend that the SEC file an enforcement action against RHC alleging violations of Sections 15(a) and 17A of the Exchange Act. On February 21, 2025, SEC Enforcement advised us in writing that it had closed its investigation. </w:t>
      </w:r>
    </w:p>
    <w:p>
      <w:pPr>
        <w:pStyle w:val="TextBody"/>
        <w:bidi w:val="0"/>
        <w:spacing w:before="0" w:after="0"/>
        <w:jc w:val="left"/>
        <w:rPr/>
      </w:pPr>
      <w:r>
        <w:rPr/>
      </w:r>
    </w:p>
    <w:p>
      <w:pPr>
        <w:pStyle w:val="TextBody"/>
        <w:bidi w:val="0"/>
        <w:spacing w:lineRule="auto" w:line="288" w:before="0" w:after="20"/>
        <w:jc w:val="both"/>
        <w:rPr>
          <w:rFonts w:ascii="Helvetica;sans-serif" w:hAnsi="Helvetica;sans-serif"/>
          <w:b w:val="false"/>
          <w:i/>
          <w:color w:val="000000"/>
          <w:sz w:val="20"/>
        </w:rPr>
      </w:pPr>
      <w:r>
        <w:rPr>
          <w:rFonts w:ascii="Helvetica;sans-serif" w:hAnsi="Helvetica;sans-serif"/>
          <w:b w:val="false"/>
          <w:i/>
          <w:color w:val="000000"/>
          <w:sz w:val="20"/>
        </w:rPr>
        <w:t>Early 2021 Trading Restrictions Matters</w:t>
      </w:r>
    </w:p>
    <w:p>
      <w:pPr>
        <w:pStyle w:val="TextBody"/>
        <w:bidi w:val="0"/>
        <w:spacing w:before="0" w:after="2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on January 28, 2021, due to increased deposit requirements imposed on RHS by the National Securities Clearing Corporation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 In July 2021, plaintiffs filed consolidated complaints seeking unspecified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2022, the court dismissed the state law claims with prejudice. In August 2023, the United States Court of Appeals for the Eleventh Circuit affirmed the district court’s order.</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May 2022, the court dismissed the federal antitrust claims with prejudice. In June 2024, the United States Court of Appeals for the Eleventh Circuit affirmed the district court’s order.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 settlements with a number of remaining individual plaintiffs and continues to negotiate with others. Robinhood’s motion to compel arbitration for the remaining Robinhood customer plaintiffs has been granted.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RHM, RHF, RHS, and our Co-Founder and Chief Executive Officer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("DOJ”), Antitrust Division, the SEC’s Division of Enforcement, FINRA, the New York Attorney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48310"/>
                <wp:effectExtent l="0" t="0" r="0" b="0"/>
                <wp:wrapNone/>
                <wp:docPr id="37" name="Frame3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General’s Office, other state attorneys general offices, and a number of state securities regulators. Also, a related search warrant was executed by the USAO to obtain Mr. Tenev's cell phone. There have been several inquiries based on specific customer complaints. On January 10, 2025, SEC Enforcement advised us in writing that it had closed its investigation into the Early 2021 Trading Restrictions and any contemporaneous employee trading issues. On March 6, 2025, as described more fully above, we resolved FINRA’s investigations into these matters as part of the March 2025 FINRA Settlement. </w:t>
      </w:r>
    </w:p>
    <w:p>
      <w:pPr>
        <w:pStyle w:val="TextBody"/>
        <w:bidi w:val="0"/>
        <w:spacing w:before="0" w:after="0"/>
        <w:jc w:val="both"/>
        <w:rPr/>
      </w:pPr>
      <w:r>
        <w:rPr/>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IPO Litigation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2021, Philip Golubowski filed a putative class action in the U.S. District Court for the Northern District of California against RHM, the officers and directors who signed Robinhood’s initial public offering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9th Circuit and the appeal is currently pending.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that is reviewing the demand.</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Pay Transparency Litigation</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In July 2024, RHM, Robinhood Money, LLC, and RHC were sued in a putative class action captioned </w:t>
      </w:r>
      <w:r>
        <w:rPr>
          <w:rFonts w:ascii="Helvetica;sans-serif" w:hAnsi="Helvetica;sans-serif"/>
          <w:b w:val="false"/>
          <w:i/>
          <w:color w:val="000000"/>
          <w:sz w:val="20"/>
        </w:rPr>
        <w:t>John Milito v. Robinhood Markets, Inc. et. al.</w:t>
      </w:r>
      <w:r>
        <w:rPr>
          <w:rFonts w:ascii="Helvetica;sans-serif" w:hAnsi="Helvetica;sans-serif"/>
          <w:b w:val="false"/>
          <w:color w:val="000000"/>
          <w:sz w:val="20"/>
        </w:rPr>
        <w:t>,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is currently stayed in the Superior Court in King County in Washington pending a certified question to the Washington Supreme Court.</w:t>
      </w:r>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Cash Sweep Litigation</w:t>
      </w:r>
    </w:p>
    <w:p>
      <w:pPr>
        <w:pStyle w:val="TextBody"/>
        <w:bidi w:val="0"/>
        <w:spacing w:lineRule="auto" w:line="288" w:before="0" w:after="0"/>
        <w:ind w:left="0" w:right="0" w:firstLine="360"/>
        <w:jc w:val="both"/>
        <w:rPr/>
      </w:pPr>
      <w:r>
        <w:rPr>
          <w:rFonts w:ascii="Helvetica;sans-serif" w:hAnsi="Helvetica;sans-serif"/>
          <w:b w:val="false"/>
          <w:color w:val="000000"/>
          <w:sz w:val="20"/>
        </w:rPr>
        <w:t xml:space="preserve">In October 2024, RHM, RHF, and RHS were sued in a putative class action captioned </w:t>
      </w:r>
      <w:r>
        <w:rPr>
          <w:rFonts w:ascii="Helvetica;sans-serif" w:hAnsi="Helvetica;sans-serif"/>
          <w:b w:val="false"/>
          <w:i/>
          <w:color w:val="000000"/>
          <w:sz w:val="20"/>
        </w:rPr>
        <w:t>Dey v. Robinhood Markets, Inc. et. al.,</w:t>
      </w:r>
      <w:r>
        <w:rPr>
          <w:color w:val="000000"/>
        </w:rPr>
        <w:t xml:space="preserve"> </w:t>
      </w:r>
      <w:r>
        <w:rPr>
          <w:rFonts w:ascii="Helvetica;sans-serif" w:hAnsi="Helvetica;sans-serif"/>
          <w:b w:val="false"/>
          <w:color w:val="000000"/>
          <w:sz w:val="20"/>
        </w:rPr>
        <w:t xml:space="preserve">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48310"/>
                <wp:effectExtent l="0" t="0" r="0" b="0"/>
                <wp:wrapNone/>
                <wp:docPr id="38" name="Frame3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 On April 28, 2025, the court granted in part and denied in part Robinhood’s motion to dismiss.</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48310"/>
                <wp:effectExtent l="0" t="0" r="0" b="0"/>
                <wp:wrapNone/>
                <wp:docPr id="39" name="Frame3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ITEM 2. MANAGEMENT’S DISCUSSION AND ANALYSIS OF FINANCIAL CONDITION AND RESULTS OF OPERATIONS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2024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Data as of and for the three months ended March 31, 2024 and 2025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refer to our “users” and our “customers” interchangeably throughout this Quarterly Report to refer to individuals who hold accounts on our platforms.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measures presented in our unaudited condensed consolidated financial statements, we use the following key performance metrics to help us evaluate our business, identify trends affecting our business, formulate business plans, and make strategic decisions. </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Our acquisition of TradePMR closed in February 2025. As a result, we are now reporting Total Platform Assets </w:t>
      </w:r>
      <w:r>
        <w:rPr>
          <w:rFonts w:ascii="Arial;sans-serif" w:hAnsi="Arial;sans-serif"/>
          <w:b w:val="false"/>
          <w:color w:val="000000"/>
          <w:sz w:val="20"/>
        </w:rPr>
        <w:t>which includes</w:t>
      </w:r>
      <w:r>
        <w:rPr>
          <w:color w:val="000000"/>
        </w:rPr>
        <w:t xml:space="preserve"> </w:t>
      </w:r>
      <w:r>
        <w:rPr>
          <w:rFonts w:ascii="Helvetica;sans-serif" w:hAnsi="Helvetica;sans-serif"/>
          <w:b w:val="false"/>
          <w:color w:val="000000"/>
          <w:sz w:val="20"/>
        </w:rPr>
        <w:t>our previously reported Assets Under Custody key performance metric. Total Platform Assets is our previously reported Assets Under Custody metric plus assets managed by RIAs using TradePMR’s platform that are not custodied by us (and therefore would not have been included in the previously reported Assets Under Custody metric). Additionally, we have included total RIA customers in our Funded Customers key performance metric, their accounts in the definition of Investment Accounts, and the appropriate RIA customer balances in our Cash Sweep and Margin Book additional operating metrics. Due to data limitations, we have not included RIA client figures in our Net Deposits key performance metric.</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Funded Customers: </w:t>
      </w:r>
      <w:r>
        <w:rPr>
          <w:rFonts w:ascii="Helvetica;sans-serif" w:hAnsi="Helvetica;sans-serif"/>
          <w:b w:val="false"/>
          <w:color w:val="000000"/>
          <w:sz w:val="20"/>
        </w:rPr>
        <w:t xml:space="preserve">We define a Funded Customer as a unique person who has at least one account with a Robinhood entity and, within the past 45 calendar days (a) had an account balance that was greater than zero (excluding amounts that are deposited into a Funded Customer account by the Company with no action taken by the unique person) or (b) completed a transaction using any such account. </w:t>
      </w:r>
      <w:r>
        <w:rPr>
          <w:rFonts w:ascii="Arial;sans-serif" w:hAnsi="Arial;sans-serif"/>
          <w:b w:val="false"/>
          <w:color w:val="000000"/>
          <w:sz w:val="20"/>
        </w:rPr>
        <w:t xml:space="preserve">Individuals who share a funded joint investing account (which launched in July 2024) are each considered to be a Funded Customer. Individuals who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48310"/>
                <wp:effectExtent l="0" t="0" r="0" b="0"/>
                <wp:wrapNone/>
                <wp:docPr id="40" name="Frame3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customers of RIAs that use the TradePMR platform are also considered Funded Customers as of the end of the period.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Total Platform Assets</w:t>
      </w:r>
      <w:r>
        <w:rPr>
          <w:rFonts w:ascii="Helvetica;sans-serif" w:hAnsi="Helvetica;sans-serif"/>
          <w:b w:val="false"/>
          <w:color w:val="000000"/>
          <w:sz w:val="20"/>
        </w:rPr>
        <w:t xml:space="preserve">: </w:t>
      </w:r>
      <w:r>
        <w:rPr>
          <w:rFonts w:ascii="Arial;sans-serif" w:hAnsi="Arial;sans-serif"/>
          <w:b w:val="false"/>
          <w:color w:val="000000"/>
          <w:sz w:val="20"/>
        </w:rPr>
        <w:t xml:space="preserve">We define Total Platform Assets as the sum of the fair value of all equities, options, cryptocurrency, futures (including options on futures, swaps, and event contracts), cash held by users in their accounts, net of receivables from users (previously reported as Assets Under Custody), and any such assets managed by RIAs using TradePMR’s platform that are not custodied by Robinhood, as of a stated date or period end on a trade date basis. Net Deposits and net market gains (losses) drive the change in Total Platform Assets in any given period.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Net Deposits:</w:t>
      </w:r>
      <w:r>
        <w:rPr>
          <w:color w:val="000000"/>
        </w:rPr>
        <w:t xml:space="preserve"> </w:t>
      </w:r>
      <w:r>
        <w:rPr>
          <w:rFonts w:ascii="Helvetica;sans-serif" w:hAnsi="Helvetica;sans-serif"/>
          <w:b w:val="false"/>
          <w:color w:val="000000"/>
          <w:sz w:val="20"/>
        </w:rPr>
        <w:t xml:space="preserve">We define Net Deposits as all cash deposits and asset transfers from customers, as well as dividends, interest, and cash or assets earned in connection with Company promotions (such as account transfer and retirement match incentives and free stock bonuses) received by customers, net of reversals, customer cash withdrawals, margin interest, Robinhood Gold subscription fees, and assets transferred off of our platforms for a stated period. Prior to the second quarter of 2024, Net Deposits did not include inflows from cash or assets earned in connection with Company promotions, although we have not restated amounts in prior periods as the impact to those figures was immaterial.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Average Revenue Per User (“ARPU”)</w:t>
      </w:r>
      <w:r>
        <w:rPr>
          <w:rFonts w:ascii="Helvetica;sans-serif" w:hAnsi="Helvetica;sans-serif"/>
          <w:b w:val="false"/>
          <w:color w:val="000000"/>
          <w:sz w:val="20"/>
        </w:rPr>
        <w:t>: We define ARPU as total revenue for a given period divided by the average number of Funded Customers on the last day of that period and the last day of the immediately preceding period. Figures in this Quarterly Report represent ARPU annualized for each three-month period presented.</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Robinhood Gold Subscribers: </w:t>
      </w:r>
      <w:r>
        <w:rPr>
          <w:rFonts w:ascii="Helvetica;sans-serif" w:hAnsi="Helvetica;sans-serif"/>
          <w:b w:val="false"/>
          <w:color w:val="000000"/>
          <w:sz w:val="20"/>
        </w:rPr>
        <w:t>We define a Robinhood Gold Subscriber as a unique person who has at least one account with a Robinhood entity and who, as of the end of the relevant period (a) is subscribed to Robinhood Gold and (b) has made at least one Robinhood Gold subscription fee payment.</w:t>
      </w: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Glossary Terms</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Automated Customer Account Transfer Service (“ACATS”)</w:t>
      </w:r>
      <w:r>
        <w:rPr>
          <w:rFonts w:ascii="Helvetica;sans-serif" w:hAnsi="Helvetica;sans-serif"/>
          <w:b w:val="false"/>
          <w:color w:val="000000"/>
          <w:sz w:val="20"/>
        </w:rPr>
        <w:t>: A system that automates and standardizes procedures for the transfer of assets in a customer account from one brokerage firm and/or bank to another.</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Cash Sweep</w:t>
      </w:r>
      <w:r>
        <w:rPr>
          <w:rFonts w:ascii="Helvetica;sans-serif" w:hAnsi="Helvetica;sans-serif"/>
          <w:b w:val="false"/>
          <w:color w:val="000000"/>
          <w:sz w:val="20"/>
        </w:rPr>
        <w:t xml:space="preserve">: We define Cash Sweep as the period-end total amount of participating users’ uninvested brokerage cash that has been 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 </w:t>
      </w:r>
      <w:r>
        <w:rPr>
          <w:rFonts w:ascii="Arial;sans-serif" w:hAnsi="Arial;sans-serif"/>
          <w:b w:val="false"/>
          <w:color w:val="000000"/>
          <w:sz w:val="20"/>
        </w:rPr>
        <w:t xml:space="preserve">This includes balances from customers of RIAs using TradePMR's platform.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Churned Customers:</w:t>
      </w:r>
      <w:r>
        <w:rPr>
          <w:color w:val="000000"/>
        </w:rPr>
        <w:t xml:space="preserve"> </w:t>
      </w:r>
      <w:r>
        <w:rPr>
          <w:rFonts w:ascii="Helvetica;sans-serif" w:hAnsi="Helvetica;sans-serif"/>
          <w:b w:val="false"/>
          <w:color w:val="000000"/>
          <w:sz w:val="20"/>
        </w:rPr>
        <w:t xml:space="preserve">A Funded Customer is considered “Churned” if it was ever a New Funded Customer whose account balance (measured as 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48310"/>
                <wp:effectExtent l="0" t="0" r="0" b="0"/>
                <wp:wrapNone/>
                <wp:docPr id="41" name="Frame4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Growth Rate and Annualized Growth Rate with respect to Net Deposits: </w:t>
      </w:r>
      <w:r>
        <w:rPr>
          <w:rFonts w:ascii="Helvetica;sans-serif" w:hAnsi="Helvetica;sans-serif"/>
          <w:b w:val="false"/>
          <w:color w:val="000000"/>
          <w:sz w:val="20"/>
        </w:rPr>
        <w:t>Growth rate is calculated as aggregate Net Deposits over a specified 12 month period, divided by Total Platform Assets for the fiscal quarter that immediately precedes such 12 month period. Annualized growth rate is calculated as Net Deposits for a specified quarter multiplied by 4 and divided by Total Platform Assets for the immediately preceding quarter.</w:t>
      </w:r>
    </w:p>
    <w:p>
      <w:pPr>
        <w:pStyle w:val="TextBody"/>
        <w:bidi w:val="0"/>
        <w:spacing w:lineRule="auto" w:line="288" w:before="0" w:after="200"/>
        <w:ind w:left="0" w:right="0" w:hanging="360"/>
        <w:jc w:val="both"/>
        <w:rPr/>
      </w:pPr>
      <w:r>
        <w:rPr>
          <w:color w:val="000000"/>
        </w:rPr>
        <w:t>•</w:t>
      </w:r>
      <w:r>
        <w:rPr>
          <w:rFonts w:ascii="Arial;sans-serif" w:hAnsi="Arial;sans-serif"/>
          <w:b/>
          <w:color w:val="000000"/>
          <w:sz w:val="20"/>
        </w:rPr>
        <w:t>Investment Accounts:</w:t>
      </w:r>
      <w:r>
        <w:rPr>
          <w:color w:val="000000"/>
        </w:rPr>
        <w:t xml:space="preserve"> </w:t>
      </w:r>
      <w:r>
        <w:rPr>
          <w:rFonts w:ascii="Arial;sans-serif" w:hAnsi="Arial;sans-serif"/>
          <w:b w:val="false"/>
          <w:color w:val="000000"/>
          <w:sz w:val="20"/>
        </w:rPr>
        <w:t xml:space="preserve">We define an Investment Account as a funded individual brokerage account, a funded joint investing account, a funded individual retirement account (“IRA”), or an account with an RIA using TradePMR’s platform. As of </w:t>
      </w:r>
      <w:r>
        <w:rPr>
          <w:rFonts w:ascii="Helvetica;sans-serif" w:hAnsi="Helvetica;sans-serif"/>
          <w:b w:val="false"/>
          <w:color w:val="000000"/>
          <w:sz w:val="20"/>
        </w:rPr>
        <w:t>March 31, 2025</w:t>
      </w:r>
      <w:r>
        <w:rPr>
          <w:rFonts w:ascii="Arial;sans-serif" w:hAnsi="Arial;sans-serif"/>
          <w:b w:val="false"/>
          <w:color w:val="000000"/>
          <w:sz w:val="20"/>
        </w:rPr>
        <w:t>, a Funded Customer can have up to five Investment Accounts - individual brokerage account, joint investing account (which launched in July 2024), traditional IRA, Roth IRA, and RIA custody account using TradePMR's platform.</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Margin Book:</w:t>
      </w:r>
      <w:r>
        <w:rPr>
          <w:color w:val="000000"/>
        </w:rPr>
        <w:t xml:space="preserve"> </w:t>
      </w:r>
      <w:r>
        <w:rPr>
          <w:rFonts w:ascii="Helvetica;sans-serif" w:hAnsi="Helvetica;sans-serif"/>
          <w:b w:val="false"/>
          <w:color w:val="000000"/>
          <w:sz w:val="20"/>
        </w:rPr>
        <w:t xml:space="preserve">We define Margin Book as our period-end aggregate outstanding margin loan balances receivable (i.e., the period-end total amount we are owed by customers on loans made for the purchase of securities, supported by a pledge of assets in their margin-enabled brokerage accounts). </w:t>
      </w:r>
      <w:r>
        <w:rPr>
          <w:rFonts w:ascii="Arial;sans-serif" w:hAnsi="Arial;sans-serif"/>
          <w:b w:val="false"/>
          <w:color w:val="000000"/>
          <w:sz w:val="20"/>
        </w:rPr>
        <w:t>This includes margin loan balances from customers of RIAs using TradePMR's platform.</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New Funded Customers:</w:t>
      </w:r>
      <w:r>
        <w:rPr>
          <w:color w:val="000000"/>
        </w:rPr>
        <w:t xml:space="preserve"> </w:t>
      </w:r>
      <w:r>
        <w:rPr>
          <w:rFonts w:ascii="Helvetica;sans-serif" w:hAnsi="Helvetica;sans-serif"/>
          <w:b w:val="false"/>
          <w:color w:val="000000"/>
          <w:sz w:val="20"/>
        </w:rPr>
        <w:t xml:space="preserve">We define a New Funded Customer as a unique person who became a Funded Customer for the first time during the relevant period.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 xml:space="preserve">Notional Trading Volume: </w:t>
      </w:r>
      <w:r>
        <w:rPr>
          <w:rFonts w:ascii="Helvetica;sans-serif" w:hAnsi="Helvetica;sans-serif"/>
          <w:b w:val="false"/>
          <w:color w:val="000000"/>
          <w:sz w:val="20"/>
        </w:rPr>
        <w:t xml:space="preserve">We define Notional Trading Volume for any specified asset class as the aggregate dollar value (purchase price or sale price as applicable) of trades executed in that asset class over a specified period of time. </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Options Contracts Traded:</w:t>
      </w:r>
      <w:r>
        <w:rPr>
          <w:color w:val="000000"/>
        </w:rPr>
        <w:t xml:space="preserve"> </w:t>
      </w:r>
      <w:r>
        <w:rPr>
          <w:rFonts w:ascii="Helvetica;sans-serif" w:hAnsi="Helvetica;sans-serif"/>
          <w:b w:val="false"/>
          <w:color w:val="000000"/>
          <w:sz w:val="20"/>
        </w:rPr>
        <w:t>We define Options Contracts Traded as the total number of options contracts bought or sold over a specified period of time. Each contract generally entitles the holder to trade 100 shares of the underlying stock.</w:t>
      </w:r>
    </w:p>
    <w:p>
      <w:pPr>
        <w:pStyle w:val="TextBody"/>
        <w:bidi w:val="0"/>
        <w:spacing w:lineRule="auto" w:line="288" w:before="0" w:after="200"/>
        <w:ind w:left="0" w:right="0" w:hanging="360"/>
        <w:jc w:val="both"/>
        <w:rPr/>
      </w:pPr>
      <w:r>
        <w:rPr>
          <w:color w:val="000000"/>
        </w:rPr>
        <w:t>•</w:t>
      </w:r>
      <w:r>
        <w:rPr>
          <w:rFonts w:ascii="Helvetica;sans-serif" w:hAnsi="Helvetica;sans-serif"/>
          <w:b/>
          <w:color w:val="000000"/>
          <w:sz w:val="20"/>
        </w:rPr>
        <w:t>Resurrected Customers:</w:t>
      </w:r>
      <w:r>
        <w:rPr>
          <w:color w:val="000000"/>
        </w:rPr>
        <w:t xml:space="preserve"> </w:t>
      </w:r>
      <w:r>
        <w:rPr>
          <w:rFonts w:ascii="Helvetica;sans-serif" w:hAnsi="Helvetica;sans-serif"/>
          <w:b w:val="false"/>
          <w:color w:val="000000"/>
          <w:sz w:val="20"/>
        </w:rPr>
        <w:t>A Funded Customer is considered “Resurrected” in a stated period if it was a Churned Customer as of the end of the immediately preceding period and its balance (excluding amounts that are deposited into a Funded Customer account by the Company with no action taken by the unique person) rises above zero or it completes a transaction using its account.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Overview</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on the belief that everyone should be welcome to participate in our financial system. We are creating modern financial services platforms for everyone, regardless of their wealth, income, or background.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platforms are enabling our customers to become long-term investors and take greater control of their finances.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48310"/>
                <wp:effectExtent l="0" t="0" r="0" b="0"/>
                <wp:wrapNone/>
                <wp:docPr id="42" name="Frame4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Financial Results and Performance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the three months ended March 31, 2025, as compared to the three months ended March 31, 2024:</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 xml:space="preserve">total net revenues increased 50% to $927 million compared to $618 million;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net income increased 114% to $336 million, compared to $157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diluted EPS increased 106% to $0.37 compared to $0.18;</w:t>
      </w:r>
    </w:p>
    <w:p>
      <w:pPr>
        <w:pStyle w:val="TextBody"/>
        <w:bidi w:val="0"/>
        <w:spacing w:lineRule="auto" w:line="288" w:before="0" w:after="200"/>
        <w:ind w:left="0" w:right="0" w:hanging="360"/>
        <w:jc w:val="left"/>
        <w:rPr/>
      </w:pPr>
      <w:r>
        <w:rPr>
          <w:color w:val="000000"/>
        </w:rPr>
        <w:t>•</w:t>
      </w:r>
      <w:r>
        <w:rPr>
          <w:rFonts w:ascii="Helvetica;sans-serif" w:hAnsi="Helvetica;sans-serif"/>
          <w:b w:val="false"/>
          <w:color w:val="000000"/>
          <w:sz w:val="20"/>
        </w:rPr>
        <w:t>total operating expenses increased 21% to $557 million compared to $460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SBC expense increased 18% to</w:t>
      </w:r>
      <w:r>
        <w:rPr>
          <w:color w:val="000000"/>
        </w:rPr>
        <w:t xml:space="preserve"> </w:t>
      </w:r>
      <w:r>
        <w:rPr>
          <w:rFonts w:ascii="Helvetica;sans-serif" w:hAnsi="Helvetica;sans-serif"/>
          <w:b w:val="false"/>
          <w:color w:val="000000"/>
          <w:sz w:val="20"/>
        </w:rPr>
        <w:t>$73 million compared to $62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Adjusted EBITDA (non-GAAP) increased </w:t>
      </w:r>
      <w:r>
        <w:rPr>
          <w:rFonts w:ascii="Helvetica;sans-serif" w:hAnsi="Helvetica;sans-serif"/>
          <w:b w:val="false"/>
          <w:color w:val="000000"/>
          <w:sz w:val="20"/>
          <w:shd w:fill="FFFFFF" w:val="clear"/>
        </w:rPr>
        <w:t>90% to</w:t>
      </w:r>
      <w:r>
        <w:rPr>
          <w:color w:val="000000"/>
        </w:rPr>
        <w:t xml:space="preserve"> </w:t>
      </w:r>
      <w:r>
        <w:rPr>
          <w:rFonts w:ascii="Helvetica;sans-serif" w:hAnsi="Helvetica;sans-serif"/>
          <w:b w:val="false"/>
          <w:color w:val="000000"/>
          <w:sz w:val="20"/>
          <w:shd w:fill="FFFFFF" w:val="clear"/>
        </w:rPr>
        <w:t>$470 million</w:t>
      </w:r>
      <w:r>
        <w:rPr>
          <w:color w:val="000000"/>
        </w:rPr>
        <w:t xml:space="preserve"> </w:t>
      </w:r>
      <w:r>
        <w:rPr>
          <w:rFonts w:ascii="Helvetica;sans-serif" w:hAnsi="Helvetica;sans-serif"/>
          <w:b w:val="false"/>
          <w:color w:val="000000"/>
          <w:sz w:val="20"/>
        </w:rPr>
        <w:t xml:space="preserve">compared to </w:t>
      </w:r>
      <w:r>
        <w:rPr>
          <w:rFonts w:ascii="Helvetica;sans-serif" w:hAnsi="Helvetica;sans-serif"/>
          <w:b w:val="false"/>
          <w:color w:val="000000"/>
          <w:sz w:val="20"/>
          <w:shd w:fill="FFFFFF" w:val="clear"/>
        </w:rPr>
        <w:t>$247 million</w:t>
      </w:r>
      <w:r>
        <w:rPr>
          <w:rFonts w:ascii="Helvetica;sans-serif" w:hAnsi="Helvetica;sans-serif"/>
          <w:b w:val="false"/>
          <w:color w:val="000000"/>
          <w:sz w:val="20"/>
        </w:rPr>
        <w:t>;</w:t>
      </w:r>
    </w:p>
    <w:p>
      <w:pPr>
        <w:pStyle w:val="TextBody"/>
        <w:bidi w:val="0"/>
        <w:spacing w:lineRule="auto" w:line="288" w:before="0" w:after="200"/>
        <w:ind w:left="0" w:right="0" w:hanging="360"/>
        <w:jc w:val="both"/>
        <w:rPr/>
      </w:pPr>
      <w:r>
        <w:rPr>
          <w:color w:val="000000"/>
          <w:shd w:fill="FFFFFF" w:val="clear"/>
        </w:rPr>
        <w:t>•</w:t>
      </w:r>
      <w:r>
        <w:rPr>
          <w:rFonts w:ascii="Helvetica;sans-serif" w:hAnsi="Helvetica;sans-serif"/>
          <w:b w:val="false"/>
          <w:color w:val="000000"/>
          <w:sz w:val="20"/>
        </w:rPr>
        <w:t>Funded Customers increased by 1.9 million, or 8%, to 25.8 million compared to 23.9 million, and Investment Accounts increased by 2.6 million, or 11%, to 27.0 million compared to 24.4 million;</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Total Platform Assets</w:t>
      </w:r>
      <w:r>
        <w:rPr>
          <w:color w:val="000000"/>
        </w:rPr>
        <w:t xml:space="preserve"> </w:t>
      </w:r>
      <w:r>
        <w:rPr>
          <w:rFonts w:ascii="Helvetica;sans-serif" w:hAnsi="Helvetica;sans-serif"/>
          <w:b w:val="false"/>
          <w:color w:val="000000"/>
          <w:sz w:val="20"/>
        </w:rPr>
        <w:t>increased 70% to $220.6 billion compared to $129.6 billion, primarily driven by continued Net Deposits and the acquisition of TradePMR.</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Net Deposits were $18.0 billion, which translates to an annualized growth rate of 37% relative to Total Platform Assets at the end of the fourth quarter of 2024, compared to $11.2 billion, which translates to an annualized growth rate of 44% relative to Total Platform Assets at the end of the fourth quarter of 2023. Over the past twelve months, Net Deposits were $57.3 billion, a growth rate of 44% relative to Total Platform Assets at the end of the first quarter of 2024.</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ARPU increased 39% to $145 compared to $104;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Robinhood Gold Subscribers increased 1.51 million, or 90%, to 3.19 million compared to 1.68 million.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EBITDA is a non-GAAP financial measure. For more information about Adjusted EBITDA, including the definition and limitations of such measure, and a reconciliation of net income to Adjusted EBITDA, please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Key performance metrics for the relevant periods were as follows: </w:t>
      </w:r>
    </w:p>
    <w:tbl>
      <w:tblPr>
        <w:tblW w:w="6875" w:type="dxa"/>
        <w:jc w:val="left"/>
        <w:tblInd w:w="0" w:type="dxa"/>
        <w:tblLayout w:type="fixed"/>
        <w:tblCellMar>
          <w:top w:w="28" w:type="dxa"/>
          <w:left w:w="28" w:type="dxa"/>
          <w:bottom w:w="28" w:type="dxa"/>
          <w:right w:w="28" w:type="dxa"/>
        </w:tblCellMar>
      </w:tblPr>
      <w:tblGrid>
        <w:gridCol w:w="1141"/>
        <w:gridCol w:w="1003"/>
        <w:gridCol w:w="1005"/>
        <w:gridCol w:w="109"/>
        <w:gridCol w:w="109"/>
        <w:gridCol w:w="109"/>
        <w:gridCol w:w="297"/>
        <w:gridCol w:w="255"/>
        <w:gridCol w:w="256"/>
        <w:gridCol w:w="165"/>
        <w:gridCol w:w="165"/>
        <w:gridCol w:w="165"/>
        <w:gridCol w:w="297"/>
        <w:gridCol w:w="255"/>
        <w:gridCol w:w="256"/>
        <w:gridCol w:w="109"/>
        <w:gridCol w:w="109"/>
        <w:gridCol w:w="109"/>
        <w:gridCol w:w="201"/>
        <w:gridCol w:w="201"/>
        <w:gridCol w:w="559"/>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Funded Customers</w:t>
            </w:r>
            <w:r>
              <w:rPr>
                <w:rFonts w:ascii="Helvetica;sans-serif" w:hAnsi="Helvetica;sans-serif"/>
                <w:b w:val="false"/>
                <w:color w:val="000000"/>
                <w:sz w:val="10"/>
              </w:rPr>
              <w:t xml:space="preserve">(1) </w:t>
            </w:r>
            <w:r>
              <w:rPr>
                <w:rFonts w:ascii="Helvetica;sans-serif" w:hAnsi="Helvetica;sans-serif"/>
                <w:b w:val="false"/>
                <w:i/>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Total Platform Assets </w:t>
            </w:r>
            <w:r>
              <w:rPr>
                <w:rFonts w:ascii="Helvetica;sans-serif" w:hAnsi="Helvetica;sans-serif"/>
                <w:b w:val="false"/>
                <w:color w:val="000000"/>
                <w:sz w:val="10"/>
              </w:rPr>
              <w:t>(2)</w:t>
            </w:r>
            <w:r>
              <w:rPr>
                <w:color w:val="000000"/>
              </w:rPr>
              <w:t xml:space="preserve"> </w:t>
            </w:r>
            <w:r>
              <w:rPr>
                <w:rFonts w:ascii="Helvetica;sans-serif" w:hAnsi="Helvetica;sans-serif"/>
                <w:b w:val="false"/>
                <w:color w:val="000000"/>
                <w:sz w:val="16"/>
              </w:rPr>
              <w:t>(</w:t>
            </w:r>
            <w:r>
              <w:rPr>
                <w:rFonts w:ascii="Helvetica;sans-serif" w:hAnsi="Helvetica;sans-serif"/>
                <w:b w:val="false"/>
                <w:i/>
                <w:color w:val="000000"/>
                <w:sz w:val="16"/>
              </w:rPr>
              <w:t>in billions)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Net Deposits</w:t>
            </w:r>
            <w:r>
              <w:rPr>
                <w:color w:val="000000"/>
              </w:rPr>
              <w:t xml:space="preserve"> </w:t>
            </w:r>
            <w:r>
              <w:rPr>
                <w:rFonts w:ascii="Helvetica;sans-serif" w:hAnsi="Helvetica;sans-serif"/>
                <w:b w:val="false"/>
                <w:i/>
                <w:color w:val="000000"/>
                <w:sz w:val="16"/>
              </w:rPr>
              <w:t>(in billions)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Growth Rate with respect to Net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 xml:space="preserve">ARPU </w:t>
            </w:r>
            <w:r>
              <w:rPr>
                <w:rFonts w:ascii="Helvetica;sans-serif" w:hAnsi="Helvetica;sans-serif"/>
                <w:b w:val="false"/>
                <w:i/>
                <w:color w:val="000000"/>
                <w:sz w:val="16"/>
              </w:rPr>
              <w:t>(in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16"/>
              </w:rPr>
              <w:t>Robinhood Gold Subscribers</w:t>
            </w:r>
            <w:r>
              <w:rPr>
                <w:color w:val="000000"/>
              </w:rPr>
              <w:t xml:space="preserve"> </w:t>
            </w:r>
            <w:r>
              <w:rPr>
                <w:rFonts w:ascii="Helvetica;sans-serif" w:hAnsi="Helvetica;sans-serif"/>
                <w:b w:val="false"/>
                <w:i/>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48310"/>
                <wp:effectExtent l="0" t="0" r="0" b="0"/>
                <wp:wrapNone/>
                <wp:docPr id="43" name="Frame4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(1)The following table describes the annual changes within Funded Customers:</w:t>
      </w:r>
    </w:p>
    <w:tbl>
      <w:tblPr>
        <w:tblW w:w="5820" w:type="dxa"/>
        <w:jc w:val="left"/>
        <w:tblInd w:w="0" w:type="dxa"/>
        <w:tblLayout w:type="fixed"/>
        <w:tblCellMar>
          <w:top w:w="28" w:type="dxa"/>
          <w:left w:w="28" w:type="dxa"/>
          <w:bottom w:w="28" w:type="dxa"/>
          <w:right w:w="28" w:type="dxa"/>
        </w:tblCellMar>
      </w:tblPr>
      <w:tblGrid>
        <w:gridCol w:w="825"/>
        <w:gridCol w:w="722"/>
        <w:gridCol w:w="732"/>
        <w:gridCol w:w="109"/>
        <w:gridCol w:w="109"/>
        <w:gridCol w:w="109"/>
        <w:gridCol w:w="254"/>
        <w:gridCol w:w="212"/>
        <w:gridCol w:w="195"/>
        <w:gridCol w:w="195"/>
        <w:gridCol w:w="195"/>
        <w:gridCol w:w="195"/>
        <w:gridCol w:w="254"/>
        <w:gridCol w:w="212"/>
        <w:gridCol w:w="195"/>
        <w:gridCol w:w="109"/>
        <w:gridCol w:w="109"/>
        <w:gridCol w:w="109"/>
        <w:gridCol w:w="210"/>
        <w:gridCol w:w="211"/>
        <w:gridCol w:w="559"/>
      </w:tblGrid>
      <w:tr>
        <w:trPr/>
        <w:tc>
          <w:tcPr>
            <w:tcW w:w="8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Funded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New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Resurrected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16"/>
              </w:rPr>
              <w:t>Acquired customers</w:t>
            </w:r>
            <w:r>
              <w:rPr>
                <w:rFonts w:ascii="Helvetica;sans-serif" w:hAnsi="Helvetica;sans-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Churned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Funded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25.8 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(2)The following table sets out the components of Total Platform Assets by type of asset:</w:t>
      </w:r>
    </w:p>
    <w:tbl>
      <w:tblPr>
        <w:tblW w:w="7957" w:type="dxa"/>
        <w:jc w:val="left"/>
        <w:tblInd w:w="0" w:type="dxa"/>
        <w:tblLayout w:type="fixed"/>
        <w:tblCellMar>
          <w:top w:w="28" w:type="dxa"/>
          <w:left w:w="28" w:type="dxa"/>
          <w:bottom w:w="28" w:type="dxa"/>
          <w:right w:w="28" w:type="dxa"/>
        </w:tblCellMar>
      </w:tblPr>
      <w:tblGrid>
        <w:gridCol w:w="1900"/>
        <w:gridCol w:w="1177"/>
        <w:gridCol w:w="1197"/>
        <w:gridCol w:w="109"/>
        <w:gridCol w:w="109"/>
        <w:gridCol w:w="109"/>
        <w:gridCol w:w="196"/>
        <w:gridCol w:w="556"/>
        <w:gridCol w:w="109"/>
        <w:gridCol w:w="109"/>
        <w:gridCol w:w="109"/>
        <w:gridCol w:w="109"/>
        <w:gridCol w:w="196"/>
        <w:gridCol w:w="556"/>
        <w:gridCol w:w="109"/>
        <w:gridCol w:w="109"/>
        <w:gridCol w:w="109"/>
        <w:gridCol w:w="109"/>
        <w:gridCol w:w="210"/>
        <w:gridCol w:w="211"/>
        <w:gridCol w:w="559"/>
      </w:tblGrid>
      <w:tr>
        <w:trPr/>
        <w:tc>
          <w:tcPr>
            <w:tcW w:w="190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Cryptocurrencies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Options and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16"/>
              </w:rPr>
              <w:t>RIA assets</w:t>
            </w:r>
            <w:r>
              <w:rPr>
                <w:rFonts w:ascii="Helvetica;sans-serif" w:hAnsi="Helvetica;sans-serif"/>
                <w:b w:val="false"/>
                <w:color w:val="000000"/>
                <w:sz w:val="10"/>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Cash held by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Customers (primarily margin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ind w:left="0" w:right="0" w:hanging="360"/>
        <w:jc w:val="left"/>
        <w:rPr>
          <w:rFonts w:ascii="Helvetica;sans-serif" w:hAnsi="Helvetica;sans-serif"/>
          <w:b w:val="false"/>
          <w:color w:val="000000"/>
          <w:sz w:val="16"/>
        </w:rPr>
      </w:pPr>
      <w:r>
        <w:rPr>
          <w:rFonts w:ascii="Helvetica;sans-serif" w:hAnsi="Helvetica;sans-serif"/>
          <w:b w:val="false"/>
          <w:color w:val="000000"/>
          <w:sz w:val="16"/>
        </w:rPr>
        <w:t>The following table describes the changes within Total Platform Assets:</w:t>
      </w:r>
    </w:p>
    <w:tbl>
      <w:tblPr>
        <w:tblW w:w="6094" w:type="dxa"/>
        <w:jc w:val="left"/>
        <w:tblInd w:w="0" w:type="dxa"/>
        <w:tblLayout w:type="fixed"/>
        <w:tblCellMar>
          <w:top w:w="28" w:type="dxa"/>
          <w:left w:w="28" w:type="dxa"/>
          <w:bottom w:w="28" w:type="dxa"/>
          <w:right w:w="28" w:type="dxa"/>
        </w:tblCellMar>
      </w:tblPr>
      <w:tblGrid>
        <w:gridCol w:w="877"/>
        <w:gridCol w:w="772"/>
        <w:gridCol w:w="781"/>
        <w:gridCol w:w="109"/>
        <w:gridCol w:w="109"/>
        <w:gridCol w:w="109"/>
        <w:gridCol w:w="196"/>
        <w:gridCol w:w="556"/>
        <w:gridCol w:w="109"/>
        <w:gridCol w:w="109"/>
        <w:gridCol w:w="109"/>
        <w:gridCol w:w="109"/>
        <w:gridCol w:w="196"/>
        <w:gridCol w:w="556"/>
        <w:gridCol w:w="109"/>
        <w:gridCol w:w="109"/>
        <w:gridCol w:w="109"/>
        <w:gridCol w:w="109"/>
        <w:gridCol w:w="201"/>
        <w:gridCol w:w="201"/>
        <w:gridCol w:w="559"/>
      </w:tblGrid>
      <w:tr>
        <w:trPr/>
        <w:tc>
          <w:tcPr>
            <w:tcW w:w="87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Change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Helvetica;sans-serif" w:hAnsi="Helvetica;sans-serif"/>
                <w:b w:val="false"/>
                <w:color w:val="000000"/>
                <w:sz w:val="16"/>
              </w:rPr>
              <w:t>Acquired assets</w:t>
            </w:r>
            <w:r>
              <w:rPr>
                <w:rFonts w:ascii="Helvetica;sans-serif" w:hAnsi="Helvetica;sans-serif"/>
                <w:b w:val="false"/>
                <w:color w:val="000000"/>
                <w:sz w:val="10"/>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market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Total Platform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r>
    </w:tbl>
    <w:p>
      <w:pPr>
        <w:pStyle w:val="TextBody"/>
        <w:bidi w:val="0"/>
        <w:spacing w:lineRule="auto" w:line="288" w:before="0" w:after="200"/>
        <w:jc w:val="left"/>
        <w:rPr>
          <w:rFonts w:ascii="Helvetica;sans-serif" w:hAnsi="Helvetica;sans-serif"/>
          <w:b w:val="false"/>
          <w:color w:val="000000"/>
          <w:sz w:val="16"/>
        </w:rPr>
      </w:pPr>
      <w:r>
        <w:rPr>
          <w:rFonts w:ascii="Helvetica;sans-serif" w:hAnsi="Helvetica;sans-serif"/>
          <w:b w:val="false"/>
          <w:color w:val="000000"/>
          <w:sz w:val="16"/>
        </w:rPr>
        <w:t xml:space="preserve">(i) Acquired customers and acquired assets relate to those obtained from the acquisition of TradePMR in February 2025. </w:t>
        <w:br/>
        <w:t xml:space="preserve">(ii) RIA assets relates to the assets obtained from the acquisition of TradePMR in February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Non-GAAP Financial Measures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Adjusted EBITDA</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collect and analyze operating and financial data to evaluate the health of our business, allocate our resources and assess our performance. In addition to total net revenues, net income, and other results under GAAP, we utilize non-GAAP calculations of adjusted earnings before interest, taxes, depreciation, and amortization (“Adjusted EBITDA”). Adjusted EBITDA is defined as net income, excluding (i) 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48310"/>
                <wp:effectExtent l="0" t="0" r="0" b="0"/>
                <wp:wrapNone/>
                <wp:docPr id="44" name="Frame4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Adjusted EBITDA to the most directly comparable GAAP measure, net income:</w:t>
      </w:r>
    </w:p>
    <w:tbl>
      <w:tblPr>
        <w:tblW w:w="6060" w:type="dxa"/>
        <w:jc w:val="left"/>
        <w:tblInd w:w="0" w:type="dxa"/>
        <w:tblLayout w:type="fixed"/>
        <w:tblCellMar>
          <w:top w:w="28" w:type="dxa"/>
          <w:left w:w="28" w:type="dxa"/>
          <w:bottom w:w="28" w:type="dxa"/>
          <w:right w:w="28" w:type="dxa"/>
        </w:tblCellMar>
      </w:tblPr>
      <w:tblGrid>
        <w:gridCol w:w="1424"/>
        <w:gridCol w:w="1247"/>
        <w:gridCol w:w="1258"/>
        <w:gridCol w:w="211"/>
        <w:gridCol w:w="481"/>
        <w:gridCol w:w="109"/>
        <w:gridCol w:w="109"/>
        <w:gridCol w:w="109"/>
        <w:gridCol w:w="109"/>
        <w:gridCol w:w="211"/>
        <w:gridCol w:w="481"/>
        <w:gridCol w:w="311"/>
      </w:tblGrid>
      <w:tr>
        <w:trPr/>
        <w:tc>
          <w:tcPr>
            <w:tcW w:w="142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expenses related to credit facilities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48310"/>
                <wp:effectExtent l="0" t="0" r="0" b="0"/>
                <wp:wrapNone/>
                <wp:docPr id="45" name="Frame4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 xml:space="preserve">Results of Operations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unaudited condensed consolidated statements of operations data:</w:t>
      </w:r>
    </w:p>
    <w:tbl>
      <w:tblPr>
        <w:tblW w:w="4644" w:type="dxa"/>
        <w:jc w:val="left"/>
        <w:tblInd w:w="0" w:type="dxa"/>
        <w:tblLayout w:type="fixed"/>
        <w:tblCellMar>
          <w:top w:w="28" w:type="dxa"/>
          <w:left w:w="28" w:type="dxa"/>
          <w:bottom w:w="28" w:type="dxa"/>
          <w:right w:w="28" w:type="dxa"/>
        </w:tblCellMar>
      </w:tblPr>
      <w:tblGrid>
        <w:gridCol w:w="964"/>
        <w:gridCol w:w="845"/>
        <w:gridCol w:w="861"/>
        <w:gridCol w:w="211"/>
        <w:gridCol w:w="481"/>
        <w:gridCol w:w="109"/>
        <w:gridCol w:w="109"/>
        <w:gridCol w:w="109"/>
        <w:gridCol w:w="109"/>
        <w:gridCol w:w="211"/>
        <w:gridCol w:w="481"/>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670"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Operating expenses</w:t>
            </w:r>
            <w:r>
              <w:rPr>
                <w:rFonts w:ascii="Helvetica;sans-serif" w:hAnsi="Helvetica;sans-serif"/>
                <w:b w:val="false"/>
                <w:color w:val="000000"/>
                <w:sz w:val="13"/>
              </w:rPr>
              <w:t>(1)</w:t>
            </w:r>
            <w:r>
              <w:rPr>
                <w:rFonts w:ascii="Helvetica;sans-serif" w:hAnsi="Helvetica;sans-serif"/>
                <w:b w:val="false"/>
                <w:color w:val="000000"/>
                <w:sz w:val="20"/>
              </w:rPr>
              <w:t>:</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(1)Includes SBC expense as follows:</w:t>
      </w:r>
    </w:p>
    <w:tbl>
      <w:tblPr>
        <w:tblW w:w="4467" w:type="dxa"/>
        <w:jc w:val="left"/>
        <w:tblInd w:w="0" w:type="dxa"/>
        <w:tblLayout w:type="fixed"/>
        <w:tblCellMar>
          <w:top w:w="28" w:type="dxa"/>
          <w:left w:w="28" w:type="dxa"/>
          <w:bottom w:w="28" w:type="dxa"/>
          <w:right w:w="28" w:type="dxa"/>
        </w:tblCellMar>
      </w:tblPr>
      <w:tblGrid>
        <w:gridCol w:w="966"/>
        <w:gridCol w:w="847"/>
        <w:gridCol w:w="857"/>
        <w:gridCol w:w="215"/>
        <w:gridCol w:w="383"/>
        <w:gridCol w:w="111"/>
        <w:gridCol w:w="111"/>
        <w:gridCol w:w="111"/>
        <w:gridCol w:w="111"/>
        <w:gridCol w:w="215"/>
        <w:gridCol w:w="383"/>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SBC expense</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48310"/>
                <wp:effectExtent l="0" t="0" r="0" b="0"/>
                <wp:wrapNone/>
                <wp:docPr id="46" name="Frame4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Comparison of the Three Months Ended March 31, 2024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Transaction-Based Revenues</w:t>
      </w:r>
    </w:p>
    <w:tbl>
      <w:tblPr>
        <w:tblW w:w="8497" w:type="dxa"/>
        <w:jc w:val="left"/>
        <w:tblInd w:w="0" w:type="dxa"/>
        <w:tblLayout w:type="fixed"/>
        <w:tblCellMar>
          <w:top w:w="28" w:type="dxa"/>
          <w:left w:w="28" w:type="dxa"/>
          <w:bottom w:w="28" w:type="dxa"/>
          <w:right w:w="28" w:type="dxa"/>
        </w:tblCellMar>
      </w:tblPr>
      <w:tblGrid>
        <w:gridCol w:w="1868"/>
        <w:gridCol w:w="1643"/>
        <w:gridCol w:w="1648"/>
        <w:gridCol w:w="312"/>
        <w:gridCol w:w="210"/>
        <w:gridCol w:w="211"/>
        <w:gridCol w:w="161"/>
        <w:gridCol w:w="161"/>
        <w:gridCol w:w="161"/>
        <w:gridCol w:w="312"/>
        <w:gridCol w:w="210"/>
        <w:gridCol w:w="211"/>
        <w:gridCol w:w="109"/>
        <w:gridCol w:w="109"/>
        <w:gridCol w:w="109"/>
        <w:gridCol w:w="240"/>
        <w:gridCol w:w="241"/>
        <w:gridCol w:w="581"/>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 as a % of total net revenues:</w:t>
            </w:r>
          </w:p>
        </w:tc>
        <w:tc>
          <w:tcPr>
            <w:tcW w:w="7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7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Transaction-based revenues increased by $254 million primarily driven by increases of $126 million in cryptocurrencies, $86 million in options, and $17 million in equities.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Cryptocurrencies revenues increased as a result of a higher rebate rate from crypto market makers (a rebate increase was effective in May 2024). Additionally, cryptocurrencies revenue increased as a result of a 45% increase in the number of users placing cryptocurrency trades, partially offset by a 14% decrease in the average Notional Trading Volume traded per trader and $21 million of incentives paid to our customers.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Options revenues increased due to a 46% increase in Options Contracts Traded and a 25% increase in the number of users placing option trades. In addition, we experienced higher option rebate rates due to the mix of ticker symbols traded as different ticker symbols pay different rebate rates. The increase was partially offset by $26 million of incentives paid to our customers.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Equities revenues increased primarily driven by a 56% increase in the average Notional Trading Volume traded per trader and a 17% increase in the number of users placing equity trades. The increase was partially offset by lower equity rebate rates due to the mix of ticker symbols traded as different ticker symbols pay different rebate rates.</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48310"/>
                <wp:effectExtent l="0" t="0" r="0" b="0"/>
                <wp:wrapNone/>
                <wp:docPr id="47" name="Frame4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Net Interest Revenues</w:t>
      </w:r>
    </w:p>
    <w:tbl>
      <w:tblPr>
        <w:tblW w:w="9955" w:type="dxa"/>
        <w:jc w:val="left"/>
        <w:tblInd w:w="0" w:type="dxa"/>
        <w:tblLayout w:type="fixed"/>
        <w:tblCellMar>
          <w:top w:w="28" w:type="dxa"/>
          <w:left w:w="28" w:type="dxa"/>
          <w:bottom w:w="28" w:type="dxa"/>
          <w:right w:w="28" w:type="dxa"/>
        </w:tblCellMar>
      </w:tblPr>
      <w:tblGrid>
        <w:gridCol w:w="2292"/>
        <w:gridCol w:w="2017"/>
        <w:gridCol w:w="2021"/>
        <w:gridCol w:w="211"/>
        <w:gridCol w:w="481"/>
        <w:gridCol w:w="286"/>
        <w:gridCol w:w="109"/>
        <w:gridCol w:w="109"/>
        <w:gridCol w:w="109"/>
        <w:gridCol w:w="211"/>
        <w:gridCol w:w="481"/>
        <w:gridCol w:w="286"/>
        <w:gridCol w:w="109"/>
        <w:gridCol w:w="109"/>
        <w:gridCol w:w="109"/>
        <w:gridCol w:w="218"/>
        <w:gridCol w:w="218"/>
        <w:gridCol w:w="579"/>
      </w:tblGrid>
      <w:tr>
        <w:trPr/>
        <w:tc>
          <w:tcPr>
            <w:tcW w:w="2292"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 as a % of total net revenues:</w:t>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cash equivalents, securities, and deposits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270"/>
        <w:jc w:val="both"/>
        <w:rPr>
          <w:rFonts w:ascii="Helvetica;sans-serif" w:hAnsi="Helvetica;sans-serif"/>
          <w:b w:val="false"/>
          <w:color w:val="000000"/>
          <w:sz w:val="20"/>
        </w:rPr>
      </w:pPr>
      <w:r>
        <w:rPr>
          <w:rFonts w:ascii="Helvetica;sans-serif" w:hAnsi="Helvetica;sans-serif"/>
          <w:b w:val="false"/>
          <w:color w:val="000000"/>
          <w:sz w:val="20"/>
        </w:rPr>
        <w:t>Net interest revenues increased by $36 million, primarily driven by growth in most of our interest-earning asset balances and securities lending activities. The increase was partially offset by a decrease in interest on corporate cash and investments driven by lower cash and deposits balances and a lower short-term interest rate environment. We anticipate any potential future rate cuts by the Federal Reserve will negatively impact our net interest revenues and adversely affect our customers’ returns on cash deposits.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48310"/>
                <wp:effectExtent l="0" t="0" r="0" b="0"/>
                <wp:wrapNone/>
                <wp:docPr id="48" name="Frame4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interest-earning assets, the revenue generated by these assets, and their respective annualized yields:</w:t>
      </w:r>
    </w:p>
    <w:tbl>
      <w:tblPr>
        <w:tblW w:w="10205" w:type="dxa"/>
        <w:jc w:val="left"/>
        <w:tblInd w:w="0" w:type="dxa"/>
        <w:tblLayout w:type="fixed"/>
        <w:tblCellMar>
          <w:top w:w="28" w:type="dxa"/>
          <w:left w:w="28" w:type="dxa"/>
          <w:bottom w:w="28" w:type="dxa"/>
          <w:right w:w="28" w:type="dxa"/>
        </w:tblCellMar>
      </w:tblPr>
      <w:tblGrid>
        <w:gridCol w:w="562"/>
        <w:gridCol w:w="352"/>
        <w:gridCol w:w="355"/>
        <w:gridCol w:w="202"/>
        <w:gridCol w:w="573"/>
        <w:gridCol w:w="112"/>
        <w:gridCol w:w="218"/>
        <w:gridCol w:w="721"/>
        <w:gridCol w:w="121"/>
        <w:gridCol w:w="219"/>
        <w:gridCol w:w="721"/>
        <w:gridCol w:w="123"/>
        <w:gridCol w:w="227"/>
        <w:gridCol w:w="488"/>
        <w:gridCol w:w="126"/>
        <w:gridCol w:w="312"/>
        <w:gridCol w:w="1053"/>
        <w:gridCol w:w="174"/>
        <w:gridCol w:w="109"/>
        <w:gridCol w:w="109"/>
        <w:gridCol w:w="109"/>
        <w:gridCol w:w="300"/>
        <w:gridCol w:w="507"/>
        <w:gridCol w:w="169"/>
        <w:gridCol w:w="383"/>
        <w:gridCol w:w="520"/>
        <w:gridCol w:w="216"/>
        <w:gridCol w:w="277"/>
        <w:gridCol w:w="617"/>
        <w:gridCol w:w="230"/>
      </w:tblGrid>
      <w:tr>
        <w:trPr/>
        <w:tc>
          <w:tcPr>
            <w:tcW w:w="5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2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i/>
                <w:color w:val="000000"/>
                <w:sz w:val="16"/>
              </w:rPr>
            </w:pPr>
            <w:r>
              <w:rPr>
                <w:rFonts w:ascii="Helvetica;sans-serif" w:hAnsi="Helvetica;sans-serif"/>
                <w:b w:val="false"/>
                <w:i/>
                <w:color w:val="000000"/>
                <w:sz w:val="16"/>
              </w:rPr>
              <w:t>(in millions, except for annualized yield)</w:t>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Margin Book</w:t>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Cash and deposits</w:t>
            </w:r>
            <w:r>
              <w:rPr>
                <w:rFonts w:ascii="Helvetica;sans-serif" w:hAnsi="Helvetica;sans-serif"/>
                <w:b w:val="false"/>
                <w:color w:val="000000"/>
                <w:sz w:val="10"/>
              </w:rPr>
              <w:t>(1)</w:t>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 xml:space="preserve">Cash Sweep </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(off-balance sheet)</w:t>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 xml:space="preserve">Credit card, net </w:t>
            </w:r>
            <w:r>
              <w:rPr>
                <w:rFonts w:ascii="Helvetica;sans-serif" w:hAnsi="Helvetica;sans-serif"/>
                <w:b w:val="false"/>
                <w:color w:val="000000"/>
                <w:sz w:val="10"/>
              </w:rPr>
              <w:t>(2)</w:t>
            </w:r>
          </w:p>
        </w:tc>
        <w:tc>
          <w:tcPr>
            <w:tcW w:w="15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interest-earning assets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Securities lending, net</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pPr>
            <w:r>
              <w:rPr>
                <w:rFonts w:ascii="Helvetica;sans-serif" w:hAnsi="Helvetica;sans-serif"/>
                <w:b w:val="false"/>
                <w:color w:val="000000"/>
                <w:sz w:val="16"/>
              </w:rPr>
              <w:t xml:space="preserve">Interest expenses related to credit facilities </w:t>
            </w:r>
            <w:r>
              <w:rPr>
                <w:rFonts w:ascii="Helvetica;sans-serif" w:hAnsi="Helvetica;sans-serif"/>
                <w:b w:val="false"/>
                <w:color w:val="000000"/>
                <w:sz w:val="10"/>
              </w:rPr>
              <w:t>(5)</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net interest revenues</w:t>
            </w:r>
          </w:p>
        </w:tc>
      </w:tr>
      <w:tr>
        <w:trPr/>
        <w:tc>
          <w:tcPr>
            <w:tcW w:w="66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2025</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28,187 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47,181</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2024</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44,307</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45,638</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273</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290</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5.21%</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4.17%</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9.95%</w:t>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2.54%</w:t>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2024</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44,307</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September 30, 2024</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24,485 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41,442</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25,621 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43,511</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276</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296</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4.65%</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0.78%</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8.99%</w:t>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2.72%</w:t>
            </w:r>
          </w:p>
        </w:tc>
      </w:tr>
      <w:tr>
        <w:trPr/>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2024</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19,049 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33,689</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2023</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30,122</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(3)</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17,576 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31,547</w:t>
            </w: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 (expense)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245</w:t>
            </w: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6"/>
              </w:rPr>
              <w:t>254</w:t>
            </w: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Helvetica;sans-serif" w:hAnsi="Helvetica;sans-serif"/>
                <w:b w:val="false"/>
                <w:color w:val="000000"/>
                <w:sz w:val="16"/>
              </w:rPr>
              <w:t>Annualized yield</w:t>
            </w:r>
            <w:r>
              <w:rPr>
                <w:rFonts w:ascii="Helvetica;sans-serif" w:hAnsi="Helvetica;sans-serif"/>
                <w:b w:val="false"/>
                <w:color w:val="000000"/>
                <w:sz w:val="10"/>
              </w:rPr>
              <w:t>(4)</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7.65%</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5.12%</w:t>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0.89%</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11.94%</w:t>
            </w:r>
          </w:p>
        </w:tc>
        <w:tc>
          <w:tcPr>
            <w:tcW w:w="1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6"/>
              </w:rPr>
            </w:pPr>
            <w:r>
              <w:rPr>
                <w:rFonts w:ascii="Helvetica;sans-serif" w:hAnsi="Helvetica;sans-serif"/>
                <w:b/>
                <w:color w:val="000000"/>
                <w:sz w:val="16"/>
              </w:rPr>
              <w:t>3.22%</w:t>
            </w:r>
          </w:p>
        </w:tc>
      </w:tr>
    </w:tbl>
    <w:p>
      <w:pPr>
        <w:pStyle w:val="TextBody"/>
        <w:bidi w:val="0"/>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(1) </w:t>
      </w:r>
      <w:r>
        <w:rPr>
          <w:rFonts w:ascii="Helvetica;sans-serif" w:hAnsi="Helvetica;sans-serif"/>
          <w:b w:val="false"/>
          <w:color w:val="000000"/>
          <w:sz w:val="16"/>
          <w:shd w:fill="FFFFFF" w:val="clear"/>
        </w:rPr>
        <w:t>Includes c</w:t>
      </w:r>
      <w:r>
        <w:rPr>
          <w:rFonts w:ascii="Helvetica;sans-serif" w:hAnsi="Helvetica;sans-serif"/>
          <w:b w:val="false"/>
          <w:color w:val="000000"/>
          <w:sz w:val="16"/>
        </w:rPr>
        <w:t>ash and cas</w:t>
      </w:r>
      <w:r>
        <w:rPr>
          <w:rFonts w:ascii="Helvetica;sans-serif" w:hAnsi="Helvetica;sans-serif"/>
          <w:b w:val="false"/>
          <w:color w:val="000000"/>
          <w:sz w:val="16"/>
          <w:shd w:fill="FFFFFF" w:val="clear"/>
        </w:rPr>
        <w:t>h equivalents, restricted cash, segregated cash, cash equivalents, and securities under federal and other regulations, deposits with clearing organizations, and investments.</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 xml:space="preserve">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and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w:t>
      </w:r>
      <w:r>
        <w:rPr>
          <w:rFonts w:ascii="Helvetica;sans-serif" w:hAnsi="Helvetica;sans-serif"/>
          <w:b w:val="false"/>
          <w:color w:val="000000"/>
          <w:sz w:val="16"/>
        </w:rPr>
        <w:t>March 31, 2025</w:t>
      </w:r>
      <w:r>
        <w:rPr>
          <w:rFonts w:ascii="Helvetica;sans-serif" w:hAnsi="Helvetica;sans-serif"/>
          <w:b w:val="false"/>
          <w:color w:val="000000"/>
          <w:sz w:val="16"/>
          <w:shd w:fill="FFFFFF" w:val="clear"/>
        </w:rPr>
        <w:t xml:space="preserve">, the off-balance sheet amount funded under the Program agreement was </w:t>
      </w:r>
      <w:r>
        <w:rPr>
          <w:rFonts w:ascii="Helvetica;sans-serif" w:hAnsi="Helvetica;sans-serif"/>
          <w:b w:val="false"/>
          <w:color w:val="000000"/>
          <w:sz w:val="16"/>
        </w:rPr>
        <w:t>$206 million</w:t>
      </w:r>
      <w:r>
        <w:rPr>
          <w:color w:val="000000"/>
          <w:shd w:fill="FFFFFF" w:val="clear"/>
        </w:rPr>
        <w:t xml:space="preserve"> </w:t>
      </w:r>
      <w:r>
        <w:rPr>
          <w:rFonts w:ascii="Helvetica;sans-serif" w:hAnsi="Helvetica;sans-serif"/>
          <w:b w:val="false"/>
          <w:color w:val="000000"/>
          <w:sz w:val="16"/>
          <w:shd w:fill="FFFFFF" w:val="clear"/>
        </w:rPr>
        <w:t xml:space="preserve">and the on-balance sheet amount was </w:t>
      </w:r>
      <w:r>
        <w:rPr>
          <w:rFonts w:ascii="Helvetica;sans-serif" w:hAnsi="Helvetica;sans-serif"/>
          <w:b w:val="false"/>
          <w:color w:val="000000"/>
          <w:sz w:val="16"/>
        </w:rPr>
        <w:t xml:space="preserve">$223 million. Refer to </w:t>
      </w:r>
      <w:r>
        <w:rPr>
          <w:rFonts w:ascii="Helvetica;sans-serif" w:hAnsi="Helvetica;sans-serif"/>
          <w:b w:val="false"/>
          <w:color w:val="000000"/>
          <w:sz w:val="16"/>
          <w:shd w:fill="FFFFFF" w:val="clear"/>
        </w:rPr>
        <w:t xml:space="preserve">Note 10 - Financing Activities and Off-Balance Sheet Risk to our unaudited condensed consolidated financial statements in this Quarterly Report for more information.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(3)</w:t>
      </w:r>
      <w:r>
        <w:rPr>
          <w:color w:val="000000"/>
          <w:shd w:fill="FFFFFF" w:val="clear"/>
        </w:rPr>
        <w:t xml:space="preserve"> </w:t>
      </w:r>
      <w:r>
        <w:rPr>
          <w:rFonts w:ascii="Helvetica;sans-serif" w:hAnsi="Helvetica;sans-serif"/>
          <w:b w:val="false"/>
          <w:color w:val="000000"/>
          <w:sz w:val="16"/>
          <w:shd w:fill="FFFFFF" w:val="clear"/>
        </w:rPr>
        <w:t>Average balance rows represent the simple average of month-end balances in a given period.</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(4)</w:t>
      </w:r>
      <w:r>
        <w:rPr>
          <w:color w:val="000000"/>
          <w:shd w:fill="FFFFFF" w:val="clear"/>
        </w:rPr>
        <w:t xml:space="preserve"> </w:t>
      </w:r>
      <w:r>
        <w:rPr>
          <w:rFonts w:ascii="Helvetica;sans-serif" w:hAnsi="Helvetica;sans-serif"/>
          <w:b w:val="false"/>
          <w:color w:val="000000"/>
          <w:sz w:val="16"/>
          <w:shd w:fill="FFFFFF" w:val="clear"/>
        </w:rPr>
        <w:t xml:space="preserve">Annualized yield is calculated by annualizing revenue for the given period and dividing by the applicable average asset balance.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(5)</w:t>
      </w:r>
      <w:r>
        <w:rPr>
          <w:color w:val="000000"/>
          <w:shd w:fill="FFFFFF" w:val="clear"/>
        </w:rPr>
        <w:t xml:space="preserve"> </w:t>
      </w:r>
      <w:r>
        <w:rPr>
          <w:rFonts w:ascii="Helvetica;sans-serif" w:hAnsi="Helvetica;sans-serif"/>
          <w:b w:val="false"/>
          <w:color w:val="000000"/>
          <w:sz w:val="16"/>
          <w:shd w:fill="FFFFFF" w:val="clear"/>
        </w:rPr>
        <w:t xml:space="preserve">Includes interest expenses related to our revolving credit facilities; interest expense related to the Credit Card Funding Trust is included in the credit card, net interest yield calculation. </w:t>
      </w:r>
      <w:r>
        <w:rPr>
          <w:rFonts w:ascii="Helvetica;sans-serif" w:hAnsi="Helvetica;sans-serif"/>
          <w:b w:val="false"/>
          <w:color w:val="000000"/>
          <w:sz w:val="16"/>
        </w:rPr>
        <w:t xml:space="preserve">Refer to </w:t>
      </w:r>
      <w:r>
        <w:rPr>
          <w:rFonts w:ascii="Helvetica;sans-serif" w:hAnsi="Helvetica;sans-serif"/>
          <w:b w:val="false"/>
          <w:color w:val="000000"/>
          <w:sz w:val="16"/>
          <w:shd w:fill="FFFFFF" w:val="clear"/>
        </w:rPr>
        <w:t xml:space="preserve">Note 10 - Financing Activities and Off-Balance Sheet Risk to our unaudited condensed consolidated financial statements in this Quarterly Report for more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48310"/>
                <wp:effectExtent l="0" t="0" r="0" b="0"/>
                <wp:wrapNone/>
                <wp:docPr id="49" name="Frame48"/>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Other Revenues</w:t>
      </w:r>
    </w:p>
    <w:tbl>
      <w:tblPr>
        <w:tblW w:w="7075" w:type="dxa"/>
        <w:jc w:val="left"/>
        <w:tblInd w:w="0" w:type="dxa"/>
        <w:tblLayout w:type="fixed"/>
        <w:tblCellMar>
          <w:top w:w="28" w:type="dxa"/>
          <w:left w:w="28" w:type="dxa"/>
          <w:bottom w:w="28" w:type="dxa"/>
          <w:right w:w="28" w:type="dxa"/>
        </w:tblCellMar>
      </w:tblPr>
      <w:tblGrid>
        <w:gridCol w:w="1461"/>
        <w:gridCol w:w="1286"/>
        <w:gridCol w:w="1288"/>
        <w:gridCol w:w="240"/>
        <w:gridCol w:w="124"/>
        <w:gridCol w:w="326"/>
        <w:gridCol w:w="124"/>
        <w:gridCol w:w="124"/>
        <w:gridCol w:w="124"/>
        <w:gridCol w:w="240"/>
        <w:gridCol w:w="124"/>
        <w:gridCol w:w="326"/>
        <w:gridCol w:w="109"/>
        <w:gridCol w:w="109"/>
        <w:gridCol w:w="109"/>
        <w:gridCol w:w="190"/>
        <w:gridCol w:w="190"/>
        <w:gridCol w:w="581"/>
      </w:tblGrid>
      <w:tr>
        <w:trP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other revenues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Robinhood Gold subscription revenues</w:t>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Proxy revenues</w:t>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270"/>
        <w:jc w:val="both"/>
        <w:rPr>
          <w:rFonts w:ascii="Helvetica;sans-serif" w:hAnsi="Helvetica;sans-serif"/>
          <w:b w:val="false"/>
          <w:color w:val="000000"/>
          <w:sz w:val="20"/>
        </w:rPr>
      </w:pPr>
      <w:r>
        <w:rPr>
          <w:rFonts w:ascii="Helvetica;sans-serif" w:hAnsi="Helvetica;sans-serif"/>
          <w:b w:val="false"/>
          <w:color w:val="000000"/>
          <w:sz w:val="20"/>
        </w:rPr>
        <w:t>Other revenues increased $19 million primarily driven by an increase in Robinhood Gold subscription revenues of $15 million due to an increase in Robinhood Gold Subscribers.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Operating Expenses</w:t>
      </w:r>
    </w:p>
    <w:tbl>
      <w:tblPr>
        <w:tblW w:w="7201" w:type="dxa"/>
        <w:jc w:val="left"/>
        <w:tblInd w:w="0" w:type="dxa"/>
        <w:tblLayout w:type="fixed"/>
        <w:tblCellMar>
          <w:top w:w="28" w:type="dxa"/>
          <w:left w:w="28" w:type="dxa"/>
          <w:bottom w:w="28" w:type="dxa"/>
          <w:right w:w="28" w:type="dxa"/>
        </w:tblCellMar>
      </w:tblPr>
      <w:tblGrid>
        <w:gridCol w:w="983"/>
        <w:gridCol w:w="865"/>
        <w:gridCol w:w="867"/>
        <w:gridCol w:w="109"/>
        <w:gridCol w:w="109"/>
        <w:gridCol w:w="109"/>
        <w:gridCol w:w="109"/>
        <w:gridCol w:w="232"/>
        <w:gridCol w:w="232"/>
        <w:gridCol w:w="449"/>
        <w:gridCol w:w="232"/>
        <w:gridCol w:w="609"/>
        <w:gridCol w:w="109"/>
        <w:gridCol w:w="109"/>
        <w:gridCol w:w="109"/>
        <w:gridCol w:w="242"/>
        <w:gridCol w:w="134"/>
        <w:gridCol w:w="305"/>
        <w:gridCol w:w="109"/>
        <w:gridCol w:w="109"/>
        <w:gridCol w:w="109"/>
        <w:gridCol w:w="190"/>
        <w:gridCol w:w="190"/>
        <w:gridCol w:w="581"/>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Percent of total 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Provisions for credit losses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48310"/>
                <wp:effectExtent l="0" t="0" r="0" b="0"/>
                <wp:wrapNone/>
                <wp:docPr id="50" name="Frame49"/>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Brokerage and Transaction </w:t>
      </w:r>
    </w:p>
    <w:tbl>
      <w:tblPr>
        <w:tblW w:w="10205" w:type="dxa"/>
        <w:jc w:val="left"/>
        <w:tblInd w:w="0" w:type="dxa"/>
        <w:tblLayout w:type="fixed"/>
        <w:tblCellMar>
          <w:top w:w="28" w:type="dxa"/>
          <w:left w:w="28" w:type="dxa"/>
          <w:bottom w:w="28" w:type="dxa"/>
          <w:right w:w="28" w:type="dxa"/>
        </w:tblCellMar>
      </w:tblPr>
      <w:tblGrid>
        <w:gridCol w:w="2067"/>
        <w:gridCol w:w="1811"/>
        <w:gridCol w:w="1836"/>
        <w:gridCol w:w="109"/>
        <w:gridCol w:w="109"/>
        <w:gridCol w:w="109"/>
        <w:gridCol w:w="109"/>
        <w:gridCol w:w="207"/>
        <w:gridCol w:w="207"/>
        <w:gridCol w:w="402"/>
        <w:gridCol w:w="717"/>
        <w:gridCol w:w="207"/>
        <w:gridCol w:w="109"/>
        <w:gridCol w:w="109"/>
        <w:gridCol w:w="109"/>
        <w:gridCol w:w="211"/>
        <w:gridCol w:w="376"/>
        <w:gridCol w:w="109"/>
        <w:gridCol w:w="109"/>
        <w:gridCol w:w="109"/>
        <w:gridCol w:w="109"/>
        <w:gridCol w:w="281"/>
        <w:gridCol w:w="281"/>
        <w:gridCol w:w="403"/>
      </w:tblGrid>
      <w:tr>
        <w:trPr/>
        <w:tc>
          <w:tcPr>
            <w:tcW w:w="206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6"/>
            <w:tcBorders/>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Instant withdrawals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200%</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w:t>
            </w:r>
            <w:r>
              <w:rPr>
                <w:rFonts w:ascii="Helvetica;sans-serif" w:hAnsi="Helvetica;sans-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data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33%</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statements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w:t>
            </w:r>
            <w:r>
              <w:rPr>
                <w:rFonts w:ascii="Helvetica;sans-serif" w:hAnsi="Helvetica;sans-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w:t>
            </w:r>
            <w:r>
              <w:rPr>
                <w:rFonts w:ascii="Helvetica;sans-serif" w:hAnsi="Helvetica;sans-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Brokerage and transaction costs increased by $15 million primarily driven by a $7 million increase in other brokerage and transactions costs related to credit card network fees and a $6 million increase in instant withdrawals expense as a result of higher customer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Technology and Development</w:t>
      </w:r>
    </w:p>
    <w:tbl>
      <w:tblPr>
        <w:tblW w:w="10205" w:type="dxa"/>
        <w:jc w:val="left"/>
        <w:tblInd w:w="0" w:type="dxa"/>
        <w:tblLayout w:type="fixed"/>
        <w:tblCellMar>
          <w:top w:w="28" w:type="dxa"/>
          <w:left w:w="28" w:type="dxa"/>
          <w:bottom w:w="28" w:type="dxa"/>
          <w:right w:w="28" w:type="dxa"/>
        </w:tblCellMar>
      </w:tblPr>
      <w:tblGrid>
        <w:gridCol w:w="2074"/>
        <w:gridCol w:w="1819"/>
        <w:gridCol w:w="1840"/>
        <w:gridCol w:w="109"/>
        <w:gridCol w:w="109"/>
        <w:gridCol w:w="109"/>
        <w:gridCol w:w="109"/>
        <w:gridCol w:w="291"/>
        <w:gridCol w:w="291"/>
        <w:gridCol w:w="568"/>
        <w:gridCol w:w="293"/>
        <w:gridCol w:w="301"/>
        <w:gridCol w:w="109"/>
        <w:gridCol w:w="109"/>
        <w:gridCol w:w="109"/>
        <w:gridCol w:w="229"/>
        <w:gridCol w:w="209"/>
        <w:gridCol w:w="212"/>
        <w:gridCol w:w="109"/>
        <w:gridCol w:w="109"/>
        <w:gridCol w:w="109"/>
        <w:gridCol w:w="205"/>
        <w:gridCol w:w="201"/>
        <w:gridCol w:w="582"/>
      </w:tblGrid>
      <w:tr>
        <w:trPr/>
        <w:tc>
          <w:tcPr>
            <w:tcW w:w="2074"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6"/>
            <w:tcBorders/>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Cloud infrastructure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Software and tools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Technology and development costs increased by $18 million primarily due to a $7 million increase in cloud infrastructure services to meet higher capacity requirements for our platforms to support increased trading volumes and a $7 million increase in software and tools utilized in delivering our products and improving internal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Operations</w:t>
      </w:r>
    </w:p>
    <w:tbl>
      <w:tblPr>
        <w:tblW w:w="10205" w:type="dxa"/>
        <w:jc w:val="left"/>
        <w:tblInd w:w="0" w:type="dxa"/>
        <w:tblLayout w:type="fixed"/>
        <w:tblCellMar>
          <w:top w:w="28" w:type="dxa"/>
          <w:left w:w="28" w:type="dxa"/>
          <w:bottom w:w="28" w:type="dxa"/>
          <w:right w:w="28" w:type="dxa"/>
        </w:tblCellMar>
      </w:tblPr>
      <w:tblGrid>
        <w:gridCol w:w="2069"/>
        <w:gridCol w:w="1814"/>
        <w:gridCol w:w="1835"/>
        <w:gridCol w:w="109"/>
        <w:gridCol w:w="109"/>
        <w:gridCol w:w="109"/>
        <w:gridCol w:w="109"/>
        <w:gridCol w:w="207"/>
        <w:gridCol w:w="207"/>
        <w:gridCol w:w="402"/>
        <w:gridCol w:w="717"/>
        <w:gridCol w:w="207"/>
        <w:gridCol w:w="109"/>
        <w:gridCol w:w="109"/>
        <w:gridCol w:w="109"/>
        <w:gridCol w:w="211"/>
        <w:gridCol w:w="376"/>
        <w:gridCol w:w="109"/>
        <w:gridCol w:w="109"/>
        <w:gridCol w:w="109"/>
        <w:gridCol w:w="109"/>
        <w:gridCol w:w="279"/>
        <w:gridCol w:w="279"/>
        <w:gridCol w:w="403"/>
      </w:tblGrid>
      <w:tr>
        <w:trPr/>
        <w:tc>
          <w:tcPr>
            <w:tcW w:w="2069"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5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6"/>
            <w:tcBorders/>
          </w:tcPr>
          <w:p>
            <w:pPr>
              <w:pStyle w:val="TableContents"/>
              <w:bidi w:val="0"/>
              <w:spacing w:before="0" w:after="283"/>
              <w:jc w:val="left"/>
              <w:rPr>
                <w:sz w:val="4"/>
                <w:szCs w:val="4"/>
              </w:rPr>
            </w:pPr>
            <w:r>
              <w:rPr>
                <w:sz w:val="4"/>
                <w:szCs w:val="4"/>
              </w:rPr>
            </w:r>
          </w:p>
        </w:tc>
      </w:tr>
      <w:tr>
        <w:trPr/>
        <w:tc>
          <w:tcPr>
            <w:tcW w:w="5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Helvetica;sans-serif" w:hAnsi="Helvetica;sans-serif"/>
                <w:b w:val="false"/>
                <w:color w:val="000000"/>
                <w:sz w:val="20"/>
              </w:rPr>
              <w:t>%</w:t>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experience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r>
        <w:trPr/>
        <w:tc>
          <w:tcPr>
            <w:tcW w:w="5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r>
      <w:tr>
        <w:trPr/>
        <w:tc>
          <w:tcPr>
            <w:tcW w:w="5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costs increased by $3 million with no material changes to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48310"/>
                <wp:effectExtent l="0" t="0" r="0" b="0"/>
                <wp:wrapNone/>
                <wp:docPr id="51" name="Frame50"/>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credit losses </w:t>
      </w:r>
    </w:p>
    <w:tbl>
      <w:tblPr>
        <w:tblW w:w="8473" w:type="dxa"/>
        <w:jc w:val="left"/>
        <w:tblInd w:w="0" w:type="dxa"/>
        <w:tblLayout w:type="fixed"/>
        <w:tblCellMar>
          <w:top w:w="28" w:type="dxa"/>
          <w:left w:w="28" w:type="dxa"/>
          <w:bottom w:w="28" w:type="dxa"/>
          <w:right w:w="28" w:type="dxa"/>
        </w:tblCellMar>
      </w:tblPr>
      <w:tblGrid>
        <w:gridCol w:w="1493"/>
        <w:gridCol w:w="1307"/>
        <w:gridCol w:w="1325"/>
        <w:gridCol w:w="109"/>
        <w:gridCol w:w="109"/>
        <w:gridCol w:w="109"/>
        <w:gridCol w:w="109"/>
        <w:gridCol w:w="209"/>
        <w:gridCol w:w="209"/>
        <w:gridCol w:w="405"/>
        <w:gridCol w:w="722"/>
        <w:gridCol w:w="209"/>
        <w:gridCol w:w="109"/>
        <w:gridCol w:w="109"/>
        <w:gridCol w:w="109"/>
        <w:gridCol w:w="229"/>
        <w:gridCol w:w="157"/>
        <w:gridCol w:w="159"/>
        <w:gridCol w:w="109"/>
        <w:gridCol w:w="109"/>
        <w:gridCol w:w="109"/>
        <w:gridCol w:w="280"/>
        <w:gridCol w:w="280"/>
        <w:gridCol w:w="399"/>
      </w:tblGrid>
      <w:tr>
        <w:trPr/>
        <w:tc>
          <w:tcPr>
            <w:tcW w:w="149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credit card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30%</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 brokerage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bl>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Provision for credit losses costs increased by $8 million primarily due to a </w:t>
      </w:r>
      <w:r>
        <w:rPr>
          <w:rFonts w:ascii="Helvetica;sans-serif" w:hAnsi="Helvetica;sans-serif"/>
          <w:b w:val="false"/>
          <w:color w:val="000000"/>
          <w:sz w:val="20"/>
          <w:shd w:fill="FFFFFF" w:val="clear"/>
        </w:rPr>
        <w:t xml:space="preserve">$5 million </w:t>
      </w:r>
      <w:r>
        <w:rPr>
          <w:rFonts w:ascii="Helvetica;sans-serif" w:hAnsi="Helvetica;sans-serif"/>
          <w:b w:val="false"/>
          <w:color w:val="000000"/>
          <w:sz w:val="20"/>
        </w:rPr>
        <w:t>increase</w:t>
      </w:r>
      <w:r>
        <w:rPr>
          <w:color w:val="000000"/>
          <w:shd w:fill="FFFFFF" w:val="clear"/>
        </w:rPr>
        <w:t xml:space="preserve"> </w:t>
      </w:r>
      <w:r>
        <w:rPr>
          <w:rFonts w:ascii="Helvetica;sans-serif" w:hAnsi="Helvetica;sans-serif"/>
          <w:b w:val="false"/>
          <w:color w:val="000000"/>
          <w:sz w:val="20"/>
        </w:rPr>
        <w:t xml:space="preserve">in brokerage related expenses primarily as a result of fraudulent activities. Credit card related provision for credit losses increased </w:t>
      </w:r>
      <w:r>
        <w:rPr>
          <w:rFonts w:ascii="Helvetica;sans-serif" w:hAnsi="Helvetica;sans-serif"/>
          <w:b w:val="false"/>
          <w:color w:val="000000"/>
          <w:sz w:val="20"/>
          <w:shd w:fill="FFFFFF" w:val="clear"/>
        </w:rPr>
        <w:t xml:space="preserve">$3 million </w:t>
      </w:r>
      <w:r>
        <w:rPr>
          <w:rFonts w:ascii="Helvetica;sans-serif" w:hAnsi="Helvetica;sans-serif"/>
          <w:b w:val="false"/>
          <w:color w:val="000000"/>
          <w:sz w:val="20"/>
        </w:rPr>
        <w:t xml:space="preserve">primarily due to higher balances in purchased credit card receivables.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Marketing</w:t>
      </w:r>
    </w:p>
    <w:tbl>
      <w:tblPr>
        <w:tblW w:w="10205" w:type="dxa"/>
        <w:jc w:val="left"/>
        <w:tblInd w:w="0" w:type="dxa"/>
        <w:tblLayout w:type="fixed"/>
        <w:tblCellMar>
          <w:top w:w="28" w:type="dxa"/>
          <w:left w:w="28" w:type="dxa"/>
          <w:bottom w:w="28" w:type="dxa"/>
          <w:right w:w="28" w:type="dxa"/>
        </w:tblCellMar>
      </w:tblPr>
      <w:tblGrid>
        <w:gridCol w:w="2012"/>
        <w:gridCol w:w="1758"/>
        <w:gridCol w:w="1780"/>
        <w:gridCol w:w="109"/>
        <w:gridCol w:w="109"/>
        <w:gridCol w:w="109"/>
        <w:gridCol w:w="109"/>
        <w:gridCol w:w="203"/>
        <w:gridCol w:w="203"/>
        <w:gridCol w:w="395"/>
        <w:gridCol w:w="704"/>
        <w:gridCol w:w="203"/>
        <w:gridCol w:w="109"/>
        <w:gridCol w:w="109"/>
        <w:gridCol w:w="109"/>
        <w:gridCol w:w="211"/>
        <w:gridCol w:w="481"/>
        <w:gridCol w:w="109"/>
        <w:gridCol w:w="109"/>
        <w:gridCol w:w="109"/>
        <w:gridCol w:w="109"/>
        <w:gridCol w:w="243"/>
        <w:gridCol w:w="238"/>
        <w:gridCol w:w="575"/>
      </w:tblGrid>
      <w:tr>
        <w:trPr/>
        <w:tc>
          <w:tcPr>
            <w:tcW w:w="201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Digital marketing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incentives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Creative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2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Marketing costs increased by $38 million primarily due to higher expenses in digital marketing of $25 million and brand marketing of $5 million, as we increased our investments in paid marketing channels and other marketing initiatives to promote our brand,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2007"/>
        <w:gridCol w:w="1760"/>
        <w:gridCol w:w="1780"/>
        <w:gridCol w:w="109"/>
        <w:gridCol w:w="109"/>
        <w:gridCol w:w="109"/>
        <w:gridCol w:w="109"/>
        <w:gridCol w:w="182"/>
        <w:gridCol w:w="182"/>
        <w:gridCol w:w="355"/>
        <w:gridCol w:w="810"/>
        <w:gridCol w:w="182"/>
        <w:gridCol w:w="109"/>
        <w:gridCol w:w="109"/>
        <w:gridCol w:w="109"/>
        <w:gridCol w:w="211"/>
        <w:gridCol w:w="481"/>
        <w:gridCol w:w="109"/>
        <w:gridCol w:w="109"/>
        <w:gridCol w:w="109"/>
        <w:gridCol w:w="109"/>
        <w:gridCol w:w="240"/>
        <w:gridCol w:w="241"/>
        <w:gridCol w:w="575"/>
      </w:tblGrid>
      <w:tr>
        <w:trPr/>
        <w:tc>
          <w:tcPr>
            <w:tcW w:w="200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5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Settlements and penalties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200"/>
        <w:ind w:left="0" w:right="0" w:firstLine="360"/>
        <w:jc w:val="both"/>
        <w:rPr/>
      </w:pPr>
      <w:r>
        <w:rPr>
          <w:rFonts w:ascii="Helvetica;sans-serif" w:hAnsi="Helvetica;sans-serif"/>
          <w:b w:val="false"/>
          <w:color w:val="000000"/>
          <w:sz w:val="20"/>
          <w:shd w:fill="FFFFFF" w:val="clear"/>
        </w:rPr>
        <w:t xml:space="preserve">General and administrative costs increased $15 million primarily due to an </w:t>
      </w:r>
      <w:r>
        <w:rPr>
          <w:rFonts w:ascii="Helvetica;sans-serif" w:hAnsi="Helvetica;sans-serif"/>
          <w:b w:val="false"/>
          <w:color w:val="000000"/>
          <w:sz w:val="20"/>
        </w:rPr>
        <w:t>increase</w:t>
      </w:r>
      <w:r>
        <w:rPr>
          <w:color w:val="000000"/>
          <w:shd w:fill="FFFFFF" w:val="clear"/>
        </w:rPr>
        <w:t xml:space="preserve"> </w:t>
      </w:r>
      <w:r>
        <w:rPr>
          <w:rFonts w:ascii="Helvetica;sans-serif" w:hAnsi="Helvetica;sans-serif"/>
          <w:b w:val="false"/>
          <w:color w:val="000000"/>
          <w:sz w:val="20"/>
          <w:shd w:fill="FFFFFF" w:val="clear"/>
        </w:rPr>
        <w:t>of $12 million</w:t>
      </w:r>
      <w:r>
        <w:rPr>
          <w:color w:val="000000"/>
        </w:rPr>
        <w:t xml:space="preserve"> </w:t>
      </w:r>
      <w:r>
        <w:rPr>
          <w:rFonts w:ascii="Helvetica;sans-serif" w:hAnsi="Helvetica;sans-serif"/>
          <w:b w:val="false"/>
          <w:color w:val="000000"/>
          <w:sz w:val="20"/>
          <w:shd w:fill="FFFFFF" w:val="clear"/>
        </w:rPr>
        <w:t xml:space="preserve">in SBC expenses due to a reversal of $11 million of previously recognized expenses in the prior year as a result of the resignation of our co-founder and former Chief Creative Officer. Additionally, other professional fees increased by $5 million primarily due to costs incurred in connection with the TradePMR acquisition. </w:t>
      </w:r>
      <w:r>
        <w:rPr>
          <w:rFonts w:ascii="Helvetica;sans-serif" w:hAnsi="Helvetica;sans-serif"/>
          <w:b w:val="false"/>
          <w:color w:val="000000"/>
          <w:sz w:val="20"/>
        </w:rPr>
        <w:t xml:space="preserve">These increases were partially offset by a decrease of </w:t>
      </w:r>
      <w:r>
        <w:rPr>
          <w:rFonts w:ascii="Helvetica;sans-serif" w:hAnsi="Helvetica;sans-serif"/>
          <w:b w:val="false"/>
          <w:color w:val="000000"/>
          <w:sz w:val="20"/>
          <w:shd w:fill="FFFFFF" w:val="clear"/>
        </w:rPr>
        <w:t>$7 million</w:t>
      </w:r>
      <w:r>
        <w:rPr>
          <w:color w:val="000000"/>
        </w:rPr>
        <w:t xml:space="preserve"> </w:t>
      </w:r>
      <w:r>
        <w:rPr>
          <w:rFonts w:ascii="Helvetica;sans-serif" w:hAnsi="Helvetica;sans-serif"/>
          <w:b w:val="false"/>
          <w:color w:val="000000"/>
          <w:sz w:val="20"/>
        </w:rPr>
        <w:t xml:space="preserve">in </w:t>
      </w:r>
      <w:r>
        <w:rPr>
          <w:rFonts w:ascii="Helvetica;sans-serif" w:hAnsi="Helvetica;sans-serif"/>
          <w:b w:val="false"/>
          <w:color w:val="000000"/>
          <w:sz w:val="20"/>
          <w:shd w:fill="FFFFFF" w:val="clear"/>
        </w:rPr>
        <w:t xml:space="preserve">legal expenses associated with certain historical regulatory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48310"/>
                <wp:effectExtent l="0" t="0" r="0" b="0"/>
                <wp:wrapNone/>
                <wp:docPr id="52" name="Frame51"/>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Provision for Income Taxes </w:t>
      </w:r>
    </w:p>
    <w:tbl>
      <w:tblPr>
        <w:tblW w:w="7045" w:type="dxa"/>
        <w:jc w:val="center"/>
        <w:tblInd w:w="0" w:type="dxa"/>
        <w:tblLayout w:type="fixed"/>
        <w:tblCellMar>
          <w:top w:w="28" w:type="dxa"/>
          <w:left w:w="28" w:type="dxa"/>
          <w:bottom w:w="28" w:type="dxa"/>
          <w:right w:w="28" w:type="dxa"/>
        </w:tblCellMar>
      </w:tblPr>
      <w:tblGrid>
        <w:gridCol w:w="886"/>
        <w:gridCol w:w="775"/>
        <w:gridCol w:w="783"/>
        <w:gridCol w:w="109"/>
        <w:gridCol w:w="109"/>
        <w:gridCol w:w="109"/>
        <w:gridCol w:w="109"/>
        <w:gridCol w:w="236"/>
        <w:gridCol w:w="236"/>
        <w:gridCol w:w="457"/>
        <w:gridCol w:w="588"/>
        <w:gridCol w:w="236"/>
        <w:gridCol w:w="109"/>
        <w:gridCol w:w="109"/>
        <w:gridCol w:w="109"/>
        <w:gridCol w:w="211"/>
        <w:gridCol w:w="376"/>
        <w:gridCol w:w="109"/>
        <w:gridCol w:w="109"/>
        <w:gridCol w:w="109"/>
        <w:gridCol w:w="109"/>
        <w:gridCol w:w="240"/>
        <w:gridCol w:w="24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Provision for income taxes increased by $30 million for the three months ended March 31, 2025 primarily due to the valuation allowance release on the U.S. federal and certain state deferred tax assets in the fourth quarter of 2024 and the growth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 xml:space="preserve">Sources and Uses of Funds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principal sources of liquidity are cash flows generated from operations and our cash, cash equivalents, and investments.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Depository Trust Company (“DTC”), the NSCC, the Options Clearing Corporation (“OCC”), and the Commodity Futures Trading Commission (“CFTC”)). Based on our current level of operations, we believe our primary sources of liquidity will be adequate to meet our current liquidity needs for the next 12 months.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Liquid Assets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March 31, 2025, we had cash and cash equivalents of $4.42 billion and held-to-maturity investments of $192 million. Refer to Note 7 - Investments and Fair Value Measurement, to our unaudited condensed consolidated financial statements in this Quarterly Report for further information.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 xml:space="preserve">Revolving Credit Facilities and Credit Card Funding Trust </w:t>
      </w:r>
    </w:p>
    <w:p>
      <w:pPr>
        <w:pStyle w:val="TextBody"/>
        <w:bidi w:val="0"/>
        <w:spacing w:lineRule="auto" w:line="288" w:before="0" w:after="200"/>
        <w:ind w:left="0" w:right="0" w:firstLine="360"/>
        <w:jc w:val="both"/>
        <w:rPr/>
      </w:pPr>
      <w:r>
        <w:rPr>
          <w:rFonts w:ascii="Helvetica;sans-serif" w:hAnsi="Helvetica;sans-serif"/>
          <w:b w:val="false"/>
          <w:color w:val="000000"/>
          <w:sz w:val="20"/>
        </w:rPr>
        <w:t xml:space="preserve">As of March 31, 2025, we had committed revolving credit facilities with a total borrowing capacity of up to $3.65 billion and a borrowing capacity for our Credit Card Funding Trust of up to $400 million. </w:t>
      </w:r>
      <w:r>
        <w:rPr>
          <w:rFonts w:ascii="Helvetica;sans-serif" w:hAnsi="Helvetica;sans-serif"/>
          <w:b w:val="false"/>
          <w:color w:val="000000"/>
          <w:sz w:val="20"/>
          <w:shd w:fill="FFFFFF" w:val="clear"/>
        </w:rPr>
        <w:t xml:space="preserve">Refer to </w:t>
      </w:r>
      <w:r>
        <w:rPr>
          <w:rFonts w:ascii="Helvetica;sans-serif" w:hAnsi="Helvetica;sans-serif"/>
          <w:b w:val="false"/>
          <w:color w:val="000000"/>
          <w:sz w:val="20"/>
        </w:rPr>
        <w:t xml:space="preserve">Note 10 - Financing Activities and Off-Balance Sheet Risk to our unaudited condensed consolidated financial statements in this Quarterly Report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48310"/>
                <wp:effectExtent l="0" t="0" r="0" b="0"/>
                <wp:wrapNone/>
                <wp:docPr id="53" name="Frame52"/>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Commitments</w:t>
      </w:r>
    </w:p>
    <w:p>
      <w:pPr>
        <w:pStyle w:val="TextBody"/>
        <w:bidi w:val="0"/>
        <w:spacing w:lineRule="auto" w:line="28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following table summarizes our short- and long-term material cash requirements for contractual obligations as of March 31, 2025:</w:t>
      </w:r>
    </w:p>
    <w:tbl>
      <w:tblPr>
        <w:tblW w:w="10205" w:type="dxa"/>
        <w:jc w:val="left"/>
        <w:tblInd w:w="0" w:type="dxa"/>
        <w:tblLayout w:type="fixed"/>
        <w:tblCellMar>
          <w:top w:w="28" w:type="dxa"/>
          <w:left w:w="28" w:type="dxa"/>
          <w:bottom w:w="28" w:type="dxa"/>
          <w:right w:w="28" w:type="dxa"/>
        </w:tblCellMar>
      </w:tblPr>
      <w:tblGrid>
        <w:gridCol w:w="1424"/>
        <w:gridCol w:w="1234"/>
        <w:gridCol w:w="1249"/>
        <w:gridCol w:w="211"/>
        <w:gridCol w:w="646"/>
        <w:gridCol w:w="109"/>
        <w:gridCol w:w="109"/>
        <w:gridCol w:w="109"/>
        <w:gridCol w:w="109"/>
        <w:gridCol w:w="362"/>
        <w:gridCol w:w="828"/>
        <w:gridCol w:w="187"/>
        <w:gridCol w:w="109"/>
        <w:gridCol w:w="109"/>
        <w:gridCol w:w="109"/>
        <w:gridCol w:w="226"/>
        <w:gridCol w:w="515"/>
        <w:gridCol w:w="116"/>
        <w:gridCol w:w="109"/>
        <w:gridCol w:w="109"/>
        <w:gridCol w:w="109"/>
        <w:gridCol w:w="249"/>
        <w:gridCol w:w="445"/>
        <w:gridCol w:w="128"/>
        <w:gridCol w:w="109"/>
        <w:gridCol w:w="109"/>
        <w:gridCol w:w="109"/>
        <w:gridCol w:w="273"/>
        <w:gridCol w:w="487"/>
        <w:gridCol w:w="208"/>
      </w:tblGrid>
      <w:tr>
        <w:trPr/>
        <w:tc>
          <w:tcPr>
            <w:tcW w:w="142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Payments Due by Period</w:t>
            </w:r>
          </w:p>
        </w:tc>
      </w:tr>
      <w:tr>
        <w:trPr/>
        <w:tc>
          <w:tcPr>
            <w:tcW w:w="3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Remainder of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2028-2029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Thereafter</w:t>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commitments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Robinhood match incentives commitments</w:t>
            </w:r>
            <w:r>
              <w:rPr>
                <w:rFonts w:ascii="Helvetica;sans-serif" w:hAnsi="Helvetica;sans-serif"/>
                <w:b w:val="false"/>
                <w:color w:val="000000"/>
                <w:sz w:val="13"/>
              </w:rPr>
              <w:t>(2)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Credit Card Funding Trust borrowing principal and interest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Purchase commitments are determined based on the non-cancelable quantities or termination amounts to which we are contractually obligated. These primarily relate to commitments for cloud infrastructure and data se</w:t>
      </w:r>
      <w:r>
        <w:rPr>
          <w:rFonts w:ascii="Helvetica;sans-serif" w:hAnsi="Helvetica;sans-serif"/>
          <w:b w:val="false"/>
          <w:color w:val="000000"/>
          <w:sz w:val="16"/>
        </w:rPr>
        <w:t xml:space="preserve">rvices and business insurance. </w:t>
      </w:r>
    </w:p>
    <w:p>
      <w:pPr>
        <w:pStyle w:val="TextBody"/>
        <w:bidi w:val="0"/>
        <w:spacing w:lineRule="auto" w:line="288" w:before="0" w:after="200"/>
        <w:ind w:left="0" w:right="0" w:hanging="180"/>
        <w:jc w:val="both"/>
        <w:rPr/>
      </w:pPr>
      <w:r>
        <w:rPr>
          <w:rFonts w:ascii="Helvetica;sans-serif" w:hAnsi="Helvetica;sans-serif"/>
          <w:b w:val="false"/>
          <w:color w:val="000000"/>
          <w:sz w:val="10"/>
          <w:shd w:fill="FFFFFF" w:val="clear"/>
        </w:rPr>
        <w:t>(2)</w:t>
      </w:r>
      <w:r>
        <w:rPr>
          <w:color w:val="000000"/>
          <w:shd w:fill="FFFFFF" w:val="clear"/>
        </w:rPr>
        <w:t xml:space="preserve"> </w:t>
      </w:r>
      <w:r>
        <w:rPr>
          <w:rFonts w:ascii="Helvetica;sans-serif" w:hAnsi="Helvetica;sans-serif"/>
          <w:b w:val="false"/>
          <w:color w:val="000000"/>
          <w:sz w:val="16"/>
          <w:shd w:fill="FFFFFF" w:val="clear"/>
        </w:rPr>
        <w:t>Robinhood match incentives commitments represent non-cancelable future match payments on eligible cash deposits made by Robinhood Gold Subscribers</w:t>
      </w:r>
      <w:r>
        <w:rPr>
          <w:rFonts w:ascii="Helvetica;sans-serif" w:hAnsi="Helvetica;sans-serif"/>
          <w:b w:val="false"/>
          <w:color w:val="000000"/>
          <w:sz w:val="16"/>
        </w:rPr>
        <w:t xml:space="preserve">. The future match payments are forfeited if deposits are not held on the platform during the specific earning period. </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Regulatory Capital Requirements</w:t>
      </w:r>
    </w:p>
    <w:p>
      <w:pPr>
        <w:pStyle w:val="TextBody"/>
        <w:bidi w:val="0"/>
        <w:spacing w:lineRule="auto" w:line="288" w:before="24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Our broker-dealer subsidiaries (RHS, RHF, and TradePMR) are subject to Rule 15c3-1 (the "SEC Uniform Net Capital Rule") under the Exchange Act,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 </w:t>
      </w:r>
    </w:p>
    <w:p>
      <w:pPr>
        <w:pStyle w:val="TextBody"/>
        <w:bidi w:val="0"/>
        <w:spacing w:lineRule="auto" w:line="288" w:before="24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 xml:space="preserve">Our FCM subsidiary, Robinhood Derivatives, LLC (“RHD”), is subject to CFTC Regulation 1.17, administered by the CFTC and the NFA, which requires the maintenance of minimum net capital, as defined by CFTC Regulation 1.17. Net capital and the related net capital requirements may fluctuate on a daily basis. </w:t>
      </w:r>
    </w:p>
    <w:p>
      <w:pPr>
        <w:pStyle w:val="TextBody"/>
        <w:bidi w:val="0"/>
        <w:spacing w:lineRule="auto" w:line="276" w:before="0" w:after="200"/>
        <w:ind w:left="0" w:right="0" w:firstLine="360"/>
        <w:jc w:val="both"/>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The table below summarizes the net capital, capital requirements, and excess net capital of RHS, RHF, TradePMR, and RHD as of periods presented:</w:t>
      </w:r>
    </w:p>
    <w:tbl>
      <w:tblPr>
        <w:tblW w:w="84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213"/>
        <w:gridCol w:w="652"/>
        <w:gridCol w:w="110"/>
        <w:gridCol w:w="109"/>
        <w:gridCol w:w="109"/>
        <w:gridCol w:w="109"/>
        <w:gridCol w:w="457"/>
        <w:gridCol w:w="1045"/>
        <w:gridCol w:w="238"/>
        <w:gridCol w:w="109"/>
        <w:gridCol w:w="109"/>
        <w:gridCol w:w="109"/>
        <w:gridCol w:w="773"/>
        <w:gridCol w:w="2368"/>
        <w:gridCol w:w="56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2025</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Required Net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 in Excess of Required Net Capital</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2,506 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TradePMR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2025, these subsidiaries were in compliance with their respective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48310"/>
                <wp:effectExtent l="0" t="0" r="0" b="0"/>
                <wp:wrapNone/>
                <wp:docPr id="54" name="Frame53"/>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Cash Flows</w:t>
      </w:r>
    </w:p>
    <w:p>
      <w:pPr>
        <w:pStyle w:val="TextBody"/>
        <w:bidi w:val="0"/>
        <w:spacing w:lineRule="auto" w:line="288" w:before="0" w:after="200"/>
        <w:ind w:left="0" w:right="0" w:hanging="10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 activities:</w:t>
      </w:r>
    </w:p>
    <w:tbl>
      <w:tblPr>
        <w:tblW w:w="4865" w:type="dxa"/>
        <w:jc w:val="left"/>
        <w:tblInd w:w="0" w:type="dxa"/>
        <w:tblLayout w:type="fixed"/>
        <w:tblCellMar>
          <w:top w:w="28" w:type="dxa"/>
          <w:left w:w="28" w:type="dxa"/>
          <w:bottom w:w="28" w:type="dxa"/>
          <w:right w:w="28" w:type="dxa"/>
        </w:tblCellMar>
      </w:tblPr>
      <w:tblGrid>
        <w:gridCol w:w="908"/>
        <w:gridCol w:w="794"/>
        <w:gridCol w:w="802"/>
        <w:gridCol w:w="109"/>
        <w:gridCol w:w="109"/>
        <w:gridCol w:w="109"/>
        <w:gridCol w:w="211"/>
        <w:gridCol w:w="541"/>
        <w:gridCol w:w="109"/>
        <w:gridCol w:w="109"/>
        <w:gridCol w:w="109"/>
        <w:gridCol w:w="109"/>
        <w:gridCol w:w="211"/>
        <w:gridCol w:w="481"/>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Operating activities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cash provided by operating activities increased $1.27 billion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$179 million in net income;</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$397 million due to maturities of U.S. treasury securities segregated under federal and other regulations compared to a decrease of $692 million in the prior year due to cash used to purchase U.S. treasury securities segregated under federal and other regulations;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$967 million in securities loaned due to continuous growth of our securities lending program;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 decrease of $1.31 billion in payables to users due to increased customer activities.</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Investing activities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cash provided by investing activities increased $56 million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$500 million of cash provided by collections of purchased credit card receivables;</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an increase of $171 million driven by no purchases of held-to-maturity investments during the period;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$54 million of cash provided by the maturities of held-to-maturity investments;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 decrease of $520 million due to cash used for purchases of credit card receivables; and</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 decrease of $150 million due to cash used for the acquisition of TradePMR, net of cash and cash equivalents acquired. </w:t>
      </w:r>
    </w:p>
    <w:p>
      <w:pPr>
        <w:pStyle w:val="TextBody"/>
        <w:bidi w:val="0"/>
        <w:spacing w:lineRule="auto" w:line="288" w:before="0" w:after="200"/>
        <w:jc w:val="left"/>
        <w:rPr>
          <w:rFonts w:ascii="Helvetica;sans-serif" w:hAnsi="Helvetica;sans-serif"/>
          <w:b w:val="false"/>
          <w:i/>
          <w:color w:val="000000"/>
          <w:sz w:val="20"/>
        </w:rPr>
      </w:pPr>
      <w:r>
        <w:rPr>
          <w:rFonts w:ascii="Helvetica;sans-serif" w:hAnsi="Helvetica;sans-serif"/>
          <w:b w:val="false"/>
          <w:i/>
          <w:color w:val="000000"/>
          <w:sz w:val="20"/>
        </w:rPr>
        <w:t>Financing activities</w:t>
      </w:r>
    </w:p>
    <w:p>
      <w:pPr>
        <w:pStyle w:val="TextBody"/>
        <w:bidi w:val="0"/>
        <w:spacing w:lineRule="auto" w:line="288" w:before="0" w:after="20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Net cash used in financing activities increased $387 million compared to the prior period primarily due to: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 xml:space="preserve">an increase of $322 million of cash used for share repurchases; and </w:t>
      </w:r>
    </w:p>
    <w:p>
      <w:pPr>
        <w:pStyle w:val="TextBody"/>
        <w:bidi w:val="0"/>
        <w:spacing w:lineRule="auto" w:line="288" w:before="0" w:after="200"/>
        <w:ind w:left="0" w:right="0" w:hanging="360"/>
        <w:jc w:val="both"/>
        <w:rPr/>
      </w:pPr>
      <w:r>
        <w:rPr>
          <w:color w:val="000000"/>
        </w:rPr>
        <w:t>•</w:t>
      </w:r>
      <w:r>
        <w:rPr>
          <w:rFonts w:ascii="Helvetica;sans-serif" w:hAnsi="Helvetica;sans-serif"/>
          <w:b w:val="false"/>
          <w:color w:val="000000"/>
          <w:sz w:val="20"/>
        </w:rPr>
        <w:t>an increase of $80 million of cash used for taxes related to net share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48310"/>
                <wp:effectExtent l="0" t="0" r="0" b="0"/>
                <wp:wrapNone/>
                <wp:docPr id="55" name="Frame54"/>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Critical Accounting Estimates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on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pStyle w:val="TextBody"/>
        <w:bidi w:val="0"/>
        <w:spacing w:lineRule="auto" w:line="288" w:before="0" w:after="26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estimates during the three months ended March 31, 2025, as compared to those disclosed in “Management’s Discussion and Analysis of Financial Condition and Results of Operations — Critical Accounting Estimates”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Recent Accounting Pronouncements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2 -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QUANTITATIVE AND QUALITATIVE DISCLOSURES ABOUT MARKET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Interest Rate Risk</w:t>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exposure to changes in interest rates primarily relates to interest revenue earned on our interest-earning assets that are subject to 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 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and cash flows, prior to any income tax effects, over the next 12 months.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impact to total net revenues, net income, and cash flows, prior to any income tax effects, as a result of a hypothetical interest rate change at the end of each reporting period would be: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48310"/>
                <wp:effectExtent l="0" t="0" r="0" b="0"/>
                <wp:wrapNone/>
                <wp:docPr id="56" name="Frame55"/>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jc w:val="left"/>
        <w:rPr>
          <w:rFonts w:ascii="Helvetica;sans-serif" w:hAnsi="Helvetica;sans-serif"/>
          <w:b w:val="false"/>
          <w:color w:val="000000"/>
          <w:sz w:val="20"/>
        </w:rPr>
      </w:pPr>
      <w:r>
        <w:rPr>
          <w:rFonts w:ascii="Helvetica;sans-serif" w:hAnsi="Helvetica;sans-serif"/>
          <w:b w:val="false"/>
          <w:color w:val="000000"/>
          <w:sz w:val="20"/>
        </w:rPr>
      </w:r>
    </w:p>
    <w:tbl>
      <w:tblPr>
        <w:tblW w:w="3635" w:type="dxa"/>
        <w:jc w:val="left"/>
        <w:tblInd w:w="0" w:type="dxa"/>
        <w:tblLayout w:type="fixed"/>
        <w:tblCellMar>
          <w:top w:w="28" w:type="dxa"/>
          <w:left w:w="28" w:type="dxa"/>
          <w:bottom w:w="28" w:type="dxa"/>
          <w:right w:w="28" w:type="dxa"/>
        </w:tblCellMar>
      </w:tblPr>
      <w:tblGrid>
        <w:gridCol w:w="522"/>
        <w:gridCol w:w="456"/>
        <w:gridCol w:w="461"/>
        <w:gridCol w:w="109"/>
        <w:gridCol w:w="109"/>
        <w:gridCol w:w="109"/>
        <w:gridCol w:w="211"/>
        <w:gridCol w:w="376"/>
        <w:gridCol w:w="109"/>
        <w:gridCol w:w="109"/>
        <w:gridCol w:w="109"/>
        <w:gridCol w:w="109"/>
        <w:gridCol w:w="211"/>
        <w:gridCol w:w="481"/>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100 basis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150 basis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w:t>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to total net revenues, net income,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 linear, and proportional. The change in the sensitivity analysis from prior year is in line with the change in interest-earning asset balances. </w:t>
      </w:r>
    </w:p>
    <w:p>
      <w:pPr>
        <w:pStyle w:val="TextBody"/>
        <w:bidi w:val="0"/>
        <w:spacing w:before="0" w:after="20"/>
        <w:ind w:left="0" w:right="0" w:firstLine="360"/>
        <w:jc w:val="both"/>
        <w:rPr/>
      </w:pPr>
      <w:r>
        <w:rPr/>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March 31, 2025, a hypothetical 100 basis point increase in interest rates across all maturities would not be significant. Any losses would only be realized if we sold the investments prior to maturity.</w:t>
      </w:r>
    </w:p>
    <w:p>
      <w:pPr>
        <w:pStyle w:val="TextBody"/>
        <w:bidi w:val="0"/>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have exposure to changes in interest rates related to our variable-rate credit facilities. See Note 10 - Financing Activities and Off-Balance Sheet Risk, to our unaudited condensed consolidated financial statements in this Quarterly Report for further information. However, as there were no outstanding borrowings under our uncommitted revolving credit facilities as of March 31, 2025, we had limited financial exposure associated with changes in interest rates as of such date. </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 </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Market-Related Credit Risk</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8310"/>
                <wp:effectExtent l="0" t="0" r="0" b="0"/>
                <wp:wrapNone/>
                <wp:docPr id="57" name="Frame56"/>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return of collateral for securities borrowed when necessary, and by participating in a risk-sharing program offered through the OCC.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CONTROLS AND PROCEDURES</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Evaluation of Disclosure Controls and Procedures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with the participation of our CEO and our Chief Financial Officer (“CFO”),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CEO and CFO have concluded that, as of the end of the period covered by this Quarterly Report, our disclosure controls and procedures were effective.</w:t>
      </w:r>
    </w:p>
    <w:p>
      <w:pPr>
        <w:pStyle w:val="TextBody"/>
        <w:bidi w:val="0"/>
        <w:spacing w:lineRule="auto" w:line="288" w:before="0" w:after="200"/>
        <w:jc w:val="left"/>
        <w:rPr>
          <w:rFonts w:ascii="Helvetica;sans-serif" w:hAnsi="Helvetica;sans-serif"/>
          <w:b/>
          <w:i/>
          <w:color w:val="000000"/>
          <w:sz w:val="24"/>
        </w:rPr>
      </w:pPr>
      <w:r>
        <w:rPr>
          <w:rFonts w:ascii="Helvetica;sans-serif" w:hAnsi="Helvetica;sans-serif"/>
          <w:b/>
          <w:i/>
          <w:color w:val="000000"/>
          <w:sz w:val="24"/>
        </w:rPr>
        <w:t>Changes in Internal Control Over Financial Reporting</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has been no change in our internal control over financial reporting (as defined in Rule 13a-15(f) and 15d-15(f) under the Exchange Act) during the three months ended March 31, 2025 that has materially affected, or is reasonably likely to materially affect, our internal control over financial reporting.</w:t>
      </w:r>
    </w:p>
    <w:p>
      <w:pPr>
        <w:pStyle w:val="TextBody"/>
        <w:bidi w:val="0"/>
        <w:spacing w:before="240" w:after="24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48310"/>
                <wp:effectExtent l="0" t="0" r="0" b="0"/>
                <wp:wrapNone/>
                <wp:docPr id="58" name="Frame57"/>
                <a:graphic xmlns:a="http://schemas.openxmlformats.org/drawingml/2006/main">
                  <a:graphicData uri="http://schemas.microsoft.com/office/word/2010/wordprocessingShape">
                    <wps:wsp>
                      <wps:cNvSpPr txBox="1"/>
                      <wps:spPr>
                        <a:xfrm>
                          <a:off x="0" y="0"/>
                          <a:ext cx="6480175" cy="448310"/>
                        </a:xfrm>
                        <a:prstGeom prst="rect"/>
                        <a:solidFill>
                          <a:srgbClr val="FFFFFF"/>
                        </a:solidFill>
                      </wps:spPr>
                      <wps:txb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 LEGAL PROCEEDINGS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14 - Commitments &amp;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1A. RISK FACTORS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 xml:space="preserve">Summary of Risk Factors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business is subject to a number of risks and uncertainties including those described at length in the Risk Factors section below. We consider the following to be our most material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might not grow in line with historical rates.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results of operations and other operating metrics fluctuate from quarter to quarter, which makes these metrics difficult to predict.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 most full year periods since our inception, we have incurred operating losses and might not be profitable in the future.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Factors that affect transaction-based revenue — such as reduced spreads in securities pricing, reduced levels of trading activity generally, changes in our business relationships with or disruption in the services provided by market makers, and any new regulation of, or any bans on, PFOF and similar practices — might result in reduced profitability, increased compliance costs, and negative publicity.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directly and indirectly exposed to fluctuations in interest rates, and rapidly changing interest rate environments have in the past and could in the future reduce our net interest revenues and otherwise result in reduced profitability.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As registered broker-dealers, we are subject to “best execution” requirements under SEC guidelines and FINRA rules. We could be penalized if we fail to comply with these requirements and these requirements might be modified in the future in a way that could harm our business.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Unfavorable media coverage and other events that harm our brand and reputation could adversely affect our revenue and the size, engagement, and loyalty of our customer base.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has been and might continue to be harmed by changes in business, economic, or political conditions that impact global financial markets, or by a systemic market event.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future success depends on the continuing efforts of our key employees and our ability to attract and retain senior management and other highly skilled personnel.</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currently operate in certain international markets and plan to further expand our international operations, which exposes us to significant new risks, and our international expansion efforts might not succeed.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involved in numerous litigation matters that are expensive and time consuming, and, if resolved adversely, could expose us to significant liability and reputational harm.</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fail to retain existing customers or attract new customers, or if our customers decrease their use of our products and services, our revenue will decline.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fail to provide and monetize new and innovative products and services that are adopted by customers, our business may become less competitive and our revenue might decline.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rely on third parties to perform some key functions, and their failure to perform those functions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We are incorporating AI technologies into some of our products and processes. These technologies may present business, compliance, and reputational risks.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business could be materially and adversely affected by a cybersecurity breach or other attack involving our computer systems or data or those of our customers or third-party or fourth-party service providers.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The prices of most cryptocurrencies are extremely volatile. Fluctuations in the price of various cryptocurrencies might cause uncertainty in the market and could negatively impact trading volumes of cryptocurrencies, and we may not effectively identify, prevent or mitigate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cryptocurrency market risks, any of which would adversely affect the success of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offering of consumer credit cards through Robinhood Credit increases our exposure to customer defaults and credit risk and could result in losses.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support for Crypto Transfers, Robinhood Wallet, Robinhood Connect, the Robinhood Cash Card, Robinhood Credit, Spending Account, and other payments and spending services increases the risk that our platforms could be exploited to facilitate illegal payments, potentially resulting in loss of customer assets, customer disputes, and other liabilities, which could harm our reputation and adversely impact trading volumes and transaction-based revenues.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might not grow in line with historical rates.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grown rapidly since our founding. However, the circumstances that accelerated the growth of our business in the past, including an extended period of general macroeconomic growth in the U.S., as well as growth in the financial services and technology industries, have slowed in recent years and may not exist in the future. You should not rely on our revenue or key business metrics for any previous quarterly or annual period as any indication of our revenue, revenue growth, key business metrics or key business metrics growth in future periods.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If our revenue growth rate continues to decline, investors’ perceptions of our business and the trading price of our Class A common stock could be adversely affected.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have expanded and continue to expand our operations rapidly, including continuing to introduce new products and services on our platforms as well as geographic expansion,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subjects us to a number of uncertainties, risks, and difficulties that could adversely affect our business.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in recent years, including significant workforce reductions, and scaled back hiring plans. These actions were driven by a general downturn in economic and market conditions. While these steps were taken to improve operational efficiency, there can be no assurance 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Such efforts to control costs have in the past resulted, and might in the future continue to result in reduced productivity and deteriorating workforce morale, which can cause our business initiatives to suffer. However, if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We might fail to adequately address these and other challenges we may face, and our business might be adversely affected if we do not manage these risks successfully.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results of operations and other operating metrics fluctuate from quarter to quarter, which makes these metrics difficult to predict.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have included and could in the future include, among others: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ability to retain and engage existing customers and attract new customers;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success of new product and service introductions by us or our competitors, or other changes in the competitive landscape of our market;</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volatility in the market, whether generally or as a result of certain or anticipated events (such as recent developments with respect to tariffs and trade policy shifts), or the occurrence of so-called “meme” trading in equities, options, cryptocurrencies, or futures (which includes options on futures, swaps, and event contracts (“Futures”)) which can cause our trading volumes to fluctuate;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fluctuations in interest rates;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increases in marketing, sales, compensation (for example, due to increased hiring competition for highly skilled personnel), cloud infrastructure, and other operating expenses that we might incur to grow and expand our operations and to remain competitive;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timing and amount of non-cash expenses, such as SBC and asset impairments;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success of our expansion into new markets or acquisitions;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trading volume and the prevailing trading prices for cryptocurrencies, which can be highly volatile;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ceasing support for certain cryptocurrencies on our RHC platform that the SEC or a court has asserted or determined are securities or proactively removing certain cryptocurrencies because they share similarities with such cryptocurrencies;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changes in the public’s perception, adoption, and use of cryptocurrencies and other asset classes;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inability of customers to place trades, due to system disruptions, outages, or trading restrictions;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events that damage customer confidence in Robinhood, such as breaches of security or privacy;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impacts of public health threats (including pandemics such as COVID-19), unemployment, and inflation;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changes in domestic or global business or macroeconomic conditions, including as a result of tariffs and trade policy shifts, geopolitical conflicts, banking instability, or responses to these events;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changes in tax laws or judicial or regulatory interpretations of tax laws, which are recorded in the period such laws are enacted or interpretations are issued, and might significantly affect the effective tax rate of that period.</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of the factors above or listed elsewhere in this Risk Factors section, or the cumulative effect of some of those factors, could result in significant fluctuations in our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 most full year periods since our inception, we have incurred operating losses and might not be profitable in the future.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Factors that affect transaction-based revenue — such as reduced spreads in securities pricing, reduced levels of trading activity generally, changes in our business relationships with or disruption in the services provided by market makers, and any new regulation of, or any bans on, PFOF and similar practices — might result in reduced profitability, increased compliance costs, and negative publicity.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large portion of our revenue is transaction-based, in that we receive consideration in exchange for routing our users’ equity, option, and cryptocurrency trade orders to market makers for execution. With respect to equities and options trading, such fees are known as payment for order flow, or “PFOF.” With respect to cryptocurrency trading, currently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For example, the SEC recently adopted final rules (the “September 2024 Final Rules”) to, among other things, adopt an additional minimum pricing increment, or “tick size,” for the quoting of certain national market system (“NMS”) stocks under Rule 612 of Regulation NMS, reduce the access fee caps for protected quotations under Rule 610 of Regulation NMS and enhance the transparency of better priced orders. While the SEC granted a partial stay of the effectiveness of the final rules in December 2024 pending the completion of judicial review of the petition for review, it did not stay the effective date of the quote transparency rules. The quote transparency rules will make the information about smaller-sized orders publicly available and result in the contraction of spreads across several securities, which we expect will lead to a decrease in the PFOF earned from such orders once the rules go into effect in November 2025. In addition, the regulatory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 In addition, to the extent that the SEC or a court asserts or determines that any cryptocurrencies supported by our RHC platform are securities, we might not continue to facilitate trading of those cryptocurrencies in the U.S. (including ceasing support for certain such cryptocurrencies on our RHC platform) or it might cause us to proactively remove certain cryptocurrencies from our RHC platform because they share similarities with such cryptocurrencies.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our Business Relationships with Market Makers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PFOF and Transaction Rebate arrangements with market makers are a matter of practice and business understanding and are often not documented under binding contracts (as is generally the case with market makers in equities and options). If any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With respect to cryptocurrencies, for instance, fewer market makers are currently able to execute cryptocurrency trades. For instance, in May 2023, two prominent market makers announced their respective decisions to limit their offerings in cryptocurrency trading within the United States. Although we have established relationships with third-party exchanges that may provide additional access to market makers that are able to execute cryptocurrency trades, without additional market makers supporting cryptocurrencies entering the industry in the United States, there is a risk that we may be unable to find suitable market makers to support cryptocurrencies. Additionally, this risk is heightened for brokerage orders executed outside of regular market hours through Robinhood 24 Hour Market, as currently all brokerage trades executed overnight are routed through one market maker — Virtu Financial, Inc. (“Virtu”). If Virtu becomes unwilling or unable to do business with us in the future, we may be unable to find additional market makers to support Robinhood 24 Hour Market, which could negatively impact our transaction-based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 Furthermore, if any of our market makers decide to alter our fee structure, our transaction-based revenue could significantly decrease.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disruptions in the services provided by market makers, whether due to technical malfunctions, operational mishaps, or financial instability of the market makers, or external factors such as regulatory changes or market volatility, have in the past, and may in the future impair our ability to execute our client's orders. Should a market maker experience downtime or diminished performance, particularly during peak trading hours, our ability to execute customer orders could be compromised and could have an adverse impact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Regulation of PFOF</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PFOF practices have drawn heightened scrutiny from the U.S. Congress, the SEC, state regulators, and other regulatory and legislative authorities. For example, in December 2020, we settled an SEC investigation into our best execution and PFOF practices and are defending a consolidated putative class action in federal district court relating to the same factual allegations.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PFOF practices as a result of such heightened scrutiny or otherwise. For instance, in December 2022, the SEC proposed four separate equity market structure rules (the “December 2022 Rule Proposals”) related to (i) best execution; (ii) order competition, including requiring certain retail equity orders to be exposed in auctions before being internalized; (iii) order execution disclosure; and (iv) order tick size and access fee caps. In March 2024, the SEC adopted amendments to enhance order execution disclosures under Rule 605 of Regulation NMS, which will apply for the first time to RHF and RHS beginning in December 2025.</w:t>
      </w:r>
      <w:r>
        <w:rPr>
          <w:color w:val="000000"/>
        </w:rPr>
        <w:t xml:space="preserve"> </w:t>
      </w:r>
      <w:r>
        <w:rPr>
          <w:rFonts w:ascii="Arial;sans-serif" w:hAnsi="Arial;sans-serif"/>
          <w:b w:val="false"/>
          <w:color w:val="000000"/>
          <w:sz w:val="20"/>
        </w:rPr>
        <w:t xml:space="preserve">In September 2024, the SEC also adopted rules related to order tick size and access fee caps (the “Tick Size and Access Fee Cap Rules”).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Beginning in December 2025,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Beginning in November 2025, the Tick Size and Access Fee Cap Rules will make information about smaller-sized orders publicly available and is likely to result in the contraction of spreads across many securities, which we expect will lead to a decrease in the PFOF earned from such orders. Although these final and remaining proposed rules related to market structure design do not ban PFOF, the remaining December 2022 Rule Proposals would introduce new requirements and would have the indirect effect of making PFOF more difficult to earn. Any new or heightened PFOF regulation, including the September 2024 Final Rules and the remaining December 2022 Rule Proposals if adopted as proposed, will result in increased compliance costs and otherwise could materially decrease our transaction-based revenue, might make it more difficult for us to expand our platforms in certain 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a ban of PFOF could have an outsized impact on our results of operations. Furthermore, depending on the nature of any new requirements, heightened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regulation could also increase our risk of potential regulatory violations and civil litigation, which could result in fines or other penalties, as well as negative publicity.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Risks Related to Negative Publicity Associated with PFOF or our Market Makers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Additionally, any negative publicity surrounding PFOF or Transaction Rebate practices generally, or our implementation of these practices, could harm our brand and reputation. For example, as a result of the Early 2021 Trading Restrictions (as defined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intra-day trading price of our Class A common stock fell as much as 5.3% on December 14, 2022, the day the December 2022 Rule Proposals were announced.</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RHC has started to allow customers to choose a fee-based model in lieu of a liquidity provider rebate-based model (under which RHC receives Transaction Rebates from liquidity providers) for cryptocurrency orders routed to exchanges for execution. This shift may lead to negative publicity due to potential differences in total costs for customers under the two models. Depending on the nature of these cost differences, concerns might arise about (i) the use of PFOF with respect to other asset classes like equities and options and/or (ii) the replacement of liquidity provider rebates by customer fees for orders in cryptocurrency routed to exchanges for execution. Any negative publicity associated with adopting this model may have an adverse impact on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are directly and indirectly exposed to fluctuations in interest rates, and rapidly changing interest rate environments have in the past and could in the future reduce our net interest revenues and otherwise result in reduced profitability.</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 environment would negatively impact our total net revenues, net income (loss), and cash flows, prior to any income tax effects, and adversely impact our customers’ returns on their cash deposits. Changes to the level or mix of interest earning balances could also negatively impact our total net revenues, net income (loss), and cash flows, prior to any tax income effects, if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and spend through our platforms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face additional investigations and/or a risk of penalties in the future related to our best execution practices.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For instance, one of the remaining December 2022 Rule Proposals relates to best execution and proposes to enhance the existing regulatory framework concerning the duty of best execution by, among other things, requiring additional policies and procedures for broker-dealers engaging in certain conflicted transactions with retail customers. There is a risk that these bodies might adopt regulation relating to PFOF practices and best execution requirements as a result of such heightened scrutiny or otherwise. Any such regulations could have a material adverse impact on our business and one of our primary sources of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might need additional capital to provide liquidity and support business growth and objectives, and this capital might not be available to us on reasonable terms, if at all, might result in stockholder dilution, or might be delayed or prohibited by applicable regulations.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Maintaining adequate liquidity is crucial to our securities brokerage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 requirements, and to make any required deposits, daily rather than weekly. These amendments, which require broker-dealer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compliance by December 2025, will make it more difficult for us to comply with our obligations with regard to capital maintenance requirements. Additionally, there is no definitive guidance on whether or how these rules may apply to cryptocurrencies, and we might be adversely affected in the future if the SEC determines that they do.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Robinhood Derivatives, LLC.</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Unfavorable media coverage and other events that harm our brand and reputation could adversely affect our revenue and the size, engagement, and loyalty of our customer base.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platforms, and our customers, even if factually incorrect or based on isolated incidents.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such as the November 2021 Data Security Incident (as defined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 For example, we received customer complaints and significant media attention as a result of the Early 2021 Trading Restrictions.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Damage to our brand and reputation could also be caused by: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cybersecurity attacks, privacy or data security breaches, or other security incidents, payment disruptions or other incidents that impact the reliability of our platforms;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future restructurings or any similar such reductions or activities in the future;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repeat imposition of temporary trading restrictions (similar to our Early 2021 Trading Restrictions), or any outright failure to meet our deposit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litigation, regulatory actions, settlements, or investigations involving our platforms or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regulators requesting or requiring us to cease offering specific products or services;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failures to comply with legal, tax and regulatory requirements;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perceived or actual weakness in our financial strength or liquidity;</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regulatory action or settlement that results in changes to, or prohibits us from offering, certain features, products or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new policies, features, products, or services, or changes to our policies, features, products, or services, that customers or others perceive as overly restrictive, unclear, inconsistent with our values or mission, or not clearly articulated;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failure to operate our business in a way that is consistent with our values and mission;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inadequate or unsatisfactory customer support experiences;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negative responses by customers or regulators to our business model or to particular features, products or services;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 failure to adapt to new or changing customer preferences;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our decision to offer products viewed by some as controversial;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our inability to successfully expand into new markets or make successful acquisitions of, or investments in, other companies, products or technologies;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 prolonged weakness in popular equities or cryptocurrencies specifically or in U.S. or international equity and cryptocurrency markets generally, or a sustained downturn in the U.S. or international economies;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negative claims or publicity involving our culture or businesses, regardless of whether such claims are accurate;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any of the foregoing with respect to our competitors, to the extent the resulting negative perception affects the public’s perception of us or our industry as a whole.</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 For instance, on November 8, 2022 (the day that FTX Trading Ltd. (“FTX”), a major international cryptocurrency exchange, halted all non-fiat customer withdrawals from its platform), the intra-day trading price of our Class A common stock fell as much as 18%. Additionally, in December 2022, shortly after FTX filed for bankruptcy on November 11, 2022, and following the bankruptcies of several other major cryptocurrency trading venues and lending platforms earlier in 2022, including Three Arrows Capital, Ltd., Voyager Digital Holdings, Inc., and Celsius Network LLC (“Celsius”) (collectively, the “2022 Crypto Bankruptcies”), we received an investigative subpoena from the SEC regarding, among other topics, RHC’s cryptocurrency listings, custody of cryptocurrencies, and platform operations.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could incur substantial losses from our cash and investment accounts if one or more of the financial institutions that we use fails or is taken over by the FDIC.</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business has been and might continue to be harmed by changes in business, economic, or political conditions that impact global financial markets, or by a systemic market event.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we are a financial services company, our business, results of operations, and reputation are directly and indirectly affected by elements beyond our control, such as financial market volatility (such as we previously experienced during the COVID-19 pandemic or have experienced and may experience in the future due to recent trade policy shifts and the imposition or escalation of tariffs implemented by the United States and other countries or blocs, including China, Canada and the EU, and those countries’ or blocs’ responses to such shifts and tariffs), economic and political conditions including unemployment rates, inflation, tax and interest rates, geopolitical conflicts, such as the Russian invasion of Ukraine and ongoing events in the Middle East, significant increases in the volatility or trading volume of particular securities, cryptocurrencies, or Futures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cryptocurrencies, or Futures trading generally and changes in the markets in which such transactions occur (such as following the 2022 Crypto Bankruptcies),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of these changes could cause our future performance to be uncertain or unpredictable, and could have an adverse effect on our business and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future success depends on the continuing efforts of our key employees and our ability to attract and retain senior management and other highly skilled personnel.</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might not be successful in attracting, integrating or retaining qualified personnel to fulfill our current or future needs. These challenges increase when considering the foreign national employee population within which we hire due to changes in U.S. immigration policies and enforcement practices. In particular, there continues to be particularly high competition in the San Francisco Bay Area for software engineers, computer scientists and other technical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recent restructurings, we experienced higher rates of voluntary employee attrition and declines in reported employee job satisfaction. We might continue to experience difficulty in hiring and retaining highly skilled employees with appropriate qualifications.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as well as other service providers. Failure to preserve our company culture could harm our ability to retain and recruit personnel.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Future acquisitions of, or investments in, other companies, products, technologies or specialized employees could require significant management attention, disrupt our business, dilute stockholder value, and adversely affect our results of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Our ability to close these transactions might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operating difficulties and expenditures prior to and following closing, including disrupting our ongoing operations, diverting management from their primary responsibilities, subjecting us to additional liabilities and/or compliance obligations, increasing our expenses, and adversely impacting our business, financial condition and results of operations. If we acquire businesses or technologies, we might not be able to integrate the acquired personnel, operations, products, and technologies successfully or face challenges in doing so, or effectively manage the combined business following the acquisition. For example, we recently completed the acquisition of TradePMR, and we may encounter challenges in integrating its operations, technology, and personnel. Moreover, the anticipated benefits of any acquisition or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might not be realized, the acquisition or investment might not perform in accordance with expectations, and we might be exposed to unknown liabilities.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We currently operate in certain international markets and plan to further expand our international operations, which exposes us to significant new risks, and our international expansion efforts might not succeed.</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currently only offer select services to the public outside the United States in certain jurisdictions, including brokerage services in the U.K. through Robinhood U.K., Ltd., crypto services in select jurisdictions in the European Union (the “EU”) through Robinhood Europe, UAB (“RHEU”), and our Robinhood Wallet, which is available in over 150 countries and offered through our Cayman Islands subsidiary, Robinhood Non-Custodial Ltd. We expect that our pending acquisition of Bitstamp, if completed, will help us accelerate our international expansion, including across the EU, in the U.K. and in certain other countries.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intend to continue expanding our operations outside of the United States. International expansion requires significant resources and management attention and subjects us to additional regulatory, economic, operational, and political risks on top of those we already face in the United States. There are significant risks and costs inherent in establishing and doing business in international markets, including: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difficulty establishing and managing international entities, offices, and/or operations and the increased operations, travel, infrastructure, and legal and compliance costs associated with operations, entities, and/or people in different countries or regions;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need to understand, interpret and comply with local laws, regulations and customs in multiple jurisdictions, including laws and regulations governing cryptocurrency-related, broker-dealer, money transmitter, or regulated entity practices, some of which might require permissions, registrations, authorizations, licenses or consents, or might be different from, or conflict with, those of other jurisdictions or foreign cybersecurity, data privacy or labor and employment laws;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additional complexities of any merger or acquisition activity internationally, which would be new for us and could subject us to additional regulatory scrutiny or approvals;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need to adapt, localize, and position our products for specific countries (also known as “product-market fit”);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increased exposure to foreign fraud vectors;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increased competition from local providers of similar products and services;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need to offer customer support and other aspects of our offering (including websites, articles, blog posts, and customer support documentation) in various languages or locations;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compliance with anti-bribery and anti-corruption laws, such as the Foreign Corrupt Practices Act (“FCPA”) and equivalent anti-money laundering and sanctions rules and requirements in local markets, by us, our employees, and our business partners;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need to recruit and manage staff in new countries and regions to support international operations, and comply with employment law, tax, payroll, and benefits requirements in multiple countries;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need to enter into new business partnerships with third-party service providers in order to provide products and services in the local market, or to meet regulatory obligations;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varying levels of internet technology adoption and infrastructure, and increased or varying network and hosting service provider costs and differences in technology service delivery in different countries;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fluctuations in currency exchange rates, inflation, and tariffs and trade policy shifts could limit our ability to operate efficiently across or within borders, and the requirements of currency control regulations, which might restrict or prohibit conversion of other currencies into U.S. dollars;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double taxation of our international earnings and potentially adverse tax consequences due to requirements of or changes in the income and other tax laws of the United States or the international jurisdictions in which we operate;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political or social change or unrest or economic instability in a specific country or region in which we operate.</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 </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We are exposed to funding transaction losses due to reversals or insufficient funds.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working model, which allows a subset of our employees to work remotely, subjects us to heightened operational risks.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have a large segment of employees who work remotely and are not required to come into the office on a daily basis. Allowing employees to work remotely subjects us to heightened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pStyle w:val="TextBody"/>
        <w:bidi w:val="0"/>
        <w:spacing w:before="0" w:after="0"/>
        <w:ind w:left="0" w:right="0" w:firstLine="360"/>
        <w:jc w:val="both"/>
        <w:rPr/>
      </w:pPr>
      <w:r>
        <w:rPr/>
      </w:r>
    </w:p>
    <w:p>
      <w:pPr>
        <w:pStyle w:val="TextBody"/>
        <w:bidi w:val="0"/>
        <w:spacing w:lineRule="auto" w:line="288" w:before="0" w:after="200"/>
        <w:ind w:left="0" w:right="0" w:firstLine="360"/>
        <w:jc w:val="both"/>
        <w:rPr>
          <w:rFonts w:ascii="Arial;sans-serif" w:hAnsi="Arial;sans-serif"/>
          <w:b w:val="false"/>
          <w:color w:val="000000"/>
          <w:sz w:val="20"/>
        </w:rPr>
      </w:pPr>
      <w:r>
        <w:rPr>
          <w:rFonts w:ascii="Arial;sans-serif" w:hAnsi="Arial;sans-serif"/>
          <w:b w:val="false"/>
          <w:color w:val="000000"/>
          <w:sz w:val="20"/>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Regulation and Litigation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business is subject to extensive, complex and changing laws and regulations, and related regulatory proceedings and investigations. Changes in these laws and regulations, or our failure to comply with these laws and regulations, could harm our business.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a wide variety of local, state, federal, and international laws, regulations, licensing schemes, and industry standards in the United States, the U.K., the EU and in other countries and regions in which we operate. These laws, regulations, and standards govern numerous areas that are important to our business, and include, or might in the future include, those relating to all aspects of the securities industry, financial services, money transmission, the origination, marketing, servicing, and collection of consumer debt, foreign exchange, payments services and products (such as payment processing, settlement services, and credit cards), cryptocurrency, derivatives, trading in shares and fractional shares, fraud detection, consumer protection, anti-money laundering, escheatment, sanctions regimes and export controls, data privacy, data protection, data security, as well as climate risk and environmental impact, including with respect to disclosure of greenhouse gas emissions and other metrics related to climate change.</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launching Sherwood Media, our media subsidiary dedicated to providing news and information about the markets, economics, business, technology, and the culture of money), we received inquiries from FINRA regarding Sherwood Media’s relationship to RHF. In addition, after announcing in March 2024 the launch of the Robinhood Gold Card, which is offered through Robinhood Credit exclusively to Robinhood Gold Subscribers and provides rewards via the Robinhood Gold Credit Card Rewards Program, we received requests for information from the MSD related to the Robinhood Gold subscription service and the Robinhood Gold Card. After we began to offer certain event contracts in October 2024 related to the U.S. presidential election and in March 2025 related to the annual NCAA college basketball tournaments, we received requests for information and a subpoena from the MSD, respectively. Regulations are intended to ensure the integrity of financial markets, to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 xml:space="preserve">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For instance, since we began to offer event contracts, the CFTC has been in the process of appealing the U.S. District Court for the District of Columbia’s decision in </w:t>
      </w:r>
      <w:r>
        <w:rPr>
          <w:rFonts w:ascii="Arial;sans-serif" w:hAnsi="Arial;sans-serif"/>
          <w:b w:val="false"/>
          <w:i/>
          <w:color w:val="000000"/>
          <w:sz w:val="20"/>
        </w:rPr>
        <w:t>KalshiEx LLC v. Commodity Futures Trading Commission</w:t>
      </w:r>
      <w:r>
        <w:rPr>
          <w:rFonts w:ascii="Arial;sans-serif" w:hAnsi="Arial;sans-serif"/>
          <w:b w:val="false"/>
          <w:color w:val="000000"/>
          <w:sz w:val="20"/>
        </w:rPr>
        <w:t xml:space="preserve">, and should the CFTC succeed on appeal, we may not be able to continue to offer certain event contracts and potentially could be subject to adverse litigation and regulatory actions for doing so. In addition, the CFTC has proposed a rule amendment that has not been finalized—if adopted by the CFTC as proposed, we would likely be prohibited from offering election event contracts (similar to the ones we offered in November 2024) in the future.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For example, in February 2025 after we began offering sports event contracts tied to the pro football championship, the CFTC formally requested that RHD “not permit customers to access” sports event contracts “until staff can complete a review,” leading us to suspend the rollout of that product. After we began offering sports event contracts tied to the annual NCAA college basketball tournaments in March 2025 and provided the CFTC with certain information and documents, the CFTC indicated it lacked a “legal justification” to prevent us from offering access to those event contracts. In addition to the MSD subpoena described above, the New Jersey Division of Gaming Enforcement issued a letter in March 2025 to RHM demanding that we, among other things, cease and desist from offering the sports event contracts, which it views as unlicensed sports wagering under state law. Other state regulators with authority over sports wagering have since sent RHM and RHD similar demands. On April 8, 2025, a federal district court in Nevada issued a preliminary injunction in </w:t>
      </w:r>
      <w:r>
        <w:rPr>
          <w:rFonts w:ascii="Arial;sans-serif" w:hAnsi="Arial;sans-serif"/>
          <w:b w:val="false"/>
          <w:i/>
          <w:color w:val="000000"/>
          <w:sz w:val="20"/>
        </w:rPr>
        <w:t>KalshiEx, LLC v. Hendrick, et al.</w:t>
      </w:r>
      <w:r>
        <w:rPr>
          <w:color w:val="000000"/>
        </w:rPr>
        <w:t xml:space="preserve"> </w:t>
      </w:r>
      <w:r>
        <w:rPr>
          <w:rFonts w:ascii="Arial;sans-serif" w:hAnsi="Arial;sans-serif"/>
          <w:b w:val="false"/>
          <w:color w:val="000000"/>
          <w:sz w:val="20"/>
        </w:rPr>
        <w:t xml:space="preserve">preventing the Nevada Gaming Commission and Nevada Gaming Control Board from enforcing applicable Nevada state laws and pursuing civil or criminal liability against KalshiEx, LLC for offering sports-related event contracts because the Commodity Exchange Act (“CEA”) grants the CFTC exclusive jurisdiction over event contracts that are traded or executed on a designated contract market and the CFTC has approved (or at least has not disapproved) the contracts. KalshiEx has filed for similar injunctive relief in New Jersey and Maryland. On April 28, 2025, the federal district court in the New Jersey lawsuit, </w:t>
      </w:r>
      <w:r>
        <w:rPr>
          <w:rFonts w:ascii="Arial;sans-serif" w:hAnsi="Arial;sans-serif"/>
          <w:b w:val="false"/>
          <w:i/>
          <w:color w:val="000000"/>
          <w:sz w:val="20"/>
        </w:rPr>
        <w:t>KalshiEx LLC v. Flaherty, et al.,</w:t>
      </w:r>
      <w:r>
        <w:rPr>
          <w:color w:val="000000"/>
        </w:rPr>
        <w:t xml:space="preserve"> </w:t>
      </w:r>
      <w:r>
        <w:rPr>
          <w:rFonts w:ascii="Arial;sans-serif" w:hAnsi="Arial;sans-serif"/>
          <w:b w:val="false"/>
          <w:color w:val="000000"/>
          <w:sz w:val="20"/>
        </w:rPr>
        <w:t>issued a similar preliminary injunction against the New Jersey gaming regulators concluding that KalshiEx has demonstrated a reasonable chance of prevailing on its preemption arguments. Federal courts, including appellate courts, may come to different conclusions as to whether state laws attempting to prevent the trading of CFTC-permissible sports-related event contracts are preempted by the CEA, which may require us to cease offering certain event contracts in these states and could lead to adverse litigation and regulatory actions against us for doing so.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Broker-Dealer, FCM, and Investment Adviser Regulations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broker-dealers, our subsidiaries RHF, RHS, and TradePMR are subject to extensive regulation by federal and state regulators and SROs, and are subject to laws and regulations covering all aspects of the securities industry. Federal and state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Our subsidiary RHD, a registered FCM with the CFTC, is also subject to extensive regulation by federal and state regulators and SROs related to offering our customers Futures products.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Our subsidiary, Robinhood Asset Management (“RAM”), is registered as an investment adviser with the SEC under the Investment Advisers Act of 1940 (the “Advisers Act”). The Advisers Act mandates a variety of requirements for RIAs, including fiduciary duties, record-keeping, operational protocols, and disclosure obligations. The Advisers Act grants regulatory bodies such as the SEC significant administrative authority to govern investment advisory firms. If the SEC or other government agencies determine that RAM has not complied with relevant laws or regulations, they can impose fines, suspend registrants and individual employees, or enact other sanctions, which may include revoking RAM’s registration under the Advisers Act.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Money-Transmitter Regulation</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have been subject to regulatory investigations, actions, and settlements and we expect to continue to be subject to such proceedings in the future, which could cause us to incur substantial costs or require us to change our business practices in a materially adverse manner.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National Futures Association or other federal agencies such as the Office of Foreign Assets Control (“OFAC”), the FDIC or CFPB, state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agencies, such as the MSD, the California Attorney General’s Office, the New York State Department of Financial Services (“NYDFS”), and international regulatory agencies, such as the U.K.’s Financial Conduct Authority,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connection with the Early 2021 Trading Restrictions, we and our employees, including our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On January 10, 2025, SEC Enforcement advised us in writing that it had closed its investigation into the Early 2021 Trading Restrictions and any contemporaneous employee trading issues. On March 6, 2025, we resolved FINRA’s investigations into the Early 2021 Trading Restrictions and employee trading issues.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August 2024, we settled a matter with the California Attorney General’s Office related to among other things, certain disclosures by RHC and delivery of customers’ cryptocurrency assets under California Corporations Code Sections 29520 and 29505 during the period January 2018 through April 2022. We paid a monetary penalty of $3.9 million.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 January 2025, as part of the January 2025 SEC Settlement, we settled multiple matters with the SEC (including investigations into Regulation SHO, the timeliness of our broker-dealers’ suspicious activity reporting (“SAR”) filings, EBS submissions, various brokerage recordkeeping issues, the November 2021 Data Security Incident, and Regulation S-ID violations) in which RHF and RHS paid penalties totaling $45 million, and agreed to certain undertakings.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 xml:space="preserve">In March 2025, as part of the March 2025 FINRA Settlement, we settled multiple matters with FINRA (including investigations into RHF’s historical practice of collaring market orders, customer identification program (“CIP”), use of certain social media influencers, delivery of certain regulatory required documents to customers, and origin code designations for professional customers;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 and position data to FINRA, FINRA TRF, CAT Central Repository, and the OCC; and both broker-dealers’ AML programs, registration of required personnel, and supervision of trading in associated persons’ brokerage accounts). RHF and RHS paid a penalty totaling $26 million, and agreed to pay restitution of approximately $3.76 million to customers plus interest and certain undertakings.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These and other proceedings, some of which are described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 xml:space="preserve">to our unaudited condensed consolidated financial statements in this Quarterly Report, have in the past and might in the future relate to broker-dealer, derivatives, investment adviser, credit card, cryptocurrency, and financial services rules and regulations, including our trading and supervisory policies and procedures, our clearing and routing practices, our trade reporting, our public communications, our compliance with FINRA registration requirements, anti-money laundering and other financial crimes regulations, cybersecurity matters, a particular cryptocurrency’s status as a “security,” our licensing status,and our business continuity plans, among other topics. These sorts of proceedings, inquiries, examinations, investigations, and other regulatory matters have in the past and might in the future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other regulated subsidiaries or their officers or employees.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will require significant effort to implement.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while we now offer select services and products in certain countries outside the United States,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Previous statements by lawmakers, regulators and other public officials have signaled an increased focus on new or additional regulations that could impact our business and require us to make significant changes to our business model and practices.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had previously indicated that he had instructed the SEC Staff to study, and in some cases make rulemaking recommendations to the SEC or had otherwise discussed: PFOF, digital engagement practices, and whether broker-dealers are adequately disclosing their policies and procedures around potential trading restrictions; whether margin requirements and other payment requirements are sufficient; whether broker-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In July 2023, the SEC proposed new rules (the “July 2023 Rule Proposals”) that would impose new obligations on registered broker-dealers and investment advisers with respect to their use of certain covered technologies when interacting with investors and while the former SEC Chair had indicated that the SEC Staff was considering re-proposing modified versions of these rules, if adopted as originally proposed, the July 2023 Rule Proposals may require us to modify, limit or discontinue our use of certain technologies and product features—and could significantly change the way that we interact with existing and prospective customers—which may adversely impact our business and revenues. The current SEC may revise or withdraw some of these proposals. Additionally, from time to time, we have received requests from regulators, including from the SEC, regarding our collection and uses of customer data and related disclosures.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Also, in September 2021, FINRA announced that it is reviewing firms’ use of social media marketing, including social media influencers, which is a marketing channel that we actively utilize. In February 2022, FINRA opened an investigation into our use of social media marketing, which we resolved as part of the March 2025 FINRA Settlement.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are involved in numerous litigation matters that are expensive and time consuming, and, if resolved adversely, could expose us to significant liability and reputational harm.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derivative matters, insurance matters, securities litigation matters, privacy and cybersecurity disputes, intellectual property disputes, contract disputes, consumer protection matters, and employment matters. This risk might be more pronounced during market downturns, during which the volume of legal claims and amount of damages sought in litigation and regulatory proceedings against financial services companies have historically increased.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Litigation matters brought against us have in the past and might in the future require substantial management attention and might result in settlements, awards, injunctions, fines, penalties,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adverse results. A substantial judgment, settlement, fine, penalty, or injunctive relief could be material to our results of operations or cash flows for a particular period, or could cause us significant reputational harm. </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 xml:space="preserve">For more information about the legal proceedings in which we are currently involved, see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required to comply with U.S. economic and trade sanctions administered by OFAC and we have processes in place to facilitate compliance with the OFAC regulations. As part of our customer onboarding process, in accordance with the CIP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subject to the FCPA, U.S. and foreign bribery laws, and other U.S. and foreign anti-corruption laws. Anti-corruption and anti-bribery laws have been enforced aggressively in recent years and while there may currently be a reduced focus on enforcement in the U.S. in light of a February 2025 Presidential executive order, these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and similar laws and regulations. Regulators in the United States continue to increase their scrutiny of compliance with these obligations. For example, in August 2022, we settled an NYDFS investigation of our cryptocurrency business related primarily to anti-money laundering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Although our operations are currently concentrated in the United States, we have expanded our operations outside of the United States. As we have started to expand internationally, we have become subject to additional non-U.S. laws, rules, regulations, and other requirements regarding economic and trade sanctions, anti-money laundering, and counter-terror financing. In order to comply with applicable laws, we have started to, and will continue to, revise and expand our compliance program, including the procedures we use to verify the identity of our customers and to conduct ongoing monitoring of our customers and their transactions on our systems,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Attracting, Retaining, and Engaging Customers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operate in highly competitive markets, and many of our competitors have greater resources than we do and may have products and services that are more appealing than ours to our current or potential customers.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ability to compete successfully in the financial services and cryptocurrency markets depends on a number of factors, including,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competitive 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providing easy-to-use, innovative, and attractive products and services that are adopted by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retaining customers (such as by providing effective customer support and avoiding outages, security breaches, and trading restrictions);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recruiting and retaining highly skilled personnel and senior management;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and improving our reputation and the market perception of our brand and overall value;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maintaining our relationships with our counterparties;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0"/>
        </w:rPr>
        <w:t>adjusting to a dynamic regulatory environment.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competitive position within our markets could be adversely affected if we are unable to adequately address these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If we fail to retain existing customers or attract new customers, or if our customers decrease their use of our products and services, our revenue will decline.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experienced customer growth in recent years, including a significant faction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decline in our brand and reputation;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pricing for our products and services;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shift in pricing models, including allowing customers to choose a fee-based model for cryptocurrency orders;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ineffective marketing efforts or a reduction in marketing activity;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certain of our customers, due to being new and inexperienced, might be less loyal to our product or less likely to maintain historical trading patterns and interest in investing;</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broad decline in the equity or other financial markets, which could result in many of these investors feeling discouraged and exiting the markets altogether (such as the bear markets that developed for equities and crypto in the second quarter of 2022 and continued into 2023 (the “2022 Bear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rising inflation resulting in less disposable income for our customers to invest;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customers experiencing difficulties using the Robinhood app as intended, due to any number of reasons such as design errors, service outages, or trading restrictions imposed by us;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customers experiencing security or data breaches, account intrusions, or other unauthorized access;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failure to provide adequate customer service;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customer resistance to and non-acceptance of cryptocurrencies;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customer dissatisfaction with the limited number of cryptocurrencies available on our platforms or with our ceasing support for cryptocurrencies on our RHC platform that the SEC or a court has asserted or determined are securities or our proactively removing certain cryptocurrencies from our RHC platform because they share similarities with such cryptocurrencies.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customers may choose to cease using our platforms, products, and services at any time, and may choose to transfer their accounts to another broker-dealer. For example, during the first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2021 many customers became upset by our imposition of the Early 2021 Trading Restrictions and we saw an increase in customers choosing to transfer their accounts to other broker-dealers.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we fail to provide and monetize new and innovative products and services that are adopted by customers, our business may become less competitive and our revenue might decline.</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Platforms, Systems, and Technology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rely on technology, including the internet and mobile services, to conduct much of our business activity and allow our customers to conduct financial transactions on our platforms.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vulnerabilities,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products and internal systems also rely on software that is highly technical and complex (including software developed or maintained internally and/or by third parties and also including machine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learning models) in order to collect, store, retrieve, transmit, manage and otherwise process immense amounts of data. The software on which we rely has in the past contained and might in the future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success depends in part upon continued distribution through app stores and effective operation with mobile operating systems, networks, technologies, products, hardware and standards that we do not control.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rely on third parties to perform some key functions, and their failure to perform those functions could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rely on certain third-party computer systems or third-party service providers, including several cloud technology providers such as Amazon Web Services (on which we primarily rely to deliver our services to customers on our platforms), internet service providers, payment services providers, market and third-party data providers, regulatory services providers, clearing systems, market makers, exchanges, facilitators of cryptocurrency staking services for RHEU customers, alternative trading systems (such as BOATS with respect to Robinhood 24 Hour Market), exchange systems (such as ForecastEx, LLC and KalshiEx LLC, with respect to certain event contracts), banking systems, payment gateways that link us to the payment card and bank clearing networks to process transactions, co-location facilities, communications facilities, and other third-party facilities to run our platforms, facilitate trades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our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have been and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 overnight trading on Robinhood 24 Hour Market (8:00 pm - 4:00 am ET), experienced disruptions during the overnight trading session on August 4-5, 2024, we received requests for information from certain regulators.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incorporating AI technologies into some of our products and processes. These technologies may present business, compliance, and reputational risks.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This is also via our acquisition of Pluto Capital, an AI powered investment research platform,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 to expand our business. For example, EU’s AI Act, which became effective on August 1, 2024, governs the development, marketing and use of AI in the EU and could impose significant additional costs on us to comply or significant fines for failing to comply.</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Cybersecurity and Data Privacy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business could be materially and adversely affected by a cybersecurity breach or other attack involving our computer systems or data or those of our customers or third-party or fourth-party service providers.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systems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and have experienced negative publicity in connection with previous security incidents and might in the future experience similar adverse effects relating to real or perceived security incidents, whether or not related to the security of our platforms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is increased. Third-party risks include insufficient security measures, data location uncertainty, vulnerabilities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For example, in late October 2024, a cyberattack occurred on our Newsroom in which a cyberattacker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at this time that this third 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 mitigate such fourth-party risks, in particular as such risks relate to the use of common suppliers or vendors by the third parties that perform functions and services for us and our limited ability to assess the fourth party’s operational controls.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and our third party partners’ efforts to improve security and protect data from compromise has in the past identified and might in the future identify previously undiscovered security breaches or vulnerabilities. There could be public announcements regarding any security incidents or vulnerabilities and any steps we take to respond to or remediate such incidents, and if securities analysts or investors perceive these announcements to be negative, it could have an adverse effect on the trading price of our Class A common stock.</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are subject to change and reinterpretation and could result in claims, changes to our business practices, monetary penalties, increased cost of operations, or other harm to our business.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including but not limited to facing complexity in interpreting, applying, implementing and complying with such regulations. The regulatory framework for data privacy and security worldwide is also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and international agencies and state attorneys general and legislatures and consumer protection agencies. For instance, we have in the past (as discussed in </w:t>
      </w:r>
      <w:r>
        <w:rPr>
          <w:rFonts w:ascii="Helvetica;sans-serif" w:hAnsi="Helvetica;sans-serif"/>
          <w:b w:val="false"/>
          <w:color w:val="000000"/>
          <w:sz w:val="20"/>
        </w:rPr>
        <w:t>Note 14 - Commitments &amp; Contingencies</w:t>
      </w:r>
      <w:r>
        <w:rPr>
          <w:rFonts w:ascii="Arial;sans-serif" w:hAnsi="Arial;sans-serif"/>
          <w:b w:val="false"/>
          <w:color w:val="000000"/>
          <w:sz w:val="20"/>
        </w:rPr>
        <w:t xml:space="preserve">, to our unaudited condensed consolidated financial statements in this Quarterly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received requests for information from regulatory authorities regarding, among other things, the adequacy of our information security measures, and as part of the January 2025 SEC Settlement, RHF and RHS paid penalties for violating Regulation S-P.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Brokerage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If we do not maintain the net capital levels required by regulators, our broker-dealer business may be restricted and we may be fined or subject to other disciplinary or corrective actions.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15c3-3, which require certain broker-dealers, including RHF and RHS, by December 2025 to increase the frequency with which they perform computations of the net cash they owe to customers and other broker-dealers from weekly to daily. A large operating loss or charge against net capital could have adverse effects on our ability to maintain or expand our business.</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 totaling $8 million and agreeing to complete an internal audit review of electronic communications retention.</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are subject to potential losses as a result of our clearing and execution activities.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EBS submissions and Regulation SHO in connection with fractional share trading and stock lending, which resulted in RHS paying combined monetary penalties of $33.5 million and agreeing to certain undertakings. Furthermore, as part of the March 2025 FINRA Settlement, RHS resolved multiple matters with FINRA, including RHS’s supervision of its clearing system technology, improper rejection of certain ACATS requests, improper effectuation of trades in securities during trading halts, execution of trades during extraordinary market volatility at prices that were above or below specified price bands, and the maintenance and reporting of inaccurate or incomplete trade, order,and position data to FINRA, FINRA TRF, CAT, and OCC, and RHS’s AML program, registration of required personnel, and supervision of trading in associated persons’ brokerage accounts. RHS, along with RHF, paid a penalty totaling $26 million and agreed to pay restitution and to certain undertakings to resolve these investigations,among others.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All customers can place limit orders to buy whole shares of the most traded exchange-traded funds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market makers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clearing operations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Our exposure to credit risk with customers, market makers, and other counterparties could result in losses.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extend margin credit and leverage to customers, which are collateralized by customer securities.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also exposed to credit risk in our dealings with the market makers to which we route cryptocurrency orders. Unlike equities and option trades, cryptocurrency trades do not settle through any central clearinghouses but rather are conducted under bilateral agreements between us and each crypto market maker (the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market maker. Similarly, we routinely have unsecured PFOF receivables from equities and options market makers. Any payment default by a market maker could have adverse effects on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RHD is obligated to establish and maintain an appropriate Residual Interest Targeted Amount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policies and procedures designed to manage credit risk, but we face a risk that such policies and procedures might not be fully effective.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Providing investment advice and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r>
        <w:rPr>
          <w:color w:val="C00000"/>
        </w:rPr>
        <w:t xml:space="preserve">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Risks associated with providing investment advice and recommendations include those arising from how we disclose and address possible conflicts of interest, inadequate due diligence, inadequate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disclosure, and human error. The Advisers Act and its related rules and interpretations impose a fiduciary duty on our provision of investment advisory services to customers, and other regulations, such as the SEC’s Regulation Best Interest and certain state broker-dealer regulations, impose heightened conduct standards and requirements on recommendations to retail investors. For example, the North American Securities Administrators Association (“NASAA”) (an association of state securities administrators) has adopted amendments to the NASAA model rule regarding Dishonest or Unethical Business Practices of Broker-Dealers and Agents, which are intended to address Regulation Best Interest and other developments in the securities industry. In addition, the SEC and various states have considered or are considering potential regulations or have already adopted certain regulations that could impose additional standards of conduct or other obligations on us to the extent we provide investment advice or recommendations to our customers or use certain covered technologies while communicating with existing or prospective customers.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provide customers with a variety of educational materials,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members have access to stock research reports prepared by our third-party collaborator, Morningstar, Inc. and Level II market data from Nasdaq.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If services that we do not consider to be recommendations (such as educational materials, and our editorial offerings, including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 these services or discontinue them altogether, one or more of which could have an adverse effect on our ability to attract and retain customers.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Cryptocurrency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We hold all settled cryptocurrencies in custody on behalf of customers in two types of wallets: (i) hot wallets, which are managed online, and (ii) cold wallets, which are managed entirely offline and require physical access controls. We do not utilize third-party custodians for settled cryptocurrencies, but we do integrate proprietary technology from a third-party industry-standard vendor into the systems we use to support the custody, transfer and settlement operations to our wallets. In general, the overwhelming majority of cryptocurrency coins on our platforms are held in</w:t>
      </w:r>
      <w:r>
        <w:rPr>
          <w:color w:val="000000"/>
        </w:rPr>
        <w:t xml:space="preserve"> </w:t>
      </w:r>
      <w:r>
        <w:rPr>
          <w:rFonts w:ascii="Arial;sans-serif" w:hAnsi="Arial;sans-serif"/>
          <w:b w:val="false"/>
          <w:color w:val="000000"/>
          <w:sz w:val="20"/>
        </w:rPr>
        <w:t>cold storage,</w:t>
      </w:r>
      <w:r>
        <w:rPr>
          <w:color w:val="000000"/>
        </w:rPr>
        <w:t xml:space="preserve"> </w:t>
      </w:r>
      <w:r>
        <w:rPr>
          <w:rFonts w:ascii="Arial;sans-serif" w:hAnsi="Arial;sans-serif"/>
          <w:b w:val="false"/>
          <w:color w:val="000000"/>
          <w:sz w:val="20"/>
        </w:rPr>
        <w:t xml:space="preserve">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The effectiveness of our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We maintain backup copies of our private keys in multiple separate locations and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exposed,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For example, in August 2021, hackers were able to momentarily take over the Bitcoin SV (“BSV”) network, allowing them to spend coins they did not have and prevent transactions from completing. Any exposure or loss of private keys relating to, or hack or other compromise of, the hot wallets or cold wallets we use to store our customers’ cryptocurrencies could result in total loss of customers’ cryptocurrencies (because customers’ cryptocurrency balances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2025,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market makers might affect the ability or willingness of our customers to trade or hold cryptocurrencies on our platforms, might result in litigation and regulatory enforcement actions, and could harm customer trust in us and our products generally.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prices of most cryptocurrencies are based in part on market adoption and future expectations, which might or might not be realized. As a result, the prices of cryptocurrencies are highly speculative.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rights, obligations, incentives, or rewards for the various participants in a blockchain network.</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maintenance and development of the software protocol of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Cryptocurrency exchanges’ deposit and withdrawal policies and practices, liquidity on such exchanges and interruptions in service from or failures of such exchanges. For example, in connection with the 2022 Crypto Bankruptcies, the prices of coins such as Bitcoin, Ethereum, and Solana significantly decreased.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Regulatory measures, if any, that affect the use and value of cryptocurrencies or regulatory or judicial assertions or determinations that certain cryptocurrencies are securities.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Competition for and among various cryptocurrencies that exist and market preferences and expectations with respect to adoption of individual 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Actual or perceived manipulation of the markets for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Actual or perceived connections between cryptocurrencies (and related activities such as mining) and adverse environmental effects or illegal activities.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Social media posts and other public communications by high-profile individuals relating to specific cryptocurrencies, or listing or other business decisions by cryptocurrency companies relating to specific cryptocurrencies.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Expectations with respect to the rate of inflation in the economy, monetary policies of governments, trade restrictions, and currency devaluations and revaluations.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Although the 2022 Crypto Bankruptcies did not have any material impact on our business—and neither our board of directors nor management have to date identified any material gaps or weaknesses with respect to our existing risk management processes and policies in light of recent cryptocurrency market conditions—we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Enterprise Risk Management (“ERM”) team maintains an enterprise wide risk management standard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Risk and Regulatory Committee of the board of directors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light of events in 2022, including the 2022 Crypto Bankruptcies, cryptocurrency market risks were identified as a key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currently facilitate customer trades for certain cryptocurrencies that we have analyzed under applicable internal policies and procedures and, for cryptocurrencies supported on our RHC platform, that we believe are not securities under relevant U.S. federal and state securities laws. Determining whether any given cryptocurrency is a security is a highly complex, fact-driven analysis, which may change and evolve over time based on changes in the cryptocurrency and its related ecosystem. Different parties may reach different conclusions about the outcome of this analysis based on the same facts. The analysis may become clearer depending on the outcome in certain cases currently pending in varying stages of litigation, and guidance and statements from the SEC and states, such as the recent SEC Division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pPr>
      <w:r>
        <w:rPr>
          <w:rFonts w:ascii="Arial;sans-serif" w:hAnsi="Arial;sans-serif"/>
          <w:b w:val="false"/>
          <w:color w:val="000000"/>
          <w:sz w:val="20"/>
        </w:rPr>
        <w:t xml:space="preserve">Corporation Finance (“Corp Fin”) staff statements, have clarified the analysis for specific cryptocurrencies. The SEC Staff has indicated that the determination of whether or not a cryptocurrency is a security depends on the characteristics and use of that particular asset. The SEC and the SEC Staff have previously taken positions that certain cryptocurrencies </w:t>
      </w:r>
      <w:r>
        <w:rPr>
          <w:rFonts w:ascii="Arial;sans-serif" w:hAnsi="Arial;sans-serif"/>
          <w:b w:val="false"/>
          <w:i/>
          <w:color w:val="000000"/>
          <w:sz w:val="20"/>
        </w:rPr>
        <w:t>are</w:t>
      </w:r>
      <w:r>
        <w:rPr>
          <w:color w:val="000000"/>
        </w:rPr>
        <w:t xml:space="preserve"> “</w:t>
      </w:r>
      <w:r>
        <w:rPr>
          <w:rFonts w:ascii="Arial;sans-serif" w:hAnsi="Arial;sans-serif"/>
          <w:b w:val="false"/>
          <w:color w:val="000000"/>
          <w:sz w:val="20"/>
        </w:rPr>
        <w:t xml:space="preserve">securities” in the context of settled or litigated enforcement actions. Although the SEC had not historically provided advance confirmation on the status of any particular cryptocurrency as a security, (i) Corp Fin staff recently published statements that they do not view the offers and sales of certain “stablecoins” and “meme coins” to constitute the offer and sale of securities under the federal securities laws and (ii) senior officials at the SEC have previously indicated that the SEC does not intend to take the position that Bitcoin or Ethereum are securities (in their current forms). However, such statements and views are not official policy statements by the SEC and reflect only the SEC Staff’s and speakers’ views, which are not binding on the SEC or any court or other agency (including, for instance, the NYDFS, which recently published a consumer alert concerning meme coins that did not opine on whether meme coins constituted securities but warned consumers of the risks of such coins), may be withdrawn at any time without notice or comment by the SEC or its senior officials, cannot be generalized to any other cryptocurrency, and might evolve (including, for instance, proposed legislation may provide guidelines for the regulation of stablecoins in the U.S. and may differ from the views set forth in the Corp Fin staff statement). With respect to all cryptocurrencies other than Bitcoin and Ethereum, there is less certainty about whether they would be viewed as securities under the applicable federal and securities laws. Furthermore, U.S. regulators have expressed concerns about cryptocurrency platforms adding multiple new coins, some of which they may view as unregistered securities. Additionally, the current presidential administration and control of Congress in the U.S. present considerable uncertainty as to cryptocurrency regulations and how regulators will apply the securities laws to cryptocurrencies and what changes Congress may enact with respect to cryptocurrencies.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a state regulator, or a court were to assert or determine that a cryptocurrency supported by our RHC platform is a “security” under U.S. law. For example, in June 2023, the SEC charged Binance Holdings Ltd., and its affiliated U.S. entity, among others (collectively, “Binance”) and, separately, Coinbase Global, Inc., and Coinbase, Inc. (collectively,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In November 2023, the SEC brought similar charges against Payward, Inc. and Payward Ventures Inc.) (collectively, “Kraken”), alleging that it operated as an unregistered securities exchange, brokerage and clearing agency. In February 2025, a 60-day stay was granted in the SEC’s lawsuit against Binance in response to a joint request by both the SEC and Binance, which acknowledged that the SEC’s newly formed Crypto Task Force’s focus on developing a federal securities laws framework for digital assets may resolve the case. In February 2025, Coinbase and the SEC entered into a joint stipulation to dismiss the SEC’s lawsuit with prejudice. Kraken has also announced that it has reached a settlement with the SEC. Several other digital assets market participants, including us, have also announced that the SEC informed them that the SEC was terminating its investigation or enforcement action into their firm. Also, in April 2025, the Office of the Deputy Attorney General issued a memorandum (the “April DOJ Memo”), setting out new enforcement priorities for digital asset-related investigations and prosecutions by the DOJ. The April DOJ Memo directed prosecutors not to “target virtual currency exchanges, mixing and tumbling services, and offline wallets for the acts of their end users or unwitting violations of regulations”. The April DOJ Memo explained that the DOJ will instead prioritize cases against individuals who cause financial harm to digital asset investors and consumers and/or use digital assets in furtherance of other criminal conduct. The outcome of these matters (to the extent not yet dismissed) and decisions by regulators not to bring enforcement 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 value of cryptocurrencies we currently support or might support in the future. On January 21, 2025, the SEC announced that SEC Acting Chairman Mark Uyeda “launched a crypto task force dedicated to developing a comprehensive and clear regulatory framework for crypto assets.” The task force will be focused on helping the SEC “draw clear regulatory lines, provide realistic paths to registration, craft sensible disclosure frameworks, and deploy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pPr>
      <w:r>
        <w:rPr>
          <w:rFonts w:ascii="Arial;sans-serif" w:hAnsi="Arial;sans-serif"/>
          <w:b w:val="false"/>
          <w:color w:val="000000"/>
          <w:sz w:val="20"/>
        </w:rPr>
        <w:t xml:space="preserve">resources judiciously.” While the SEC has formed the Crypto Task Force to provide clarity on the application of the federal securities laws to the crypto asset market and to recommend practical policy measures that aim to foster innovation and protect investors, the task force has only recently begun. From time to time, we also have received, and might in the future receive SEC inquiries regarding specific cryptocurrencies supported on our RHC platform and added features and since December 2022, following the 2022 Crypto Bankruptcies, we have received investigative subpoenas from the SEC regarding, among other topics, RHC’s supported cryptocurrencies, custody of cryptocurrencies, and platform operations. During our discussions with the SEC Staff in the fourth quarter of 2023, the Staff asserted that they are considering whether, and may recommend that the SEC find that, certain cryptocurrencies supported by our RHC platform are securities, and in the second quarter of 2024, we received the May 2024 Wells Notice (as defined in </w:t>
      </w:r>
      <w:r>
        <w:rPr>
          <w:rFonts w:ascii="Helvetica;sans-serif" w:hAnsi="Helvetica;sans-serif"/>
          <w:b w:val="false"/>
          <w:color w:val="000000"/>
          <w:sz w:val="20"/>
        </w:rPr>
        <w:t>Note 14 - Commitments &amp; Contingencies</w:t>
      </w:r>
      <w:r>
        <w:rPr>
          <w:color w:val="000000"/>
        </w:rPr>
        <w:t xml:space="preserve"> </w:t>
      </w:r>
      <w:r>
        <w:rPr>
          <w:rFonts w:ascii="Arial;sans-serif" w:hAnsi="Arial;sans-serif"/>
          <w:b w:val="false"/>
          <w:color w:val="000000"/>
          <w:sz w:val="20"/>
        </w:rPr>
        <w:t>to our unaudited condensed consolidated financial statements in this Quarterly Report). On February 21, 2025, SEC Enforcement closed the investigation, advising RHC in writing that it had concluded its investigation and did not intend to move forward with recommending an enforcement action.</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To the extent that the SEC or a court asserts or determines that any cryptocurrencies supported by our RHC platform are securities, that assertion or determination could prevent us from continuing to facilitate trading of those cryptocurrencies (including ceasing support for such cryptocurrencies on our RHC platform).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platform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any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For instance, in April 2023, the SEC reopened the comment period and provided supplemental information on proposed amendments to the definition of “exchange” under Exchange Act Rule 3b-16, including reiterating the applicability of existing rules to platforms that trade crypto asset securities. In addition, our growth might be adversely affected if we are not able to expand our RHC platform to include additional cryptocurrencies that the SEC has determined to be securities or that we believe are likely to be determined to be securities.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continue to analyze the cryptocurrencies supported on the RHC platform under our internal policies and procedures (collectively, our “RHC Crypto Listing Framework”) on a periodic basis to ensure that they continue to meet our requirements for continued support on the RHC platform which include, among other factors, that we continue to believe they are not securities under relevant U.S. federal and state securities laws. We may make the determination to cease support for a cryptocurrency for any one or a variety of factors based on a totality of the circumstances under our RHC Crypto Listing Framework. However, an assertion or determination by the SEC or a court that a cryptocurrency supported by our RHC platform constitutes a security could also result in our determination that it is advisable to remove that cryptocurrency and others with similar characteristics to the cryptocurrency that was asserted or determined to be a security from our RHC platform. If we proactively remove certain cryptocurrencies from our RHC platform because the SEC, a state, or a court has asserted or determined they constitute securities or because they share similarities with such cryptocurrencies or otherwise do not meet our RHC Crypto Listing Framework, it has and could in the future negatively impact customer sentiment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business, operating results, and financial condition, especially to the extent that our competitors continue to support such cryptocurrency on their platforms.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Domestic and foreign regulators and governments are increasingly focused on the regulation of cryptocurrencies. In the United States, cryptocurrencies are regulated by both federal and state authorities, depending on the context of their usage. For example, California has enacted the Digital Financial Assets Law, which requires registration for certain digital financial asset business activities. Operators must comply with its licensing requirements by July 2026.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The current presidential administration and control of Congress in the U.S. also present considerable uncertainty as to future cryptocurrency regulations. Additionally, regulation in response to the climate impact of cryptocurrency mining could negatively impact cryptocurrency trading on our platforms.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On May 22, 2024, the U.S. House of Representatives passed the Financial Innovation and Technology for the 21st Century Act, which would provide the CFTC with new jurisdiction over digital commodities, clarify the SEC’s jurisdiction over digital assets offered as part of an investment contract, and impose disclosure, safeguarding, and operational requirements on entities required to be registered with the CFTC and/or the SEC.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cryptocurrency trading and might materially decrease our revenue derived from Transaction Rebates in absolute terms and as a proportion of our total revenues.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January 2023, the Bankruptcy Court for the Southern District of New York issued a ruling in In re Celsius Network LLC, that certain crypto assets held by Celsius customer accounts were the property of Celsius’s estate and that the holders of such accounts are unsecured creditors. However, unlike the terms of our user agreement, the terms of Celsius’s user agreement unambiguously provided that the rights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 assets that are treated as “covered securities” if acquired on or after January 1, 2026. Final regulations requiring information reporting by certain decentralized finance participants were published by the Treasury Department on December 27, 2024 and apply to sales or exchanges of digital assets on or after January 1, 2027. The implementation of these requirements, and any further legislative changes or related guidance from the Internal Revenue Service and the Treasury Department,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international expansion also subjects us to additional laws, regulations, or other government or regulatory scrutiny as discussed in “—Risks Related to Our Business—We currently operate in certain international markets and plan to further expand our international operations, which exposes us to significant new risks, and our international expansion efforts might not succeed.” For example, the provisions of the Markets in Crypto-Assets Regulation (“MiCA”) went into effect as of December 30, 2024, and RHEU is now subject to the authorization, compliance, and disclosure regime of MiCA for crypto asset service providers (“CASP”). We must obtain a MiCA compliant CASP license in our home member state and compliance with such regulation requires the implementation of new systems and processes, and updates to our policies. While MiCA provides member states with the option of implementing a transitional period from December 30, 2024 to July 1, 2026, at this time, Lithuania’s Ministry of Finance and the Bank of Lithuania have adopted a MiCA transitional period for registrants in Lithuania to June 1, 2025. If we are unable to obtain a MiCA compliant CASP license by June 1, 2025, we may need to cease operations in the EU. Obtaining a MiCA compliant CASP license in our home EU member state could take longer than we expect and would adversely affect our international operations. Additionally, under recommendations from the Financial Crimes Enforcement Network, and the Financial Action Task Force, the United States and several foreign jurisdictions have imposed the Funds Travel Rule and the Funds Transfer Rule (commonly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Our Crypto Transfers, crypto staking, Robinhood Wallet, and Robinhood Connect features could result in loss of customer assets, customer disputes, and other liabilities, which could harm our reputation and adversely impact trading volumes and transaction-based revenues.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the United States, we allow customers to deposit and withdraw cryptocurrencies to and from our RHC platform through our Crypto Transfers feature in the states in which RHC operates (other than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York, where our regulatory application is still pending). Since the third quarter of 2024, we also allow customers of RHEU to deposit and withdraw crypto to and from our RHEU platform. Crypto Transfers are processed using Robinhood’s general custodial infrastructure in which we hold some cryptocurrencies on behalf of customers; when transactions are completed, coins are allocated to and from individuals’ accounts in our customer records. Additionally, U.S. customers have access to Robinhood Connect, allowing their customers to use their RHC accounts to buy and transfer crypto, and fund their self-custody wallets.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 </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We also provide crypto staking services through our RHEU platform in which eligible RHEU customers are given the option to “stake” eligible crypto-assets. Staking allows RHEU customers to earn rewards by locking up the cryptocurrencies, subject to the network and cryptocurrency’s requirements and bonding periods, and so</w:t>
      </w:r>
      <w:r>
        <w:rPr>
          <w:color w:val="000000"/>
        </w:rPr>
        <w:t xml:space="preserve"> </w:t>
      </w:r>
      <w:r>
        <w:rPr>
          <w:rFonts w:ascii="Arial;sans-serif" w:hAnsi="Arial;sans-serif"/>
          <w:b w:val="false"/>
          <w:color w:val="000000"/>
          <w:sz w:val="20"/>
        </w:rPr>
        <w:t xml:space="preserve">limits RHEU customers’ access to their funds during such time. We currently rely on and, upon customers’ instructions, delegate RHEU customers’ assets to a third-party service provider to facilitate these staking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RHEU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third-party service provider are slashed by the underlying blockchain network, RHEU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 we experience a high volume of such staking requests from RHEU customers on an ongoing basis, we could incur significant costs. The technological complexity of staking mechanisms also introduces operational challenges both to us and our third-party provider, which could result in the loss of RHEU customer assets. Any of these risks could negatively impact our reputation, business, financial condition, and results of operations and discourage existing and future customers from utilizing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 negatively. Although our account agreements for Crypto Transfers and licensing agreements for Robinhood Wallet disclaim responsibility for losses caused by user errors, such incidents could result in user disputes, damage to our brand and reputation, legal claims against us, and financial liabilities.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anti-money laundering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20"/>
        </w:rPr>
        <w:t>A temporary or permanent blockchain “fork” could adversely affect our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gain the majority of the mining power of that network. Such disruption and loss could cause our company to be exposed to liability, even in circumstances where we have no intention of supporting a cryptocurrency compromised by a fork.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Any inability to maintain adequate relationships with third-party banks, market makers, exchanges, and liquidity providers with respect to, and any inability to settle customer trades related to, our cryptocurrency offerings would disrupt our ability to offer cryptocurrency trading to customers.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rely on third-party banks, market makers, exchanges and liquidity providers to provide cryptocurrency products and services to our customers.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market makers, exchanges or liquidity providers after customer trades are executed. Accordingly, we rely on third-party banks to facilitate cash settlements with customers’ brokerage accounts and we rely on the ability of market makers and liquidity providers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market makers, exchanges and liquidity providers (as well as maintaining the minimum capital required by regulators). If we, third-party banks, market makers, exchanges or liquidity providers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might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market makers announced their respective decisions to limit their offerings in cryptocurrency trading within the United States. If we, our exchanges or our market makers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might also be harmed by the loss of any of our liquidity partners. Unlike our customers’ orders for other cryptocurrencies, which are currently fulfilled by market makers, our RHC customers’ orders for USD Coin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From time to time, we might encounter technical issues in connection with changes and upgrades to the underlying networks of supported cryptocurrencies, which could cause revenues to decline and expose us to potential liability for customer losses.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8"/>
        </w:rPr>
      </w:pPr>
      <w:r>
        <w:rPr>
          <w:rFonts w:ascii="Arial;sans-serif" w:hAnsi="Arial;sans-serif"/>
          <w:b w:val="false"/>
          <w:color w:val="000000"/>
          <w:sz w:val="28"/>
        </w:rPr>
        <w:t>Risks Related to Our Spending and Payments Products and Services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spending and payments products and services subject us to risks related to bank partnerships, FDIC pass-through insurance and other regulatory obligations.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offer a Spending Account (in connection with a partnership with J.P. Morgan Chase Bank, N.A.), and we have also partnered, on a non-exclusive basis, with Sutton Bank (“Sutton”), an Ohio-chartered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Additionally, Robinhood branded credit cards are issued by Coastal Bank, a Washington-chartered bank, pursuant to a partnership with Visa U.S.A. Inc. Our partner banks are members of the FDIC.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believe our record keeping for our users’ funds held in Robinhood Cash Card accounts at Sutton and held in a Spending Account at our other partner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a result of the stored value Spending Account program and the Robinhood Cash Card,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 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offering of consumer credit cards through Robinhood Credit increases our exposure to customer defaults and credit risk and could result in losses.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or public health threats (like the COVID-19 pandemic). Additionally, if any of these factors make it economically unfeasible for us to continue to offer the Robinhood Gold Card Rewards Program and we cease to offer such rewards, it might make Robinhood Credit products less desirable to customers. Any material increase in credit losses and defaults or inability to retain existing or attract new Robinhood Credit customers could have adverse effects on our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pPr>
      <w:r>
        <w:rPr>
          <w:rFonts w:ascii="Arial;sans-serif" w:hAnsi="Arial;sans-serif"/>
          <w:b/>
          <w:i/>
          <w:color w:val="000000"/>
          <w:sz w:val="20"/>
        </w:rPr>
        <w:t>Use of our spending and payments services for illegal activities or improper purposes could harm our business</w:t>
      </w:r>
      <w:r>
        <w:rPr>
          <w:rFonts w:ascii="Arial;sans-serif" w:hAnsi="Arial;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highly automated nature of, and liquidity offered by, our spending and payments services to move money make us and our customers a target for illegal or improper uses, including scams and fraud directed at our stored value Spending Account, Robinhood Cash Card,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Our Intellectual Property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Any failure to obtain, maintain, protect, defend or enforce our intellectual property rights could adversely affect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 </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w:t>
      </w:r>
      <w:r>
        <w:rPr>
          <w:color w:val="000000"/>
        </w:rPr>
        <w:t xml:space="preserve"> </w:t>
      </w:r>
      <w:r>
        <w:rPr>
          <w:rFonts w:ascii="Arial;sans-serif" w:hAnsi="Arial;sans-serif"/>
          <w:b w:val="false"/>
          <w:color w:val="000000"/>
          <w:sz w:val="20"/>
        </w:rPr>
        <w:t>An adverse outcome in any such litigation or proceedings might expose us to a loss of our competitive position, significant liabilities, and damage to our brand, or require us to seek licenses that might not be available on commercially acceptable terms, if at all.</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have been, and might in the future be, subject to claims that we violated third-party intellectual property rights, which, even where meritless, can be costly to defend and could materially adversely affect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use of third-party software and other intellectual property rights might be subject to claims of infringement or misappropriation. The vendors who provide us with technology that we incorporate in our product offerings also could become subject to various infringement claims.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From time to time, our competitors or other third parties might claim, and have in the past claimed, that we are infringing upon, misappropriating or otherwise violating their intellectual property rights.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Some of our products and services contain open source software, which could pose particular risks to our proprietary software, products, and services in a manner that could harm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 harm our business and could help third parties, including our competitors, develop products and services that are similar to or better than ours.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108</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left"/>
        <w:rPr>
          <w:rFonts w:ascii="Arial;sans-serif" w:hAnsi="Arial;sans-serif"/>
          <w:b w:val="false"/>
          <w:color w:val="000000"/>
          <w:sz w:val="28"/>
        </w:rPr>
      </w:pPr>
      <w:r>
        <w:rPr>
          <w:rFonts w:ascii="Arial;sans-serif" w:hAnsi="Arial;sans-serif"/>
          <w:b w:val="false"/>
          <w:color w:val="000000"/>
          <w:sz w:val="28"/>
        </w:rPr>
        <w:t>Risks Related to Finance, Accounting and Tax Matters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Covenants in our credit agreements could restrict our operations and if we do not effectively manage our business to comply with these covenants, our financial condition could be adversely impacted.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 xml:space="preserve">Our insurance coverage might be inadequate or expensive.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Changes in U.S. and foreign tax laws and policies could adversely impact our tax liabilities.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also are subject to non-income taxes, such as payroll, sales, use, value-added, net worth, excise, goods and services,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Our ability to use our net operating losses to offset future taxable income could be subject to certain limitations.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As of March 31, 2025, we have U.S. federal, state and non-U.S. net operating loss carryforwards (“NOLs”) available to reduce future taxable income subject to certain limitations. Under Sections 382 and 383 of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Our tax information reporting obligations are subject to change.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110</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track certain operational metrics, which are subject to inherent challenges in measurement, and real or perceived inaccuracies in such metrics could harm our reputation, adversely affect our stock price, and result in litigation.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track certain operational metrics using internal company data gathered on an analytics platform that we developed and operate, including metrics such as Funded Customers, Total Platform Assets, Net Deposits, and Robinhood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Funded Customers,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If we fail to maintain effective internal control over financial reporting, as well as required disclosure controls and procedures, our ability to produce timely and accurate consolidated financial statements or comply with applicable regulations could be impaired.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111</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8"/>
        </w:rPr>
      </w:pPr>
      <w:r>
        <w:rPr>
          <w:rFonts w:ascii="Arial;sans-serif" w:hAnsi="Arial;sans-serif"/>
          <w:b w:val="false"/>
          <w:color w:val="000000"/>
          <w:sz w:val="28"/>
        </w:rPr>
        <w:t>Risks Related to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trading price for our Class A common stock has been and might continue to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trading price of our Class A common stock has been and might continue to be highly volatile and could continue to be subject to fluctuations in response to one or more of the risk factors described in this report, many of which are beyond our control. For example, on November 8, 2022 (the day that FTX halted all non-fiat customer withdrawals from its platform), the intra-day trading price of our Class A common stock declined by as much as 18%, and on March 10, 2025 (amid a significant downturn in the equity markets driven by recession concerns and macroeconomic uncertainty), the intra-day trading price of our Class A common stock declined by as much as 20%.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announcements by us or our competitors of new offerings or platform features;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public’s perception of the quality and accuracy of our key metrics on our customer base and engagement;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public’s reaction to our media statements,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rumors and market speculation involving us or other companies in our industry;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112</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the extent to which retail and other individual investors (as distinguished from institutional investors), including our customers, invest in our Class A common stock, which might result in increased volatility; and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media coverage related to certain individuals and entities identified as having owned our stock, and any speculation related to plans to dispose of their holdings.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 xml:space="preserve">As of </w:t>
      </w:r>
      <w:r>
        <w:rPr>
          <w:rFonts w:ascii="Helvetica;sans-serif" w:hAnsi="Helvetica;sans-serif"/>
          <w:b w:val="false"/>
          <w:color w:val="000000"/>
          <w:sz w:val="20"/>
        </w:rPr>
        <w:t>March 31, 2025</w:t>
      </w:r>
      <w:r>
        <w:rPr>
          <w:rFonts w:ascii="Arial;sans-serif" w:hAnsi="Arial;sans-serif"/>
          <w:b w:val="false"/>
          <w:color w:val="000000"/>
          <w:sz w:val="20"/>
        </w:rPr>
        <w:t xml:space="preserve">, our founders and their related entities hold approximately 14% of our outstanding common stock (and, as described in the following risk factor, over 50% of the voting power of our outstanding capital stock). If our founders or other significant stockholders sell, or indicate an intent to sell, large amounts of stock in the public market, or the perception that these sales might occur, could cause the trading price of our Class A common stock to decline substantially. </w:t>
      </w:r>
    </w:p>
    <w:p>
      <w:pPr>
        <w:pStyle w:val="TextBody"/>
        <w:bidi w:val="0"/>
        <w:spacing w:before="0" w:after="0"/>
        <w:jc w:val="left"/>
        <w:rPr/>
      </w:pPr>
      <w:r>
        <w:rPr/>
      </w:r>
    </w:p>
    <w:p>
      <w:pPr>
        <w:pStyle w:val="TextBody"/>
        <w:bidi w:val="0"/>
        <w:spacing w:lineRule="auto" w:line="276" w:before="0" w:after="0"/>
        <w:ind w:left="0" w:right="0" w:firstLine="360"/>
        <w:jc w:val="both"/>
        <w:rPr/>
      </w:pPr>
      <w:r>
        <w:rPr>
          <w:rFonts w:ascii="Arial;sans-serif" w:hAnsi="Arial;sans-serif"/>
          <w:b w:val="false"/>
          <w:color w:val="000000"/>
          <w:sz w:val="20"/>
          <w:shd w:fill="FFFFFF" w:val="clear"/>
        </w:rPr>
        <w:t>S</w:t>
      </w:r>
      <w:r>
        <w:rPr>
          <w:rFonts w:ascii="Arial;sans-serif" w:hAnsi="Arial;sans-serif"/>
          <w:b w:val="false"/>
          <w:color w:val="000000"/>
          <w:sz w:val="20"/>
        </w:rPr>
        <w:t xml:space="preserve">imilarly, significant numbers of shares are subject to future issuance including under outstanding warrants held by pre-IPO investors, and under outstanding stock options and RSUs held by employees and other service providers, and significant numbers of additional shares are available for award grant purposes under our 2021 Plan (as defined in </w:t>
      </w:r>
      <w:r>
        <w:rPr>
          <w:rFonts w:ascii="Helvetica;sans-serif" w:hAnsi="Helvetica;sans-serif"/>
          <w:b w:val="false"/>
          <w:color w:val="000000"/>
          <w:sz w:val="20"/>
        </w:rPr>
        <w:t>Note 11 - Common Stock and Stockholders' Equity</w:t>
      </w:r>
      <w:r>
        <w:rPr>
          <w:color w:val="000000"/>
        </w:rPr>
        <w:t xml:space="preserve"> </w:t>
      </w:r>
      <w:r>
        <w:rPr>
          <w:rFonts w:ascii="Arial;sans-serif" w:hAnsi="Arial;sans-serif"/>
          <w:b w:val="false"/>
          <w:color w:val="000000"/>
          <w:sz w:val="20"/>
        </w:rPr>
        <w:t xml:space="preserve">to our unaudited condensed consolidated financial statements in this Quarterly Report) and for issuance under our Employee Share Purchase Plan (“ESPP”). All of these shares will become eligible for sale in the public market upon exercise, vesting, or settlement, as applicable (and to the extent granted in the discretion of our board of directors, in the case of shares available for grant). These and any future issuances of shares of our capital stock, or of securities convertible into or exercisable for our capital stock could depress the market price of our Class A common stock and result in a significant dilution for stockholders.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We have authorized more capital stock in recent years to provide additional stock options and RSUs to our employees and to permit for the consummation of equity and equity-linked financings and might continue to do so in the future. Our employee headcount has increased significantly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There are no guarantees that we will repurchase shares under the Repurchase Program or that the Repurchase Program will result in increased shareholder value.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113</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ind w:left="0" w:right="0" w:firstLine="360"/>
        <w:jc w:val="both"/>
        <w:rPr/>
      </w:pPr>
      <w:r>
        <w:rPr>
          <w:rFonts w:ascii="Arial;sans-serif" w:hAnsi="Arial;sans-serif"/>
          <w:b w:val="false"/>
          <w:color w:val="000000"/>
          <w:sz w:val="20"/>
        </w:rPr>
        <w:t xml:space="preserve">On </w:t>
      </w:r>
      <w:r>
        <w:rPr>
          <w:rFonts w:ascii="Helvetica;sans-serif" w:hAnsi="Helvetica;sans-serif"/>
          <w:b w:val="false"/>
          <w:color w:val="000000"/>
          <w:sz w:val="20"/>
        </w:rPr>
        <w:t>May 28, 2024</w:t>
      </w:r>
      <w:r>
        <w:rPr>
          <w:rFonts w:ascii="Arial;sans-serif" w:hAnsi="Arial;sans-serif"/>
          <w:b w:val="false"/>
          <w:color w:val="000000"/>
          <w:sz w:val="20"/>
        </w:rPr>
        <w:t xml:space="preserve">, Robinhood announced that its board of directors approved the Repurchase Program authorizing the Company to repurchase up to </w:t>
      </w:r>
      <w:r>
        <w:rPr>
          <w:rFonts w:ascii="Helvetica;sans-serif" w:hAnsi="Helvetica;sans-serif"/>
          <w:b w:val="false"/>
          <w:color w:val="000000"/>
          <w:sz w:val="20"/>
        </w:rPr>
        <w:t>$1 billion</w:t>
      </w:r>
      <w:r>
        <w:rPr>
          <w:color w:val="000000"/>
        </w:rPr>
        <w:t xml:space="preserve"> </w:t>
      </w:r>
      <w:r>
        <w:rPr>
          <w:rFonts w:ascii="Arial;sans-serif" w:hAnsi="Arial;sans-serif"/>
          <w:b w:val="false"/>
          <w:color w:val="000000"/>
          <w:sz w:val="20"/>
        </w:rPr>
        <w:t xml:space="preserve">of its outstanding Class A common stock to return value to shareholders. In July 2024, Robinhood began to execute on the Repurchase Program and as of March 31, 2025, has made share repurchases of </w:t>
      </w:r>
      <w:r>
        <w:rPr>
          <w:rFonts w:ascii="Helvetica;sans-serif" w:hAnsi="Helvetica;sans-serif"/>
          <w:b w:val="false"/>
          <w:color w:val="000000"/>
          <w:sz w:val="20"/>
        </w:rPr>
        <w:t>$579 million</w:t>
      </w:r>
      <w:r>
        <w:rPr>
          <w:color w:val="000000"/>
        </w:rPr>
        <w:t xml:space="preserve"> </w:t>
      </w:r>
      <w:r>
        <w:rPr>
          <w:rFonts w:ascii="Arial;sans-serif" w:hAnsi="Arial;sans-serif"/>
          <w:b w:val="false"/>
          <w:color w:val="000000"/>
          <w:sz w:val="20"/>
        </w:rPr>
        <w:t xml:space="preserve">under the </w:t>
      </w:r>
      <w:r>
        <w:rPr>
          <w:rFonts w:ascii="Helvetica;sans-serif" w:hAnsi="Helvetica;sans-serif"/>
          <w:b w:val="false"/>
          <w:color w:val="000000"/>
          <w:sz w:val="20"/>
        </w:rPr>
        <w:t>Repurchase</w:t>
      </w:r>
      <w:r>
        <w:rPr>
          <w:color w:val="000000"/>
        </w:rPr>
        <w:t xml:space="preserve"> </w:t>
      </w:r>
      <w:r>
        <w:rPr>
          <w:rFonts w:ascii="Arial;sans-serif" w:hAnsi="Arial;sans-serif"/>
          <w:b w:val="false"/>
          <w:color w:val="000000"/>
          <w:sz w:val="20"/>
        </w:rPr>
        <w:t xml:space="preserve">Program. On </w:t>
      </w:r>
      <w:r>
        <w:rPr>
          <w:rFonts w:ascii="Helvetica;sans-serif" w:hAnsi="Helvetica;sans-serif"/>
          <w:b w:val="false"/>
          <w:color w:val="000000"/>
          <w:sz w:val="20"/>
        </w:rPr>
        <w:t>April 30, 2025</w:t>
      </w:r>
      <w:r>
        <w:rPr>
          <w:rFonts w:ascii="Arial;sans-serif" w:hAnsi="Arial;sans-serif"/>
          <w:b w:val="false"/>
          <w:color w:val="000000"/>
          <w:sz w:val="20"/>
        </w:rPr>
        <w:t xml:space="preserve">, we announced that the board of directors has authorized an additional </w:t>
      </w:r>
      <w:r>
        <w:rPr>
          <w:rFonts w:ascii="Helvetica;sans-serif" w:hAnsi="Helvetica;sans-serif"/>
          <w:b w:val="false"/>
          <w:color w:val="000000"/>
          <w:sz w:val="20"/>
        </w:rPr>
        <w:t>$500 million</w:t>
      </w:r>
      <w:r>
        <w:rPr>
          <w:rFonts w:ascii="Arial;sans-serif" w:hAnsi="Arial;sans-serif"/>
          <w:b w:val="false"/>
          <w:color w:val="000000"/>
          <w:sz w:val="20"/>
        </w:rPr>
        <w:t xml:space="preserve">, bringing the Repurchase Program authorization to a total of </w:t>
      </w:r>
      <w:r>
        <w:rPr>
          <w:rFonts w:ascii="Helvetica;sans-serif" w:hAnsi="Helvetica;sans-serif"/>
          <w:b w:val="false"/>
          <w:color w:val="000000"/>
          <w:sz w:val="20"/>
        </w:rPr>
        <w:t>$1.5 billion</w:t>
      </w:r>
      <w:r>
        <w:rPr>
          <w:rFonts w:ascii="Arial;sans-serif" w:hAnsi="Arial;sans-serif"/>
          <w:b w:val="false"/>
          <w:color w:val="000000"/>
          <w:sz w:val="20"/>
        </w:rPr>
        <w:t>. While the Repurchase Program does not have an expiration date, the Company’s management expects to complete the remainder of the authorization over the next roughly two years, with flexibility to accelerate if market conditions warrant.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Class A common stock has one vote per share, our Class B common stock has 10 votes per share and our Class C common stock has no voting rights, except as otherwise required by law. Our founders and certain of their related entities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114</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Amended and Restated Bylaws (our “Bylaws”) and the approval of any merger, consolidation, sale of all or substantially all of our assets or other major corporate transaction.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Certain provisions in our Charter and our Bylaws and of Delaware law as well as certain FINRA rules might prevent or delay an acquisition of Robinhood, which could decrease the trading price of our Class A common stock. </w:t>
      </w:r>
    </w:p>
    <w:p>
      <w:pPr>
        <w:pStyle w:val="TextBody"/>
        <w:bidi w:val="0"/>
        <w:spacing w:before="0" w:after="0"/>
        <w:jc w:val="left"/>
        <w:rPr/>
      </w:pPr>
      <w:r>
        <w:rPr/>
      </w:r>
    </w:p>
    <w:p>
      <w:pPr>
        <w:pStyle w:val="TextBody"/>
        <w:bidi w:val="0"/>
        <w:spacing w:lineRule="auto" w:line="26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115</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 </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Financial Conduct Authority,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 xml:space="preserve">The exclusive forum provisions of our Charter could limit our stockholders’ ability to choose the judicial forum for some types of lawsuits against us or our directors, officers, or employees. </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pStyle w:val="TextBody"/>
        <w:bidi w:val="0"/>
        <w:spacing w:before="0" w:after="0"/>
        <w:jc w:val="left"/>
        <w:rPr/>
      </w:pPr>
      <w:r>
        <w:rPr/>
      </w:r>
    </w:p>
    <w:p>
      <w:pPr>
        <w:pStyle w:val="TextBody"/>
        <w:bidi w:val="0"/>
        <w:spacing w:lineRule="auto" w:line="276"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2. UNREGISTERED SALES OF EQUITY SECURITIES AND USE OF PROCEEDS</w:t>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Sales of Unregistered Securities</w:t>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February 26, 2025, the Company completed the acquisition of TradePMR. The acquisition date fair value of the consideration transferred for TradePMR was approximately $175 million following customary purchase price adjustments and was entirely paid in cash. The post-close compensation consisted of 2,049,711 unvested shares of the Company's Class A common stock, valued at approximately $100 million as of the closing date of the acquisition, which will vest over a four-year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116</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post-acquisition, subject to the terms of a vesting agreement, in a transaction exempt from registration pursuant to Section 4(a)(2) of the Securities Act. Refer to Note 3 - Business Combinations to our unaudited condensed consolidated financial statements in this Quarterly Report for more information on this transaction.</w:t>
      </w:r>
    </w:p>
    <w:p>
      <w:pPr>
        <w:pStyle w:val="TextBody"/>
        <w:bidi w:val="0"/>
        <w:spacing w:before="0" w:after="0"/>
        <w:jc w:val="both"/>
        <w:rPr/>
      </w:pPr>
      <w:r>
        <w:rPr/>
      </w:r>
    </w:p>
    <w:p>
      <w:pPr>
        <w:pStyle w:val="TextBody"/>
        <w:bidi w:val="0"/>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repurchases of shares of our Class A common stock during the three months ended March 31, 2025:</w:t>
      </w:r>
    </w:p>
    <w:tbl>
      <w:tblPr>
        <w:tblW w:w="10205" w:type="dxa"/>
        <w:jc w:val="left"/>
        <w:tblInd w:w="0" w:type="dxa"/>
        <w:tblLayout w:type="fixed"/>
        <w:tblCellMar>
          <w:top w:w="28" w:type="dxa"/>
          <w:left w:w="28" w:type="dxa"/>
          <w:bottom w:w="28" w:type="dxa"/>
          <w:right w:w="28" w:type="dxa"/>
        </w:tblCellMar>
      </w:tblPr>
      <w:tblGrid>
        <w:gridCol w:w="564"/>
        <w:gridCol w:w="444"/>
        <w:gridCol w:w="448"/>
        <w:gridCol w:w="753"/>
        <w:gridCol w:w="438"/>
        <w:gridCol w:w="439"/>
        <w:gridCol w:w="109"/>
        <w:gridCol w:w="109"/>
        <w:gridCol w:w="109"/>
        <w:gridCol w:w="277"/>
        <w:gridCol w:w="848"/>
        <w:gridCol w:w="143"/>
        <w:gridCol w:w="109"/>
        <w:gridCol w:w="109"/>
        <w:gridCol w:w="109"/>
        <w:gridCol w:w="993"/>
        <w:gridCol w:w="726"/>
        <w:gridCol w:w="728"/>
        <w:gridCol w:w="109"/>
        <w:gridCol w:w="109"/>
        <w:gridCol w:w="109"/>
        <w:gridCol w:w="602"/>
        <w:gridCol w:w="1372"/>
        <w:gridCol w:w="449"/>
      </w:tblGrid>
      <w:tr>
        <w:trPr/>
        <w:tc>
          <w:tcPr>
            <w:tcW w:w="56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 xml:space="preserve">Period </w:t>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Average Price Paid per Share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 xml:space="preserve">Total Number of Shares Purchased as Part of Publicly Announced Plans or Programs </w:t>
            </w:r>
            <w:r>
              <w:rPr>
                <w:rFonts w:ascii="Helvetica;sans-serif" w:hAnsi="Helvetica;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Approximate Dollar Value of Shares that May Yet Be Purchased Under the Plans or Programs</w:t>
            </w:r>
            <w:r>
              <w:rPr>
                <w:color w:val="000000"/>
              </w:rPr>
              <w:t xml:space="preserve"> </w:t>
            </w:r>
            <w:r>
              <w:rPr>
                <w:rFonts w:ascii="Helvetica;sans-serif" w:hAnsi="Helvetica;sans-serif"/>
                <w:b/>
                <w:color w:val="000000"/>
                <w:sz w:val="10"/>
              </w:rPr>
              <w:t>(2)</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i/>
                <w:color w:val="000000"/>
                <w:sz w:val="16"/>
              </w:rPr>
            </w:pPr>
            <w:r>
              <w:rPr>
                <w:rFonts w:ascii="Helvetica;sans-serif" w:hAnsi="Helvetica;sans-serif"/>
                <w:b w:val="false"/>
                <w:i/>
                <w:color w:val="000000"/>
                <w:sz w:val="16"/>
              </w:rPr>
              <w:t>(in millions)</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January 1, 2025 - January 31, 2025</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349,922 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349,922 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728 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February 1, 2025 - February 28, 2025</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4,022,326 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4,022,326 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533 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March 1, 2025 - March 31, 2025</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2,796,121 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2,796,121 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1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7,168,369 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7,168,369 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(1)</w:t>
      </w:r>
      <w:r>
        <w:rPr>
          <w:color w:val="000000"/>
          <w:shd w:fill="FFFFFF" w:val="clear"/>
        </w:rPr>
        <w:t xml:space="preserve"> </w:t>
      </w:r>
      <w:r>
        <w:rPr>
          <w:rFonts w:ascii="Helvetica;sans-serif" w:hAnsi="Helvetica;sans-serif"/>
          <w:b w:val="false"/>
          <w:color w:val="000000"/>
          <w:sz w:val="16"/>
          <w:shd w:fill="FFFFFF" w:val="clear"/>
        </w:rPr>
        <w:t xml:space="preserve">The average cost per share excludes the 1% excise tax on net share repurchase and commissions. </w:t>
      </w:r>
    </w:p>
    <w:p>
      <w:pPr>
        <w:pStyle w:val="TextBody"/>
        <w:bidi w:val="0"/>
        <w:spacing w:lineRule="auto" w:line="288" w:before="0" w:after="0"/>
        <w:ind w:left="0" w:right="0" w:hanging="180"/>
        <w:jc w:val="both"/>
        <w:rPr/>
      </w:pPr>
      <w:r>
        <w:rPr>
          <w:rFonts w:ascii="Helvetica;sans-serif" w:hAnsi="Helvetica;sans-serif"/>
          <w:b w:val="false"/>
          <w:color w:val="000000"/>
          <w:sz w:val="10"/>
          <w:shd w:fill="FFFFFF" w:val="clear"/>
        </w:rPr>
        <w:t xml:space="preserve">(2) </w:t>
      </w:r>
      <w:r>
        <w:rPr>
          <w:rFonts w:ascii="Helvetica;sans-serif" w:hAnsi="Helvetica;sans-serif"/>
          <w:b w:val="false"/>
          <w:color w:val="000000"/>
          <w:sz w:val="16"/>
          <w:shd w:fill="FFFFFF" w:val="clear"/>
        </w:rPr>
        <w:t>On May 28, 2024, we announced that the board of directors approved the Repurchase Program authorizing the Company to repurchase up to $1 billion of its outstanding Class A common stock. On April 30, 2025, we announced that the board of directors has authorized an additional $500 million, bringing the Repurchase Program authorization to a total of $1.5 billion.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11 - Common Stock and Stockholders' Equity of our unaudited condensed consolidated financial statements in this Quarterly Report for more information about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117</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3. DEFAULTS UPON SENIOR SECURITIES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4. MINE SAFETY DISCLOSURES</w:t>
      </w:r>
    </w:p>
    <w:p>
      <w:pPr>
        <w:pStyle w:val="TextBody"/>
        <w:bidi w:val="0"/>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Helvetica;sans-serif" w:hAnsi="Helvetica;sans-serif"/>
          <w:b w:val="false"/>
          <w:color w:val="000000"/>
          <w:sz w:val="28"/>
        </w:rPr>
      </w:pPr>
      <w:r>
        <w:rPr>
          <w:rFonts w:ascii="Helvetica;sans-serif" w:hAnsi="Helvetica;sans-serif"/>
          <w:b w:val="false"/>
          <w:color w:val="000000"/>
          <w:sz w:val="28"/>
        </w:rPr>
        <w:t>ITEM 5. OTHER INFORMATION</w:t>
      </w:r>
    </w:p>
    <w:p>
      <w:pPr>
        <w:pStyle w:val="TextBody"/>
        <w:bidi w:val="0"/>
        <w:spacing w:lineRule="auto" w:line="288" w:before="24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 On February 14, 2025, Jason Warnick, our Chief Financial Officer, adopted a “Rule 10b5-1 trading arrangement” (as defined in Item 408(a) of Regulation S-K) intended to satisfy the affirmative defense of Rule 10b5-1(c) under the Exchange Act pursuant to which he may sell up to 525,000 shares of our Class A common stock on or prior to June 24, 2026. RSUs convert into Class A common stock on a one-for-one basis upon vesting and settlement.</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pStyle w:val="TextBody"/>
        <w:bidi w:val="0"/>
        <w:spacing w:before="0" w:after="200"/>
        <w:ind w:left="0" w:right="0" w:firstLine="360"/>
        <w:jc w:val="both"/>
        <w:rPr/>
      </w:pPr>
      <w:r>
        <w:rPr/>
      </w:r>
    </w:p>
    <w:p>
      <w:pPr>
        <w:pStyle w:val="TextBody"/>
        <w:bidi w:val="0"/>
        <w:spacing w:before="0" w:after="2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0"/>
        <w:jc w:val="left"/>
        <w:rPr>
          <w:rFonts w:ascii="Helvetica;sans-serif" w:hAnsi="Helvetica;sans-serif"/>
          <w:b w:val="false"/>
          <w:color w:val="000000"/>
          <w:sz w:val="28"/>
        </w:rPr>
      </w:pPr>
      <w:r>
        <w:rPr>
          <w:rFonts w:ascii="Helvetica;sans-serif" w:hAnsi="Helvetica;sans-serif"/>
          <w:b w:val="false"/>
          <w:color w:val="000000"/>
          <w:sz w:val="28"/>
        </w:rPr>
        <w:t>ITEM 6. EXHIBIT INDEX</w:t>
      </w:r>
    </w:p>
    <w:p>
      <w:pPr>
        <w:pStyle w:val="TextBody"/>
        <w:bidi w:val="0"/>
        <w:spacing w:lineRule="auto" w:line="288" w:before="0" w:after="2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documents listed below are filed (or furnished, as noted) as exhibits to this Quarterly Report on Form 10-Q:</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1754"/>
        <w:gridCol w:w="1536"/>
        <w:gridCol w:w="1551"/>
        <w:gridCol w:w="109"/>
        <w:gridCol w:w="109"/>
        <w:gridCol w:w="109"/>
        <w:gridCol w:w="179"/>
        <w:gridCol w:w="179"/>
        <w:gridCol w:w="180"/>
        <w:gridCol w:w="116"/>
        <w:gridCol w:w="116"/>
        <w:gridCol w:w="116"/>
        <w:gridCol w:w="241"/>
        <w:gridCol w:w="217"/>
        <w:gridCol w:w="218"/>
        <w:gridCol w:w="116"/>
        <w:gridCol w:w="116"/>
        <w:gridCol w:w="116"/>
        <w:gridCol w:w="220"/>
        <w:gridCol w:w="220"/>
        <w:gridCol w:w="221"/>
        <w:gridCol w:w="109"/>
        <w:gridCol w:w="109"/>
        <w:gridCol w:w="109"/>
        <w:gridCol w:w="274"/>
        <w:gridCol w:w="274"/>
        <w:gridCol w:w="400"/>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Filed Herewith</w:t>
            </w:r>
          </w:p>
        </w:tc>
      </w:tr>
      <w:tr>
        <w:trPr/>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Amended and Restated Certificate of Incorporation of Robinhood Markets, Inc., dated August 2, 2021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2021-08-02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Helvetica;sans-serif" w:hAnsi="Helvetica;sans-serif"/>
                  <w:b w:val="false"/>
                  <w:color w:val="0000FF"/>
                  <w:sz w:val="20"/>
                  <w:u w:val="single"/>
                </w:rPr>
                <w:t xml:space="preserve">Amended and Restated Bylaws of Robinhood Markets, Inc., dated December 14, 2022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2022-12-16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Robinhood Markets,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2021-07-19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Form of ten-year Warrant to Purchase Stock of Robinhood Markets, Inc., issued to multiple investors on February 12,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Helvetica;sans-serif" w:hAnsi="Helvetica;sans-serif"/>
                  <w:b w:val="false"/>
                  <w:color w:val="0000FF"/>
                  <w:sz w:val="20"/>
                  <w:u w:val="single"/>
                </w:rPr>
                <w:t>Fourth Amended and Restated Credit Agreement, dated as of March 21, 2025, among Robinhood Securities, LLC, as borrower, the lenders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2025-03-25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section302certificat.htm">
              <w:r>
                <w:rPr>
                  <w:rStyle w:val="InternetLink"/>
                  <w:rFonts w:ascii="Helvetica;sans-serif" w:hAnsi="Helvetica;sans-serif"/>
                  <w:b w:val="false"/>
                  <w:color w:val="0000FF"/>
                  <w:sz w:val="20"/>
                  <w:u w:val="single"/>
                </w:rPr>
                <w:t>CEO Certification pursuant to Section 302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section302certificat.htm">
              <w:r>
                <w:rPr>
                  <w:rStyle w:val="InternetLink"/>
                  <w:rFonts w:ascii="Helvetica;sans-serif" w:hAnsi="Helvetica;sans-serif"/>
                  <w:b w:val="false"/>
                  <w:color w:val="0000FF"/>
                  <w:sz w:val="20"/>
                  <w:u w:val="single"/>
                </w:rPr>
                <w:t>CFO Certification pursuant to Section 302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section906certificat.htm">
              <w:r>
                <w:rPr>
                  <w:rStyle w:val="InternetLink"/>
                  <w:rFonts w:ascii="Helvetica;sans-serif" w:hAnsi="Helvetica;sans-serif"/>
                  <w:b w:val="false"/>
                  <w:color w:val="0000FF"/>
                  <w:sz w:val="20"/>
                  <w:u w:val="single"/>
                </w:rPr>
                <w:t>CEO Certification pursuant to Section 906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section906certificat.htm">
              <w:r>
                <w:rPr>
                  <w:rStyle w:val="InternetLink"/>
                  <w:rFonts w:ascii="Helvetica;sans-serif" w:hAnsi="Helvetica;sans-serif"/>
                  <w:b w:val="false"/>
                  <w:color w:val="0000FF"/>
                  <w:sz w:val="20"/>
                  <w:u w:val="single"/>
                </w:rPr>
                <w:t>CFO Certification pursuant to Section 906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(Inline eXtensible Business Reporting Language)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bl>
    <w:p>
      <w:pPr>
        <w:pStyle w:val="TextBody"/>
        <w:bidi w:val="0"/>
        <w:spacing w:lineRule="auto" w:line="288" w:before="0" w:after="200"/>
        <w:jc w:val="left"/>
        <w:rPr>
          <w:rFonts w:ascii="Helvetica;sans-serif" w:hAnsi="Helvetica;sans-serif"/>
          <w:b w:val="false"/>
          <w:color w:val="000000"/>
          <w:sz w:val="16"/>
        </w:rPr>
      </w:pPr>
      <w:r>
        <w:rPr>
          <w:rFonts w:ascii="Helvetica;sans-serif" w:hAnsi="Helvetica;sans-serif"/>
          <w:b w:val="false"/>
          <w:color w:val="000000"/>
          <w:sz w:val="16"/>
        </w:rPr>
        <w:t>__________________</w:t>
      </w:r>
    </w:p>
    <w:p>
      <w:pPr>
        <w:pStyle w:val="TextBody"/>
        <w:bidi w:val="0"/>
        <w:spacing w:lineRule="auto" w:line="288" w:before="0" w:after="60"/>
        <w:ind w:left="0" w:right="0" w:hanging="180"/>
        <w:jc w:val="both"/>
        <w:rPr>
          <w:rFonts w:ascii="Helvetica;sans-serif" w:hAnsi="Helvetica;sans-serif"/>
          <w:b w:val="false"/>
          <w:color w:val="000000"/>
          <w:sz w:val="16"/>
        </w:rPr>
      </w:pPr>
      <w:r>
        <w:rPr>
          <w:rFonts w:ascii="Helvetica;sans-serif" w:hAnsi="Helvetica;sans-serif"/>
          <w:b w:val="false"/>
          <w:color w:val="000000"/>
          <w:sz w:val="16"/>
        </w:rPr>
        <w:t>*    File number is 001-40691 except that the S-1 (and S-1/A) file number is 333-257602.</w:t>
      </w:r>
    </w:p>
    <w:p>
      <w:pPr>
        <w:pStyle w:val="TextBody"/>
        <w:bidi w:val="0"/>
        <w:spacing w:lineRule="auto" w:line="288" w:before="0" w:after="60"/>
        <w:ind w:left="0" w:right="0" w:hanging="180"/>
        <w:jc w:val="both"/>
        <w:rPr>
          <w:color w:val="000000"/>
        </w:rPr>
      </w:pPr>
      <w:r>
        <w:rPr>
          <w:color w:val="000000"/>
        </w:rPr>
        <w:t>‡    </w:t>
      </w:r>
      <w:r>
        <w:rPr>
          <w:rFonts w:ascii="Helvetica;sans-serif" w:hAnsi="Helvetica;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119</w:t>
                      </w:r>
                    </w:p>
                  </w:txbxContent>
                </v:textbox>
                <w10:wrap type="none"/>
              </v:rect>
            </w:pict>
          </mc:Fallback>
        </mc:AlternateContent>
      </w:r>
    </w:p>
    <w:p>
      <w:pPr>
        <w:pStyle w:val="TextBody"/>
        <w:bidi w:val="0"/>
        <w:spacing w:lineRule="auto" w:line="288" w:before="0" w:after="200"/>
        <w:jc w:val="both"/>
        <w:rPr/>
      </w:pPr>
      <w:hyperlink w:anchor="ieb8b81867b844d428e88aba4b4502696_7">
        <w:r>
          <w:rPr>
            <w:rStyle w:val="InternetLink"/>
          </w:rPr>
          <w:t>T</w:t>
        </w:r>
      </w:hyperlink>
      <w:hyperlink w:anchor="ieb8b81867b844d428e88aba4b4502696_7">
        <w:r>
          <w:rPr>
            <w:rStyle w:val="InternetLink"/>
          </w:rPr>
          <w:t>able of Contents</w:t>
        </w:r>
      </w:hyperlink>
    </w:p>
    <w:p>
      <w:pPr>
        <w:pStyle w:val="TextBody"/>
        <w:bidi w:val="0"/>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SIGNATURES</w:t>
      </w:r>
    </w:p>
    <w:p>
      <w:pPr>
        <w:pStyle w:val="TextBody"/>
        <w:bidi w:val="0"/>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signed this report to be signed on its behalf by the undersigned, thereunto duly authorized, in Menlo Park, California, on April 30, 2025.</w:t>
      </w:r>
    </w:p>
    <w:tbl>
      <w:tblPr>
        <w:tblW w:w="6467" w:type="dxa"/>
        <w:jc w:val="right"/>
        <w:tblInd w:w="0" w:type="dxa"/>
        <w:tblLayout w:type="fixed"/>
        <w:tblCellMar>
          <w:top w:w="28" w:type="dxa"/>
          <w:left w:w="28" w:type="dxa"/>
          <w:bottom w:w="28" w:type="dxa"/>
          <w:right w:w="28" w:type="dxa"/>
        </w:tblCellMar>
      </w:tblPr>
      <w:tblGrid>
        <w:gridCol w:w="397"/>
        <w:gridCol w:w="350"/>
        <w:gridCol w:w="350"/>
        <w:gridCol w:w="1570"/>
        <w:gridCol w:w="1570"/>
        <w:gridCol w:w="2230"/>
      </w:tblGrid>
      <w:tr>
        <w:trPr/>
        <w:tc>
          <w:tcPr>
            <w:tcW w:w="3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r>
      <w:tr>
        <w:trPr/>
        <w:tc>
          <w:tcPr>
            <w:tcW w:w="64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Robinhood Markets, Inc.</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 Vladimir Tenev </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Vladimir Tenev</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Executive Officer and President</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Jason Warnick</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Jason Warnick</w:t>
            </w:r>
          </w:p>
        </w:tc>
      </w:tr>
      <w:tr>
        <w:trPr/>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p>
            <w:pPr>
              <w:pStyle w:val="TableContents"/>
              <w:bidi w:val="0"/>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Financial Officer and Principal Accounting Officer)</w:t>
            </w:r>
          </w:p>
        </w:tc>
      </w:tr>
    </w:tbl>
    <w:p>
      <w:pPr>
        <w:pStyle w:val="TextBody"/>
        <w:bidi w:val="0"/>
        <w:spacing w:before="0" w:after="220"/>
        <w:jc w:val="center"/>
        <w:rPr/>
      </w:pPr>
      <w:r>
        <w:rPr/>
      </w:r>
    </w:p>
    <w:p>
      <w:pPr>
        <w:pStyle w:val="TextBody"/>
        <w:bidi w:val="0"/>
        <w:spacing w:before="0" w:after="20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120</w:t>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Vladimir Tenev,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April 30, 2025</w:t>
      </w:r>
    </w:p>
    <w:p>
      <w:pPr>
        <w:pStyle w:val="TextBody"/>
        <w:bidi w:val="0"/>
        <w:spacing w:lineRule="auto" w:line="319" w:before="0" w:after="0"/>
        <w:jc w:val="both"/>
        <w:rPr/>
      </w:pPr>
      <w:r>
        <w:rPr>
          <w:rFonts w:ascii="Helvetica;sans-serif" w:hAnsi="Helvetica;sans-serif"/>
          <w:b w:val="false"/>
          <w:color w:val="1D1C1D"/>
          <w:sz w:val="20"/>
        </w:rPr>
        <w:t>/s/</w:t>
      </w:r>
      <w:r>
        <w:rPr>
          <w:rFonts w:ascii="Helvetica;sans-serif" w:hAnsi="Helvetica;sans-serif"/>
          <w:b w:val="false"/>
          <w:color w:val="000000"/>
          <w:sz w:val="20"/>
        </w:rPr>
        <w:t>Vladimir Tenev</w:t>
      </w:r>
    </w:p>
    <w:p>
      <w:pPr>
        <w:pStyle w:val="TextBody"/>
        <w:bidi w:val="0"/>
        <w:spacing w:lineRule="auto" w:line="319" w:before="0" w:after="0"/>
        <w:jc w:val="both"/>
        <w:rPr>
          <w:rFonts w:ascii="Helvetica;sans-serif" w:hAnsi="Helvetica;sans-serif"/>
          <w:b w:val="false"/>
          <w:color w:val="000000"/>
          <w:sz w:val="20"/>
        </w:rPr>
      </w:pPr>
      <w:r>
        <w:rPr>
          <w:rFonts w:ascii="Helvetica;sans-serif" w:hAnsi="Helvetica;sans-serif"/>
          <w:b w:val="false"/>
          <w:color w:val="000000"/>
          <w:sz w:val="20"/>
        </w:rPr>
        <w:t>Vladimir Tenev</w:t>
      </w:r>
    </w:p>
    <w:p>
      <w:pPr>
        <w:pStyle w:val="TextBody"/>
        <w:bidi w:val="0"/>
        <w:spacing w:lineRule="auto" w:line="319"/>
        <w:jc w:val="both"/>
        <w:rPr>
          <w:rFonts w:ascii="Helvetica;sans-serif" w:hAnsi="Helvetica;sans-serif"/>
          <w:b w:val="false"/>
          <w:color w:val="000000"/>
          <w:sz w:val="20"/>
        </w:rPr>
      </w:pPr>
      <w:r>
        <w:rPr>
          <w:rFonts w:ascii="Helvetica;sans-serif" w:hAnsi="Helvetica;sans-serif"/>
          <w:b w:val="false"/>
          <w:color w:val="000000"/>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31.2</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180" w:after="283"/>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CERTIFICATION PURSUANT TO RULE 13a-14(a) AND 15d-14(a) OF THE SECURITIES EXCHANGE ACT OF 1934, AS ADOPTED</w:t>
      </w:r>
    </w:p>
    <w:p>
      <w:pPr>
        <w:pStyle w:val="TextBody"/>
        <w:bidi w:val="0"/>
        <w:spacing w:lineRule="auto" w:line="319" w:before="0" w:after="0"/>
        <w:jc w:val="center"/>
        <w:rPr>
          <w:rFonts w:ascii="Helvetica;sans-serif" w:hAnsi="Helvetica;sans-serif"/>
          <w:b/>
          <w:color w:val="000000"/>
          <w:sz w:val="20"/>
          <w:shd w:fill="FFFFFF" w:val="clear"/>
        </w:rPr>
      </w:pPr>
      <w:r>
        <w:rPr>
          <w:rFonts w:ascii="Helvetica;sans-serif" w:hAnsi="Helvetica;sans-serif"/>
          <w:b/>
          <w:color w:val="000000"/>
          <w:sz w:val="20"/>
          <w:shd w:fill="FFFFFF" w:val="clear"/>
        </w:rPr>
        <w:t>PURSUANT TO SECTION 302 OF THE SARBANES-OXLEY ACT OF 2002</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I, Jason Warnick, certify that: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1.     I have reviewed this Quarterly Report on Form 10-Q of Robinhood Markets, Inc.;</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9" w:before="0" w:after="0"/>
        <w:jc w:val="left"/>
        <w:rPr>
          <w:rFonts w:ascii="Helvetica;sans-serif" w:hAnsi="Helvetica;sans-serif"/>
          <w:b w:val="false"/>
          <w:color w:val="000000"/>
          <w:sz w:val="20"/>
          <w:shd w:fill="FFFFFF" w:val="clear"/>
        </w:rPr>
      </w:pPr>
      <w:r>
        <w:rPr>
          <w:rFonts w:ascii="Helvetica;sans-serif" w:hAnsi="Helvetica;sans-serif"/>
          <w:b w:val="false"/>
          <w:color w:val="000000"/>
          <w:sz w:val="20"/>
          <w:shd w:fill="FFFFFF" w:val="clear"/>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9" w:before="0" w:after="0"/>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9"/>
        <w:jc w:val="left"/>
        <w:rPr>
          <w:color w:val="000000"/>
          <w:shd w:fill="FFFFFF" w:val="clear"/>
        </w:rPr>
      </w:pPr>
      <w:r>
        <w:rPr>
          <w:color w:val="000000"/>
          <w:shd w:fill="FFFFFF" w:val="clear"/>
        </w:rPr>
        <w:t>    </w:t>
      </w:r>
      <w:r>
        <w:rPr>
          <w:rFonts w:ascii="Helvetica;sans-serif" w:hAnsi="Helvetica;sans-serif"/>
          <w:b w:val="false"/>
          <w:color w:val="000000"/>
          <w:sz w:val="20"/>
          <w:shd w:fill="FFFFFF" w:val="clear"/>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April 30, 2025</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bidi w:val="0"/>
        <w:spacing w:lineRule="auto" w:line="319"/>
        <w:jc w:val="both"/>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EXECUTIVE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 S. 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pPr>
      <w:r>
        <w:rPr>
          <w:rFonts w:ascii="Helvetica;sans-serif" w:hAnsi="Helvetica;sans-serif"/>
          <w:b w:val="false"/>
          <w:color w:val="000000"/>
          <w:sz w:val="20"/>
        </w:rPr>
        <w:t xml:space="preserve">Pursuant to 18 U.S.C. Section 1350, I, Vladimir Tenev,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March 31, 2025</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April 30, 2025</w:t>
      </w:r>
    </w:p>
    <w:p>
      <w:pPr>
        <w:pStyle w:val="TextBody"/>
        <w:bidi w:val="0"/>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/s/Vladimir Tenev</w:t>
      </w:r>
    </w:p>
    <w:p>
      <w:pPr>
        <w:pStyle w:val="TextBody"/>
        <w:bidi w:val="0"/>
        <w:spacing w:lineRule="auto" w:line="288"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Vladimir Tenev</w:t>
      </w:r>
    </w:p>
    <w:p>
      <w:pPr>
        <w:pStyle w:val="TextBody"/>
        <w:bidi w:val="0"/>
        <w:spacing w:lineRule="auto" w:line="288"/>
        <w:jc w:val="left"/>
        <w:rPr>
          <w:rFonts w:ascii="Helvetica;sans-serif" w:hAnsi="Helvetica;sans-serif"/>
          <w:b w:val="false"/>
          <w:color w:val="1D1C1D"/>
          <w:sz w:val="20"/>
        </w:rPr>
      </w:pPr>
      <w:r>
        <w:rPr>
          <w:rFonts w:ascii="Helvetica;sans-serif" w:hAnsi="Helvetica;sans-serif"/>
          <w:b w:val="false"/>
          <w:color w:val="1D1C1D"/>
          <w:sz w:val="20"/>
        </w:rPr>
        <w:t>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Exhibit 32.2</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 xml:space="preserve">CERTIFICATION BY THE CHIEF FINANCIAL OFFICER </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PURSUANT TO 18 U. S. C. SECTION 1350, AS</w:t>
      </w:r>
    </w:p>
    <w:p>
      <w:pPr>
        <w:pStyle w:val="TextBody"/>
        <w:bidi w:val="0"/>
        <w:spacing w:lineRule="auto" w:line="288" w:before="0" w:after="0"/>
        <w:jc w:val="center"/>
        <w:rPr>
          <w:rFonts w:ascii="Helvetica;sans-serif" w:hAnsi="Helvetica;sans-serif"/>
          <w:b/>
          <w:color w:val="1D1C1D"/>
          <w:sz w:val="20"/>
          <w:shd w:fill="FFFFFF" w:val="clear"/>
        </w:rPr>
      </w:pPr>
      <w:r>
        <w:rPr>
          <w:rFonts w:ascii="Helvetica;sans-serif" w:hAnsi="Helvetica;sans-serif"/>
          <w:b/>
          <w:color w:val="1D1C1D"/>
          <w:sz w:val="20"/>
          <w:shd w:fill="FFFFFF" w:val="clear"/>
        </w:rPr>
        <w:t>ADOPTED PURSUANT TO SECTION 906 OF THE SARBANES-OXLEY ACT OF 2002</w:t>
      </w:r>
    </w:p>
    <w:p>
      <w:pPr>
        <w:pStyle w:val="TextBody"/>
        <w:bidi w:val="0"/>
        <w:spacing w:lineRule="auto" w:line="319" w:before="0" w:after="0"/>
        <w:jc w:val="both"/>
        <w:rPr/>
      </w:pPr>
      <w:r>
        <w:rPr>
          <w:rFonts w:ascii="Helvetica;sans-serif" w:hAnsi="Helvetica;sans-serif"/>
          <w:b w:val="false"/>
          <w:color w:val="000000"/>
          <w:sz w:val="20"/>
        </w:rPr>
        <w:t xml:space="preserve">Pursuant to 18 U.S.C. Section 1350, I, Jason Warnick, hereby certify that, to the best of my knowledge, Robinhood Markets, Inc.’s Quarterly Report on Form 10-Q for the quarterly period ended </w:t>
      </w:r>
      <w:r>
        <w:rPr>
          <w:rFonts w:ascii="Helvetica;sans-serif" w:hAnsi="Helvetica;sans-serif"/>
          <w:b w:val="false"/>
          <w:color w:val="1D1C1D"/>
          <w:sz w:val="20"/>
          <w:shd w:fill="FFFFFF" w:val="clear"/>
        </w:rPr>
        <w:t>March 31, 2025</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bidi w:val="0"/>
        <w:spacing w:lineRule="auto" w:line="319" w:before="0" w:after="0"/>
        <w:jc w:val="left"/>
        <w:rPr>
          <w:rFonts w:ascii="Helvetica;sans-serif" w:hAnsi="Helvetica;sans-serif"/>
          <w:b w:val="false"/>
          <w:color w:val="1D1C1D"/>
          <w:sz w:val="20"/>
          <w:shd w:fill="FFFFFF" w:val="clear"/>
        </w:rPr>
      </w:pPr>
      <w:r>
        <w:rPr>
          <w:rFonts w:ascii="Helvetica;sans-serif" w:hAnsi="Helvetica;sans-serif"/>
          <w:b w:val="false"/>
          <w:color w:val="1D1C1D"/>
          <w:sz w:val="20"/>
          <w:shd w:fill="FFFFFF" w:val="clear"/>
        </w:rPr>
        <w:t>Date: April 30, 2025</w:t>
      </w:r>
    </w:p>
    <w:p>
      <w:pPr>
        <w:pStyle w:val="TextBody"/>
        <w:bidi w:val="0"/>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bidi w:val="0"/>
        <w:spacing w:lineRule="auto" w:line="319" w:before="0" w:after="0"/>
        <w:jc w:val="left"/>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Wingdings">
    <w:altName w:val="sans-serif"/>
    <w:charset w:val="02"/>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83879/000162828021015177/exhibit31-8xkx8221.htm" TargetMode="External"/><Relationship Id="rId4" Type="http://schemas.openxmlformats.org/officeDocument/2006/relationships/hyperlink" Target="https://www.sec.gov/Archives/edgar/data/1783879/000178387922000044/exhibit32.htm" TargetMode="External"/><Relationship Id="rId5" Type="http://schemas.openxmlformats.org/officeDocument/2006/relationships/hyperlink" Target="https://www.sec.gov/Archives/edgar/data/1783879/000162828021013986/exhibit41-sx1a1.htm" TargetMode="External"/><Relationship Id="rId6" Type="http://schemas.openxmlformats.org/officeDocument/2006/relationships/hyperlink" Target="https://www.sec.gov/Archives/edgar/data/1783879/000162828021013318/exhibit42-sx1.htm" TargetMode="External"/><Relationship Id="rId7" Type="http://schemas.openxmlformats.org/officeDocument/2006/relationships/hyperlink" Target="https://www.sec.gov/Archives/edgar/data/1783879/000178387925000097/exhibit101rhscreditfacilit.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63983</Words>
  <Characters>356932</Characters>
  <CharactersWithSpaces>418554</CharactersWithSpaces>
  <Paragraphs>4088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