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2"/>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1"/>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00" w:type="dxa"/>
            <w:vAlign w:val="bottom"/>
          </w:tcPr>
          <w:p>
            <w:pPr>
              <w:spacing w:after="0" w:line="20" w:lineRule="exact"/>
              <w:rPr>
                <w:sz w:val="1"/>
                <w:szCs w:val="1"/>
                <w:color w:val="auto"/>
              </w:rPr>
            </w:pPr>
          </w:p>
        </w:tc>
        <w:tc>
          <w:tcPr>
            <w:tcW w:w="61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1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 w:type="dxa"/>
            <w:vAlign w:val="bottom"/>
          </w:tcPr>
          <w:p>
            <w:pPr>
              <w:spacing w:after="0"/>
              <w:rPr>
                <w:sz w:val="11"/>
                <w:szCs w:val="11"/>
                <w:color w:val="auto"/>
              </w:rPr>
            </w:pPr>
          </w:p>
        </w:tc>
        <w:tc>
          <w:tcPr>
            <w:tcW w:w="5620" w:type="dxa"/>
            <w:vAlign w:val="bottom"/>
            <w:gridSpan w:val="19"/>
            <w:vMerge w:val="restart"/>
          </w:tcPr>
          <w:p>
            <w:pPr>
              <w:jc w:val="center"/>
              <w:ind w:left="4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2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3"/>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RUBINSTEIN JONATHAN</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Robinhood Markets,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HOOD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gridSpan w:val="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8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06/01/2023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ROBINHOOD MARKETS, INC.</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3"/>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spacing w:after="0" w:line="185" w:lineRule="exact"/>
              <w:rPr>
                <w:sz w:val="20"/>
                <w:szCs w:val="20"/>
                <w:color w:val="auto"/>
              </w:rPr>
            </w:pPr>
            <w:r>
              <w:rPr>
                <w:rFonts w:ascii="Arial" w:cs="Arial" w:eastAsia="Arial" w:hAnsi="Arial"/>
                <w:sz w:val="17"/>
                <w:szCs w:val="17"/>
                <w:color w:val="0000FF"/>
              </w:rPr>
              <w:t>85 WILLOW ROAD</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restart"/>
          </w:tcPr>
          <w:p>
            <w:pPr>
              <w:spacing w:after="0" w:line="166" w:lineRule="exact"/>
              <w:rPr>
                <w:sz w:val="20"/>
                <w:szCs w:val="20"/>
                <w:color w:val="auto"/>
              </w:rPr>
            </w:pPr>
            <w:r>
              <w:rPr>
                <w:rFonts w:ascii="Arial" w:cs="Arial" w:eastAsia="Arial" w:hAnsi="Arial"/>
                <w:sz w:val="17"/>
                <w:szCs w:val="17"/>
                <w:color w:val="0000FF"/>
              </w:rPr>
              <w:t>MENLO PARK  CA</w:t>
            </w:r>
          </w:p>
        </w:tc>
        <w:tc>
          <w:tcPr>
            <w:tcW w:w="1280" w:type="dxa"/>
            <w:vAlign w:val="bottom"/>
            <w:gridSpan w:val="2"/>
            <w:vMerge w:val="restart"/>
          </w:tcPr>
          <w:p>
            <w:pPr>
              <w:ind w:left="160"/>
              <w:spacing w:after="0" w:line="166" w:lineRule="exact"/>
              <w:rPr>
                <w:sz w:val="20"/>
                <w:szCs w:val="20"/>
                <w:color w:val="auto"/>
              </w:rPr>
            </w:pPr>
            <w:r>
              <w:rPr>
                <w:rFonts w:ascii="Arial" w:cs="Arial" w:eastAsia="Arial" w:hAnsi="Arial"/>
                <w:sz w:val="17"/>
                <w:szCs w:val="17"/>
                <w:color w:val="0000FF"/>
              </w:rPr>
              <w:t>94025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5"/>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174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7"/>
          </w:tcPr>
          <w:p>
            <w:pPr>
              <w:ind w:left="7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0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8"/>
          </w:tcPr>
          <w:p>
            <w:pPr>
              <w:jc w:val="right"/>
              <w:ind w:right="61"/>
              <w:spacing w:after="0"/>
              <w:rPr>
                <w:sz w:val="20"/>
                <w:szCs w:val="20"/>
                <w:color w:val="auto"/>
              </w:rPr>
            </w:pPr>
            <w:r>
              <w:rPr>
                <w:rFonts w:ascii="Arial" w:cs="Arial" w:eastAsia="Arial" w:hAnsi="Arial"/>
                <w:sz w:val="17"/>
                <w:szCs w:val="17"/>
                <w:color w:val="0000FF"/>
              </w:rPr>
              <w:t>06/01/2023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ind w:left="200"/>
              <w:spacing w:after="0"/>
              <w:rPr>
                <w:sz w:val="20"/>
                <w:szCs w:val="20"/>
                <w:color w:val="auto"/>
              </w:rPr>
            </w:pPr>
            <w:r>
              <w:rPr>
                <w:rFonts w:ascii="Arial" w:cs="Arial" w:eastAsia="Arial" w:hAnsi="Arial"/>
                <w:sz w:val="13"/>
                <w:szCs w:val="13"/>
                <w:color w:val="0000FF"/>
              </w:rPr>
              <w:t>M</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0000FF"/>
                <w:w w:val="89"/>
              </w:rPr>
              <w:t>4,528</w:t>
            </w:r>
          </w:p>
        </w:tc>
        <w:tc>
          <w:tcPr>
            <w:tcW w:w="58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0000FF"/>
              </w:rPr>
              <w:t>7,759</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gridSpan w:val="3"/>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3"/>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jc w:val="center"/>
              <w:ind w:right="234"/>
              <w:spacing w:after="0"/>
              <w:rPr>
                <w:sz w:val="20"/>
                <w:szCs w:val="20"/>
                <w:color w:val="auto"/>
              </w:rPr>
            </w:pPr>
            <w:r>
              <w:rPr>
                <w:rFonts w:ascii="Arial" w:cs="Arial" w:eastAsia="Arial" w:hAnsi="Arial"/>
                <w:sz w:val="17"/>
                <w:szCs w:val="17"/>
                <w:color w:val="0000FF"/>
              </w:rPr>
              <w:t>96,662</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5"/>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2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2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113"/>
              <w:spacing w:after="0"/>
              <w:rPr>
                <w:sz w:val="20"/>
                <w:szCs w:val="20"/>
                <w:color w:val="auto"/>
              </w:rPr>
            </w:pPr>
            <w:r>
              <w:rPr>
                <w:rFonts w:ascii="Arial" w:cs="Arial" w:eastAsia="Arial" w:hAnsi="Arial"/>
                <w:sz w:val="13"/>
                <w:szCs w:val="13"/>
                <w:color w:val="0000FF"/>
                <w:w w:val="89"/>
              </w:rPr>
              <w:t>Class A</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4,528</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920" w:type="dxa"/>
            <w:vAlign w:val="bottom"/>
          </w:tcPr>
          <w:p>
            <w:pPr>
              <w:jc w:val="right"/>
              <w:ind w:right="14"/>
              <w:spacing w:after="0" w:line="145" w:lineRule="exact"/>
              <w:rPr>
                <w:sz w:val="20"/>
                <w:szCs w:val="20"/>
                <w:color w:val="auto"/>
              </w:rPr>
            </w:pPr>
            <w:r>
              <w:rPr>
                <w:rFonts w:ascii="Arial" w:cs="Arial" w:eastAsia="Arial" w:hAnsi="Arial"/>
                <w:sz w:val="13"/>
                <w:szCs w:val="13"/>
                <w:color w:val="0000FF"/>
              </w:rPr>
              <w:t>06/01/2023</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4"/>
          </w:tcPr>
          <w:p>
            <w:pPr>
              <w:jc w:val="right"/>
              <w:ind w:right="201"/>
              <w:spacing w:after="0" w:line="145"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ind w:left="360"/>
              <w:spacing w:after="0" w:line="145" w:lineRule="exact"/>
              <w:rPr>
                <w:sz w:val="20"/>
                <w:szCs w:val="20"/>
                <w:color w:val="auto"/>
              </w:rPr>
            </w:pPr>
            <w:r>
              <w:rPr>
                <w:rFonts w:ascii="Arial" w:cs="Arial" w:eastAsia="Arial" w:hAnsi="Arial"/>
                <w:sz w:val="13"/>
                <w:szCs w:val="13"/>
                <w:color w:val="0000FF"/>
              </w:rPr>
              <w:t>4,528</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820" w:type="dxa"/>
            <w:vAlign w:val="bottom"/>
            <w:gridSpan w:val="3"/>
          </w:tcPr>
          <w:p>
            <w:pPr>
              <w:ind w:left="120"/>
              <w:spacing w:after="0" w:line="145" w:lineRule="exact"/>
              <w:rPr>
                <w:sz w:val="20"/>
                <w:szCs w:val="20"/>
                <w:color w:val="auto"/>
              </w:rPr>
            </w:pPr>
            <w:r>
              <w:rPr>
                <w:rFonts w:ascii="Arial" w:cs="Arial" w:eastAsia="Arial" w:hAnsi="Arial"/>
                <w:sz w:val="13"/>
                <w:szCs w:val="13"/>
                <w:color w:val="0000FF"/>
              </w:rPr>
              <w:t>05/28/2028</w:t>
            </w:r>
          </w:p>
        </w:tc>
        <w:tc>
          <w:tcPr>
            <w:tcW w:w="6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tcPr>
          <w:p>
            <w:pPr>
              <w:ind w:left="220"/>
              <w:spacing w:after="0" w:line="145" w:lineRule="exact"/>
              <w:rPr>
                <w:sz w:val="20"/>
                <w:szCs w:val="20"/>
                <w:color w:val="auto"/>
              </w:rPr>
            </w:pPr>
            <w:r>
              <w:rPr>
                <w:rFonts w:ascii="Arial" w:cs="Arial" w:eastAsia="Arial" w:hAnsi="Arial"/>
                <w:sz w:val="13"/>
                <w:szCs w:val="13"/>
                <w:color w:val="0000FF"/>
                <w:w w:val="95"/>
              </w:rPr>
              <w:t>36,223</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-6192520</wp:posOffset>
            </wp:positionV>
            <wp:extent cx="7045325" cy="6205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2058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("RSUs") convert into Class A Common Stock on a one-for-one basis upon vesting and settlement.</w:t>
      </w:r>
    </w:p>
    <w:p>
      <w:pPr>
        <w:spacing w:after="0" w:line="47" w:lineRule="exact"/>
        <w:rPr>
          <w:rFonts w:ascii="Arial" w:cs="Arial" w:eastAsia="Arial" w:hAnsi="Arial"/>
          <w:sz w:val="13"/>
          <w:szCs w:val="13"/>
          <w:color w:val="008000"/>
        </w:rPr>
      </w:pPr>
    </w:p>
    <w:p>
      <w:pPr>
        <w:ind w:left="40" w:right="280" w:firstLine="5"/>
        <w:spacing w:after="0" w:line="257"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acquisition of 6,079 shares for no consideration pursuant to a pro-rata distribution that are exempt from Section 16 of the Securities Exchange Act of 1934, as amended, under Rule 16a-9(a). The Reporting Person's revocable trust received the shares in April 2023 from a limited partnership in which the trust is a non-managing limited partner.</w:t>
      </w:r>
    </w:p>
    <w:p>
      <w:pPr>
        <w:spacing w:after="0" w:line="21" w:lineRule="exact"/>
        <w:rPr>
          <w:rFonts w:ascii="Arial" w:cs="Arial" w:eastAsia="Arial" w:hAnsi="Arial"/>
          <w:sz w:val="13"/>
          <w:szCs w:val="13"/>
          <w:color w:val="008000"/>
        </w:rPr>
      </w:pPr>
    </w:p>
    <w:p>
      <w:pPr>
        <w:ind w:left="40" w:right="180" w:firstLine="5"/>
        <w:spacing w:after="0" w:line="244"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28, 2021, the Reporting Person was granted 72,446 RSUs under the Robinhood Markets, Inc. ("Robinhood") 2020 Equity Incentive Plan. One-sixteenth (1/16) of these RSUs vested on September 1, 2021, with the remainder scheduled to vest in fifteen (15) equal quarterly installments thereafter, in each case subject to the Reporting Person's continued service with Robinhood through the applicable vesting date and subject to accelerated vesting in certain circumstances.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4" w:lineRule="auto"/>
        <w:rPr>
          <w:sz w:val="20"/>
          <w:szCs w:val="20"/>
          <w:color w:val="auto"/>
        </w:rPr>
      </w:pPr>
      <w:r>
        <w:rPr>
          <w:rFonts w:ascii="Arial" w:cs="Arial" w:eastAsia="Arial" w:hAnsi="Arial"/>
          <w:sz w:val="17"/>
          <w:szCs w:val="17"/>
          <w:color w:val="0000FF"/>
        </w:rPr>
        <w:t xml:space="preserve">/s/ Brandon Webb, attorney-in- </w:t>
      </w:r>
      <w:r>
        <w:rPr>
          <w:rFonts w:ascii="Arial" w:cs="Arial" w:eastAsia="Arial" w:hAnsi="Arial"/>
          <w:sz w:val="34"/>
          <w:szCs w:val="34"/>
          <w:color w:val="0000FF"/>
          <w:vertAlign w:val="subscript"/>
        </w:rPr>
        <w:t>06/05/2023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6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Jonathan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1227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09522" TargetMode="External"/><Relationship Id="rId9"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2023-06-05T18:47:48Z</dcterms:created>
  <dcterms:modified xsi:type="dcterms:W3CDTF">2023-06-05T18:47:48Z</dcterms:modified>
</cp:coreProperties>
</file>