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gridSpan w:val="5"/>
            <w:vMerge w:val="restart"/>
          </w:tcPr>
          <w:p>
            <w:pPr>
              <w:jc w:val="center"/>
              <w:ind w:right="18"/>
              <w:spacing w:after="0" w:line="143" w:lineRule="exact"/>
              <w:rPr>
                <w:sz w:val="20"/>
                <w:szCs w:val="20"/>
                <w:color w:val="auto"/>
              </w:rPr>
            </w:pPr>
            <w:r>
              <w:rPr>
                <w:rFonts w:ascii="Arial" w:cs="Arial" w:eastAsia="Arial" w:hAnsi="Arial"/>
                <w:sz w:val="13"/>
                <w:szCs w:val="13"/>
                <w:color w:val="auto"/>
              </w:rPr>
              <w:t>Washington, D.C. 20549</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8"/>
            <w:vMerge w:val="restart"/>
          </w:tcPr>
          <w:p>
            <w:pPr>
              <w:jc w:val="center"/>
              <w:ind w:left="44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2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2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31"/>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gridSpan w:val="3"/>
            <w:vMerge w:val="restart"/>
          </w:tcPr>
          <w:p>
            <w:pPr>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Gallagher Daniel Martin Jr</w:t>
              </w:r>
            </w:hyperlink>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Robinhood Markets,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HOOD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60" w:type="dxa"/>
            <w:vAlign w:val="bottom"/>
            <w:tcBorders>
              <w:bottom w:val="single" w:sz="8" w:color="0000EE"/>
            </w:tcBorders>
            <w:gridSpan w:val="3"/>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260" w:type="dxa"/>
            <w:vAlign w:val="bottom"/>
            <w:gridSpan w:val="3"/>
          </w:tcPr>
          <w:p>
            <w:pPr>
              <w:spacing w:after="0"/>
              <w:rPr>
                <w:sz w:val="3"/>
                <w:szCs w:val="3"/>
                <w:color w:val="auto"/>
              </w:rPr>
            </w:pPr>
          </w:p>
        </w:tc>
        <w:tc>
          <w:tcPr>
            <w:tcW w:w="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24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20" w:type="dxa"/>
            <w:vAlign w:val="bottom"/>
            <w:gridSpan w:val="8"/>
          </w:tcPr>
          <w:p>
            <w:pPr>
              <w:ind w:left="240"/>
              <w:spacing w:after="0"/>
              <w:rPr>
                <w:sz w:val="20"/>
                <w:szCs w:val="20"/>
                <w:color w:val="auto"/>
              </w:rPr>
            </w:pPr>
            <w:r>
              <w:rPr>
                <w:rFonts w:ascii="Arial" w:cs="Arial" w:eastAsia="Arial" w:hAnsi="Arial"/>
                <w:sz w:val="17"/>
                <w:szCs w:val="17"/>
                <w:color w:val="0000FF"/>
              </w:rPr>
              <w:t>06/01/2023</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vMerge w:val="restart"/>
          </w:tcPr>
          <w:p>
            <w:pPr>
              <w:ind w:left="520"/>
              <w:spacing w:after="0"/>
              <w:rPr>
                <w:sz w:val="20"/>
                <w:szCs w:val="20"/>
                <w:color w:val="auto"/>
              </w:rPr>
            </w:pPr>
            <w:r>
              <w:rPr>
                <w:rFonts w:ascii="Arial" w:cs="Arial" w:eastAsia="Arial" w:hAnsi="Arial"/>
                <w:sz w:val="17"/>
                <w:szCs w:val="17"/>
                <w:color w:val="0000FF"/>
              </w:rPr>
              <w:t>Chief Legal Officer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80" w:type="dxa"/>
            <w:vAlign w:val="bottom"/>
            <w:gridSpan w:val="6"/>
            <w:vMerge w:val="restart"/>
          </w:tcPr>
          <w:p>
            <w:pPr>
              <w:ind w:left="20"/>
              <w:spacing w:after="0" w:line="179" w:lineRule="exact"/>
              <w:rPr>
                <w:sz w:val="20"/>
                <w:szCs w:val="20"/>
                <w:color w:val="auto"/>
              </w:rPr>
            </w:pPr>
            <w:r>
              <w:rPr>
                <w:rFonts w:ascii="Arial" w:cs="Arial" w:eastAsia="Arial" w:hAnsi="Arial"/>
                <w:sz w:val="17"/>
                <w:szCs w:val="17"/>
                <w:color w:val="0000FF"/>
              </w:rPr>
              <w:t>C/O ROBINHOOD MARKETS, INC.</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tcPr>
          <w:p>
            <w:pPr>
              <w:ind w:left="20"/>
              <w:spacing w:after="0"/>
              <w:rPr>
                <w:sz w:val="20"/>
                <w:szCs w:val="20"/>
                <w:color w:val="auto"/>
              </w:rPr>
            </w:pPr>
            <w:r>
              <w:rPr>
                <w:rFonts w:ascii="Arial" w:cs="Arial" w:eastAsia="Arial" w:hAnsi="Arial"/>
                <w:sz w:val="17"/>
                <w:szCs w:val="17"/>
                <w:color w:val="0000FF"/>
              </w:rPr>
              <w:t>85 WILLOW ROAD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11"/>
          </w:tcPr>
          <w:p>
            <w:pPr>
              <w:jc w:val="center"/>
              <w:ind w:right="131"/>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17"/>
                <w:szCs w:val="17"/>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3400" w:type="dxa"/>
            <w:vAlign w:val="bottom"/>
            <w:gridSpan w:val="13"/>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40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MENLO PARK  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94025</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4"/>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500" w:type="dxa"/>
            <w:vAlign w:val="bottom"/>
            <w:gridSpan w:val="11"/>
            <w:vMerge w:val="continue"/>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7"/>
          </w:tcPr>
          <w:p>
            <w:pPr>
              <w:ind w:left="7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restart"/>
          </w:tcPr>
          <w:p>
            <w:pPr>
              <w:jc w:val="center"/>
              <w:ind w:left="71"/>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06/01/2023</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171,566</w:t>
            </w:r>
          </w:p>
        </w:tc>
        <w:tc>
          <w:tcPr>
            <w:tcW w:w="5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101"/>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20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640,330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06/01/2023</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82,868</w:t>
            </w:r>
          </w:p>
        </w:tc>
        <w:tc>
          <w:tcPr>
            <w:tcW w:w="5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9.02</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557,462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15"/>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right="15"/>
              <w:spacing w:after="0" w:line="131"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00" w:type="dxa"/>
            <w:vAlign w:val="bottom"/>
            <w:tcBorders>
              <w:right w:val="single" w:sz="8" w:color="2C2C2C"/>
            </w:tcBorders>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jc w:val="center"/>
              <w:ind w:left="1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center"/>
              <w:ind w:right="51"/>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28,935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900" w:type="dxa"/>
            <w:vAlign w:val="bottom"/>
          </w:tcPr>
          <w:p>
            <w:pPr>
              <w:jc w:val="center"/>
              <w:ind w:left="155"/>
              <w:spacing w:after="0" w:line="144" w:lineRule="exact"/>
              <w:rPr>
                <w:sz w:val="20"/>
                <w:szCs w:val="20"/>
                <w:color w:val="auto"/>
              </w:rPr>
            </w:pPr>
            <w:r>
              <w:rPr>
                <w:rFonts w:ascii="Arial" w:cs="Arial" w:eastAsia="Arial" w:hAnsi="Arial"/>
                <w:sz w:val="13"/>
                <w:szCs w:val="13"/>
                <w:color w:val="0000FF"/>
                <w:w w:val="92"/>
              </w:rPr>
              <w:t>06/01/2023</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4"/>
          </w:tcPr>
          <w:p>
            <w:pPr>
              <w:ind w:left="20"/>
              <w:spacing w:after="0" w:line="144"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840" w:type="dxa"/>
            <w:vAlign w:val="bottom"/>
          </w:tcPr>
          <w:p>
            <w:pPr>
              <w:ind w:left="360"/>
              <w:spacing w:after="0" w:line="144" w:lineRule="exact"/>
              <w:rPr>
                <w:sz w:val="20"/>
                <w:szCs w:val="20"/>
                <w:color w:val="auto"/>
              </w:rPr>
            </w:pPr>
            <w:r>
              <w:rPr>
                <w:rFonts w:ascii="Arial" w:cs="Arial" w:eastAsia="Arial" w:hAnsi="Arial"/>
                <w:sz w:val="13"/>
                <w:szCs w:val="13"/>
                <w:color w:val="0000FF"/>
              </w:rPr>
              <w:t>28,935</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12"/>
                <w:szCs w:val="12"/>
                <w:color w:val="auto"/>
              </w:rPr>
            </w:pPr>
          </w:p>
        </w:tc>
        <w:tc>
          <w:tcPr>
            <w:tcW w:w="72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gridSpan w:val="2"/>
          </w:tcPr>
          <w:p>
            <w:pPr>
              <w:spacing w:after="0" w:line="144"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5"/>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gridSpan w:val="3"/>
          </w:tcPr>
          <w:p>
            <w:pPr>
              <w:ind w:left="180"/>
              <w:spacing w:after="0" w:line="144" w:lineRule="exact"/>
              <w:rPr>
                <w:sz w:val="20"/>
                <w:szCs w:val="20"/>
                <w:color w:val="auto"/>
              </w:rPr>
            </w:pPr>
            <w:r>
              <w:rPr>
                <w:rFonts w:ascii="Arial" w:cs="Arial" w:eastAsia="Arial" w:hAnsi="Arial"/>
                <w:sz w:val="13"/>
                <w:szCs w:val="13"/>
                <w:color w:val="0000FF"/>
                <w:w w:val="89"/>
              </w:rPr>
              <w:t>318,288</w:t>
            </w:r>
          </w:p>
        </w:tc>
        <w:tc>
          <w:tcPr>
            <w:tcW w:w="24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31"/>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center"/>
              <w:ind w:right="51"/>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76,142</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900" w:type="dxa"/>
            <w:vAlign w:val="bottom"/>
          </w:tcPr>
          <w:p>
            <w:pPr>
              <w:jc w:val="center"/>
              <w:ind w:left="155"/>
              <w:spacing w:after="0" w:line="144" w:lineRule="exact"/>
              <w:rPr>
                <w:sz w:val="20"/>
                <w:szCs w:val="20"/>
                <w:color w:val="auto"/>
              </w:rPr>
            </w:pPr>
            <w:r>
              <w:rPr>
                <w:rFonts w:ascii="Arial" w:cs="Arial" w:eastAsia="Arial" w:hAnsi="Arial"/>
                <w:sz w:val="13"/>
                <w:szCs w:val="13"/>
                <w:color w:val="0000FF"/>
                <w:w w:val="92"/>
              </w:rPr>
              <w:t>06/01/2023</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4"/>
          </w:tcPr>
          <w:p>
            <w:pPr>
              <w:ind w:left="20"/>
              <w:spacing w:after="0" w:line="144"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840" w:type="dxa"/>
            <w:vAlign w:val="bottom"/>
          </w:tcPr>
          <w:p>
            <w:pPr>
              <w:ind w:left="360"/>
              <w:spacing w:after="0" w:line="144" w:lineRule="exact"/>
              <w:rPr>
                <w:sz w:val="20"/>
                <w:szCs w:val="20"/>
                <w:color w:val="auto"/>
              </w:rPr>
            </w:pPr>
            <w:r>
              <w:rPr>
                <w:rFonts w:ascii="Arial" w:cs="Arial" w:eastAsia="Arial" w:hAnsi="Arial"/>
                <w:sz w:val="13"/>
                <w:szCs w:val="13"/>
                <w:color w:val="0000FF"/>
              </w:rPr>
              <w:t>76,142</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80" w:type="dxa"/>
            <w:vAlign w:val="bottom"/>
          </w:tcPr>
          <w:p>
            <w:pPr>
              <w:spacing w:after="0"/>
              <w:rPr>
                <w:sz w:val="12"/>
                <w:szCs w:val="12"/>
                <w:color w:val="auto"/>
              </w:rPr>
            </w:pPr>
          </w:p>
        </w:tc>
        <w:tc>
          <w:tcPr>
            <w:tcW w:w="720" w:type="dxa"/>
            <w:vAlign w:val="bottom"/>
          </w:tcPr>
          <w:p>
            <w:pPr>
              <w:ind w:left="240"/>
              <w:spacing w:after="0"/>
              <w:rPr>
                <w:sz w:val="20"/>
                <w:szCs w:val="20"/>
                <w:color w:val="auto"/>
              </w:rPr>
            </w:pPr>
            <w:r>
              <w:rPr>
                <w:rFonts w:ascii="Arial" w:cs="Arial" w:eastAsia="Arial" w:hAnsi="Arial"/>
                <w:sz w:val="11"/>
                <w:szCs w:val="11"/>
                <w:color w:val="008000"/>
              </w:rPr>
              <w:t>(4)</w:t>
            </w:r>
          </w:p>
        </w:tc>
        <w:tc>
          <w:tcPr>
            <w:tcW w:w="620" w:type="dxa"/>
            <w:vAlign w:val="bottom"/>
            <w:gridSpan w:val="2"/>
          </w:tcPr>
          <w:p>
            <w:pPr>
              <w:spacing w:after="0" w:line="144"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5"/>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gridSpan w:val="3"/>
          </w:tcPr>
          <w:p>
            <w:pPr>
              <w:ind w:left="180"/>
              <w:spacing w:after="0" w:line="144" w:lineRule="exact"/>
              <w:rPr>
                <w:sz w:val="20"/>
                <w:szCs w:val="20"/>
                <w:color w:val="auto"/>
              </w:rPr>
            </w:pPr>
            <w:r>
              <w:rPr>
                <w:rFonts w:ascii="Arial" w:cs="Arial" w:eastAsia="Arial" w:hAnsi="Arial"/>
                <w:sz w:val="13"/>
                <w:szCs w:val="13"/>
                <w:color w:val="0000FF"/>
                <w:w w:val="89"/>
              </w:rPr>
              <w:t>380,711</w:t>
            </w:r>
          </w:p>
        </w:tc>
        <w:tc>
          <w:tcPr>
            <w:tcW w:w="24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31"/>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center"/>
              <w:ind w:right="51"/>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66,489</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900" w:type="dxa"/>
            <w:vAlign w:val="bottom"/>
          </w:tcPr>
          <w:p>
            <w:pPr>
              <w:jc w:val="center"/>
              <w:ind w:left="155"/>
              <w:spacing w:after="0" w:line="144" w:lineRule="exact"/>
              <w:rPr>
                <w:sz w:val="20"/>
                <w:szCs w:val="20"/>
                <w:color w:val="auto"/>
              </w:rPr>
            </w:pPr>
            <w:r>
              <w:rPr>
                <w:rFonts w:ascii="Arial" w:cs="Arial" w:eastAsia="Arial" w:hAnsi="Arial"/>
                <w:sz w:val="13"/>
                <w:szCs w:val="13"/>
                <w:color w:val="0000FF"/>
                <w:w w:val="92"/>
              </w:rPr>
              <w:t>06/01/2023</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4"/>
          </w:tcPr>
          <w:p>
            <w:pPr>
              <w:ind w:left="20"/>
              <w:spacing w:after="0" w:line="144"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840" w:type="dxa"/>
            <w:vAlign w:val="bottom"/>
          </w:tcPr>
          <w:p>
            <w:pPr>
              <w:ind w:left="360"/>
              <w:spacing w:after="0" w:line="144" w:lineRule="exact"/>
              <w:rPr>
                <w:sz w:val="20"/>
                <w:szCs w:val="20"/>
                <w:color w:val="auto"/>
              </w:rPr>
            </w:pPr>
            <w:r>
              <w:rPr>
                <w:rFonts w:ascii="Arial" w:cs="Arial" w:eastAsia="Arial" w:hAnsi="Arial"/>
                <w:sz w:val="13"/>
                <w:szCs w:val="13"/>
                <w:color w:val="0000FF"/>
              </w:rPr>
              <w:t>66,489</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80" w:type="dxa"/>
            <w:vAlign w:val="bottom"/>
          </w:tcPr>
          <w:p>
            <w:pPr>
              <w:spacing w:after="0"/>
              <w:rPr>
                <w:sz w:val="12"/>
                <w:szCs w:val="12"/>
                <w:color w:val="auto"/>
              </w:rPr>
            </w:pPr>
          </w:p>
        </w:tc>
        <w:tc>
          <w:tcPr>
            <w:tcW w:w="720" w:type="dxa"/>
            <w:vAlign w:val="bottom"/>
          </w:tcPr>
          <w:p>
            <w:pPr>
              <w:ind w:left="240"/>
              <w:spacing w:after="0"/>
              <w:rPr>
                <w:sz w:val="20"/>
                <w:szCs w:val="20"/>
                <w:color w:val="auto"/>
              </w:rPr>
            </w:pPr>
            <w:r>
              <w:rPr>
                <w:rFonts w:ascii="Arial" w:cs="Arial" w:eastAsia="Arial" w:hAnsi="Arial"/>
                <w:sz w:val="11"/>
                <w:szCs w:val="11"/>
                <w:color w:val="008000"/>
              </w:rPr>
              <w:t>(5)</w:t>
            </w:r>
          </w:p>
        </w:tc>
        <w:tc>
          <w:tcPr>
            <w:tcW w:w="620" w:type="dxa"/>
            <w:vAlign w:val="bottom"/>
            <w:gridSpan w:val="2"/>
          </w:tcPr>
          <w:p>
            <w:pPr>
              <w:spacing w:after="0" w:line="144"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5"/>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gridSpan w:val="3"/>
          </w:tcPr>
          <w:p>
            <w:pPr>
              <w:ind w:left="180"/>
              <w:spacing w:after="0" w:line="144" w:lineRule="exact"/>
              <w:rPr>
                <w:sz w:val="20"/>
                <w:szCs w:val="20"/>
                <w:color w:val="auto"/>
              </w:rPr>
            </w:pPr>
            <w:r>
              <w:rPr>
                <w:rFonts w:ascii="Arial" w:cs="Arial" w:eastAsia="Arial" w:hAnsi="Arial"/>
                <w:sz w:val="13"/>
                <w:szCs w:val="13"/>
                <w:color w:val="0000FF"/>
                <w:w w:val="89"/>
              </w:rPr>
              <w:t>997,341</w:t>
            </w:r>
          </w:p>
        </w:tc>
        <w:tc>
          <w:tcPr>
            <w:tcW w:w="24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31"/>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-6962140</wp:posOffset>
            </wp:positionV>
            <wp:extent cx="7045325" cy="697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9754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("RSUs") convert into Class A Common Stock on a one-for-one basis upon vesting and settlement.</w:t>
      </w:r>
    </w:p>
    <w:p>
      <w:pPr>
        <w:spacing w:after="0" w:line="46" w:lineRule="exact"/>
        <w:rPr>
          <w:rFonts w:ascii="Arial" w:cs="Arial" w:eastAsia="Arial" w:hAnsi="Arial"/>
          <w:sz w:val="13"/>
          <w:szCs w:val="13"/>
          <w:color w:val="008000"/>
        </w:rPr>
      </w:pPr>
    </w:p>
    <w:p>
      <w:pPr>
        <w:ind w:left="40" w:right="16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withheld by Robinhood Markets, Inc. ("Robinhood") to satisfy tax withholding obligations in connection with the vesting and settlement of 171,566 RSUs and does not represent a sale by the Reporting Person.</w:t>
      </w:r>
    </w:p>
    <w:p>
      <w:pPr>
        <w:spacing w:after="0" w:line="22" w:lineRule="exact"/>
        <w:rPr>
          <w:rFonts w:ascii="Arial" w:cs="Arial" w:eastAsia="Arial" w:hAnsi="Arial"/>
          <w:sz w:val="13"/>
          <w:szCs w:val="13"/>
          <w:color w:val="008000"/>
        </w:rPr>
      </w:pPr>
    </w:p>
    <w:p>
      <w:pPr>
        <w:jc w:val="both"/>
        <w:ind w:left="40" w:right="240" w:firstLine="4"/>
        <w:spacing w:after="0" w:line="242"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24, 2022, the Reporting Person was granted 462,963 RSUs under Robinhood's 2021 Omnibus Incentive Plan (the "2021 Plan"). One-sixteenth (1/16) of these RSUs vested on June 1, 2022, with the remainder scheduled to vest in fifteen (15) equal quarterly installments thereafter, in each case subject to the Reporting Person's continued service with Robinhood through the applicable vesting date and subject to accelerated vesting in certain circumstances.</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7, 2022, the Reporting Person was granted 609,137 RSUs under the 2021 Plan. One-eighth (1/8) of these RSUs vested on December 1, 2022, with the remainder scheduled to vest in seven</w:t>
      </w:r>
    </w:p>
    <w:p>
      <w:pPr>
        <w:spacing w:after="0" w:line="15" w:lineRule="exact"/>
        <w:rPr>
          <w:rFonts w:ascii="Arial" w:cs="Arial" w:eastAsia="Arial" w:hAnsi="Arial"/>
          <w:sz w:val="12"/>
          <w:szCs w:val="12"/>
          <w:color w:val="008000"/>
        </w:rPr>
      </w:pPr>
    </w:p>
    <w:p>
      <w:pPr>
        <w:ind w:left="40" w:right="420"/>
        <w:spacing w:after="0" w:line="239" w:lineRule="auto"/>
        <w:rPr>
          <w:rFonts w:ascii="Arial" w:cs="Arial" w:eastAsia="Arial" w:hAnsi="Arial"/>
          <w:sz w:val="12"/>
          <w:szCs w:val="12"/>
          <w:color w:val="008000"/>
        </w:rPr>
      </w:pPr>
      <w:r>
        <w:rPr>
          <w:rFonts w:ascii="Arial" w:cs="Arial" w:eastAsia="Arial" w:hAnsi="Arial"/>
          <w:sz w:val="13"/>
          <w:szCs w:val="13"/>
          <w:color w:val="008000"/>
        </w:rPr>
        <w:t>(7) equal quarterly installments thereafter, in each case subject to the Reporting Person's continued service with Robinhood through the applicable vesting date and subject to accelerated vesting in certain circumstances.</w:t>
      </w:r>
    </w:p>
    <w:p>
      <w:pPr>
        <w:spacing w:after="0" w:line="32" w:lineRule="exact"/>
        <w:rPr>
          <w:rFonts w:ascii="Arial" w:cs="Arial" w:eastAsia="Arial" w:hAnsi="Arial"/>
          <w:sz w:val="12"/>
          <w:szCs w:val="12"/>
          <w:color w:val="008000"/>
        </w:rPr>
      </w:pPr>
    </w:p>
    <w:p>
      <w:pPr>
        <w:ind w:left="40" w:right="160" w:firstLine="4"/>
        <w:spacing w:after="0" w:line="242"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22, 2023, the Reporting Person was granted 1,063,830 RSUs under the 2021 Plan. One-sixteenth (1/16) of these RSUs vested on June 1, 2023, with the remainder scheduled to vest in fifteen (15) equal quarterly installments thereafter, in each case subject to the Reporting Person's continued service with Robinhood through the applicable vesting date and subject to accelerated vesting in certain circumstances.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Brandon Webb,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338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fact for Daniel M. Gallagher,</w:t>
      </w:r>
      <w:r>
        <w:rPr>
          <w:sz w:val="20"/>
          <w:szCs w:val="20"/>
          <w:color w:val="auto"/>
        </w:rPr>
        <w:tab/>
      </w:r>
      <w:r>
        <w:rPr>
          <w:rFonts w:ascii="Arial" w:cs="Arial" w:eastAsia="Arial" w:hAnsi="Arial"/>
          <w:sz w:val="15"/>
          <w:szCs w:val="15"/>
          <w:color w:val="0000FF"/>
        </w:rPr>
        <w:t>06/05/2023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8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99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90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21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05560" TargetMode="External"/><Relationship Id="rId9"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2023-06-05T18:46:03Z</dcterms:created>
  <dcterms:modified xsi:type="dcterms:W3CDTF">2023-06-05T18:46:03Z</dcterms:modified>
</cp:coreProperties>
</file>