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0"/>
          <w:szCs w:val="20"/>
          <w:b w:val="1"/>
          <w:bCs w:val="1"/>
          <w:color w:val="auto"/>
        </w:rPr>
        <w:t>UNITED STATES</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Washington, D.C. 20549</w:t>
      </w:r>
    </w:p>
    <w:p>
      <w:pPr>
        <w:spacing w:after="0" w:line="173"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FORM 8-K</w:t>
      </w:r>
    </w:p>
    <w:p>
      <w:pPr>
        <w:spacing w:after="0" w:line="21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CURRENT REPORT</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Pursuant to Section 13 or 15(d) of the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Securities Exchange Act of 1934</w:t>
      </w:r>
    </w:p>
    <w:p>
      <w:pPr>
        <w:spacing w:after="0" w:line="8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Date of Report (Date of earliest event reported): December 16, 2024</w:t>
      </w:r>
    </w:p>
    <w:p>
      <w:pPr>
        <w:spacing w:after="0" w:line="189"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Robinhood Markets, Inc.</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200" w:lineRule="exact"/>
        <w:rPr>
          <w:sz w:val="24"/>
          <w:szCs w:val="24"/>
          <w:color w:val="auto"/>
        </w:rPr>
      </w:pP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Delaware</w:t>
            </w:r>
          </w:p>
        </w:tc>
        <w:tc>
          <w:tcPr>
            <w:tcW w:w="440" w:type="dxa"/>
            <w:vAlign w:val="bottom"/>
          </w:tcPr>
          <w:p>
            <w:pPr>
              <w:spacing w:after="0"/>
              <w:rPr>
                <w:sz w:val="17"/>
                <w:szCs w:val="17"/>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001-40691</w:t>
            </w:r>
          </w:p>
        </w:tc>
        <w:tc>
          <w:tcPr>
            <w:tcW w:w="440" w:type="dxa"/>
            <w:vAlign w:val="bottom"/>
          </w:tcPr>
          <w:p>
            <w:pPr>
              <w:spacing w:after="0"/>
              <w:rPr>
                <w:sz w:val="17"/>
                <w:szCs w:val="17"/>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46-4364776</w:t>
            </w:r>
          </w:p>
        </w:tc>
      </w:tr>
      <w:tr>
        <w:trPr>
          <w:trHeight w:val="410"/>
        </w:trPr>
        <w:tc>
          <w:tcPr>
            <w:tcW w:w="3520" w:type="dxa"/>
            <w:vAlign w:val="bottom"/>
          </w:tcPr>
          <w:p>
            <w:pPr>
              <w:jc w:val="center"/>
              <w:spacing w:after="0"/>
              <w:rPr>
                <w:sz w:val="20"/>
                <w:szCs w:val="20"/>
                <w:color w:val="auto"/>
              </w:rPr>
            </w:pPr>
            <w:r>
              <w:rPr>
                <w:rFonts w:ascii="Arial" w:cs="Arial" w:eastAsia="Arial" w:hAnsi="Arial"/>
                <w:sz w:val="13"/>
                <w:szCs w:val="13"/>
                <w:color w:val="auto"/>
                <w:w w:val="98"/>
              </w:rPr>
              <w:t>(State or other jurisdiction</w:t>
            </w:r>
          </w:p>
        </w:tc>
        <w:tc>
          <w:tcPr>
            <w:tcW w:w="440" w:type="dxa"/>
            <w:vAlign w:val="bottom"/>
          </w:tcPr>
          <w:p>
            <w:pPr>
              <w:spacing w:after="0"/>
              <w:rPr>
                <w:sz w:val="24"/>
                <w:szCs w:val="24"/>
                <w:color w:val="auto"/>
              </w:rPr>
            </w:pPr>
          </w:p>
        </w:tc>
        <w:tc>
          <w:tcPr>
            <w:tcW w:w="3820" w:type="dxa"/>
            <w:vAlign w:val="bottom"/>
            <w:gridSpan w:val="2"/>
          </w:tcPr>
          <w:p>
            <w:pPr>
              <w:jc w:val="center"/>
              <w:ind w:right="440"/>
              <w:spacing w:after="0"/>
              <w:rPr>
                <w:sz w:val="20"/>
                <w:szCs w:val="20"/>
                <w:color w:val="auto"/>
              </w:rPr>
            </w:pPr>
            <w:r>
              <w:rPr>
                <w:rFonts w:ascii="Arial" w:cs="Arial" w:eastAsia="Arial" w:hAnsi="Arial"/>
                <w:sz w:val="13"/>
                <w:szCs w:val="13"/>
                <w:color w:val="auto"/>
                <w:w w:val="97"/>
              </w:rPr>
              <w:t>(Commission</w:t>
            </w:r>
          </w:p>
        </w:tc>
        <w:tc>
          <w:tcPr>
            <w:tcW w:w="3500" w:type="dxa"/>
            <w:vAlign w:val="bottom"/>
          </w:tcPr>
          <w:p>
            <w:pPr>
              <w:jc w:val="center"/>
              <w:spacing w:after="0"/>
              <w:rPr>
                <w:sz w:val="20"/>
                <w:szCs w:val="20"/>
                <w:color w:val="auto"/>
              </w:rPr>
            </w:pPr>
            <w:r>
              <w:rPr>
                <w:rFonts w:ascii="Arial" w:cs="Arial" w:eastAsia="Arial" w:hAnsi="Arial"/>
                <w:sz w:val="13"/>
                <w:szCs w:val="13"/>
                <w:color w:val="auto"/>
                <w:w w:val="96"/>
              </w:rPr>
              <w:t>(IRS Employer</w:t>
            </w:r>
          </w:p>
        </w:tc>
      </w:tr>
      <w:tr>
        <w:trPr>
          <w:trHeight w:val="167"/>
        </w:trPr>
        <w:tc>
          <w:tcPr>
            <w:tcW w:w="3520" w:type="dxa"/>
            <w:vAlign w:val="bottom"/>
          </w:tcPr>
          <w:p>
            <w:pPr>
              <w:jc w:val="center"/>
              <w:spacing w:after="0"/>
              <w:rPr>
                <w:sz w:val="20"/>
                <w:szCs w:val="20"/>
                <w:color w:val="auto"/>
              </w:rPr>
            </w:pPr>
            <w:r>
              <w:rPr>
                <w:rFonts w:ascii="Arial" w:cs="Arial" w:eastAsia="Arial" w:hAnsi="Arial"/>
                <w:sz w:val="13"/>
                <w:szCs w:val="13"/>
                <w:color w:val="auto"/>
                <w:w w:val="97"/>
              </w:rPr>
              <w:t>of incorporation)</w:t>
            </w:r>
          </w:p>
        </w:tc>
        <w:tc>
          <w:tcPr>
            <w:tcW w:w="440" w:type="dxa"/>
            <w:vAlign w:val="bottom"/>
          </w:tcPr>
          <w:p>
            <w:pPr>
              <w:spacing w:after="0"/>
              <w:rPr>
                <w:sz w:val="14"/>
                <w:szCs w:val="14"/>
                <w:color w:val="auto"/>
              </w:rPr>
            </w:pPr>
          </w:p>
        </w:tc>
        <w:tc>
          <w:tcPr>
            <w:tcW w:w="3820" w:type="dxa"/>
            <w:vAlign w:val="bottom"/>
            <w:gridSpan w:val="2"/>
          </w:tcPr>
          <w:p>
            <w:pPr>
              <w:jc w:val="center"/>
              <w:ind w:right="440"/>
              <w:spacing w:after="0"/>
              <w:rPr>
                <w:sz w:val="20"/>
                <w:szCs w:val="20"/>
                <w:color w:val="auto"/>
              </w:rPr>
            </w:pPr>
            <w:r>
              <w:rPr>
                <w:rFonts w:ascii="Arial" w:cs="Arial" w:eastAsia="Arial" w:hAnsi="Arial"/>
                <w:sz w:val="13"/>
                <w:szCs w:val="13"/>
                <w:color w:val="auto"/>
                <w:w w:val="98"/>
              </w:rPr>
              <w:t>File Number)</w:t>
            </w:r>
          </w:p>
        </w:tc>
        <w:tc>
          <w:tcPr>
            <w:tcW w:w="3500" w:type="dxa"/>
            <w:vAlign w:val="bottom"/>
          </w:tcPr>
          <w:p>
            <w:pPr>
              <w:jc w:val="center"/>
              <w:spacing w:after="0"/>
              <w:rPr>
                <w:sz w:val="20"/>
                <w:szCs w:val="20"/>
                <w:color w:val="auto"/>
              </w:rPr>
            </w:pPr>
            <w:r>
              <w:rPr>
                <w:rFonts w:ascii="Arial" w:cs="Arial" w:eastAsia="Arial" w:hAnsi="Arial"/>
                <w:sz w:val="13"/>
                <w:szCs w:val="13"/>
                <w:color w:val="auto"/>
                <w:w w:val="96"/>
              </w:rPr>
              <w:t>Identification No.)</w:t>
            </w:r>
          </w:p>
        </w:tc>
      </w:tr>
      <w:tr>
        <w:trPr>
          <w:trHeight w:val="561"/>
        </w:trPr>
        <w:tc>
          <w:tcPr>
            <w:tcW w:w="3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85 Willow Road</w:t>
            </w:r>
          </w:p>
        </w:tc>
        <w:tc>
          <w:tcPr>
            <w:tcW w:w="3500" w:type="dxa"/>
            <w:vAlign w:val="bottom"/>
          </w:tcPr>
          <w:p>
            <w:pPr>
              <w:spacing w:after="0"/>
              <w:rPr>
                <w:sz w:val="24"/>
                <w:szCs w:val="24"/>
                <w:color w:val="auto"/>
              </w:rPr>
            </w:pPr>
          </w:p>
        </w:tc>
      </w:tr>
      <w:tr>
        <w:trPr>
          <w:trHeight w:val="174"/>
        </w:trPr>
        <w:tc>
          <w:tcPr>
            <w:tcW w:w="3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Menlo Park, CA 94025</w:t>
            </w:r>
          </w:p>
        </w:tc>
        <w:tc>
          <w:tcPr>
            <w:tcW w:w="3500" w:type="dxa"/>
            <w:vAlign w:val="bottom"/>
          </w:tcPr>
          <w:p>
            <w:pPr>
              <w:spacing w:after="0"/>
              <w:rPr>
                <w:sz w:val="15"/>
                <w:szCs w:val="15"/>
                <w:color w:val="auto"/>
              </w:rPr>
            </w:pPr>
          </w:p>
        </w:tc>
      </w:tr>
      <w:tr>
        <w:trPr>
          <w:trHeight w:val="167"/>
        </w:trPr>
        <w:tc>
          <w:tcPr>
            <w:tcW w:w="3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20" w:type="dxa"/>
            <w:vAlign w:val="bottom"/>
            <w:gridSpan w:val="2"/>
          </w:tcPr>
          <w:p>
            <w:pPr>
              <w:jc w:val="center"/>
              <w:ind w:right="440"/>
              <w:spacing w:after="0"/>
              <w:rPr>
                <w:sz w:val="20"/>
                <w:szCs w:val="20"/>
                <w:color w:val="auto"/>
              </w:rPr>
            </w:pPr>
            <w:r>
              <w:rPr>
                <w:rFonts w:ascii="Arial" w:cs="Arial" w:eastAsia="Arial" w:hAnsi="Arial"/>
                <w:sz w:val="13"/>
                <w:szCs w:val="13"/>
                <w:color w:val="auto"/>
                <w:w w:val="98"/>
              </w:rPr>
              <w:t>(Address of principal executive offices) (Zip Code)</w:t>
            </w:r>
          </w:p>
        </w:tc>
        <w:tc>
          <w:tcPr>
            <w:tcW w:w="3500" w:type="dxa"/>
            <w:vAlign w:val="bottom"/>
          </w:tcPr>
          <w:p>
            <w:pPr>
              <w:spacing w:after="0"/>
              <w:rPr>
                <w:sz w:val="14"/>
                <w:szCs w:val="14"/>
                <w:color w:val="auto"/>
              </w:rPr>
            </w:pPr>
          </w:p>
        </w:tc>
      </w:tr>
      <w:tr>
        <w:trPr>
          <w:trHeight w:val="342"/>
        </w:trPr>
        <w:tc>
          <w:tcPr>
            <w:tcW w:w="3520" w:type="dxa"/>
            <w:vAlign w:val="bottom"/>
          </w:tcPr>
          <w:p>
            <w:pPr>
              <w:spacing w:after="0"/>
              <w:rPr>
                <w:sz w:val="24"/>
                <w:szCs w:val="24"/>
                <w:color w:val="auto"/>
              </w:rPr>
            </w:pPr>
          </w:p>
        </w:tc>
        <w:tc>
          <w:tcPr>
            <w:tcW w:w="3820" w:type="dxa"/>
            <w:vAlign w:val="bottom"/>
            <w:gridSpan w:val="2"/>
          </w:tcPr>
          <w:p>
            <w:pPr>
              <w:jc w:val="center"/>
              <w:ind w:left="353"/>
              <w:spacing w:after="0"/>
              <w:rPr>
                <w:sz w:val="20"/>
                <w:szCs w:val="20"/>
                <w:color w:val="auto"/>
              </w:rPr>
            </w:pPr>
            <w:r>
              <w:rPr>
                <w:rFonts w:ascii="Arial" w:cs="Arial" w:eastAsia="Arial" w:hAnsi="Arial"/>
                <w:sz w:val="14"/>
                <w:szCs w:val="14"/>
                <w:b w:val="1"/>
                <w:bCs w:val="1"/>
                <w:color w:val="auto"/>
              </w:rPr>
              <w:t>(844) 428-5411</w:t>
            </w:r>
          </w:p>
        </w:tc>
        <w:tc>
          <w:tcPr>
            <w:tcW w:w="44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167"/>
        </w:trPr>
        <w:tc>
          <w:tcPr>
            <w:tcW w:w="3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20" w:type="dxa"/>
            <w:vAlign w:val="bottom"/>
            <w:gridSpan w:val="2"/>
          </w:tcPr>
          <w:p>
            <w:pPr>
              <w:jc w:val="center"/>
              <w:ind w:right="440"/>
              <w:spacing w:after="0"/>
              <w:rPr>
                <w:sz w:val="20"/>
                <w:szCs w:val="20"/>
                <w:color w:val="auto"/>
              </w:rPr>
            </w:pPr>
            <w:r>
              <w:rPr>
                <w:rFonts w:ascii="Arial" w:cs="Arial" w:eastAsia="Arial" w:hAnsi="Arial"/>
                <w:sz w:val="13"/>
                <w:szCs w:val="13"/>
                <w:color w:val="auto"/>
                <w:w w:val="97"/>
              </w:rPr>
              <w:t>(Registrant’s telephone number, including area code)</w:t>
            </w:r>
          </w:p>
        </w:tc>
        <w:tc>
          <w:tcPr>
            <w:tcW w:w="3500" w:type="dxa"/>
            <w:vAlign w:val="bottom"/>
          </w:tcPr>
          <w:p>
            <w:pPr>
              <w:spacing w:after="0"/>
              <w:rPr>
                <w:sz w:val="14"/>
                <w:szCs w:val="14"/>
                <w:color w:val="auto"/>
              </w:rPr>
            </w:pPr>
          </w:p>
        </w:tc>
      </w:tr>
      <w:tr>
        <w:trPr>
          <w:trHeight w:val="342"/>
        </w:trPr>
        <w:tc>
          <w:tcPr>
            <w:tcW w:w="3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Not Applicable</w:t>
            </w:r>
          </w:p>
        </w:tc>
        <w:tc>
          <w:tcPr>
            <w:tcW w:w="3500" w:type="dxa"/>
            <w:vAlign w:val="bottom"/>
          </w:tcPr>
          <w:p>
            <w:pPr>
              <w:spacing w:after="0"/>
              <w:rPr>
                <w:sz w:val="24"/>
                <w:szCs w:val="24"/>
                <w:color w:val="auto"/>
              </w:rPr>
            </w:pPr>
          </w:p>
        </w:tc>
      </w:tr>
      <w:tr>
        <w:trPr>
          <w:trHeight w:val="167"/>
        </w:trPr>
        <w:tc>
          <w:tcPr>
            <w:tcW w:w="3520" w:type="dxa"/>
            <w:vAlign w:val="bottom"/>
          </w:tcPr>
          <w:p>
            <w:pPr>
              <w:spacing w:after="0"/>
              <w:rPr>
                <w:sz w:val="14"/>
                <w:szCs w:val="14"/>
                <w:color w:val="auto"/>
              </w:rPr>
            </w:pPr>
          </w:p>
        </w:tc>
        <w:tc>
          <w:tcPr>
            <w:tcW w:w="4260" w:type="dxa"/>
            <w:vAlign w:val="bottom"/>
            <w:gridSpan w:val="3"/>
          </w:tcPr>
          <w:p>
            <w:pPr>
              <w:jc w:val="center"/>
              <w:ind w:right="20"/>
              <w:spacing w:after="0"/>
              <w:rPr>
                <w:sz w:val="20"/>
                <w:szCs w:val="20"/>
                <w:color w:val="auto"/>
              </w:rPr>
            </w:pPr>
            <w:r>
              <w:rPr>
                <w:rFonts w:ascii="Arial" w:cs="Arial" w:eastAsia="Arial" w:hAnsi="Arial"/>
                <w:sz w:val="13"/>
                <w:szCs w:val="13"/>
                <w:color w:val="auto"/>
                <w:w w:val="97"/>
              </w:rPr>
              <w:t>(Former name or former address, if changed since last report)</w:t>
            </w:r>
          </w:p>
        </w:tc>
        <w:tc>
          <w:tcPr>
            <w:tcW w:w="3500" w:type="dxa"/>
            <w:vAlign w:val="bottom"/>
          </w:tcPr>
          <w:p>
            <w:pPr>
              <w:spacing w:after="0"/>
              <w:rPr>
                <w:sz w:val="14"/>
                <w:szCs w:val="14"/>
                <w:color w:val="auto"/>
              </w:rPr>
            </w:pPr>
          </w:p>
        </w:tc>
      </w:tr>
    </w:tbl>
    <w:p>
      <w:pPr>
        <w:spacing w:after="0" w:line="274"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83" w:lineRule="exact"/>
        <w:rPr>
          <w:sz w:val="24"/>
          <w:szCs w:val="24"/>
          <w:color w:val="auto"/>
        </w:rPr>
      </w:pPr>
    </w:p>
    <w:p>
      <w:pPr>
        <w:ind w:left="740" w:hanging="721"/>
        <w:spacing w:after="0"/>
        <w:tabs>
          <w:tab w:leader="none" w:pos="74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Written communications pursuant to Rule 425 under the Securities Act (17 CFR 230.425)</w:t>
      </w:r>
    </w:p>
    <w:p>
      <w:pPr>
        <w:spacing w:after="0" w:line="274" w:lineRule="exact"/>
        <w:rPr>
          <w:rFonts w:ascii="MS PGothic" w:cs="MS PGothic" w:eastAsia="MS PGothic" w:hAnsi="MS PGothic"/>
          <w:sz w:val="14"/>
          <w:szCs w:val="14"/>
          <w:color w:val="auto"/>
        </w:rPr>
      </w:pPr>
    </w:p>
    <w:p>
      <w:pPr>
        <w:ind w:left="740" w:hanging="721"/>
        <w:spacing w:after="0"/>
        <w:tabs>
          <w:tab w:leader="none" w:pos="74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Soliciting material pursuant to Rule 14a-12 under the Exchange Act (17 CFR 240.14a-12)</w:t>
      </w:r>
    </w:p>
    <w:p>
      <w:pPr>
        <w:spacing w:after="0" w:line="274" w:lineRule="exact"/>
        <w:rPr>
          <w:rFonts w:ascii="MS PGothic" w:cs="MS PGothic" w:eastAsia="MS PGothic" w:hAnsi="MS PGothic"/>
          <w:sz w:val="14"/>
          <w:szCs w:val="14"/>
          <w:color w:val="auto"/>
        </w:rPr>
      </w:pPr>
    </w:p>
    <w:p>
      <w:pPr>
        <w:ind w:left="740" w:hanging="721"/>
        <w:spacing w:after="0"/>
        <w:tabs>
          <w:tab w:leader="none" w:pos="74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Pre-commencement communications pursuant to Rule 14d-2(b) under the Exchange Act (17 CFR 240.14d-2(b))</w:t>
      </w:r>
    </w:p>
    <w:p>
      <w:pPr>
        <w:spacing w:after="0" w:line="274" w:lineRule="exact"/>
        <w:rPr>
          <w:rFonts w:ascii="MS PGothic" w:cs="MS PGothic" w:eastAsia="MS PGothic" w:hAnsi="MS PGothic"/>
          <w:sz w:val="14"/>
          <w:szCs w:val="14"/>
          <w:color w:val="auto"/>
        </w:rPr>
      </w:pPr>
    </w:p>
    <w:p>
      <w:pPr>
        <w:ind w:left="740" w:hanging="721"/>
        <w:spacing w:after="0"/>
        <w:tabs>
          <w:tab w:leader="none" w:pos="74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Pre-commencement communications pursuant to Rule 13e-4(c) under the Exchange Act (17 CFR 240.13e-4(c))</w:t>
      </w:r>
    </w:p>
    <w:p>
      <w:pPr>
        <w:spacing w:after="0" w:line="238" w:lineRule="exact"/>
        <w:rPr>
          <w:rFonts w:ascii="MS PGothic" w:cs="MS PGothic" w:eastAsia="MS PGothic" w:hAnsi="MS PGothic"/>
          <w:sz w:val="14"/>
          <w:szCs w:val="14"/>
          <w:color w:val="auto"/>
        </w:rPr>
      </w:pPr>
    </w:p>
    <w:p>
      <w:pPr>
        <w:ind w:left="3840"/>
        <w:spacing w:after="0"/>
        <w:rPr>
          <w:rFonts w:ascii="MS PGothic" w:cs="MS PGothic" w:eastAsia="MS PGothic" w:hAnsi="MS PGothic"/>
          <w:sz w:val="14"/>
          <w:szCs w:val="14"/>
          <w:color w:val="auto"/>
        </w:rPr>
      </w:pPr>
      <w:r>
        <w:rPr>
          <w:rFonts w:ascii="Arial" w:cs="Arial" w:eastAsia="Arial" w:hAnsi="Arial"/>
          <w:sz w:val="14"/>
          <w:szCs w:val="14"/>
          <w:color w:val="auto"/>
        </w:rPr>
        <w:t>Securities registered pursuant to Section 12(b) of the Act:</w:t>
      </w:r>
    </w:p>
    <w:p>
      <w:pPr>
        <w:spacing w:after="0" w:line="25" w:lineRule="exact"/>
        <w:rPr>
          <w:sz w:val="24"/>
          <w:szCs w:val="24"/>
          <w:color w:val="auto"/>
        </w:rPr>
      </w:pPr>
    </w:p>
    <w:tbl>
      <w:tblPr>
        <w:tblLayout w:type="fixed"/>
        <w:tblInd w:w="10" w:type="dxa"/>
        <w:tblCellMar>
          <w:top w:w="0" w:type="dxa"/>
          <w:left w:w="0" w:type="dxa"/>
          <w:bottom w:w="0" w:type="dxa"/>
          <w:right w:w="0" w:type="dxa"/>
        </w:tblCellMar>
      </w:tblPr>
      <w:tr>
        <w:trPr>
          <w:trHeight w:val="182"/>
        </w:trPr>
        <w:tc>
          <w:tcPr>
            <w:tcW w:w="4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Title of each class</w:t>
            </w: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Trading Symbol(s)</w:t>
            </w:r>
          </w:p>
        </w:tc>
        <w:tc>
          <w:tcPr>
            <w:tcW w:w="4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Name of each exchange on which registered</w:t>
            </w:r>
          </w:p>
        </w:tc>
      </w:tr>
      <w:tr>
        <w:trPr>
          <w:trHeight w:val="174"/>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Class A Common Stock, $0.0001 par value per share</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HOOD</w:t>
            </w:r>
          </w:p>
        </w:tc>
        <w:tc>
          <w:tcPr>
            <w:tcW w:w="4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The Nasdaq Stock Market LLC</w:t>
            </w:r>
          </w:p>
        </w:tc>
      </w:tr>
    </w:tbl>
    <w:p>
      <w:pPr>
        <w:spacing w:after="0" w:line="297" w:lineRule="exact"/>
        <w:rPr>
          <w:sz w:val="24"/>
          <w:szCs w:val="24"/>
          <w:color w:val="auto"/>
        </w:rPr>
      </w:pPr>
    </w:p>
    <w:p>
      <w:pPr>
        <w:ind w:left="20" w:right="1020"/>
        <w:spacing w:after="0" w:line="283"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10460" w:type="dxa"/>
            <w:vAlign w:val="bottom"/>
          </w:tcPr>
          <w:p>
            <w:pPr>
              <w:ind w:left="8760"/>
              <w:spacing w:after="0"/>
              <w:rPr>
                <w:sz w:val="20"/>
                <w:szCs w:val="20"/>
                <w:color w:val="auto"/>
              </w:rPr>
            </w:pPr>
            <w:r>
              <w:rPr>
                <w:rFonts w:ascii="Arial" w:cs="Arial" w:eastAsia="Arial" w:hAnsi="Arial"/>
                <w:sz w:val="13"/>
                <w:szCs w:val="13"/>
                <w:color w:val="auto"/>
              </w:rPr>
              <w:t>Emerging growth company</w:t>
            </w:r>
          </w:p>
        </w:tc>
        <w:tc>
          <w:tcPr>
            <w:tcW w:w="82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r>
      <w:tr>
        <w:trPr>
          <w:trHeight w:val="356"/>
        </w:trPr>
        <w:tc>
          <w:tcPr>
            <w:tcW w:w="10460" w:type="dxa"/>
            <w:vAlign w:val="bottom"/>
          </w:tcPr>
          <w:p>
            <w:pPr>
              <w:ind w:left="20"/>
              <w:spacing w:after="0"/>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w:t>
            </w:r>
          </w:p>
        </w:tc>
        <w:tc>
          <w:tcPr>
            <w:tcW w:w="82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r>
      <w:tr>
        <w:trPr>
          <w:trHeight w:val="167"/>
        </w:trPr>
        <w:tc>
          <w:tcPr>
            <w:tcW w:w="10460" w:type="dxa"/>
            <w:vAlign w:val="bottom"/>
          </w:tcPr>
          <w:p>
            <w:pPr>
              <w:ind w:left="20"/>
              <w:spacing w:after="0"/>
              <w:rPr>
                <w:sz w:val="20"/>
                <w:szCs w:val="20"/>
                <w:color w:val="auto"/>
              </w:rPr>
            </w:pPr>
            <w:r>
              <w:rPr>
                <w:rFonts w:ascii="Arial" w:cs="Arial" w:eastAsia="Arial" w:hAnsi="Arial"/>
                <w:sz w:val="13"/>
                <w:szCs w:val="13"/>
                <w:color w:val="auto"/>
              </w:rPr>
              <w:t>accounting standards provided pursuant to Section 13(a) of the Exchange Act.</w:t>
            </w:r>
          </w:p>
        </w:tc>
        <w:tc>
          <w:tcPr>
            <w:tcW w:w="820" w:type="dxa"/>
            <w:vAlign w:val="bottom"/>
          </w:tcPr>
          <w:p>
            <w:pPr>
              <w:spacing w:after="0"/>
              <w:rPr>
                <w:sz w:val="14"/>
                <w:szCs w:val="14"/>
                <w:color w:val="auto"/>
              </w:rPr>
            </w:pPr>
          </w:p>
        </w:tc>
      </w:tr>
      <w:tr>
        <w:trPr>
          <w:trHeight w:val="863"/>
        </w:trPr>
        <w:tc>
          <w:tcPr>
            <w:tcW w:w="104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00"/>
          </w:cols>
          <w:pgMar w:left="300" w:top="810" w:right="29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5.02 Departure of Directors or Certain Officers; Election of Directors; Appointment of Certain Officers; Compensatory Arrangements of Certain Officers.</w:t>
      </w:r>
    </w:p>
    <w:p>
      <w:pPr>
        <w:spacing w:after="0" w:line="202" w:lineRule="exact"/>
        <w:rPr>
          <w:sz w:val="20"/>
          <w:szCs w:val="20"/>
          <w:color w:val="auto"/>
        </w:rPr>
      </w:pPr>
    </w:p>
    <w:p>
      <w:pPr>
        <w:ind w:left="220" w:hanging="215"/>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i w:val="1"/>
          <w:iCs w:val="1"/>
          <w:color w:val="auto"/>
        </w:rPr>
        <w:t>Appointment of New Director</w:t>
      </w:r>
    </w:p>
    <w:p>
      <w:pPr>
        <w:spacing w:after="0" w:line="198"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On December 16, 2024, the board of directors (the “Board”) of Robinhood Markets, Inc. (the “Company” or “Robinhood”) appointed Christopher Payne to the Board, effective immediately. The Board also appointed him to serve on the Safety, Risk and Regulatory Committee, commencing concurrently with his Board service. Mr. Payne is an independent director, with an initial term expiring at Robinhood’s 2025 annual meeting of stockholders. In connection with Mr. Payne’s appointment, the Board increased the number of directors on the Board from eight to nine.</w:t>
      </w:r>
    </w:p>
    <w:p>
      <w:pPr>
        <w:spacing w:after="0" w:line="1"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4"/>
          <w:szCs w:val="14"/>
          <w:color w:val="auto"/>
        </w:rPr>
        <w:t>Mr. Payne will participate in Robinhood’s Non-Employee Director Compensation Program as described under “Director Compensation” in the Company’s Proxy Statement for the 2024 Annual Meeting of Stockholders, which was filed with the Securities and Exchange Commission (“SEC”) on April 26, 2024. In addition, the Company has entered into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an indemnification agreement with Mr. Payne</w:t>
      </w:r>
      <w:r>
        <w:rPr>
          <w:rFonts w:ascii="Arial" w:cs="Arial" w:eastAsia="Arial" w:hAnsi="Arial"/>
          <w:sz w:val="16"/>
          <w:szCs w:val="16"/>
          <w:color w:val="008080"/>
        </w:rPr>
        <w:t>,</w:t>
      </w:r>
      <w:r>
        <w:rPr>
          <w:rFonts w:ascii="Arial" w:cs="Arial" w:eastAsia="Arial" w:hAnsi="Arial"/>
          <w:sz w:val="14"/>
          <w:szCs w:val="14"/>
          <w:color w:val="auto"/>
        </w:rPr>
        <w:t xml:space="preserve"> the form of which appears as Exhibit 10.1 to Robinhood's Amendment No. 1 to Form S-1 Registration Statement filed July 19, 2021.</w:t>
      </w:r>
    </w:p>
    <w:p>
      <w:pPr>
        <w:spacing w:after="0" w:line="192"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There are no arrangements or understandings between Mr. Payne and any other persons pursuant to which he was selected as a director, he has no family relationships with any of Robinhood’s directors or executive officers, and he has no direct or indirect material interest in any transaction requiring disclosure under Item 404(a) of Regulation S-K.</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7.01 Regulation FD Disclosure.</w:t>
      </w:r>
    </w:p>
    <w:p>
      <w:pPr>
        <w:spacing w:after="0" w:line="200"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On December 18, 2024, Robinhood published a blog post announcing Mr. Payne’s appointment to the Board. A copy of that blog post is furnished as Exhibit 99.1 to this Current Report on Form 8-K.</w:t>
      </w:r>
    </w:p>
    <w:p>
      <w:pPr>
        <w:spacing w:after="0" w:line="141"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Robinhood uses the “Overview” tab of its Investor Relations website (accessible at investors.robinhood.com/overview) and its Newsroom (accessible at newsroom.aboutrobinhood.com), as means of disclosing information to the public in a broad, non-exclusionary manner for purposes of the SEC’s Regulation Fair Disclosure (Reg. FD). Investors should routinely monitor those web pages, in addition to Robinhood’s press releases, SEC filings, and public conference calls and webcasts, as information posted on them could be deemed to be material information.</w:t>
      </w:r>
    </w:p>
    <w:p>
      <w:pPr>
        <w:spacing w:after="0" w:line="15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information furnished with this Item 7.01,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60" w:type="dxa"/>
            <w:vAlign w:val="bottom"/>
            <w:gridSpan w:val="2"/>
          </w:tcPr>
          <w:p>
            <w:pPr>
              <w:spacing w:after="0"/>
              <w:rPr>
                <w:sz w:val="20"/>
                <w:szCs w:val="20"/>
                <w:color w:val="auto"/>
              </w:rPr>
            </w:pPr>
            <w:r>
              <w:rPr>
                <w:rFonts w:ascii="Arial" w:cs="Arial" w:eastAsia="Arial" w:hAnsi="Arial"/>
                <w:sz w:val="14"/>
                <w:szCs w:val="14"/>
                <w:color w:val="auto"/>
              </w:rPr>
              <w:t>(d) Exhibits</w:t>
            </w:r>
          </w:p>
        </w:tc>
        <w:tc>
          <w:tcPr>
            <w:tcW w:w="2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940" w:type="dxa"/>
            <w:vAlign w:val="bottom"/>
          </w:tcPr>
          <w:p>
            <w:pPr>
              <w:spacing w:after="0"/>
              <w:rPr>
                <w:sz w:val="16"/>
                <w:szCs w:val="16"/>
                <w:color w:val="auto"/>
              </w:rPr>
            </w:pPr>
          </w:p>
        </w:tc>
      </w:tr>
      <w:tr>
        <w:trPr>
          <w:trHeight w:val="391"/>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b w:val="1"/>
                <w:bCs w:val="1"/>
                <w:color w:val="auto"/>
                <w:w w:val="98"/>
              </w:rPr>
              <w:t>Exhibit Number</w:t>
            </w:r>
          </w:p>
        </w:tc>
        <w:tc>
          <w:tcPr>
            <w:tcW w:w="2020" w:type="dxa"/>
            <w:vAlign w:val="bottom"/>
          </w:tcPr>
          <w:p>
            <w:pPr>
              <w:spacing w:after="0"/>
              <w:rPr>
                <w:sz w:val="24"/>
                <w:szCs w:val="24"/>
                <w:color w:val="auto"/>
              </w:rPr>
            </w:pPr>
          </w:p>
        </w:tc>
        <w:tc>
          <w:tcPr>
            <w:tcW w:w="82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192"/>
        </w:trPr>
        <w:tc>
          <w:tcPr>
            <w:tcW w:w="1060" w:type="dxa"/>
            <w:vAlign w:val="bottom"/>
            <w:gridSpan w:val="2"/>
          </w:tcPr>
          <w:p>
            <w:pPr>
              <w:ind w:left="20"/>
              <w:spacing w:after="0"/>
              <w:rPr>
                <w:sz w:val="20"/>
                <w:szCs w:val="20"/>
                <w:color w:val="auto"/>
              </w:rPr>
            </w:pPr>
            <w:r>
              <w:rPr>
                <w:rFonts w:ascii="Arial" w:cs="Arial" w:eastAsia="Arial" w:hAnsi="Arial"/>
                <w:sz w:val="14"/>
                <w:szCs w:val="14"/>
                <w:color w:val="auto"/>
              </w:rPr>
              <w:t>99.1</w:t>
            </w:r>
          </w:p>
        </w:tc>
        <w:tc>
          <w:tcPr>
            <w:tcW w:w="2020" w:type="dxa"/>
            <w:vAlign w:val="bottom"/>
          </w:tcPr>
          <w:p>
            <w:pPr>
              <w:spacing w:after="0"/>
              <w:rPr>
                <w:sz w:val="16"/>
                <w:szCs w:val="16"/>
                <w:color w:val="auto"/>
              </w:rPr>
            </w:pPr>
          </w:p>
        </w:tc>
        <w:tc>
          <w:tcPr>
            <w:tcW w:w="8200" w:type="dxa"/>
            <w:vAlign w:val="bottom"/>
            <w:gridSpan w:val="3"/>
          </w:tcPr>
          <w:p>
            <w:pPr>
              <w:spacing w:after="0"/>
              <w:rPr>
                <w:sz w:val="20"/>
                <w:szCs w:val="20"/>
                <w:color w:val="auto"/>
              </w:rPr>
            </w:pPr>
            <w:r>
              <w:rPr>
                <w:rFonts w:ascii="Arial" w:cs="Arial" w:eastAsia="Arial" w:hAnsi="Arial"/>
                <w:sz w:val="14"/>
                <w:szCs w:val="14"/>
                <w:color w:val="0000FF"/>
              </w:rPr>
              <w:t>Blog post dated December 18, 2024</w:t>
            </w:r>
          </w:p>
        </w:tc>
      </w:tr>
      <w:tr>
        <w:trPr>
          <w:trHeight w:val="20"/>
        </w:trPr>
        <w:tc>
          <w:tcPr>
            <w:tcW w:w="10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26"/>
        </w:trPr>
        <w:tc>
          <w:tcPr>
            <w:tcW w:w="1060" w:type="dxa"/>
            <w:vAlign w:val="bottom"/>
            <w:gridSpan w:val="2"/>
          </w:tcPr>
          <w:p>
            <w:pPr>
              <w:ind w:left="20"/>
              <w:spacing w:after="0"/>
              <w:rPr>
                <w:sz w:val="20"/>
                <w:szCs w:val="20"/>
                <w:color w:val="auto"/>
              </w:rPr>
            </w:pPr>
            <w:r>
              <w:rPr>
                <w:rFonts w:ascii="Arial" w:cs="Arial" w:eastAsia="Arial" w:hAnsi="Arial"/>
                <w:sz w:val="14"/>
                <w:szCs w:val="14"/>
                <w:color w:val="auto"/>
              </w:rPr>
              <w:t>104</w:t>
            </w:r>
          </w:p>
        </w:tc>
        <w:tc>
          <w:tcPr>
            <w:tcW w:w="2020" w:type="dxa"/>
            <w:vAlign w:val="bottom"/>
          </w:tcPr>
          <w:p>
            <w:pPr>
              <w:spacing w:after="0"/>
              <w:rPr>
                <w:sz w:val="19"/>
                <w:szCs w:val="19"/>
                <w:color w:val="auto"/>
              </w:rPr>
            </w:pPr>
          </w:p>
        </w:tc>
        <w:tc>
          <w:tcPr>
            <w:tcW w:w="8200" w:type="dxa"/>
            <w:vAlign w:val="bottom"/>
            <w:gridSpan w:val="3"/>
          </w:tcPr>
          <w:p>
            <w:pPr>
              <w:spacing w:after="0"/>
              <w:rPr>
                <w:sz w:val="20"/>
                <w:szCs w:val="20"/>
                <w:color w:val="auto"/>
              </w:rPr>
            </w:pPr>
            <w:r>
              <w:rPr>
                <w:rFonts w:ascii="Arial" w:cs="Arial" w:eastAsia="Arial" w:hAnsi="Arial"/>
                <w:sz w:val="14"/>
                <w:szCs w:val="14"/>
                <w:color w:val="auto"/>
              </w:rPr>
              <w:t>Cover Page Interactive Data File (the cover page XBRL tags are embedded within the Inline XBRL document)</w:t>
            </w:r>
          </w:p>
        </w:tc>
      </w:tr>
      <w:tr>
        <w:trPr>
          <w:trHeight w:val="1825"/>
        </w:trPr>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5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2" w:name="page3"/>
    <w:bookmarkEnd w:id="2"/>
    <w:p>
      <w:pPr>
        <w:ind w:left="5240"/>
        <w:spacing w:after="0"/>
        <w:rPr>
          <w:sz w:val="20"/>
          <w:szCs w:val="20"/>
          <w:color w:val="auto"/>
        </w:rPr>
      </w:pPr>
      <w:r>
        <w:rPr>
          <w:rFonts w:ascii="Arial" w:cs="Arial" w:eastAsia="Arial" w:hAnsi="Arial"/>
          <w:sz w:val="14"/>
          <w:szCs w:val="14"/>
          <w:b w:val="1"/>
          <w:bCs w:val="1"/>
          <w:color w:val="auto"/>
        </w:rPr>
        <w:t>SIGNATURE</w:t>
      </w:r>
    </w:p>
    <w:p>
      <w:pPr>
        <w:spacing w:after="0" w:line="33" w:lineRule="exact"/>
        <w:rPr>
          <w:sz w:val="20"/>
          <w:szCs w:val="20"/>
          <w:color w:val="auto"/>
        </w:rPr>
      </w:pPr>
    </w:p>
    <w:p>
      <w:pPr>
        <w:spacing w:after="0" w:line="317"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280"/>
        <w:spacing w:after="0"/>
        <w:rPr>
          <w:sz w:val="20"/>
          <w:szCs w:val="20"/>
          <w:color w:val="auto"/>
        </w:rPr>
      </w:pPr>
      <w:r>
        <w:rPr>
          <w:rFonts w:ascii="Arial" w:cs="Arial" w:eastAsia="Arial" w:hAnsi="Arial"/>
          <w:sz w:val="14"/>
          <w:szCs w:val="14"/>
          <w:b w:val="1"/>
          <w:bCs w:val="1"/>
          <w:color w:val="auto"/>
        </w:rPr>
        <w:t>Robinhood Markets, Inc.</w:t>
      </w:r>
    </w:p>
    <w:p>
      <w:pPr>
        <w:spacing w:after="0" w:line="263" w:lineRule="exact"/>
        <w:rPr>
          <w:sz w:val="20"/>
          <w:szCs w:val="20"/>
          <w:color w:val="auto"/>
        </w:rPr>
      </w:pPr>
    </w:p>
    <w:p>
      <w:pPr>
        <w:ind w:left="20"/>
        <w:spacing w:after="0"/>
        <w:tabs>
          <w:tab w:leader="none" w:pos="1020" w:val="left"/>
          <w:tab w:leader="none" w:pos="4260" w:val="left"/>
          <w:tab w:leader="none" w:pos="520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December 18, 2024</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Jason Warnick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3304540</wp:posOffset>
            </wp:positionH>
            <wp:positionV relativeFrom="paragraph">
              <wp:posOffset>28575</wp:posOffset>
            </wp:positionV>
            <wp:extent cx="386016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60165" cy="6985"/>
                    </a:xfrm>
                    <a:prstGeom prst="rect">
                      <a:avLst/>
                    </a:prstGeom>
                    <a:noFill/>
                  </pic:spPr>
                </pic:pic>
              </a:graphicData>
            </a:graphic>
          </wp:anchor>
        </w:drawing>
      </w:r>
    </w:p>
    <w:p>
      <w:pPr>
        <w:spacing w:after="0" w:line="42"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Name: Jason Warnick</w:t>
      </w:r>
    </w:p>
    <w:p>
      <w:pPr>
        <w:spacing w:after="0" w:line="51"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Title: Chief Financial Officer</w:t>
      </w:r>
    </w:p>
    <w:p>
      <w:pPr>
        <w:sectPr>
          <w:pgSz w:w="11900" w:h="16838" w:orient="portrait"/>
          <w:cols w:equalWidth="0" w:num="1">
            <w:col w:w="10740"/>
          </w:cols>
          <w:pgMar w:left="300" w:top="1112" w:right="85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2024-12-18T15:14:35Z</dcterms:created>
  <dcterms:modified xsi:type="dcterms:W3CDTF">2024-12-18T15:14:35Z</dcterms:modified>
</cp:coreProperties>
</file>