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6992620" cy="5543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43550"/>
                    </a:xfrm>
                    <a:prstGeom prst="rect">
                      <a:avLst/>
                    </a:prstGeom>
                    <a:noFill/>
                  </pic:spPr>
                </pic:pic>
              </a:graphicData>
            </a:graphic>
          </wp:anchor>
        </w:drawing>
      </w:r>
    </w:p>
    <w:p>
      <w:pPr>
        <w:spacing w:after="0" w:line="1190" w:lineRule="exact"/>
        <w:rPr>
          <w:sz w:val="24"/>
          <w:szCs w:val="24"/>
          <w:color w:val="auto"/>
        </w:rPr>
      </w:pPr>
    </w:p>
    <w:p>
      <w:pPr>
        <w:sectPr>
          <w:pgSz w:w="11900" w:h="16838" w:orient="portrait"/>
          <w:cols w:equalWidth="0" w:num="2">
            <w:col w:w="2300" w:space="260"/>
            <w:col w:w="8520"/>
          </w:cols>
          <w:pgMar w:left="460" w:top="216" w:right="359" w:bottom="329"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RUBINSTEIN JONATHAN</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3"/>
          </w:tcPr>
          <w:p>
            <w:pPr>
              <w:ind w:left="60"/>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Robinhood Markets,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HOOD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ROBINHOOD MARKETS, INC.</w:t>
            </w:r>
          </w:p>
        </w:tc>
        <w:tc>
          <w:tcPr>
            <w:tcW w:w="222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85 WILLOW ROAD</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329"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50"/>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1"/>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40" w:space="720"/>
            <w:col w:w="2820"/>
          </w:cols>
          <w:pgMar w:left="460" w:top="216" w:right="359" w:bottom="32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jc w:val="center"/>
              <w:ind w:left="536"/>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0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801</w:t>
            </w:r>
          </w:p>
        </w:tc>
        <w:tc>
          <w:tcPr>
            <w:tcW w:w="6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0000FF"/>
              </w:rPr>
              <w:t>801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180"/>
              <w:spacing w:after="0"/>
              <w:rPr>
                <w:sz w:val="20"/>
                <w:szCs w:val="20"/>
                <w:color w:val="auto"/>
              </w:rPr>
            </w:pPr>
            <w:r>
              <w:rPr>
                <w:rFonts w:ascii="Times New Roman" w:cs="Times New Roman" w:eastAsia="Times New Roman" w:hAnsi="Times New Roman"/>
                <w:sz w:val="17"/>
                <w:szCs w:val="17"/>
                <w:color w:val="0000FF"/>
              </w:rPr>
              <w:t>148,959</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30"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801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12"/>
                <w:szCs w:val="12"/>
                <w:color w:val="auto"/>
              </w:rPr>
            </w:pPr>
          </w:p>
        </w:tc>
        <w:tc>
          <w:tcPr>
            <w:tcW w:w="720" w:type="dxa"/>
            <w:vAlign w:val="bottom"/>
          </w:tcPr>
          <w:p>
            <w:pPr>
              <w:jc w:val="center"/>
              <w:ind w:right="241"/>
              <w:spacing w:after="0" w:line="143" w:lineRule="exact"/>
              <w:rPr>
                <w:sz w:val="20"/>
                <w:szCs w:val="20"/>
                <w:color w:val="auto"/>
              </w:rPr>
            </w:pPr>
            <w:r>
              <w:rPr>
                <w:rFonts w:ascii="Times New Roman" w:cs="Times New Roman" w:eastAsia="Times New Roman" w:hAnsi="Times New Roman"/>
                <w:sz w:val="13"/>
                <w:szCs w:val="13"/>
                <w:color w:val="0000FF"/>
                <w:w w:val="86"/>
              </w:rPr>
              <w:t>M</w:t>
            </w:r>
          </w:p>
        </w:tc>
        <w:tc>
          <w:tcPr>
            <w:tcW w:w="540" w:type="dxa"/>
            <w:vAlign w:val="bottom"/>
          </w:tcPr>
          <w:p>
            <w:pPr>
              <w:spacing w:after="0"/>
              <w:rPr>
                <w:sz w:val="12"/>
                <w:szCs w:val="12"/>
                <w:color w:val="auto"/>
              </w:rPr>
            </w:pPr>
          </w:p>
        </w:tc>
        <w:tc>
          <w:tcPr>
            <w:tcW w:w="3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801</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restart"/>
          </w:tcPr>
          <w:p>
            <w:pPr>
              <w:jc w:val="center"/>
              <w:ind w:right="241"/>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(4)</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3,289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3,289</w:t>
            </w:r>
          </w:p>
        </w:tc>
        <w:tc>
          <w:tcPr>
            <w:tcW w:w="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3,289</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-2458085</wp:posOffset>
            </wp:positionV>
            <wp:extent cx="29210" cy="2463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316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Class A Common Stock on a one-for-one basis upon vesting and settlement.</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prior transfer of 1,222 shares of Class A Common Stock from the Reporting Person to a trust, which transfer effected only a change in the form of beneficial ownership and did not result in any change in the Reporting Person's pecuniary interest in such shares.</w:t>
      </w:r>
    </w:p>
    <w:p>
      <w:pPr>
        <w:spacing w:after="0" w:line="15"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25, 2025, the Reporting Person was granted 3,202 RSUs under the Robinhood Markets, Inc. ("Robinhood") 2021 Omnibus Incentive Plan (the "2021 Plan"). One-fourth (1/4) of these RSUs vested on October 1, 2025, with the remainder vesting in three (3) equal quarterly installments thereafter (except the final installment will vest no later than the day before Robinhood's 2026 annual meeting of stockholders), in each case subject to the Reporting Person's continued service with Robinhood through the applicable vesting date and subject to accelerated vesting in certain circumstances.</w:t>
      </w:r>
    </w:p>
    <w:p>
      <w:pPr>
        <w:spacing w:after="0" w:line="25"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represents the Reporting Person's annual grant pursuant to the Non-Employee Director Compensation Program of Robinhood and was granted automatically on the date of Robinhood's annual meeting of stockholders.</w:t>
      </w:r>
    </w:p>
    <w:p>
      <w:pPr>
        <w:spacing w:after="0" w:line="15" w:lineRule="exact"/>
        <w:rPr>
          <w:rFonts w:ascii="Times New Roman" w:cs="Times New Roman" w:eastAsia="Times New Roman" w:hAnsi="Times New Roman"/>
          <w:sz w:val="13"/>
          <w:szCs w:val="13"/>
          <w:color w:val="008000"/>
        </w:rPr>
      </w:pPr>
    </w:p>
    <w:p>
      <w:pPr>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 2026, the Reporting Person was granted 3,289 RSUs under Robinhood's 2021 Plan. One-fourth (1/4) of these RSUs will vest on October 1, 2026, with the remainder vesting in three (3) equal quarterly installments thereafter (except the final installment will vest no later than the day before Robinhood's 2027 annual meeting of stockholders), in each case subject to the Reporting Person's continued service with Robinhood through the applicable vesting date and subject to accelerated vesting in certain circumstances.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Yorkavich,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-8255</wp:posOffset>
            </wp:positionV>
            <wp:extent cx="1003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 fact for Jonathan</w:t>
      </w:r>
      <w:r>
        <w:rPr>
          <w:sz w:val="20"/>
          <w:szCs w:val="20"/>
          <w:color w:val="auto"/>
        </w:rPr>
        <w:tab/>
      </w:r>
      <w:r>
        <w:rPr>
          <w:rFonts w:ascii="Times New Roman" w:cs="Times New Roman" w:eastAsia="Times New Roman" w:hAnsi="Times New Roman"/>
          <w:sz w:val="16"/>
          <w:szCs w:val="16"/>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1887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3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9522"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2026-06-03T16:16:43Z</dcterms:created>
  <dcterms:modified xsi:type="dcterms:W3CDTF">2026-06-03T16:16:43Z</dcterms:modified>
</cp:coreProperties>
</file>