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July 19, 2021.</w:t>
      </w:r>
    </w:p>
    <w:p>
      <w:pPr>
        <w:jc w:val="right"/>
        <w:spacing w:after="0"/>
        <w:rPr>
          <w:sz w:val="20"/>
          <w:szCs w:val="20"/>
          <w:color w:val="auto"/>
        </w:rPr>
      </w:pPr>
      <w:r>
        <w:rPr>
          <w:rFonts w:ascii="Arial" w:cs="Arial" w:eastAsia="Arial" w:hAnsi="Arial"/>
          <w:sz w:val="13"/>
          <w:szCs w:val="13"/>
          <w:b w:val="1"/>
          <w:bCs w:val="1"/>
          <w:color w:val="auto"/>
        </w:rPr>
        <w:t>Registration No. 333-257602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1481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46990</wp:posOffset>
            </wp:positionV>
            <wp:extent cx="13201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762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i w:val="1"/>
          <w:iCs w:val="1"/>
          <w:color w:val="auto"/>
        </w:rPr>
        <w:t>UNDER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46990</wp:posOffset>
            </wp:positionV>
            <wp:extent cx="13201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62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Robinhood Markets,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61595</wp:posOffset>
            </wp:positionV>
            <wp:extent cx="13201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0165" cy="7620"/>
                    </a:xfrm>
                    <a:prstGeom prst="rect">
                      <a:avLst/>
                    </a:prstGeom>
                    <a:noFill/>
                  </pic:spPr>
                </pic:pic>
              </a:graphicData>
            </a:graphic>
          </wp:anchor>
        </w:drawing>
      </w:r>
    </w:p>
    <w:p>
      <w:pPr>
        <w:spacing w:after="0" w:line="216" w:lineRule="exact"/>
        <w:rPr>
          <w:sz w:val="24"/>
          <w:szCs w:val="24"/>
          <w:color w:val="auto"/>
        </w:rPr>
      </w:pPr>
    </w:p>
    <w:tbl>
      <w:tblPr>
        <w:tblLayout w:type="fixed"/>
        <w:tblInd w:w="960" w:type="dxa"/>
        <w:tblCellMar>
          <w:top w:w="0" w:type="dxa"/>
          <w:left w:w="0" w:type="dxa"/>
          <w:bottom w:w="0" w:type="dxa"/>
          <w:right w:w="0" w:type="dxa"/>
        </w:tblCellMar>
      </w:tblPr>
      <w:tr>
        <w:trPr>
          <w:trHeight w:val="190"/>
        </w:trPr>
        <w:tc>
          <w:tcPr>
            <w:tcW w:w="2480" w:type="dxa"/>
            <w:vAlign w:val="bottom"/>
          </w:tcPr>
          <w:p>
            <w:pPr>
              <w:jc w:val="center"/>
              <w:ind w:right="594"/>
              <w:spacing w:after="0"/>
              <w:rPr>
                <w:sz w:val="20"/>
                <w:szCs w:val="20"/>
                <w:color w:val="auto"/>
              </w:rPr>
            </w:pPr>
            <w:r>
              <w:rPr>
                <w:rFonts w:ascii="Arial" w:cs="Arial" w:eastAsia="Arial" w:hAnsi="Arial"/>
                <w:sz w:val="14"/>
                <w:szCs w:val="14"/>
                <w:b w:val="1"/>
                <w:bCs w:val="1"/>
                <w:color w:val="auto"/>
              </w:rPr>
              <w:t>Delaware</w:t>
            </w:r>
          </w:p>
        </w:tc>
        <w:tc>
          <w:tcPr>
            <w:tcW w:w="4560" w:type="dxa"/>
            <w:vAlign w:val="bottom"/>
          </w:tcPr>
          <w:p>
            <w:pPr>
              <w:jc w:val="right"/>
              <w:ind w:right="2152"/>
              <w:spacing w:after="0"/>
              <w:rPr>
                <w:sz w:val="20"/>
                <w:szCs w:val="20"/>
                <w:color w:val="auto"/>
              </w:rPr>
            </w:pPr>
            <w:r>
              <w:rPr>
                <w:rFonts w:ascii="Arial" w:cs="Arial" w:eastAsia="Arial" w:hAnsi="Arial"/>
                <w:sz w:val="14"/>
                <w:szCs w:val="14"/>
                <w:b w:val="1"/>
                <w:bCs w:val="1"/>
                <w:color w:val="auto"/>
              </w:rPr>
              <w:t>7372</w:t>
            </w:r>
          </w:p>
        </w:tc>
        <w:tc>
          <w:tcPr>
            <w:tcW w:w="1920" w:type="dxa"/>
            <w:vAlign w:val="bottom"/>
          </w:tcPr>
          <w:p>
            <w:pPr>
              <w:jc w:val="center"/>
              <w:ind w:left="774"/>
              <w:spacing w:after="0"/>
              <w:rPr>
                <w:sz w:val="20"/>
                <w:szCs w:val="20"/>
                <w:color w:val="auto"/>
              </w:rPr>
            </w:pPr>
            <w:r>
              <w:rPr>
                <w:rFonts w:ascii="Arial" w:cs="Arial" w:eastAsia="Arial" w:hAnsi="Arial"/>
                <w:sz w:val="14"/>
                <w:szCs w:val="14"/>
                <w:b w:val="1"/>
                <w:bCs w:val="1"/>
                <w:color w:val="auto"/>
              </w:rPr>
              <w:t>46-4364776</w:t>
            </w:r>
          </w:p>
        </w:tc>
      </w:tr>
      <w:tr>
        <w:trPr>
          <w:trHeight w:val="173"/>
        </w:trPr>
        <w:tc>
          <w:tcPr>
            <w:tcW w:w="2480" w:type="dxa"/>
            <w:vAlign w:val="bottom"/>
          </w:tcPr>
          <w:p>
            <w:pPr>
              <w:jc w:val="center"/>
              <w:ind w:right="594"/>
              <w:spacing w:after="0"/>
              <w:rPr>
                <w:sz w:val="20"/>
                <w:szCs w:val="20"/>
                <w:color w:val="auto"/>
              </w:rPr>
            </w:pPr>
            <w:r>
              <w:rPr>
                <w:rFonts w:ascii="Arial" w:cs="Arial" w:eastAsia="Arial" w:hAnsi="Arial"/>
                <w:sz w:val="13"/>
                <w:szCs w:val="13"/>
                <w:b w:val="1"/>
                <w:bCs w:val="1"/>
                <w:color w:val="auto"/>
                <w:w w:val="97"/>
              </w:rPr>
              <w:t>(State or other jurisdiction of</w:t>
            </w:r>
          </w:p>
        </w:tc>
        <w:tc>
          <w:tcPr>
            <w:tcW w:w="4560" w:type="dxa"/>
            <w:vAlign w:val="bottom"/>
          </w:tcPr>
          <w:p>
            <w:pPr>
              <w:jc w:val="center"/>
              <w:ind w:right="132"/>
              <w:spacing w:after="0"/>
              <w:rPr>
                <w:sz w:val="20"/>
                <w:szCs w:val="20"/>
                <w:color w:val="auto"/>
              </w:rPr>
            </w:pPr>
            <w:r>
              <w:rPr>
                <w:rFonts w:ascii="Arial" w:cs="Arial" w:eastAsia="Arial" w:hAnsi="Arial"/>
                <w:sz w:val="13"/>
                <w:szCs w:val="13"/>
                <w:b w:val="1"/>
                <w:bCs w:val="1"/>
                <w:color w:val="auto"/>
                <w:w w:val="98"/>
              </w:rPr>
              <w:t>(Primary Standard Industrial</w:t>
            </w:r>
          </w:p>
        </w:tc>
        <w:tc>
          <w:tcPr>
            <w:tcW w:w="1920" w:type="dxa"/>
            <w:vAlign w:val="bottom"/>
          </w:tcPr>
          <w:p>
            <w:pPr>
              <w:jc w:val="center"/>
              <w:ind w:left="754"/>
              <w:spacing w:after="0"/>
              <w:rPr>
                <w:sz w:val="20"/>
                <w:szCs w:val="20"/>
                <w:color w:val="auto"/>
              </w:rPr>
            </w:pPr>
            <w:r>
              <w:rPr>
                <w:rFonts w:ascii="Arial" w:cs="Arial" w:eastAsia="Arial" w:hAnsi="Arial"/>
                <w:sz w:val="13"/>
                <w:szCs w:val="13"/>
                <w:b w:val="1"/>
                <w:bCs w:val="1"/>
                <w:color w:val="auto"/>
                <w:w w:val="98"/>
              </w:rPr>
              <w:t>(I.R.S. Employer</w:t>
            </w:r>
          </w:p>
        </w:tc>
      </w:tr>
      <w:tr>
        <w:trPr>
          <w:trHeight w:val="169"/>
        </w:trPr>
        <w:tc>
          <w:tcPr>
            <w:tcW w:w="2480" w:type="dxa"/>
            <w:vAlign w:val="bottom"/>
          </w:tcPr>
          <w:p>
            <w:pPr>
              <w:jc w:val="center"/>
              <w:ind w:right="594"/>
              <w:spacing w:after="0"/>
              <w:rPr>
                <w:sz w:val="20"/>
                <w:szCs w:val="20"/>
                <w:color w:val="auto"/>
              </w:rPr>
            </w:pPr>
            <w:r>
              <w:rPr>
                <w:rFonts w:ascii="Arial" w:cs="Arial" w:eastAsia="Arial" w:hAnsi="Arial"/>
                <w:sz w:val="13"/>
                <w:szCs w:val="13"/>
                <w:b w:val="1"/>
                <w:bCs w:val="1"/>
                <w:color w:val="auto"/>
                <w:w w:val="98"/>
              </w:rPr>
              <w:t>incorporation or organization)</w:t>
            </w:r>
          </w:p>
        </w:tc>
        <w:tc>
          <w:tcPr>
            <w:tcW w:w="4560" w:type="dxa"/>
            <w:vAlign w:val="bottom"/>
          </w:tcPr>
          <w:p>
            <w:pPr>
              <w:jc w:val="center"/>
              <w:ind w:right="112"/>
              <w:spacing w:after="0"/>
              <w:rPr>
                <w:sz w:val="20"/>
                <w:szCs w:val="20"/>
                <w:color w:val="auto"/>
              </w:rPr>
            </w:pPr>
            <w:r>
              <w:rPr>
                <w:rFonts w:ascii="Arial" w:cs="Arial" w:eastAsia="Arial" w:hAnsi="Arial"/>
                <w:sz w:val="13"/>
                <w:szCs w:val="13"/>
                <w:b w:val="1"/>
                <w:bCs w:val="1"/>
                <w:color w:val="auto"/>
                <w:w w:val="97"/>
              </w:rPr>
              <w:t>Classification Code Number)</w:t>
            </w:r>
          </w:p>
        </w:tc>
        <w:tc>
          <w:tcPr>
            <w:tcW w:w="1920" w:type="dxa"/>
            <w:vAlign w:val="bottom"/>
          </w:tcPr>
          <w:p>
            <w:pPr>
              <w:jc w:val="center"/>
              <w:ind w:left="774"/>
              <w:spacing w:after="0"/>
              <w:rPr>
                <w:sz w:val="20"/>
                <w:szCs w:val="20"/>
                <w:color w:val="auto"/>
              </w:rPr>
            </w:pPr>
            <w:r>
              <w:rPr>
                <w:rFonts w:ascii="Arial" w:cs="Arial" w:eastAsia="Arial" w:hAnsi="Arial"/>
                <w:sz w:val="13"/>
                <w:szCs w:val="13"/>
                <w:b w:val="1"/>
                <w:bCs w:val="1"/>
                <w:color w:val="auto"/>
                <w:w w:val="98"/>
              </w:rPr>
              <w:t>Identification No.)</w:t>
            </w:r>
          </w:p>
        </w:tc>
      </w:tr>
      <w:tr>
        <w:trPr>
          <w:trHeight w:val="458"/>
        </w:trPr>
        <w:tc>
          <w:tcPr>
            <w:tcW w:w="2480" w:type="dxa"/>
            <w:vAlign w:val="bottom"/>
          </w:tcPr>
          <w:p>
            <w:pPr>
              <w:spacing w:after="0"/>
              <w:rPr>
                <w:sz w:val="24"/>
                <w:szCs w:val="24"/>
                <w:color w:val="auto"/>
              </w:rPr>
            </w:pPr>
          </w:p>
        </w:tc>
        <w:tc>
          <w:tcPr>
            <w:tcW w:w="4560" w:type="dxa"/>
            <w:vAlign w:val="bottom"/>
          </w:tcPr>
          <w:p>
            <w:pPr>
              <w:jc w:val="center"/>
              <w:ind w:right="132"/>
              <w:spacing w:after="0"/>
              <w:rPr>
                <w:sz w:val="20"/>
                <w:szCs w:val="20"/>
                <w:color w:val="auto"/>
              </w:rPr>
            </w:pPr>
            <w:r>
              <w:rPr>
                <w:rFonts w:ascii="Arial" w:cs="Arial" w:eastAsia="Arial" w:hAnsi="Arial"/>
                <w:sz w:val="14"/>
                <w:szCs w:val="14"/>
                <w:b w:val="1"/>
                <w:bCs w:val="1"/>
                <w:color w:val="auto"/>
              </w:rPr>
              <w:t>85 Willow Road, Menlo Park, California 94025</w:t>
            </w:r>
          </w:p>
        </w:tc>
        <w:tc>
          <w:tcPr>
            <w:tcW w:w="1920" w:type="dxa"/>
            <w:vAlign w:val="bottom"/>
          </w:tcPr>
          <w:p>
            <w:pPr>
              <w:spacing w:after="0"/>
              <w:rPr>
                <w:sz w:val="24"/>
                <w:szCs w:val="24"/>
                <w:color w:val="auto"/>
              </w:rPr>
            </w:pPr>
          </w:p>
        </w:tc>
      </w:tr>
      <w:tr>
        <w:trPr>
          <w:trHeight w:val="215"/>
        </w:trPr>
        <w:tc>
          <w:tcPr>
            <w:tcW w:w="2480" w:type="dxa"/>
            <w:vAlign w:val="bottom"/>
          </w:tcPr>
          <w:p>
            <w:pPr>
              <w:spacing w:after="0"/>
              <w:rPr>
                <w:sz w:val="18"/>
                <w:szCs w:val="18"/>
                <w:color w:val="auto"/>
              </w:rPr>
            </w:pPr>
          </w:p>
        </w:tc>
        <w:tc>
          <w:tcPr>
            <w:tcW w:w="4560" w:type="dxa"/>
            <w:vAlign w:val="bottom"/>
          </w:tcPr>
          <w:p>
            <w:pPr>
              <w:jc w:val="right"/>
              <w:ind w:right="1812"/>
              <w:spacing w:after="0"/>
              <w:rPr>
                <w:sz w:val="20"/>
                <w:szCs w:val="20"/>
                <w:color w:val="auto"/>
              </w:rPr>
            </w:pPr>
            <w:r>
              <w:rPr>
                <w:rFonts w:ascii="Arial" w:cs="Arial" w:eastAsia="Arial" w:hAnsi="Arial"/>
                <w:sz w:val="14"/>
                <w:szCs w:val="14"/>
                <w:b w:val="1"/>
                <w:bCs w:val="1"/>
                <w:color w:val="auto"/>
              </w:rPr>
              <w:t>(844) 428-5411</w:t>
            </w:r>
          </w:p>
        </w:tc>
        <w:tc>
          <w:tcPr>
            <w:tcW w:w="1920" w:type="dxa"/>
            <w:vAlign w:val="bottom"/>
          </w:tcPr>
          <w:p>
            <w:pPr>
              <w:spacing w:after="0"/>
              <w:rPr>
                <w:sz w:val="18"/>
                <w:szCs w:val="18"/>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71755</wp:posOffset>
            </wp:positionV>
            <wp:extent cx="13201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762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Vladimir Tenev</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Co-Founder, Chief Executive Officer and President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Robinhood Markets,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85 Willow Road, Menlo Park, California 94025</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(844) 428-5411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71120</wp:posOffset>
            </wp:positionV>
            <wp:extent cx="13201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0165" cy="7620"/>
                    </a:xfrm>
                    <a:prstGeom prst="rect">
                      <a:avLst/>
                    </a:prstGeom>
                    <a:noFill/>
                  </pic:spPr>
                </pic:pic>
              </a:graphicData>
            </a:graphic>
          </wp:anchor>
        </w:drawing>
      </w:r>
    </w:p>
    <w:p>
      <w:pPr>
        <w:spacing w:after="0" w:line="190" w:lineRule="exact"/>
        <w:rPr>
          <w:sz w:val="24"/>
          <w:szCs w:val="24"/>
          <w:color w:val="auto"/>
        </w:rPr>
      </w:pPr>
    </w:p>
    <w:tbl>
      <w:tblPr>
        <w:tblLayout w:type="fixed"/>
        <w:tblInd w:w="960" w:type="dxa"/>
        <w:tblCellMar>
          <w:top w:w="0" w:type="dxa"/>
          <w:left w:w="0" w:type="dxa"/>
          <w:bottom w:w="0" w:type="dxa"/>
          <w:right w:w="0" w:type="dxa"/>
        </w:tblCellMar>
      </w:tblPr>
      <w:tr>
        <w:trPr>
          <w:trHeight w:val="167"/>
        </w:trPr>
        <w:tc>
          <w:tcPr>
            <w:tcW w:w="2800" w:type="dxa"/>
            <w:vAlign w:val="bottom"/>
          </w:tcPr>
          <w:p>
            <w:pPr>
              <w:spacing w:after="0"/>
              <w:rPr>
                <w:sz w:val="14"/>
                <w:szCs w:val="14"/>
                <w:color w:val="auto"/>
              </w:rPr>
            </w:pPr>
          </w:p>
        </w:tc>
        <w:tc>
          <w:tcPr>
            <w:tcW w:w="376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97"/>
              </w:rPr>
              <w:t>Copies to:</w:t>
            </w:r>
          </w:p>
        </w:tc>
        <w:tc>
          <w:tcPr>
            <w:tcW w:w="2680" w:type="dxa"/>
            <w:vAlign w:val="bottom"/>
          </w:tcPr>
          <w:p>
            <w:pPr>
              <w:spacing w:after="0"/>
              <w:rPr>
                <w:sz w:val="14"/>
                <w:szCs w:val="14"/>
                <w:color w:val="auto"/>
              </w:rPr>
            </w:pPr>
          </w:p>
        </w:tc>
      </w:tr>
      <w:tr>
        <w:trPr>
          <w:trHeight w:val="213"/>
        </w:trPr>
        <w:tc>
          <w:tcPr>
            <w:tcW w:w="2800" w:type="dxa"/>
            <w:vAlign w:val="bottom"/>
          </w:tcPr>
          <w:p>
            <w:pPr>
              <w:jc w:val="center"/>
              <w:ind w:right="916"/>
              <w:spacing w:after="0"/>
              <w:rPr>
                <w:sz w:val="20"/>
                <w:szCs w:val="20"/>
                <w:color w:val="auto"/>
              </w:rPr>
            </w:pPr>
            <w:r>
              <w:rPr>
                <w:rFonts w:ascii="Arial" w:cs="Arial" w:eastAsia="Arial" w:hAnsi="Arial"/>
                <w:sz w:val="13"/>
                <w:szCs w:val="13"/>
                <w:b w:val="1"/>
                <w:bCs w:val="1"/>
                <w:color w:val="auto"/>
                <w:w w:val="95"/>
              </w:rPr>
              <w:t>John W. White</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97"/>
              </w:rPr>
              <w:t>Daniel Gallagher</w:t>
            </w:r>
          </w:p>
        </w:tc>
        <w:tc>
          <w:tcPr>
            <w:tcW w:w="2680" w:type="dxa"/>
            <w:vAlign w:val="bottom"/>
          </w:tcPr>
          <w:p>
            <w:pPr>
              <w:jc w:val="center"/>
              <w:ind w:left="976"/>
              <w:spacing w:after="0"/>
              <w:rPr>
                <w:sz w:val="20"/>
                <w:szCs w:val="20"/>
                <w:color w:val="auto"/>
              </w:rPr>
            </w:pPr>
            <w:r>
              <w:rPr>
                <w:rFonts w:ascii="Arial" w:cs="Arial" w:eastAsia="Arial" w:hAnsi="Arial"/>
                <w:sz w:val="13"/>
                <w:szCs w:val="13"/>
                <w:b w:val="1"/>
                <w:bCs w:val="1"/>
                <w:color w:val="auto"/>
                <w:w w:val="98"/>
              </w:rPr>
              <w:t>Byron B. Rooney</w:t>
            </w:r>
          </w:p>
        </w:tc>
      </w:tr>
      <w:tr>
        <w:trPr>
          <w:trHeight w:val="143"/>
        </w:trPr>
        <w:tc>
          <w:tcPr>
            <w:tcW w:w="2800" w:type="dxa"/>
            <w:vAlign w:val="bottom"/>
          </w:tcPr>
          <w:p>
            <w:pPr>
              <w:jc w:val="center"/>
              <w:ind w:right="896"/>
              <w:spacing w:after="0" w:line="144" w:lineRule="exact"/>
              <w:rPr>
                <w:sz w:val="20"/>
                <w:szCs w:val="20"/>
                <w:color w:val="auto"/>
              </w:rPr>
            </w:pPr>
            <w:r>
              <w:rPr>
                <w:rFonts w:ascii="Arial" w:cs="Arial" w:eastAsia="Arial" w:hAnsi="Arial"/>
                <w:sz w:val="13"/>
                <w:szCs w:val="13"/>
                <w:b w:val="1"/>
                <w:bCs w:val="1"/>
                <w:color w:val="auto"/>
                <w:w w:val="97"/>
              </w:rPr>
              <w:t>Andrew J. Pitts</w:t>
            </w:r>
          </w:p>
        </w:tc>
        <w:tc>
          <w:tcPr>
            <w:tcW w:w="3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Christina Y. Lai</w:t>
            </w:r>
          </w:p>
        </w:tc>
        <w:tc>
          <w:tcPr>
            <w:tcW w:w="2680" w:type="dxa"/>
            <w:vAlign w:val="bottom"/>
          </w:tcPr>
          <w:p>
            <w:pPr>
              <w:jc w:val="center"/>
              <w:ind w:left="956"/>
              <w:spacing w:after="0" w:line="144" w:lineRule="exact"/>
              <w:rPr>
                <w:sz w:val="20"/>
                <w:szCs w:val="20"/>
                <w:color w:val="auto"/>
              </w:rPr>
            </w:pPr>
            <w:r>
              <w:rPr>
                <w:rFonts w:ascii="Arial" w:cs="Arial" w:eastAsia="Arial" w:hAnsi="Arial"/>
                <w:sz w:val="13"/>
                <w:szCs w:val="13"/>
                <w:b w:val="1"/>
                <w:bCs w:val="1"/>
                <w:color w:val="auto"/>
                <w:w w:val="98"/>
              </w:rPr>
              <w:t>Emily Roberts</w:t>
            </w:r>
          </w:p>
        </w:tc>
      </w:tr>
      <w:tr>
        <w:trPr>
          <w:trHeight w:val="143"/>
        </w:trPr>
        <w:tc>
          <w:tcPr>
            <w:tcW w:w="2800" w:type="dxa"/>
            <w:vAlign w:val="bottom"/>
          </w:tcPr>
          <w:p>
            <w:pPr>
              <w:jc w:val="center"/>
              <w:ind w:right="916"/>
              <w:spacing w:after="0" w:line="144" w:lineRule="exact"/>
              <w:rPr>
                <w:sz w:val="20"/>
                <w:szCs w:val="20"/>
                <w:color w:val="auto"/>
              </w:rPr>
            </w:pPr>
            <w:r>
              <w:rPr>
                <w:rFonts w:ascii="Arial" w:cs="Arial" w:eastAsia="Arial" w:hAnsi="Arial"/>
                <w:sz w:val="13"/>
                <w:szCs w:val="13"/>
                <w:b w:val="1"/>
                <w:bCs w:val="1"/>
                <w:color w:val="auto"/>
                <w:w w:val="96"/>
              </w:rPr>
              <w:t>D. Scott Bennett</w:t>
            </w:r>
          </w:p>
        </w:tc>
        <w:tc>
          <w:tcPr>
            <w:tcW w:w="3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Weilyn Wood</w:t>
            </w:r>
          </w:p>
        </w:tc>
        <w:tc>
          <w:tcPr>
            <w:tcW w:w="2680" w:type="dxa"/>
            <w:vAlign w:val="bottom"/>
          </w:tcPr>
          <w:p>
            <w:pPr>
              <w:jc w:val="center"/>
              <w:ind w:left="976"/>
              <w:spacing w:after="0" w:line="144" w:lineRule="exact"/>
              <w:rPr>
                <w:sz w:val="20"/>
                <w:szCs w:val="20"/>
                <w:color w:val="auto"/>
              </w:rPr>
            </w:pPr>
            <w:r>
              <w:rPr>
                <w:rFonts w:ascii="Arial" w:cs="Arial" w:eastAsia="Arial" w:hAnsi="Arial"/>
                <w:sz w:val="13"/>
                <w:szCs w:val="13"/>
                <w:b w:val="1"/>
                <w:bCs w:val="1"/>
                <w:color w:val="auto"/>
                <w:w w:val="98"/>
              </w:rPr>
              <w:t>Dan Gibbons</w:t>
            </w:r>
          </w:p>
        </w:tc>
      </w:tr>
      <w:tr>
        <w:trPr>
          <w:trHeight w:val="143"/>
        </w:trPr>
        <w:tc>
          <w:tcPr>
            <w:tcW w:w="2800" w:type="dxa"/>
            <w:vAlign w:val="bottom"/>
          </w:tcPr>
          <w:p>
            <w:pPr>
              <w:jc w:val="center"/>
              <w:ind w:right="916"/>
              <w:spacing w:after="0" w:line="144" w:lineRule="exact"/>
              <w:rPr>
                <w:sz w:val="20"/>
                <w:szCs w:val="20"/>
                <w:color w:val="auto"/>
              </w:rPr>
            </w:pPr>
            <w:r>
              <w:rPr>
                <w:rFonts w:ascii="Arial" w:cs="Arial" w:eastAsia="Arial" w:hAnsi="Arial"/>
                <w:sz w:val="13"/>
                <w:szCs w:val="13"/>
                <w:b w:val="1"/>
                <w:bCs w:val="1"/>
                <w:color w:val="auto"/>
                <w:w w:val="98"/>
              </w:rPr>
              <w:t>Claudia J. Ricciardi</w:t>
            </w:r>
          </w:p>
        </w:tc>
        <w:tc>
          <w:tcPr>
            <w:tcW w:w="3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Steve Pickering</w:t>
            </w:r>
          </w:p>
        </w:tc>
        <w:tc>
          <w:tcPr>
            <w:tcW w:w="2680" w:type="dxa"/>
            <w:vAlign w:val="bottom"/>
          </w:tcPr>
          <w:p>
            <w:pPr>
              <w:jc w:val="center"/>
              <w:ind w:left="976"/>
              <w:spacing w:after="0" w:line="144" w:lineRule="exact"/>
              <w:rPr>
                <w:sz w:val="20"/>
                <w:szCs w:val="20"/>
                <w:color w:val="auto"/>
              </w:rPr>
            </w:pPr>
            <w:r>
              <w:rPr>
                <w:rFonts w:ascii="Arial" w:cs="Arial" w:eastAsia="Arial" w:hAnsi="Arial"/>
                <w:sz w:val="13"/>
                <w:szCs w:val="13"/>
                <w:b w:val="1"/>
                <w:bCs w:val="1"/>
                <w:color w:val="auto"/>
                <w:w w:val="97"/>
              </w:rPr>
              <w:t>Davis Polk &amp; Wardwell LLP</w:t>
            </w:r>
          </w:p>
        </w:tc>
      </w:tr>
      <w:tr>
        <w:trPr>
          <w:trHeight w:val="143"/>
        </w:trPr>
        <w:tc>
          <w:tcPr>
            <w:tcW w:w="2800" w:type="dxa"/>
            <w:vAlign w:val="bottom"/>
          </w:tcPr>
          <w:p>
            <w:pPr>
              <w:jc w:val="center"/>
              <w:ind w:right="916"/>
              <w:spacing w:after="0" w:line="144" w:lineRule="exact"/>
              <w:rPr>
                <w:sz w:val="20"/>
                <w:szCs w:val="20"/>
                <w:color w:val="auto"/>
              </w:rPr>
            </w:pPr>
            <w:r>
              <w:rPr>
                <w:rFonts w:ascii="Arial" w:cs="Arial" w:eastAsia="Arial" w:hAnsi="Arial"/>
                <w:sz w:val="13"/>
                <w:szCs w:val="13"/>
                <w:b w:val="1"/>
                <w:bCs w:val="1"/>
                <w:color w:val="auto"/>
                <w:w w:val="98"/>
              </w:rPr>
              <w:t>Cravath, Swaine &amp; Moore LLP</w:t>
            </w:r>
          </w:p>
        </w:tc>
        <w:tc>
          <w:tcPr>
            <w:tcW w:w="3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Robinhood Markets, Inc.</w:t>
            </w:r>
          </w:p>
        </w:tc>
        <w:tc>
          <w:tcPr>
            <w:tcW w:w="2680" w:type="dxa"/>
            <w:vAlign w:val="bottom"/>
          </w:tcPr>
          <w:p>
            <w:pPr>
              <w:jc w:val="center"/>
              <w:ind w:left="956"/>
              <w:spacing w:after="0" w:line="144" w:lineRule="exact"/>
              <w:rPr>
                <w:sz w:val="20"/>
                <w:szCs w:val="20"/>
                <w:color w:val="auto"/>
              </w:rPr>
            </w:pPr>
            <w:r>
              <w:rPr>
                <w:rFonts w:ascii="Arial" w:cs="Arial" w:eastAsia="Arial" w:hAnsi="Arial"/>
                <w:sz w:val="13"/>
                <w:szCs w:val="13"/>
                <w:b w:val="1"/>
                <w:bCs w:val="1"/>
                <w:color w:val="auto"/>
                <w:w w:val="97"/>
              </w:rPr>
              <w:t>450 Lexington Avenue</w:t>
            </w:r>
          </w:p>
        </w:tc>
      </w:tr>
      <w:tr>
        <w:trPr>
          <w:trHeight w:val="143"/>
        </w:trPr>
        <w:tc>
          <w:tcPr>
            <w:tcW w:w="2800" w:type="dxa"/>
            <w:vAlign w:val="bottom"/>
          </w:tcPr>
          <w:p>
            <w:pPr>
              <w:jc w:val="center"/>
              <w:ind w:right="916"/>
              <w:spacing w:after="0" w:line="144" w:lineRule="exact"/>
              <w:rPr>
                <w:sz w:val="20"/>
                <w:szCs w:val="20"/>
                <w:color w:val="auto"/>
              </w:rPr>
            </w:pPr>
            <w:r>
              <w:rPr>
                <w:rFonts w:ascii="Arial" w:cs="Arial" w:eastAsia="Arial" w:hAnsi="Arial"/>
                <w:sz w:val="13"/>
                <w:szCs w:val="13"/>
                <w:b w:val="1"/>
                <w:bCs w:val="1"/>
                <w:color w:val="auto"/>
                <w:w w:val="97"/>
              </w:rPr>
              <w:t>825 Eighth Avenue</w:t>
            </w:r>
          </w:p>
        </w:tc>
        <w:tc>
          <w:tcPr>
            <w:tcW w:w="3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85 Willow Road</w:t>
            </w:r>
          </w:p>
        </w:tc>
        <w:tc>
          <w:tcPr>
            <w:tcW w:w="2680" w:type="dxa"/>
            <w:vAlign w:val="bottom"/>
          </w:tcPr>
          <w:p>
            <w:pPr>
              <w:jc w:val="center"/>
              <w:ind w:left="976"/>
              <w:spacing w:after="0" w:line="144" w:lineRule="exact"/>
              <w:rPr>
                <w:sz w:val="20"/>
                <w:szCs w:val="20"/>
                <w:color w:val="auto"/>
              </w:rPr>
            </w:pPr>
            <w:r>
              <w:rPr>
                <w:rFonts w:ascii="Arial" w:cs="Arial" w:eastAsia="Arial" w:hAnsi="Arial"/>
                <w:sz w:val="13"/>
                <w:szCs w:val="13"/>
                <w:b w:val="1"/>
                <w:bCs w:val="1"/>
                <w:color w:val="auto"/>
                <w:w w:val="96"/>
              </w:rPr>
              <w:t>New York, New York 10017</w:t>
            </w:r>
          </w:p>
        </w:tc>
      </w:tr>
      <w:tr>
        <w:trPr>
          <w:trHeight w:val="143"/>
        </w:trPr>
        <w:tc>
          <w:tcPr>
            <w:tcW w:w="2800" w:type="dxa"/>
            <w:vAlign w:val="bottom"/>
          </w:tcPr>
          <w:p>
            <w:pPr>
              <w:jc w:val="center"/>
              <w:ind w:right="896"/>
              <w:spacing w:after="0" w:line="144" w:lineRule="exact"/>
              <w:rPr>
                <w:sz w:val="20"/>
                <w:szCs w:val="20"/>
                <w:color w:val="auto"/>
              </w:rPr>
            </w:pPr>
            <w:r>
              <w:rPr>
                <w:rFonts w:ascii="Arial" w:cs="Arial" w:eastAsia="Arial" w:hAnsi="Arial"/>
                <w:sz w:val="13"/>
                <w:szCs w:val="13"/>
                <w:b w:val="1"/>
                <w:bCs w:val="1"/>
                <w:color w:val="auto"/>
                <w:w w:val="96"/>
              </w:rPr>
              <w:t>New York, New York 10019</w:t>
            </w:r>
          </w:p>
        </w:tc>
        <w:tc>
          <w:tcPr>
            <w:tcW w:w="3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Menlo Park, California 94025</w:t>
            </w:r>
          </w:p>
        </w:tc>
        <w:tc>
          <w:tcPr>
            <w:tcW w:w="2680" w:type="dxa"/>
            <w:vAlign w:val="bottom"/>
          </w:tcPr>
          <w:p>
            <w:pPr>
              <w:jc w:val="center"/>
              <w:ind w:left="976"/>
              <w:spacing w:after="0" w:line="144" w:lineRule="exact"/>
              <w:rPr>
                <w:sz w:val="20"/>
                <w:szCs w:val="20"/>
                <w:color w:val="auto"/>
              </w:rPr>
            </w:pPr>
            <w:r>
              <w:rPr>
                <w:rFonts w:ascii="Arial" w:cs="Arial" w:eastAsia="Arial" w:hAnsi="Arial"/>
                <w:sz w:val="13"/>
                <w:szCs w:val="13"/>
                <w:b w:val="1"/>
                <w:bCs w:val="1"/>
                <w:color w:val="auto"/>
                <w:w w:val="98"/>
              </w:rPr>
              <w:t>(212) 450-4000</w:t>
            </w:r>
          </w:p>
        </w:tc>
      </w:tr>
      <w:tr>
        <w:trPr>
          <w:trHeight w:val="169"/>
        </w:trPr>
        <w:tc>
          <w:tcPr>
            <w:tcW w:w="2800" w:type="dxa"/>
            <w:vAlign w:val="bottom"/>
          </w:tcPr>
          <w:p>
            <w:pPr>
              <w:jc w:val="center"/>
              <w:ind w:right="916"/>
              <w:spacing w:after="0"/>
              <w:rPr>
                <w:sz w:val="20"/>
                <w:szCs w:val="20"/>
                <w:color w:val="auto"/>
              </w:rPr>
            </w:pPr>
            <w:r>
              <w:rPr>
                <w:rFonts w:ascii="Arial" w:cs="Arial" w:eastAsia="Arial" w:hAnsi="Arial"/>
                <w:sz w:val="13"/>
                <w:szCs w:val="13"/>
                <w:b w:val="1"/>
                <w:bCs w:val="1"/>
                <w:color w:val="auto"/>
                <w:w w:val="96"/>
              </w:rPr>
              <w:t>(212) 474-1000</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98"/>
              </w:rPr>
              <w:t>(844) 428-5411</w:t>
            </w:r>
          </w:p>
        </w:tc>
        <w:tc>
          <w:tcPr>
            <w:tcW w:w="26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97155</wp:posOffset>
            </wp:positionV>
            <wp:extent cx="13201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0165" cy="7620"/>
                    </a:xfrm>
                    <a:prstGeom prst="rect">
                      <a:avLst/>
                    </a:prstGeom>
                    <a:noFill/>
                  </pic:spPr>
                </pic:pic>
              </a:graphicData>
            </a:graphic>
          </wp:anchor>
        </w:drawing>
      </w:r>
    </w:p>
    <w:p>
      <w:pPr>
        <w:spacing w:after="0" w:line="224" w:lineRule="exact"/>
        <w:rPr>
          <w:sz w:val="24"/>
          <w:szCs w:val="24"/>
          <w:color w:val="auto"/>
        </w:rPr>
      </w:pPr>
    </w:p>
    <w:p>
      <w:pPr>
        <w:ind w:left="28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108" w:lineRule="exact"/>
        <w:rPr>
          <w:sz w:val="24"/>
          <w:szCs w:val="24"/>
          <w:color w:val="auto"/>
        </w:rPr>
      </w:pPr>
    </w:p>
    <w:p>
      <w:pPr>
        <w:ind w:right="360" w:firstLine="287"/>
        <w:spacing w:after="0" w:line="17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64" w:lineRule="exact"/>
        <w:rPr>
          <w:sz w:val="24"/>
          <w:szCs w:val="24"/>
          <w:color w:val="auto"/>
        </w:rPr>
      </w:pPr>
    </w:p>
    <w:p>
      <w:pPr>
        <w:ind w:right="640" w:firstLine="287"/>
        <w:spacing w:after="0" w:line="17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2" w:lineRule="exact"/>
        <w:rPr>
          <w:sz w:val="24"/>
          <w:szCs w:val="24"/>
          <w:color w:val="auto"/>
        </w:rPr>
      </w:pPr>
    </w:p>
    <w:p>
      <w:pPr>
        <w:ind w:right="320" w:firstLine="287"/>
        <w:spacing w:after="0" w:line="17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4" w:lineRule="exact"/>
        <w:rPr>
          <w:sz w:val="24"/>
          <w:szCs w:val="24"/>
          <w:color w:val="auto"/>
        </w:rPr>
      </w:pPr>
    </w:p>
    <w:p>
      <w:pPr>
        <w:ind w:right="320" w:firstLine="287"/>
        <w:spacing w:after="0" w:line="17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4" w:lineRule="exact"/>
        <w:rPr>
          <w:sz w:val="24"/>
          <w:szCs w:val="24"/>
          <w:color w:val="auto"/>
        </w:rPr>
      </w:pPr>
    </w:p>
    <w:p>
      <w:pPr>
        <w:jc w:val="both"/>
        <w:ind w:right="380" w:firstLine="287"/>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300" w:type="dxa"/>
        <w:tblCellMar>
          <w:top w:w="0" w:type="dxa"/>
          <w:left w:w="0" w:type="dxa"/>
          <w:bottom w:w="0" w:type="dxa"/>
          <w:right w:w="0" w:type="dxa"/>
        </w:tblCellMar>
      </w:tblPr>
      <w:tr>
        <w:trPr>
          <w:trHeight w:val="215"/>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2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1640"/>
              <w:spacing w:after="0"/>
              <w:rPr>
                <w:sz w:val="20"/>
                <w:szCs w:val="20"/>
                <w:color w:val="auto"/>
              </w:rPr>
            </w:pPr>
            <w:r>
              <w:rPr>
                <w:rFonts w:ascii="Arial" w:cs="Arial" w:eastAsia="Arial" w:hAnsi="Arial"/>
                <w:sz w:val="14"/>
                <w:szCs w:val="14"/>
                <w:color w:val="auto"/>
              </w:rPr>
              <w:t>Accelerated filer</w:t>
            </w:r>
          </w:p>
        </w:tc>
        <w:tc>
          <w:tcPr>
            <w:tcW w:w="1780" w:type="dxa"/>
            <w:vAlign w:val="bottom"/>
          </w:tcPr>
          <w:p>
            <w:pPr>
              <w:ind w:left="1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5"/>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202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1640"/>
              <w:spacing w:after="0"/>
              <w:rPr>
                <w:sz w:val="20"/>
                <w:szCs w:val="20"/>
                <w:color w:val="auto"/>
              </w:rPr>
            </w:pPr>
            <w:r>
              <w:rPr>
                <w:rFonts w:ascii="Arial" w:cs="Arial" w:eastAsia="Arial" w:hAnsi="Arial"/>
                <w:sz w:val="14"/>
                <w:szCs w:val="14"/>
                <w:color w:val="auto"/>
              </w:rPr>
              <w:t>Smaller reporting company</w:t>
            </w:r>
          </w:p>
        </w:tc>
        <w:tc>
          <w:tcPr>
            <w:tcW w:w="1780" w:type="dxa"/>
            <w:vAlign w:val="bottom"/>
          </w:tcPr>
          <w:p>
            <w:pPr>
              <w:ind w:left="1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1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000" w:type="dxa"/>
            <w:vAlign w:val="bottom"/>
          </w:tcPr>
          <w:p>
            <w:pPr>
              <w:ind w:left="1640"/>
              <w:spacing w:after="0"/>
              <w:rPr>
                <w:sz w:val="20"/>
                <w:szCs w:val="20"/>
                <w:color w:val="auto"/>
              </w:rPr>
            </w:pPr>
            <w:r>
              <w:rPr>
                <w:rFonts w:ascii="Arial" w:cs="Arial" w:eastAsia="Arial" w:hAnsi="Arial"/>
                <w:sz w:val="14"/>
                <w:szCs w:val="14"/>
                <w:color w:val="auto"/>
              </w:rPr>
              <w:t>Emerging growth company</w:t>
            </w:r>
          </w:p>
        </w:tc>
        <w:tc>
          <w:tcPr>
            <w:tcW w:w="1780" w:type="dxa"/>
            <w:vAlign w:val="bottom"/>
          </w:tcPr>
          <w:p>
            <w:pPr>
              <w:ind w:left="16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7" w:lineRule="exact"/>
        <w:rPr>
          <w:sz w:val="24"/>
          <w:szCs w:val="24"/>
          <w:color w:val="auto"/>
        </w:rPr>
      </w:pPr>
    </w:p>
    <w:p>
      <w:pPr>
        <w:ind w:right="80" w:firstLine="287"/>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ectPr>
          <w:pgSz w:w="11900" w:h="16838" w:orient="portrait"/>
          <w:cols w:equalWidth="0" w:num="1">
            <w:col w:w="11260"/>
          </w:cols>
          <w:pgMar w:left="320" w:top="592" w:right="319" w:bottom="1440" w:gutter="0" w:footer="0" w:header="0"/>
        </w:sectPr>
      </w:pPr>
    </w:p>
    <w:bookmarkStart w:id="1" w:name="page2"/>
    <w:bookmarkEnd w:id="1"/>
    <w:p>
      <w:pPr>
        <w:jc w:val="center"/>
        <w:ind w:right="1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3114040</wp:posOffset>
            </wp:positionH>
            <wp:positionV relativeFrom="page">
              <wp:posOffset>369570</wp:posOffset>
            </wp:positionV>
            <wp:extent cx="13201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0165" cy="7620"/>
                    </a:xfrm>
                    <a:prstGeom prst="rect">
                      <a:avLst/>
                    </a:prstGeom>
                    <a:noFill/>
                  </pic:spPr>
                </pic:pic>
              </a:graphicData>
            </a:graphic>
          </wp:anchor>
        </w:drawing>
        <w:t>CALCULATION OF REGISTRATION FEE</w:t>
      </w:r>
    </w:p>
    <w:p>
      <w:pPr>
        <w:spacing w:after="0" w:line="32" w:lineRule="exact"/>
        <w:rPr>
          <w:sz w:val="20"/>
          <w:szCs w:val="20"/>
          <w:color w:val="auto"/>
        </w:rPr>
      </w:pPr>
    </w:p>
    <w:tbl>
      <w:tblPr>
        <w:tblLayout w:type="fixed"/>
        <w:tblInd w:w="14" w:type="dxa"/>
        <w:tblCellMar>
          <w:top w:w="0" w:type="dxa"/>
          <w:left w:w="0" w:type="dxa"/>
          <w:bottom w:w="0" w:type="dxa"/>
          <w:right w:w="0" w:type="dxa"/>
        </w:tblCellMar>
      </w:tblPr>
      <w:tr>
        <w:trPr>
          <w:trHeight w:val="119"/>
        </w:trPr>
        <w:tc>
          <w:tcPr>
            <w:tcW w:w="4340" w:type="dxa"/>
            <w:vAlign w:val="bottom"/>
            <w:tcBorders>
              <w:top w:val="single" w:sz="8" w:color="auto"/>
              <w:left w:val="single" w:sz="8" w:color="auto"/>
              <w:right w:val="single" w:sz="8" w:color="auto"/>
            </w:tcBorders>
          </w:tcPr>
          <w:p>
            <w:pPr>
              <w:spacing w:after="0"/>
              <w:rPr>
                <w:sz w:val="10"/>
                <w:szCs w:val="10"/>
                <w:color w:val="auto"/>
              </w:rPr>
            </w:pPr>
          </w:p>
        </w:tc>
        <w:tc>
          <w:tcPr>
            <w:tcW w:w="1720" w:type="dxa"/>
            <w:vAlign w:val="bottom"/>
            <w:tcBorders>
              <w:top w:val="single" w:sz="8" w:color="auto"/>
              <w:right w:val="single" w:sz="8" w:color="auto"/>
            </w:tcBorders>
          </w:tcPr>
          <w:p>
            <w:pPr>
              <w:spacing w:after="0"/>
              <w:rPr>
                <w:sz w:val="10"/>
                <w:szCs w:val="10"/>
                <w:color w:val="auto"/>
              </w:rPr>
            </w:pPr>
          </w:p>
        </w:tc>
        <w:tc>
          <w:tcPr>
            <w:tcW w:w="1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Proposed Maximum Offering</w:t>
            </w:r>
          </w:p>
        </w:tc>
        <w:tc>
          <w:tcPr>
            <w:tcW w:w="1720" w:type="dxa"/>
            <w:vAlign w:val="bottom"/>
            <w:tcBorders>
              <w:top w:val="single" w:sz="8" w:color="auto"/>
              <w:right w:val="single" w:sz="8" w:color="auto"/>
            </w:tcBorders>
          </w:tcPr>
          <w:p>
            <w:pPr>
              <w:jc w:val="center"/>
              <w:spacing w:after="0" w:line="120" w:lineRule="exact"/>
              <w:rPr>
                <w:sz w:val="20"/>
                <w:szCs w:val="20"/>
                <w:color w:val="auto"/>
              </w:rPr>
            </w:pPr>
            <w:r>
              <w:rPr>
                <w:rFonts w:ascii="Arial" w:cs="Arial" w:eastAsia="Arial" w:hAnsi="Arial"/>
                <w:sz w:val="11"/>
                <w:szCs w:val="11"/>
                <w:b w:val="1"/>
                <w:bCs w:val="1"/>
                <w:color w:val="auto"/>
              </w:rPr>
              <w:t>Proposed Maximum</w:t>
            </w:r>
          </w:p>
        </w:tc>
        <w:tc>
          <w:tcPr>
            <w:tcW w:w="1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8"/>
              </w:rPr>
              <w:t>Amount of</w:t>
            </w:r>
          </w:p>
        </w:tc>
        <w:tc>
          <w:tcPr>
            <w:tcW w:w="0" w:type="dxa"/>
            <w:vAlign w:val="bottom"/>
          </w:tcPr>
          <w:p>
            <w:pPr>
              <w:spacing w:after="0"/>
              <w:rPr>
                <w:sz w:val="1"/>
                <w:szCs w:val="1"/>
                <w:color w:val="auto"/>
              </w:rPr>
            </w:pPr>
          </w:p>
        </w:tc>
      </w:tr>
      <w:tr>
        <w:trPr>
          <w:trHeight w:val="108"/>
        </w:trPr>
        <w:tc>
          <w:tcPr>
            <w:tcW w:w="4340" w:type="dxa"/>
            <w:vAlign w:val="bottom"/>
            <w:tcBorders>
              <w:left w:val="single" w:sz="8" w:color="auto"/>
              <w:right w:val="single" w:sz="8" w:color="auto"/>
            </w:tcBorders>
            <w:vMerge w:val="restart"/>
          </w:tcPr>
          <w:p>
            <w:pPr>
              <w:ind w:left="860"/>
              <w:spacing w:after="0"/>
              <w:rPr>
                <w:sz w:val="20"/>
                <w:szCs w:val="20"/>
                <w:color w:val="auto"/>
              </w:rPr>
            </w:pPr>
            <w:r>
              <w:rPr>
                <w:rFonts w:ascii="Arial" w:cs="Arial" w:eastAsia="Arial" w:hAnsi="Arial"/>
                <w:sz w:val="11"/>
                <w:szCs w:val="11"/>
                <w:b w:val="1"/>
                <w:bCs w:val="1"/>
                <w:color w:val="auto"/>
              </w:rPr>
              <w:t>Title of Each Class of Securities to be Registered</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 xml:space="preserve">Amount to be Registered </w:t>
            </w:r>
            <w:r>
              <w:rPr>
                <w:rFonts w:ascii="Arial" w:cs="Arial" w:eastAsia="Arial" w:hAnsi="Arial"/>
                <w:sz w:val="14"/>
                <w:szCs w:val="14"/>
                <w:b w:val="1"/>
                <w:bCs w:val="1"/>
                <w:color w:val="auto"/>
                <w:vertAlign w:val="superscript"/>
              </w:rPr>
              <w:t>(1)</w:t>
            </w:r>
          </w:p>
        </w:tc>
        <w:tc>
          <w:tcPr>
            <w:tcW w:w="17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b w:val="1"/>
                <w:bCs w:val="1"/>
                <w:color w:val="auto"/>
              </w:rPr>
              <w:t>Aggregate Offering</w:t>
            </w:r>
          </w:p>
        </w:tc>
        <w:tc>
          <w:tcPr>
            <w:tcW w:w="1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3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720" w:type="dxa"/>
            <w:vAlign w:val="bottom"/>
            <w:tcBorders>
              <w:bottom w:val="single" w:sz="8" w:color="auto"/>
              <w:right w:val="single" w:sz="8" w:color="auto"/>
            </w:tcBorders>
            <w:vMerge w:val="continue"/>
          </w:tcPr>
          <w:p>
            <w:pPr>
              <w:spacing w:after="0"/>
              <w:rPr>
                <w:sz w:val="13"/>
                <w:szCs w:val="13"/>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Price Per Share</w:t>
            </w:r>
          </w:p>
        </w:tc>
        <w:tc>
          <w:tcPr>
            <w:tcW w:w="17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94"/>
                <w:vertAlign w:val="subscript"/>
              </w:rPr>
              <w:t>Price</w:t>
            </w:r>
            <w:r>
              <w:rPr>
                <w:rFonts w:ascii="Arial" w:cs="Arial" w:eastAsia="Arial" w:hAnsi="Arial"/>
                <w:sz w:val="7"/>
                <w:szCs w:val="7"/>
                <w:b w:val="1"/>
                <w:bCs w:val="1"/>
                <w:color w:val="auto"/>
                <w:w w:val="94"/>
              </w:rPr>
              <w:t xml:space="preserve"> (1)(2)</w:t>
            </w:r>
          </w:p>
        </w:tc>
        <w:tc>
          <w:tcPr>
            <w:tcW w:w="17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1"/>
                <w:szCs w:val="11"/>
                <w:b w:val="1"/>
                <w:bCs w:val="1"/>
                <w:color w:val="auto"/>
                <w:w w:val="97"/>
              </w:rPr>
              <w:t xml:space="preserve">Registration Fee </w:t>
            </w:r>
            <w:r>
              <w:rPr>
                <w:rFonts w:ascii="Arial" w:cs="Arial" w:eastAsia="Arial" w:hAnsi="Arial"/>
                <w:sz w:val="14"/>
                <w:szCs w:val="14"/>
                <w:b w:val="1"/>
                <w:bCs w:val="1"/>
                <w:color w:val="auto"/>
                <w:w w:val="97"/>
                <w:vertAlign w:val="superscript"/>
              </w:rPr>
              <w:t>(3)</w:t>
            </w:r>
          </w:p>
        </w:tc>
        <w:tc>
          <w:tcPr>
            <w:tcW w:w="0" w:type="dxa"/>
            <w:vAlign w:val="bottom"/>
          </w:tcPr>
          <w:p>
            <w:pPr>
              <w:spacing w:after="0"/>
              <w:rPr>
                <w:sz w:val="1"/>
                <w:szCs w:val="1"/>
                <w:color w:val="auto"/>
              </w:rPr>
            </w:pPr>
          </w:p>
        </w:tc>
      </w:tr>
      <w:tr>
        <w:trPr>
          <w:trHeight w:val="178"/>
        </w:trPr>
        <w:tc>
          <w:tcPr>
            <w:tcW w:w="4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Class A Common Stock, $0.0001 par value per share</w:t>
            </w:r>
          </w:p>
        </w:tc>
        <w:tc>
          <w:tcPr>
            <w:tcW w:w="1720" w:type="dxa"/>
            <w:vAlign w:val="bottom"/>
            <w:tcBorders>
              <w:bottom w:val="single" w:sz="8" w:color="auto"/>
              <w:right w:val="single" w:sz="8" w:color="auto"/>
            </w:tcBorders>
          </w:tcPr>
          <w:p>
            <w:pPr>
              <w:jc w:val="right"/>
              <w:ind w:right="500"/>
              <w:spacing w:after="0"/>
              <w:rPr>
                <w:sz w:val="20"/>
                <w:szCs w:val="20"/>
                <w:color w:val="auto"/>
              </w:rPr>
            </w:pPr>
            <w:r>
              <w:rPr>
                <w:rFonts w:ascii="Arial" w:cs="Arial" w:eastAsia="Arial" w:hAnsi="Arial"/>
                <w:sz w:val="13"/>
                <w:szCs w:val="13"/>
                <w:color w:val="auto"/>
              </w:rPr>
              <w:t>60,500,000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$42.00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$2,541,000,000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$277,223.10</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__________________</w:t>
      </w:r>
    </w:p>
    <w:p>
      <w:pPr>
        <w:ind w:left="284" w:hanging="284"/>
        <w:spacing w:after="0" w:line="230" w:lineRule="auto"/>
        <w:tabs>
          <w:tab w:leader="none" w:pos="284"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5,500,000 shares of Class A common stock that the underwriters have the option to purchase, solely to cover over-allotments.</w:t>
      </w:r>
    </w:p>
    <w:p>
      <w:pPr>
        <w:ind w:left="284" w:hanging="284"/>
        <w:spacing w:after="0" w:line="230" w:lineRule="auto"/>
        <w:tabs>
          <w:tab w:leader="none" w:pos="284"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 as amended.</w:t>
      </w:r>
    </w:p>
    <w:p>
      <w:pPr>
        <w:ind w:left="284" w:hanging="284"/>
        <w:spacing w:after="0"/>
        <w:tabs>
          <w:tab w:leader="none" w:pos="284"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previously paid a total of $10,910 in connection with the previous filing of the registration statement.</w:t>
      </w:r>
    </w:p>
    <w:p>
      <w:pPr>
        <w:spacing w:after="0" w:line="69" w:lineRule="exact"/>
        <w:rPr>
          <w:sz w:val="20"/>
          <w:szCs w:val="20"/>
          <w:color w:val="auto"/>
        </w:rPr>
      </w:pPr>
    </w:p>
    <w:p>
      <w:pPr>
        <w:ind w:left="4" w:right="120" w:firstLine="287"/>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1481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71481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24"/>
          </w:cols>
          <w:pgMar w:left="316" w:top="716" w:right="359" w:bottom="1440" w:gutter="0" w:footer="0" w:header="0"/>
        </w:sectPr>
      </w:pPr>
    </w:p>
    <w:bookmarkStart w:id="2" w:name="page3"/>
    <w:bookmarkEnd w:id="2"/>
    <w:p>
      <w:pPr>
        <w:ind w:left="4" w:right="340"/>
        <w:spacing w:after="0" w:line="265" w:lineRule="auto"/>
        <w:rPr>
          <w:sz w:val="20"/>
          <w:szCs w:val="20"/>
          <w:color w:val="auto"/>
        </w:rPr>
      </w:pPr>
      <w:r>
        <w:rPr>
          <w:rFonts w:ascii="Arial" w:cs="Arial" w:eastAsia="Arial" w:hAnsi="Arial"/>
          <w:sz w:val="11"/>
          <w:szCs w:val="11"/>
          <w:b w:val="1"/>
          <w:bCs w:val="1"/>
          <w:color w:val="FF0000"/>
        </w:rPr>
        <w:t>The information in this preliminary prospectus is not complete and may be changed. We and the selling stockholders may not sell these securities until the registration statement filed with the Securities and Exchange Commission is effective. This preliminary prospectus is not an offer to sell nor does it seek an offer to buy these securities in any state where the offer or sale is not permitted.</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FF0000"/>
        </w:rPr>
        <w:t>Subject to Completion, dated July 19, 2021</w:t>
      </w:r>
    </w:p>
    <w:p>
      <w:pPr>
        <w:spacing w:after="0" w:line="26"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Preliminary Prospectus</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55,000,000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29845</wp:posOffset>
            </wp:positionV>
            <wp:extent cx="2276475" cy="455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76475" cy="45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Robinhood Markets, Inc.</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59055</wp:posOffset>
            </wp:positionV>
            <wp:extent cx="11988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98880" cy="7620"/>
                    </a:xfrm>
                    <a:prstGeom prst="rect">
                      <a:avLst/>
                    </a:prstGeom>
                    <a:noFill/>
                  </pic:spPr>
                </pic:pic>
              </a:graphicData>
            </a:graphic>
          </wp:anchor>
        </w:drawing>
      </w:r>
    </w:p>
    <w:p>
      <w:pPr>
        <w:spacing w:after="0" w:line="228" w:lineRule="exact"/>
        <w:rPr>
          <w:sz w:val="20"/>
          <w:szCs w:val="20"/>
          <w:color w:val="auto"/>
        </w:rPr>
      </w:pPr>
    </w:p>
    <w:p>
      <w:pPr>
        <w:ind w:left="4" w:right="60" w:firstLine="287"/>
        <w:spacing w:after="0" w:line="254" w:lineRule="auto"/>
        <w:rPr>
          <w:sz w:val="20"/>
          <w:szCs w:val="20"/>
          <w:color w:val="auto"/>
        </w:rPr>
      </w:pPr>
      <w:r>
        <w:rPr>
          <w:rFonts w:ascii="Arial" w:cs="Arial" w:eastAsia="Arial" w:hAnsi="Arial"/>
          <w:sz w:val="12"/>
          <w:szCs w:val="12"/>
          <w:color w:val="auto"/>
        </w:rPr>
        <w:t>This is an initial public offering of Class A common stock by Robinhood Markets, Inc. We are offering 52,375,000 shares of our Class A common stock to be sold in the offering. The selling stockholders identified in this prospectus, who are our founders and our Chief Financial Officer, are offering an additional 2,625,000 shares of our Class A common stock. We will not receive any of the proceeds from the sale of the shares being sold by the selling stockholders.</w:t>
      </w:r>
    </w:p>
    <w:p>
      <w:pPr>
        <w:spacing w:after="0" w:line="40" w:lineRule="exact"/>
        <w:rPr>
          <w:sz w:val="20"/>
          <w:szCs w:val="20"/>
          <w:color w:val="auto"/>
        </w:rPr>
      </w:pPr>
    </w:p>
    <w:p>
      <w:pPr>
        <w:ind w:left="24" w:right="480" w:firstLine="254"/>
        <w:spacing w:after="0" w:line="260" w:lineRule="auto"/>
        <w:rPr>
          <w:sz w:val="20"/>
          <w:szCs w:val="20"/>
          <w:color w:val="auto"/>
        </w:rPr>
      </w:pPr>
      <w:r>
        <w:rPr>
          <w:rFonts w:ascii="Arial" w:cs="Arial" w:eastAsia="Arial" w:hAnsi="Arial"/>
          <w:sz w:val="12"/>
          <w:szCs w:val="12"/>
          <w:color w:val="auto"/>
        </w:rPr>
        <w:t>Prior to this offering, there has been no public market for our Class A common stock. We currently anticipate that the initial public offering price per share of our Class A common stock will be between $38.00 and $42.00.</w:t>
      </w:r>
    </w:p>
    <w:p>
      <w:pPr>
        <w:spacing w:after="0" w:line="36" w:lineRule="exact"/>
        <w:rPr>
          <w:sz w:val="20"/>
          <w:szCs w:val="20"/>
          <w:color w:val="auto"/>
        </w:rPr>
      </w:pPr>
    </w:p>
    <w:p>
      <w:pPr>
        <w:ind w:left="284"/>
        <w:spacing w:after="0"/>
        <w:rPr>
          <w:sz w:val="20"/>
          <w:szCs w:val="20"/>
          <w:color w:val="auto"/>
        </w:rPr>
      </w:pPr>
      <w:r>
        <w:rPr>
          <w:rFonts w:ascii="Arial" w:cs="Arial" w:eastAsia="Arial" w:hAnsi="Arial"/>
          <w:sz w:val="12"/>
          <w:szCs w:val="12"/>
          <w:color w:val="auto"/>
        </w:rPr>
        <w:t>We have applied to list our Class A common stock on the Nasdaq Global Select Market (the “Nasdaq”) under the symbol “HOOD”.</w:t>
      </w:r>
    </w:p>
    <w:p>
      <w:pPr>
        <w:spacing w:after="0" w:line="53" w:lineRule="exact"/>
        <w:rPr>
          <w:sz w:val="20"/>
          <w:szCs w:val="20"/>
          <w:color w:val="auto"/>
        </w:rPr>
      </w:pPr>
    </w:p>
    <w:p>
      <w:pPr>
        <w:ind w:left="4" w:right="20" w:firstLine="287"/>
        <w:spacing w:after="0" w:line="251" w:lineRule="auto"/>
        <w:rPr>
          <w:sz w:val="20"/>
          <w:szCs w:val="20"/>
          <w:color w:val="auto"/>
        </w:rPr>
      </w:pPr>
      <w:r>
        <w:rPr>
          <w:rFonts w:ascii="Arial" w:cs="Arial" w:eastAsia="Arial" w:hAnsi="Arial"/>
          <w:sz w:val="12"/>
          <w:szCs w:val="12"/>
          <w:color w:val="auto"/>
        </w:rPr>
        <w:t>We have three classes of authorized common stock, Class A common stock, Class B common stock and Class C common stock (collectively, our “common stock”). The rights of the holders of Class A common stock, Class B common stock and Class C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 Shares of Class C common stock have no voting rights, except as otherwise required by law, and will convert into shares of our Class A common stock, on a share-for-share basis, on the date or time determined by our board of directors following the conversion or exchange of all outstanding shares of our Class B common stock into shares of our Class A common stock. Upon the completion of this offering, no shares of Class C common stock will be issued and outstanding. For more information about our capital stock, see the section titled “Description of Capital Stock.”</w:t>
      </w:r>
    </w:p>
    <w:p>
      <w:pPr>
        <w:spacing w:after="0" w:line="42" w:lineRule="exact"/>
        <w:rPr>
          <w:sz w:val="20"/>
          <w:szCs w:val="20"/>
          <w:color w:val="auto"/>
        </w:rPr>
      </w:pPr>
    </w:p>
    <w:p>
      <w:pPr>
        <w:ind w:left="4" w:right="460" w:firstLine="287"/>
        <w:spacing w:after="0" w:line="288" w:lineRule="auto"/>
        <w:rPr>
          <w:sz w:val="20"/>
          <w:szCs w:val="20"/>
          <w:color w:val="auto"/>
        </w:rPr>
      </w:pPr>
      <w:r>
        <w:rPr>
          <w:rFonts w:ascii="Arial" w:cs="Arial" w:eastAsia="Arial" w:hAnsi="Arial"/>
          <w:sz w:val="11"/>
          <w:szCs w:val="11"/>
          <w:color w:val="auto"/>
        </w:rPr>
        <w:t>Upon completion of this offering, all outstanding shares of our Class B common stock will be held by our founders, Baiju Bhatt and Vladimir Tenev, and their related entities. Upon the completion of this offering, (i) Mr. Tenev, who is also our CEO, President and a director, and his related entities will hold an economic interest in approximately 7.9% of our outstanding capital stock and Mr. Tenev will hold approximately 26.2% of the voting power of our outstanding capital stock and (ii) Mr. Bhatt, who is also our Chief Creative Officer and a director, and his related entities will hold an economic interest in</w:t>
      </w:r>
    </w:p>
    <w:p>
      <w:pPr>
        <w:spacing w:after="0" w:line="11" w:lineRule="exact"/>
        <w:rPr>
          <w:sz w:val="20"/>
          <w:szCs w:val="20"/>
          <w:color w:val="auto"/>
        </w:rPr>
      </w:pPr>
    </w:p>
    <w:p>
      <w:pPr>
        <w:jc w:val="both"/>
        <w:ind w:left="4" w:right="60"/>
        <w:spacing w:after="0" w:line="265" w:lineRule="auto"/>
        <w:rPr>
          <w:sz w:val="20"/>
          <w:szCs w:val="20"/>
          <w:color w:val="auto"/>
        </w:rPr>
      </w:pPr>
      <w:r>
        <w:rPr>
          <w:rFonts w:ascii="Arial" w:cs="Arial" w:eastAsia="Arial" w:hAnsi="Arial"/>
          <w:sz w:val="12"/>
          <w:szCs w:val="12"/>
          <w:color w:val="auto"/>
        </w:rPr>
        <w:t>approximately 7.9% of our outstanding capital stock and Mr. Bhatt will hold approximately 39.0% of the voting power of our outstanding capital stock, in each case, which voting power may increase over time upon the vesting and settlement of equity awards held by such founder that are outstanding immediately prior to the effectiveness of this offering if such founder exercises his Equity Exchange Rights (as defined herein) to exchange the Class A common stock received in settlement of such awards for Class B common stock.</w:t>
      </w:r>
    </w:p>
    <w:p>
      <w:pPr>
        <w:spacing w:after="0" w:line="45" w:lineRule="exact"/>
        <w:rPr>
          <w:sz w:val="20"/>
          <w:szCs w:val="20"/>
          <w:color w:val="auto"/>
        </w:rPr>
      </w:pPr>
    </w:p>
    <w:p>
      <w:pPr>
        <w:ind w:left="4" w:right="160" w:firstLine="287"/>
        <w:spacing w:after="0" w:line="260" w:lineRule="auto"/>
        <w:rPr>
          <w:sz w:val="20"/>
          <w:szCs w:val="20"/>
          <w:color w:val="auto"/>
        </w:rPr>
      </w:pPr>
      <w:r>
        <w:rPr>
          <w:rFonts w:ascii="Arial" w:cs="Arial" w:eastAsia="Arial" w:hAnsi="Arial"/>
          <w:sz w:val="12"/>
          <w:szCs w:val="12"/>
          <w:color w:val="auto"/>
        </w:rPr>
        <w:t>We are an “emerging growth company,” as that term is used in the Jumpstart Our Business Startups Act of 2012 (the “JOBS Act”) and, under applicable Securities and Exchange Commission (“SEC”) rules, we have elected to take advantage of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38100</wp:posOffset>
            </wp:positionV>
            <wp:extent cx="11988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98880" cy="7620"/>
                    </a:xfrm>
                    <a:prstGeom prst="rect">
                      <a:avLst/>
                    </a:prstGeom>
                    <a:noFill/>
                  </pic:spPr>
                </pic:pic>
              </a:graphicData>
            </a:graphic>
          </wp:anchor>
        </w:drawing>
      </w:r>
    </w:p>
    <w:p>
      <w:pPr>
        <w:spacing w:after="0" w:line="184" w:lineRule="exact"/>
        <w:rPr>
          <w:sz w:val="20"/>
          <w:szCs w:val="20"/>
          <w:color w:val="auto"/>
        </w:rPr>
      </w:pPr>
    </w:p>
    <w:p>
      <w:pPr>
        <w:ind w:left="284"/>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11"/>
          <w:szCs w:val="11"/>
          <w:b w:val="1"/>
          <w:bCs w:val="1"/>
          <w:color w:val="auto"/>
        </w:rPr>
        <w:t>nvesting in our Class A common stock involves risks. See “Risk Factors” beginning on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56515</wp:posOffset>
            </wp:positionV>
            <wp:extent cx="11988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8880" cy="7620"/>
                    </a:xfrm>
                    <a:prstGeom prst="rect">
                      <a:avLst/>
                    </a:prstGeom>
                    <a:noFill/>
                  </pic:spPr>
                </pic:pic>
              </a:graphicData>
            </a:graphic>
          </wp:anchor>
        </w:drawing>
      </w:r>
    </w:p>
    <w:p>
      <w:pPr>
        <w:spacing w:after="0" w:line="162" w:lineRule="exact"/>
        <w:rPr>
          <w:sz w:val="20"/>
          <w:szCs w:val="20"/>
          <w:color w:val="auto"/>
        </w:rPr>
      </w:pPr>
    </w:p>
    <w:p>
      <w:pPr>
        <w:ind w:left="4" w:right="320" w:firstLine="287"/>
        <w:spacing w:after="0" w:line="284" w:lineRule="auto"/>
        <w:rPr>
          <w:sz w:val="20"/>
          <w:szCs w:val="20"/>
          <w:color w:val="auto"/>
        </w:rPr>
      </w:pPr>
      <w:r>
        <w:rPr>
          <w:rFonts w:ascii="Arial" w:cs="Arial" w:eastAsia="Arial" w:hAnsi="Arial"/>
          <w:sz w:val="12"/>
          <w:szCs w:val="12"/>
          <w:b w:val="1"/>
          <w:bCs w:val="1"/>
          <w:color w:val="auto"/>
        </w:rPr>
        <w:t>Neither the SEC nor any state securities commission or other regulatory body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29845</wp:posOffset>
            </wp:positionV>
            <wp:extent cx="11988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98880" cy="7620"/>
                    </a:xfrm>
                    <a:prstGeom prst="rect">
                      <a:avLst/>
                    </a:prstGeom>
                    <a:noFill/>
                  </pic:spPr>
                </pic:pic>
              </a:graphicData>
            </a:graphic>
          </wp:anchor>
        </w:drawing>
      </w:r>
    </w:p>
    <w:p>
      <w:pPr>
        <w:spacing w:after="0" w:line="155"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8700" w:type="dxa"/>
            <w:vAlign w:val="bottom"/>
          </w:tcPr>
          <w:p>
            <w:pPr>
              <w:spacing w:after="0"/>
              <w:rPr>
                <w:sz w:val="12"/>
                <w:szCs w:val="12"/>
                <w:color w:val="auto"/>
              </w:rPr>
            </w:pPr>
          </w:p>
        </w:tc>
        <w:tc>
          <w:tcPr>
            <w:tcW w:w="1300" w:type="dxa"/>
            <w:vAlign w:val="bottom"/>
            <w:gridSpan w:val="2"/>
          </w:tcPr>
          <w:p>
            <w:pPr>
              <w:ind w:left="400"/>
              <w:spacing w:after="0"/>
              <w:rPr>
                <w:sz w:val="20"/>
                <w:szCs w:val="20"/>
                <w:color w:val="auto"/>
              </w:rPr>
            </w:pPr>
            <w:r>
              <w:rPr>
                <w:rFonts w:ascii="Arial" w:cs="Arial" w:eastAsia="Arial" w:hAnsi="Arial"/>
                <w:sz w:val="10"/>
                <w:szCs w:val="10"/>
                <w:b w:val="1"/>
                <w:bCs w:val="1"/>
                <w:color w:val="auto"/>
              </w:rPr>
              <w:t>Per Share</w:t>
            </w:r>
          </w:p>
        </w:tc>
        <w:tc>
          <w:tcPr>
            <w:tcW w:w="1260" w:type="dxa"/>
            <w:vAlign w:val="bottom"/>
          </w:tcPr>
          <w:p>
            <w:pPr>
              <w:jc w:val="right"/>
              <w:ind w:right="463"/>
              <w:spacing w:after="0"/>
              <w:rPr>
                <w:sz w:val="20"/>
                <w:szCs w:val="20"/>
                <w:color w:val="auto"/>
              </w:rPr>
            </w:pPr>
            <w:r>
              <w:rPr>
                <w:rFonts w:ascii="Arial" w:cs="Arial" w:eastAsia="Arial" w:hAnsi="Arial"/>
                <w:sz w:val="10"/>
                <w:szCs w:val="10"/>
                <w:b w:val="1"/>
                <w:bCs w:val="1"/>
                <w:color w:val="auto"/>
              </w:rPr>
              <w:t>Total</w:t>
            </w:r>
          </w:p>
        </w:tc>
      </w:tr>
      <w:tr>
        <w:trPr>
          <w:trHeight w:val="155"/>
        </w:trPr>
        <w:tc>
          <w:tcPr>
            <w:tcW w:w="8700" w:type="dxa"/>
            <w:vAlign w:val="bottom"/>
          </w:tcPr>
          <w:p>
            <w:pPr>
              <w:ind w:left="20"/>
              <w:spacing w:after="0"/>
              <w:rPr>
                <w:sz w:val="20"/>
                <w:szCs w:val="20"/>
                <w:color w:val="auto"/>
              </w:rPr>
            </w:pPr>
            <w:r>
              <w:rPr>
                <w:rFonts w:ascii="Arial" w:cs="Arial" w:eastAsia="Arial" w:hAnsi="Arial"/>
                <w:sz w:val="12"/>
                <w:szCs w:val="12"/>
                <w:color w:val="auto"/>
              </w:rPr>
              <w:t>Initial public offering price</w:t>
            </w:r>
          </w:p>
        </w:tc>
        <w:tc>
          <w:tcPr>
            <w:tcW w:w="1240" w:type="dxa"/>
            <w:vAlign w:val="bottom"/>
            <w:tcBorders>
              <w:top w:val="single" w:sz="8" w:color="auto"/>
            </w:tcBorders>
          </w:tcPr>
          <w:p>
            <w:pPr>
              <w:jc w:val="right"/>
              <w:ind w:right="1103"/>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3"/>
                <w:szCs w:val="13"/>
                <w:color w:val="auto"/>
              </w:rPr>
            </w:pPr>
          </w:p>
        </w:tc>
        <w:tc>
          <w:tcPr>
            <w:tcW w:w="1260" w:type="dxa"/>
            <w:vAlign w:val="bottom"/>
            <w:tcBorders>
              <w:top w:val="single" w:sz="8" w:color="auto"/>
            </w:tcBorders>
          </w:tcPr>
          <w:p>
            <w:pPr>
              <w:jc w:val="right"/>
              <w:ind w:right="1103"/>
              <w:spacing w:after="0"/>
              <w:rPr>
                <w:sz w:val="20"/>
                <w:szCs w:val="20"/>
                <w:color w:val="auto"/>
              </w:rPr>
            </w:pPr>
            <w:r>
              <w:rPr>
                <w:rFonts w:ascii="Arial" w:cs="Arial" w:eastAsia="Arial" w:hAnsi="Arial"/>
                <w:sz w:val="12"/>
                <w:szCs w:val="12"/>
                <w:color w:val="auto"/>
              </w:rPr>
              <w:t>$</w:t>
            </w:r>
          </w:p>
        </w:tc>
      </w:tr>
      <w:tr>
        <w:trPr>
          <w:trHeight w:val="190"/>
        </w:trPr>
        <w:tc>
          <w:tcPr>
            <w:tcW w:w="8700" w:type="dxa"/>
            <w:vAlign w:val="bottom"/>
          </w:tcPr>
          <w:p>
            <w:pPr>
              <w:ind w:left="20"/>
              <w:spacing w:after="0"/>
              <w:rPr>
                <w:sz w:val="20"/>
                <w:szCs w:val="20"/>
                <w:color w:val="auto"/>
              </w:rPr>
            </w:pPr>
            <w:r>
              <w:rPr>
                <w:rFonts w:ascii="Arial" w:cs="Arial" w:eastAsia="Arial" w:hAnsi="Arial"/>
                <w:sz w:val="12"/>
                <w:szCs w:val="12"/>
                <w:color w:val="auto"/>
              </w:rPr>
              <w:t>Underwriting discounts and commissions</w:t>
            </w:r>
            <w:r>
              <w:rPr>
                <w:rFonts w:ascii="Arial" w:cs="Arial" w:eastAsia="Arial" w:hAnsi="Arial"/>
                <w:sz w:val="15"/>
                <w:szCs w:val="15"/>
                <w:color w:val="auto"/>
                <w:vertAlign w:val="superscript"/>
              </w:rPr>
              <w:t>(1)</w:t>
            </w:r>
          </w:p>
        </w:tc>
        <w:tc>
          <w:tcPr>
            <w:tcW w:w="1240" w:type="dxa"/>
            <w:vAlign w:val="bottom"/>
          </w:tcPr>
          <w:p>
            <w:pPr>
              <w:jc w:val="right"/>
              <w:ind w:right="1103"/>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6"/>
                <w:szCs w:val="16"/>
                <w:color w:val="auto"/>
              </w:rPr>
            </w:pPr>
          </w:p>
        </w:tc>
        <w:tc>
          <w:tcPr>
            <w:tcW w:w="1260" w:type="dxa"/>
            <w:vAlign w:val="bottom"/>
          </w:tcPr>
          <w:p>
            <w:pPr>
              <w:jc w:val="right"/>
              <w:ind w:right="1103"/>
              <w:spacing w:after="0"/>
              <w:rPr>
                <w:sz w:val="20"/>
                <w:szCs w:val="20"/>
                <w:color w:val="auto"/>
              </w:rPr>
            </w:pPr>
            <w:r>
              <w:rPr>
                <w:rFonts w:ascii="Arial" w:cs="Arial" w:eastAsia="Arial" w:hAnsi="Arial"/>
                <w:sz w:val="12"/>
                <w:szCs w:val="12"/>
                <w:color w:val="auto"/>
              </w:rPr>
              <w:t>$</w:t>
            </w:r>
          </w:p>
        </w:tc>
      </w:tr>
      <w:tr>
        <w:trPr>
          <w:trHeight w:val="144"/>
        </w:trPr>
        <w:tc>
          <w:tcPr>
            <w:tcW w:w="8700" w:type="dxa"/>
            <w:vAlign w:val="bottom"/>
          </w:tcPr>
          <w:p>
            <w:pPr>
              <w:ind w:left="20"/>
              <w:spacing w:after="0"/>
              <w:rPr>
                <w:sz w:val="20"/>
                <w:szCs w:val="20"/>
                <w:color w:val="auto"/>
              </w:rPr>
            </w:pPr>
            <w:r>
              <w:rPr>
                <w:rFonts w:ascii="Arial" w:cs="Arial" w:eastAsia="Arial" w:hAnsi="Arial"/>
                <w:sz w:val="12"/>
                <w:szCs w:val="12"/>
                <w:color w:val="auto"/>
              </w:rPr>
              <w:t>Proceeds to us, before expenses</w:t>
            </w:r>
          </w:p>
        </w:tc>
        <w:tc>
          <w:tcPr>
            <w:tcW w:w="1240" w:type="dxa"/>
            <w:vAlign w:val="bottom"/>
          </w:tcPr>
          <w:p>
            <w:pPr>
              <w:jc w:val="right"/>
              <w:ind w:right="1103"/>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2"/>
                <w:szCs w:val="12"/>
                <w:color w:val="auto"/>
              </w:rPr>
            </w:pPr>
          </w:p>
        </w:tc>
        <w:tc>
          <w:tcPr>
            <w:tcW w:w="1260" w:type="dxa"/>
            <w:vAlign w:val="bottom"/>
          </w:tcPr>
          <w:p>
            <w:pPr>
              <w:jc w:val="right"/>
              <w:ind w:right="1103"/>
              <w:spacing w:after="0"/>
              <w:rPr>
                <w:sz w:val="20"/>
                <w:szCs w:val="20"/>
                <w:color w:val="auto"/>
              </w:rPr>
            </w:pPr>
            <w:r>
              <w:rPr>
                <w:rFonts w:ascii="Arial" w:cs="Arial" w:eastAsia="Arial" w:hAnsi="Arial"/>
                <w:sz w:val="12"/>
                <w:szCs w:val="12"/>
                <w:color w:val="auto"/>
              </w:rPr>
              <w:t>$</w:t>
            </w:r>
          </w:p>
        </w:tc>
      </w:tr>
      <w:tr>
        <w:trPr>
          <w:trHeight w:val="167"/>
        </w:trPr>
        <w:tc>
          <w:tcPr>
            <w:tcW w:w="8700" w:type="dxa"/>
            <w:vAlign w:val="bottom"/>
          </w:tcPr>
          <w:p>
            <w:pPr>
              <w:ind w:left="20"/>
              <w:spacing w:after="0"/>
              <w:rPr>
                <w:sz w:val="20"/>
                <w:szCs w:val="20"/>
                <w:color w:val="auto"/>
              </w:rPr>
            </w:pPr>
            <w:r>
              <w:rPr>
                <w:rFonts w:ascii="Arial" w:cs="Arial" w:eastAsia="Arial" w:hAnsi="Arial"/>
                <w:sz w:val="12"/>
                <w:szCs w:val="12"/>
                <w:color w:val="auto"/>
              </w:rPr>
              <w:t>Proceeds to selling stockholders, before expenses</w:t>
            </w:r>
          </w:p>
        </w:tc>
        <w:tc>
          <w:tcPr>
            <w:tcW w:w="1240" w:type="dxa"/>
            <w:vAlign w:val="bottom"/>
          </w:tcPr>
          <w:p>
            <w:pPr>
              <w:jc w:val="right"/>
              <w:ind w:right="1103"/>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4"/>
                <w:szCs w:val="14"/>
                <w:color w:val="auto"/>
              </w:rPr>
            </w:pPr>
          </w:p>
        </w:tc>
        <w:tc>
          <w:tcPr>
            <w:tcW w:w="1260" w:type="dxa"/>
            <w:vAlign w:val="bottom"/>
          </w:tcPr>
          <w:p>
            <w:pPr>
              <w:jc w:val="right"/>
              <w:ind w:right="1103"/>
              <w:spacing w:after="0"/>
              <w:rPr>
                <w:sz w:val="20"/>
                <w:szCs w:val="20"/>
                <w:color w:val="auto"/>
              </w:rPr>
            </w:pPr>
            <w:r>
              <w:rPr>
                <w:rFonts w:ascii="Arial" w:cs="Arial" w:eastAsia="Arial" w:hAnsi="Arial"/>
                <w:sz w:val="12"/>
                <w:szCs w:val="12"/>
                <w:color w:val="auto"/>
              </w:rPr>
              <w:t>$</w:t>
            </w:r>
          </w:p>
        </w:tc>
      </w:tr>
      <w:tr>
        <w:trPr>
          <w:trHeight w:val="155"/>
        </w:trPr>
        <w:tc>
          <w:tcPr>
            <w:tcW w:w="8700" w:type="dxa"/>
            <w:vAlign w:val="bottom"/>
          </w:tcPr>
          <w:p>
            <w:pPr>
              <w:spacing w:after="0"/>
              <w:rPr>
                <w:sz w:val="20"/>
                <w:szCs w:val="20"/>
                <w:color w:val="auto"/>
              </w:rPr>
            </w:pPr>
            <w:r>
              <w:rPr>
                <w:rFonts w:ascii="Arial" w:cs="Arial" w:eastAsia="Arial" w:hAnsi="Arial"/>
                <w:sz w:val="13"/>
                <w:szCs w:val="13"/>
                <w:color w:val="auto"/>
              </w:rPr>
              <w:t>________________</w:t>
            </w: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r>
    </w:tbl>
    <w:p>
      <w:pPr>
        <w:ind w:left="284" w:hanging="284"/>
        <w:spacing w:after="0"/>
        <w:tabs>
          <w:tab w:leader="none" w:pos="284" w:val="left"/>
        </w:tabs>
        <w:numPr>
          <w:ilvl w:val="0"/>
          <w:numId w:val="2"/>
        </w:numPr>
        <w:rPr>
          <w:rFonts w:ascii="Arial" w:cs="Arial" w:eastAsia="Arial" w:hAnsi="Arial"/>
          <w:sz w:val="12"/>
          <w:szCs w:val="12"/>
          <w:color w:val="auto"/>
        </w:rPr>
      </w:pPr>
      <w:r>
        <w:rPr>
          <w:rFonts w:ascii="Arial" w:cs="Arial" w:eastAsia="Arial" w:hAnsi="Arial"/>
          <w:sz w:val="12"/>
          <w:szCs w:val="12"/>
          <w:color w:val="auto"/>
        </w:rPr>
        <w:t>See the section titled “Underwriting (Conflicts of Interest)” for a description of the compensation payable to the underwriters.</w:t>
      </w:r>
    </w:p>
    <w:p>
      <w:pPr>
        <w:spacing w:after="0" w:line="101" w:lineRule="exact"/>
        <w:rPr>
          <w:sz w:val="20"/>
          <w:szCs w:val="20"/>
          <w:color w:val="auto"/>
        </w:rPr>
      </w:pPr>
    </w:p>
    <w:p>
      <w:pPr>
        <w:ind w:left="4" w:right="380" w:firstLine="287"/>
        <w:spacing w:after="0" w:line="260" w:lineRule="auto"/>
        <w:rPr>
          <w:sz w:val="20"/>
          <w:szCs w:val="20"/>
          <w:color w:val="auto"/>
        </w:rPr>
      </w:pPr>
      <w:r>
        <w:rPr>
          <w:rFonts w:ascii="Arial" w:cs="Arial" w:eastAsia="Arial" w:hAnsi="Arial"/>
          <w:sz w:val="12"/>
          <w:szCs w:val="12"/>
          <w:color w:val="auto"/>
        </w:rPr>
        <w:t>We have granted the underwriters an option for a period of 30 days from the date of this prospectus to purchase up to an additional 5,500,000 shares of our Class A common stock, solely to cover over-allotments.</w:t>
      </w:r>
    </w:p>
    <w:p>
      <w:pPr>
        <w:spacing w:after="0" w:line="24" w:lineRule="exact"/>
        <w:rPr>
          <w:sz w:val="20"/>
          <w:szCs w:val="20"/>
          <w:color w:val="auto"/>
        </w:rPr>
      </w:pPr>
    </w:p>
    <w:p>
      <w:pPr>
        <w:ind w:left="4" w:right="100" w:firstLine="287"/>
        <w:spacing w:after="0" w:line="254" w:lineRule="auto"/>
        <w:rPr>
          <w:sz w:val="20"/>
          <w:szCs w:val="20"/>
          <w:color w:val="auto"/>
        </w:rPr>
      </w:pPr>
      <w:r>
        <w:rPr>
          <w:rFonts w:ascii="Arial" w:cs="Arial" w:eastAsia="Arial" w:hAnsi="Arial"/>
          <w:sz w:val="12"/>
          <w:szCs w:val="12"/>
          <w:color w:val="auto"/>
        </w:rPr>
        <w:t>We expect to offer approximately $440 million to $770 million worth of shares of our Class A common stock offered by this prospectus for sale to Robinhood customers through our IPO Access feature on our platform (assuming an initial public offering price of $40.00 per share, which is the midpoint of the estimated offering price range set forth above). See “Underwriting (Conflicts of Interest)—Participation by Robinhood Customers in the Offering.”</w:t>
      </w:r>
    </w:p>
    <w:p>
      <w:pPr>
        <w:spacing w:after="0" w:line="4" w:lineRule="exact"/>
        <w:rPr>
          <w:sz w:val="20"/>
          <w:szCs w:val="20"/>
          <w:color w:val="auto"/>
        </w:rPr>
      </w:pPr>
    </w:p>
    <w:p>
      <w:pPr>
        <w:ind w:left="4" w:right="140" w:firstLine="287"/>
        <w:spacing w:after="0" w:line="277" w:lineRule="auto"/>
        <w:rPr>
          <w:sz w:val="20"/>
          <w:szCs w:val="20"/>
          <w:color w:val="auto"/>
        </w:rPr>
      </w:pPr>
      <w:r>
        <w:rPr>
          <w:rFonts w:ascii="Arial" w:cs="Arial" w:eastAsia="Arial" w:hAnsi="Arial"/>
          <w:sz w:val="11"/>
          <w:szCs w:val="11"/>
          <w:color w:val="auto"/>
        </w:rPr>
        <w:t>Salesforce Ventures LLC (the “Prospective Investor”) has indicated an interest in purchasing up to an aggregate of $150 million in shares of our Class A common stock offered in this offering at the initial public offering price. In addition, the Prospective Investor, to the extent it elects to purchase any shares of our Class A common stock in this offering, will enter into a lock-up agreement on substantially the same terms as the lock-up agreements entered into by the holders of our preferred stock and certain non-employee holders of our common stock, which would prohibit the sale of any shares of Class A common stock purchased in this offering by the Prospective Investor for a period of 125 days from the date of this prospectus, subject to a potential partial early release and certain other exceptions as set forth under “Underwriting (Conflicts of Interest)—Lock-Up Agreements.” Because this indication of interest is not a binding agreement or commitment to purchase, the Prospective Investor may decide to purchase more, less or no shares of our Class A common stock in this offering, or the underwriters may decide to sell more, less or no shares of our Class A common stock in this offering to the Prospective Investor. The underwriters will receive the same discount from any shares of Class A common stock sold to the Prospective Investor as they will from any other shares of Class A common stock sold to the public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34290</wp:posOffset>
            </wp:positionV>
            <wp:extent cx="11988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98880" cy="7620"/>
                    </a:xfrm>
                    <a:prstGeom prst="rect">
                      <a:avLst/>
                    </a:prstGeom>
                    <a:noFill/>
                  </pic:spPr>
                </pic:pic>
              </a:graphicData>
            </a:graphic>
          </wp:anchor>
        </w:drawing>
      </w:r>
    </w:p>
    <w:p>
      <w:pPr>
        <w:spacing w:after="0" w:line="141" w:lineRule="exact"/>
        <w:rPr>
          <w:sz w:val="20"/>
          <w:szCs w:val="20"/>
          <w:color w:val="auto"/>
        </w:rPr>
      </w:pPr>
    </w:p>
    <w:tbl>
      <w:tblPr>
        <w:tblLayout w:type="fixed"/>
        <w:tblInd w:w="284" w:type="dxa"/>
        <w:tblCellMar>
          <w:top w:w="0" w:type="dxa"/>
          <w:left w:w="0" w:type="dxa"/>
          <w:bottom w:w="0" w:type="dxa"/>
          <w:right w:w="0" w:type="dxa"/>
        </w:tblCellMar>
      </w:tblPr>
      <w:tr>
        <w:trPr>
          <w:trHeight w:val="144"/>
        </w:trPr>
        <w:tc>
          <w:tcPr>
            <w:tcW w:w="4920" w:type="dxa"/>
            <w:vAlign w:val="bottom"/>
          </w:tcPr>
          <w:p>
            <w:pPr>
              <w:spacing w:after="0"/>
              <w:rPr>
                <w:sz w:val="20"/>
                <w:szCs w:val="20"/>
                <w:color w:val="auto"/>
              </w:rPr>
            </w:pPr>
            <w:r>
              <w:rPr>
                <w:rFonts w:ascii="Arial" w:cs="Arial" w:eastAsia="Arial" w:hAnsi="Arial"/>
                <w:sz w:val="12"/>
                <w:szCs w:val="12"/>
                <w:color w:val="auto"/>
              </w:rPr>
              <w:t>The underwriters expect to deliver the shares against payment in New York, New York on</w:t>
            </w:r>
          </w:p>
        </w:tc>
        <w:tc>
          <w:tcPr>
            <w:tcW w:w="580" w:type="dxa"/>
            <w:vAlign w:val="bottom"/>
          </w:tcPr>
          <w:p>
            <w:pPr>
              <w:jc w:val="right"/>
              <w:spacing w:after="0"/>
              <w:rPr>
                <w:sz w:val="20"/>
                <w:szCs w:val="20"/>
                <w:color w:val="auto"/>
              </w:rPr>
            </w:pPr>
            <w:r>
              <w:rPr>
                <w:rFonts w:ascii="Arial" w:cs="Arial" w:eastAsia="Arial" w:hAnsi="Arial"/>
                <w:sz w:val="12"/>
                <w:szCs w:val="12"/>
                <w:color w:val="auto"/>
              </w:rPr>
              <w:t>, 2021.</w:t>
            </w:r>
          </w:p>
        </w:tc>
      </w:tr>
    </w:tbl>
    <w:p>
      <w:pPr>
        <w:spacing w:after="0" w:line="73" w:lineRule="exact"/>
        <w:rPr>
          <w:sz w:val="20"/>
          <w:szCs w:val="20"/>
          <w:color w:val="auto"/>
        </w:rPr>
      </w:pPr>
    </w:p>
    <w:tbl>
      <w:tblPr>
        <w:tblLayout w:type="fixed"/>
        <w:tblInd w:w="24" w:type="dxa"/>
        <w:tblCellMar>
          <w:top w:w="0" w:type="dxa"/>
          <w:left w:w="0" w:type="dxa"/>
          <w:bottom w:w="0" w:type="dxa"/>
          <w:right w:w="0" w:type="dxa"/>
        </w:tblCellMar>
      </w:tblPr>
      <w:tr>
        <w:trPr>
          <w:trHeight w:val="275"/>
        </w:trPr>
        <w:tc>
          <w:tcPr>
            <w:tcW w:w="2940" w:type="dxa"/>
            <w:vAlign w:val="bottom"/>
          </w:tcPr>
          <w:p>
            <w:pPr>
              <w:spacing w:after="0"/>
              <w:rPr>
                <w:sz w:val="20"/>
                <w:szCs w:val="20"/>
                <w:color w:val="auto"/>
              </w:rPr>
            </w:pPr>
            <w:r>
              <w:rPr>
                <w:rFonts w:ascii="Arial" w:cs="Arial" w:eastAsia="Arial" w:hAnsi="Arial"/>
                <w:sz w:val="21"/>
                <w:szCs w:val="21"/>
                <w:b w:val="1"/>
                <w:bCs w:val="1"/>
                <w:color w:val="auto"/>
              </w:rPr>
              <w:t>Goldman Sachs &amp; Co. LLC</w:t>
            </w:r>
          </w:p>
        </w:tc>
        <w:tc>
          <w:tcPr>
            <w:tcW w:w="17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21"/>
                <w:szCs w:val="21"/>
                <w:b w:val="1"/>
                <w:bCs w:val="1"/>
                <w:color w:val="auto"/>
              </w:rPr>
              <w:t>J.P. Morgan</w:t>
            </w:r>
          </w:p>
        </w:tc>
      </w:tr>
      <w:tr>
        <w:trPr>
          <w:trHeight w:val="265"/>
        </w:trPr>
        <w:tc>
          <w:tcPr>
            <w:tcW w:w="2940" w:type="dxa"/>
            <w:vAlign w:val="bottom"/>
          </w:tcPr>
          <w:p>
            <w:pPr>
              <w:spacing w:after="0"/>
              <w:rPr>
                <w:sz w:val="20"/>
                <w:szCs w:val="20"/>
                <w:color w:val="auto"/>
              </w:rPr>
            </w:pPr>
            <w:r>
              <w:rPr>
                <w:rFonts w:ascii="Arial" w:cs="Arial" w:eastAsia="Arial" w:hAnsi="Arial"/>
                <w:sz w:val="18"/>
                <w:szCs w:val="18"/>
                <w:b w:val="1"/>
                <w:bCs w:val="1"/>
                <w:color w:val="auto"/>
              </w:rPr>
              <w:t>Barclays</w:t>
            </w:r>
          </w:p>
        </w:tc>
        <w:tc>
          <w:tcPr>
            <w:tcW w:w="1720" w:type="dxa"/>
            <w:vAlign w:val="bottom"/>
          </w:tcPr>
          <w:p>
            <w:pPr>
              <w:spacing w:after="0"/>
              <w:rPr>
                <w:sz w:val="23"/>
                <w:szCs w:val="23"/>
                <w:color w:val="auto"/>
              </w:rPr>
            </w:pPr>
          </w:p>
        </w:tc>
        <w:tc>
          <w:tcPr>
            <w:tcW w:w="1440" w:type="dxa"/>
            <w:vAlign w:val="bottom"/>
          </w:tcPr>
          <w:p>
            <w:pPr>
              <w:jc w:val="center"/>
              <w:ind w:left="341"/>
              <w:spacing w:after="0"/>
              <w:rPr>
                <w:sz w:val="20"/>
                <w:szCs w:val="20"/>
                <w:color w:val="auto"/>
              </w:rPr>
            </w:pPr>
            <w:r>
              <w:rPr>
                <w:rFonts w:ascii="Arial" w:cs="Arial" w:eastAsia="Arial" w:hAnsi="Arial"/>
                <w:sz w:val="18"/>
                <w:szCs w:val="18"/>
                <w:b w:val="1"/>
                <w:bCs w:val="1"/>
                <w:color w:val="auto"/>
                <w:w w:val="97"/>
              </w:rPr>
              <w:t>Citigroup</w:t>
            </w:r>
          </w:p>
        </w:tc>
        <w:tc>
          <w:tcPr>
            <w:tcW w:w="4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Wells Fargo Securities</w:t>
            </w:r>
          </w:p>
        </w:tc>
      </w:tr>
      <w:tr>
        <w:trPr>
          <w:trHeight w:val="299"/>
        </w:trPr>
        <w:tc>
          <w:tcPr>
            <w:tcW w:w="2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900" w:type="dxa"/>
            <w:vAlign w:val="bottom"/>
            <w:gridSpan w:val="3"/>
          </w:tcPr>
          <w:p>
            <w:pPr>
              <w:jc w:val="center"/>
              <w:ind w:right="1940"/>
              <w:spacing w:after="0"/>
              <w:rPr>
                <w:sz w:val="20"/>
                <w:szCs w:val="20"/>
                <w:color w:val="auto"/>
              </w:rPr>
            </w:pPr>
            <w:r>
              <w:rPr>
                <w:rFonts w:ascii="Arial" w:cs="Arial" w:eastAsia="Arial" w:hAnsi="Arial"/>
                <w:sz w:val="18"/>
                <w:szCs w:val="18"/>
                <w:b w:val="1"/>
                <w:bCs w:val="1"/>
                <w:color w:val="auto"/>
                <w:w w:val="96"/>
              </w:rPr>
              <w:t>Mizuho Securities</w:t>
            </w:r>
          </w:p>
        </w:tc>
        <w:tc>
          <w:tcPr>
            <w:tcW w:w="2660" w:type="dxa"/>
            <w:vAlign w:val="bottom"/>
          </w:tcPr>
          <w:p>
            <w:pPr>
              <w:spacing w:after="0"/>
              <w:rPr>
                <w:sz w:val="24"/>
                <w:szCs w:val="24"/>
                <w:color w:val="auto"/>
              </w:rPr>
            </w:pPr>
          </w:p>
        </w:tc>
      </w:tr>
      <w:tr>
        <w:trPr>
          <w:trHeight w:val="259"/>
        </w:trPr>
        <w:tc>
          <w:tcPr>
            <w:tcW w:w="2940" w:type="dxa"/>
            <w:vAlign w:val="bottom"/>
          </w:tcPr>
          <w:p>
            <w:pPr>
              <w:spacing w:after="0"/>
              <w:rPr>
                <w:sz w:val="20"/>
                <w:szCs w:val="20"/>
                <w:color w:val="auto"/>
              </w:rPr>
            </w:pPr>
            <w:r>
              <w:rPr>
                <w:rFonts w:ascii="Arial" w:cs="Arial" w:eastAsia="Arial" w:hAnsi="Arial"/>
                <w:sz w:val="16"/>
                <w:szCs w:val="16"/>
                <w:b w:val="1"/>
                <w:bCs w:val="1"/>
                <w:color w:val="auto"/>
              </w:rPr>
              <w:t>JMP Securities</w:t>
            </w:r>
          </w:p>
        </w:tc>
        <w:tc>
          <w:tcPr>
            <w:tcW w:w="3160" w:type="dxa"/>
            <w:vAlign w:val="bottom"/>
            <w:gridSpan w:val="2"/>
          </w:tcPr>
          <w:p>
            <w:pPr>
              <w:ind w:left="400"/>
              <w:spacing w:after="0"/>
              <w:rPr>
                <w:sz w:val="20"/>
                <w:szCs w:val="20"/>
                <w:color w:val="auto"/>
              </w:rPr>
            </w:pPr>
            <w:r>
              <w:rPr>
                <w:rFonts w:ascii="Arial" w:cs="Arial" w:eastAsia="Arial" w:hAnsi="Arial"/>
                <w:sz w:val="16"/>
                <w:szCs w:val="16"/>
                <w:b w:val="1"/>
                <w:bCs w:val="1"/>
                <w:color w:val="auto"/>
              </w:rPr>
              <w:t>KeyBanc Capital Markets</w:t>
            </w:r>
          </w:p>
        </w:tc>
        <w:tc>
          <w:tcPr>
            <w:tcW w:w="440" w:type="dxa"/>
            <w:vAlign w:val="bottom"/>
          </w:tcPr>
          <w:p>
            <w:pPr>
              <w:spacing w:after="0"/>
              <w:rPr>
                <w:sz w:val="22"/>
                <w:szCs w:val="22"/>
                <w:color w:val="auto"/>
              </w:rPr>
            </w:pPr>
          </w:p>
        </w:tc>
        <w:tc>
          <w:tcPr>
            <w:tcW w:w="2020" w:type="dxa"/>
            <w:vAlign w:val="bottom"/>
          </w:tcPr>
          <w:p>
            <w:pPr>
              <w:ind w:left="100"/>
              <w:spacing w:after="0"/>
              <w:rPr>
                <w:sz w:val="20"/>
                <w:szCs w:val="20"/>
                <w:color w:val="auto"/>
              </w:rPr>
            </w:pPr>
            <w:r>
              <w:rPr>
                <w:rFonts w:ascii="Arial" w:cs="Arial" w:eastAsia="Arial" w:hAnsi="Arial"/>
                <w:sz w:val="16"/>
                <w:szCs w:val="16"/>
                <w:b w:val="1"/>
                <w:bCs w:val="1"/>
                <w:color w:val="auto"/>
              </w:rPr>
              <w:t>Piper Sandler</w:t>
            </w:r>
          </w:p>
        </w:tc>
        <w:tc>
          <w:tcPr>
            <w:tcW w:w="2660" w:type="dxa"/>
            <w:vAlign w:val="bottom"/>
          </w:tcPr>
          <w:p>
            <w:pPr>
              <w:jc w:val="right"/>
              <w:spacing w:after="0"/>
              <w:rPr>
                <w:sz w:val="20"/>
                <w:szCs w:val="20"/>
                <w:color w:val="auto"/>
              </w:rPr>
            </w:pPr>
            <w:r>
              <w:rPr>
                <w:rFonts w:ascii="Arial" w:cs="Arial" w:eastAsia="Arial" w:hAnsi="Arial"/>
                <w:sz w:val="16"/>
                <w:szCs w:val="16"/>
                <w:b w:val="1"/>
                <w:bCs w:val="1"/>
                <w:color w:val="auto"/>
              </w:rPr>
              <w:t>Rosenblatt Securities</w:t>
            </w:r>
          </w:p>
        </w:tc>
      </w:tr>
      <w:tr>
        <w:trPr>
          <w:trHeight w:val="263"/>
        </w:trPr>
        <w:tc>
          <w:tcPr>
            <w:tcW w:w="2940" w:type="dxa"/>
            <w:vAlign w:val="bottom"/>
          </w:tcPr>
          <w:p>
            <w:pPr>
              <w:spacing w:after="0"/>
              <w:rPr>
                <w:sz w:val="20"/>
                <w:szCs w:val="20"/>
                <w:color w:val="auto"/>
              </w:rPr>
            </w:pPr>
            <w:r>
              <w:rPr>
                <w:rFonts w:ascii="Arial" w:cs="Arial" w:eastAsia="Arial" w:hAnsi="Arial"/>
                <w:sz w:val="16"/>
                <w:szCs w:val="16"/>
                <w:b w:val="1"/>
                <w:bCs w:val="1"/>
                <w:color w:val="auto"/>
              </w:rPr>
              <w:t>BMO Capital Markets</w:t>
            </w:r>
          </w:p>
        </w:tc>
        <w:tc>
          <w:tcPr>
            <w:tcW w:w="1720" w:type="dxa"/>
            <w:vAlign w:val="bottom"/>
          </w:tcPr>
          <w:p>
            <w:pPr>
              <w:spacing w:after="0"/>
              <w:rPr>
                <w:sz w:val="22"/>
                <w:szCs w:val="22"/>
                <w:color w:val="auto"/>
              </w:rPr>
            </w:pPr>
          </w:p>
        </w:tc>
        <w:tc>
          <w:tcPr>
            <w:tcW w:w="1440" w:type="dxa"/>
            <w:vAlign w:val="bottom"/>
          </w:tcPr>
          <w:p>
            <w:pPr>
              <w:jc w:val="center"/>
              <w:ind w:left="341"/>
              <w:spacing w:after="0"/>
              <w:rPr>
                <w:sz w:val="20"/>
                <w:szCs w:val="20"/>
                <w:color w:val="auto"/>
              </w:rPr>
            </w:pPr>
            <w:r>
              <w:rPr>
                <w:rFonts w:ascii="Arial" w:cs="Arial" w:eastAsia="Arial" w:hAnsi="Arial"/>
                <w:sz w:val="16"/>
                <w:szCs w:val="16"/>
                <w:b w:val="1"/>
                <w:bCs w:val="1"/>
                <w:color w:val="auto"/>
                <w:w w:val="99"/>
              </w:rPr>
              <w:t>BTIG</w:t>
            </w:r>
          </w:p>
        </w:tc>
        <w:tc>
          <w:tcPr>
            <w:tcW w:w="4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60" w:type="dxa"/>
            <w:vAlign w:val="bottom"/>
          </w:tcPr>
          <w:p>
            <w:pPr>
              <w:jc w:val="right"/>
              <w:spacing w:after="0"/>
              <w:rPr>
                <w:sz w:val="20"/>
                <w:szCs w:val="20"/>
                <w:color w:val="auto"/>
              </w:rPr>
            </w:pPr>
            <w:r>
              <w:rPr>
                <w:rFonts w:ascii="Arial" w:cs="Arial" w:eastAsia="Arial" w:hAnsi="Arial"/>
                <w:sz w:val="16"/>
                <w:szCs w:val="16"/>
                <w:b w:val="1"/>
                <w:bCs w:val="1"/>
                <w:color w:val="auto"/>
              </w:rPr>
              <w:t>Santander</w:t>
            </w:r>
          </w:p>
        </w:tc>
      </w:tr>
      <w:tr>
        <w:trPr>
          <w:trHeight w:val="263"/>
        </w:trPr>
        <w:tc>
          <w:tcPr>
            <w:tcW w:w="2940" w:type="dxa"/>
            <w:vAlign w:val="bottom"/>
          </w:tcPr>
          <w:p>
            <w:pPr>
              <w:spacing w:after="0"/>
              <w:rPr>
                <w:sz w:val="20"/>
                <w:szCs w:val="20"/>
                <w:color w:val="auto"/>
              </w:rPr>
            </w:pPr>
            <w:r>
              <w:rPr>
                <w:rFonts w:ascii="Arial" w:cs="Arial" w:eastAsia="Arial" w:hAnsi="Arial"/>
                <w:sz w:val="16"/>
                <w:szCs w:val="16"/>
                <w:b w:val="1"/>
                <w:bCs w:val="1"/>
                <w:color w:val="auto"/>
              </w:rPr>
              <w:t>Academy Securities</w:t>
            </w:r>
          </w:p>
        </w:tc>
        <w:tc>
          <w:tcPr>
            <w:tcW w:w="3160" w:type="dxa"/>
            <w:vAlign w:val="bottom"/>
            <w:gridSpan w:val="2"/>
          </w:tcPr>
          <w:p>
            <w:pPr>
              <w:ind w:left="340"/>
              <w:spacing w:after="0"/>
              <w:rPr>
                <w:sz w:val="20"/>
                <w:szCs w:val="20"/>
                <w:color w:val="auto"/>
              </w:rPr>
            </w:pPr>
            <w:r>
              <w:rPr>
                <w:rFonts w:ascii="Arial" w:cs="Arial" w:eastAsia="Arial" w:hAnsi="Arial"/>
                <w:sz w:val="16"/>
                <w:szCs w:val="16"/>
                <w:b w:val="1"/>
                <w:bCs w:val="1"/>
                <w:color w:val="auto"/>
              </w:rPr>
              <w:t>Loop Capital Markets</w:t>
            </w:r>
          </w:p>
        </w:tc>
        <w:tc>
          <w:tcPr>
            <w:tcW w:w="2460" w:type="dxa"/>
            <w:vAlign w:val="bottom"/>
            <w:gridSpan w:val="2"/>
          </w:tcPr>
          <w:p>
            <w:pPr>
              <w:ind w:left="260"/>
              <w:spacing w:after="0"/>
              <w:rPr>
                <w:sz w:val="20"/>
                <w:szCs w:val="20"/>
                <w:color w:val="auto"/>
              </w:rPr>
            </w:pPr>
            <w:r>
              <w:rPr>
                <w:rFonts w:ascii="Arial" w:cs="Arial" w:eastAsia="Arial" w:hAnsi="Arial"/>
                <w:sz w:val="16"/>
                <w:szCs w:val="16"/>
                <w:b w:val="1"/>
                <w:bCs w:val="1"/>
                <w:color w:val="auto"/>
              </w:rPr>
              <w:t>Ramirez &amp; Co., Inc.</w:t>
            </w:r>
          </w:p>
        </w:tc>
        <w:tc>
          <w:tcPr>
            <w:tcW w:w="2660" w:type="dxa"/>
            <w:vAlign w:val="bottom"/>
          </w:tcPr>
          <w:p>
            <w:pPr>
              <w:jc w:val="right"/>
              <w:spacing w:after="0"/>
              <w:rPr>
                <w:sz w:val="20"/>
                <w:szCs w:val="20"/>
                <w:color w:val="auto"/>
              </w:rPr>
            </w:pPr>
            <w:r>
              <w:rPr>
                <w:rFonts w:ascii="Arial" w:cs="Arial" w:eastAsia="Arial" w:hAnsi="Arial"/>
                <w:sz w:val="16"/>
                <w:szCs w:val="16"/>
                <w:b w:val="1"/>
                <w:bCs w:val="1"/>
                <w:color w:val="auto"/>
              </w:rPr>
              <w:t>Siebert Williams Shank</w:t>
            </w:r>
          </w:p>
        </w:tc>
      </w:tr>
      <w:tr>
        <w:trPr>
          <w:trHeight w:val="119"/>
        </w:trPr>
        <w:tc>
          <w:tcPr>
            <w:tcW w:w="29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2660" w:type="dxa"/>
            <w:vAlign w:val="bottom"/>
          </w:tcPr>
          <w:p>
            <w:pPr>
              <w:spacing w:after="0"/>
              <w:rPr>
                <w:sz w:val="10"/>
                <w:szCs w:val="10"/>
                <w:color w:val="auto"/>
              </w:rPr>
            </w:pPr>
          </w:p>
        </w:tc>
      </w:tr>
      <w:tr>
        <w:trPr>
          <w:trHeight w:val="231"/>
        </w:trPr>
        <w:tc>
          <w:tcPr>
            <w:tcW w:w="29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Arial" w:cs="Arial" w:eastAsia="Arial" w:hAnsi="Arial"/>
                <w:sz w:val="12"/>
                <w:szCs w:val="12"/>
                <w:b w:val="1"/>
                <w:bCs w:val="1"/>
                <w:color w:val="auto"/>
              </w:rPr>
              <w:t>Prospectus dated</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 2021</w:t>
            </w:r>
          </w:p>
        </w:tc>
        <w:tc>
          <w:tcPr>
            <w:tcW w:w="202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ectPr>
          <w:pgSz w:w="11900" w:h="16838" w:orient="portrait"/>
          <w:cols w:equalWidth="0" w:num="1">
            <w:col w:w="11264"/>
          </w:cols>
          <w:pgMar w:left="316" w:top="491"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TABLE OF CONTENTS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760" w:type="dxa"/>
            <w:vAlign w:val="bottom"/>
            <w:gridSpan w:val="21"/>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MARKET, INDUSTRY AND OTHER DATA</w:t>
              </w:r>
            </w:hyperlink>
          </w:p>
        </w:tc>
        <w:tc>
          <w:tcPr>
            <w:tcW w:w="1160" w:type="dxa"/>
            <w:vAlign w:val="bottom"/>
          </w:tcPr>
          <w:p>
            <w:pPr>
              <w:spacing w:after="0"/>
              <w:rPr>
                <w:sz w:val="16"/>
                <w:szCs w:val="16"/>
                <w:color w:val="auto"/>
              </w:rPr>
            </w:pPr>
          </w:p>
        </w:tc>
        <w:tc>
          <w:tcPr>
            <w:tcW w:w="160" w:type="dxa"/>
            <w:vAlign w:val="bottom"/>
            <w:gridSpan w:val="4"/>
          </w:tcPr>
          <w:p>
            <w:pPr>
              <w:jc w:val="center"/>
              <w:ind w:right="80"/>
              <w:spacing w:after="0"/>
              <w:rPr>
                <w:rFonts w:ascii="Arial" w:cs="Arial" w:eastAsia="Arial" w:hAnsi="Arial"/>
                <w:sz w:val="15"/>
                <w:szCs w:val="15"/>
                <w:color w:val="0000FF"/>
                <w:w w:val="73"/>
              </w:rPr>
            </w:pPr>
            <w:hyperlink w:anchor="page19">
              <w:r>
                <w:rPr>
                  <w:rFonts w:ascii="Arial" w:cs="Arial" w:eastAsia="Arial" w:hAnsi="Arial"/>
                  <w:sz w:val="15"/>
                  <w:szCs w:val="15"/>
                  <w:color w:val="0000FF"/>
                  <w:w w:val="73"/>
                </w:rPr>
                <w:t>vi</w:t>
              </w:r>
            </w:hyperlink>
          </w:p>
        </w:tc>
      </w:tr>
      <w:tr>
        <w:trPr>
          <w:trHeight w:val="183"/>
        </w:trPr>
        <w:tc>
          <w:tcPr>
            <w:tcW w:w="2960" w:type="dxa"/>
            <w:vAlign w:val="bottom"/>
            <w:tcBorders>
              <w:top w:val="single" w:sz="8" w:color="0000FF"/>
            </w:tcBorders>
            <w:gridSpan w:val="12"/>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PROSPECTUS SUMMARY</w:t>
              </w:r>
            </w:hyperlink>
          </w:p>
        </w:tc>
        <w:tc>
          <w:tcPr>
            <w:tcW w:w="6800" w:type="dxa"/>
            <w:vAlign w:val="bottom"/>
            <w:gridSpan w:val="9"/>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Borders>
              <w:top w:val="single" w:sz="8" w:color="0000FF"/>
            </w:tcBorders>
          </w:tcPr>
          <w:p>
            <w:pPr>
              <w:jc w:val="center"/>
              <w:spacing w:after="0"/>
              <w:rPr>
                <w:rFonts w:ascii="Arial" w:cs="Arial" w:eastAsia="Arial" w:hAnsi="Arial"/>
                <w:sz w:val="16"/>
                <w:szCs w:val="16"/>
                <w:color w:val="0000FF"/>
                <w:w w:val="89"/>
              </w:rPr>
            </w:pPr>
            <w:hyperlink w:anchor="page23">
              <w:r>
                <w:rPr>
                  <w:rFonts w:ascii="Arial" w:cs="Arial" w:eastAsia="Arial" w:hAnsi="Arial"/>
                  <w:sz w:val="16"/>
                  <w:szCs w:val="16"/>
                  <w:color w:val="0000FF"/>
                  <w:w w:val="89"/>
                </w:rPr>
                <w:t>1</w:t>
              </w:r>
            </w:hyperlink>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40" w:type="dxa"/>
            <w:vAlign w:val="bottom"/>
            <w:gridSpan w:val="2"/>
          </w:tcPr>
          <w:p>
            <w:pPr>
              <w:spacing w:after="0"/>
              <w:rPr>
                <w:rFonts w:ascii="Arial" w:cs="Arial" w:eastAsia="Arial" w:hAnsi="Arial"/>
                <w:sz w:val="16"/>
                <w:szCs w:val="16"/>
                <w:color w:val="0000FF"/>
                <w:w w:val="92"/>
              </w:rPr>
            </w:pPr>
            <w:hyperlink w:anchor="page57">
              <w:r>
                <w:rPr>
                  <w:rFonts w:ascii="Arial" w:cs="Arial" w:eastAsia="Arial" w:hAnsi="Arial"/>
                  <w:sz w:val="16"/>
                  <w:szCs w:val="16"/>
                  <w:color w:val="0000FF"/>
                  <w:w w:val="92"/>
                </w:rPr>
                <w:t>RISK FACTORS</w:t>
              </w:r>
            </w:hyperlink>
          </w:p>
        </w:tc>
        <w:tc>
          <w:tcPr>
            <w:tcW w:w="800" w:type="dxa"/>
            <w:vAlign w:val="bottom"/>
            <w:gridSpan w:val="5"/>
          </w:tcPr>
          <w:p>
            <w:pPr>
              <w:spacing w:after="0"/>
              <w:rPr>
                <w:sz w:val="15"/>
                <w:szCs w:val="15"/>
                <w:color w:val="auto"/>
              </w:rPr>
            </w:pPr>
          </w:p>
        </w:tc>
        <w:tc>
          <w:tcPr>
            <w:tcW w:w="7820" w:type="dxa"/>
            <w:vAlign w:val="bottom"/>
            <w:gridSpan w:val="14"/>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gridSpan w:val="4"/>
          </w:tcPr>
          <w:p>
            <w:pPr>
              <w:jc w:val="center"/>
              <w:ind w:right="40"/>
              <w:spacing w:after="0"/>
              <w:rPr>
                <w:rFonts w:ascii="Arial" w:cs="Arial" w:eastAsia="Arial" w:hAnsi="Arial"/>
                <w:sz w:val="15"/>
                <w:szCs w:val="15"/>
                <w:color w:val="0000FF"/>
                <w:w w:val="71"/>
              </w:rPr>
            </w:pPr>
            <w:hyperlink w:anchor="page57">
              <w:r>
                <w:rPr>
                  <w:rFonts w:ascii="Arial" w:cs="Arial" w:eastAsia="Arial" w:hAnsi="Arial"/>
                  <w:sz w:val="15"/>
                  <w:szCs w:val="15"/>
                  <w:color w:val="0000FF"/>
                  <w:w w:val="71"/>
                </w:rPr>
                <w:t>35</w:t>
              </w:r>
            </w:hyperlink>
          </w:p>
        </w:tc>
      </w:tr>
      <w:tr>
        <w:trPr>
          <w:trHeight w:val="20"/>
        </w:trPr>
        <w:tc>
          <w:tcPr>
            <w:tcW w:w="7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760" w:type="dxa"/>
            <w:vAlign w:val="bottom"/>
            <w:gridSpan w:val="21"/>
          </w:tcPr>
          <w:p>
            <w:pPr>
              <w:spacing w:after="0"/>
              <w:rPr>
                <w:rFonts w:ascii="Arial" w:cs="Arial" w:eastAsia="Arial" w:hAnsi="Arial"/>
                <w:sz w:val="16"/>
                <w:szCs w:val="16"/>
                <w:color w:val="0000FF"/>
              </w:rPr>
            </w:pPr>
            <w:hyperlink w:anchor="page134">
              <w:r>
                <w:rPr>
                  <w:rFonts w:ascii="Arial" w:cs="Arial" w:eastAsia="Arial" w:hAnsi="Arial"/>
                  <w:sz w:val="16"/>
                  <w:szCs w:val="16"/>
                  <w:color w:val="0000FF"/>
                </w:rPr>
                <w:t>SPECIAL NOTE REGARDING FORWARD-LOOKING STATEMENTS</w:t>
              </w:r>
            </w:hyperlink>
          </w:p>
        </w:tc>
        <w:tc>
          <w:tcPr>
            <w:tcW w:w="1320" w:type="dxa"/>
            <w:vAlign w:val="bottom"/>
            <w:gridSpan w:val="5"/>
          </w:tcPr>
          <w:p>
            <w:pPr>
              <w:jc w:val="center"/>
              <w:ind w:left="980"/>
              <w:spacing w:after="0"/>
              <w:rPr>
                <w:rFonts w:ascii="Arial" w:cs="Arial" w:eastAsia="Arial" w:hAnsi="Arial"/>
                <w:sz w:val="16"/>
                <w:szCs w:val="16"/>
                <w:color w:val="0000FF"/>
                <w:w w:val="97"/>
              </w:rPr>
            </w:pPr>
            <w:hyperlink w:anchor="page134">
              <w:r>
                <w:rPr>
                  <w:rFonts w:ascii="Arial" w:cs="Arial" w:eastAsia="Arial" w:hAnsi="Arial"/>
                  <w:sz w:val="16"/>
                  <w:szCs w:val="16"/>
                  <w:color w:val="0000FF"/>
                  <w:w w:val="97"/>
                </w:rPr>
                <w:t>112</w:t>
              </w:r>
            </w:hyperlink>
          </w:p>
        </w:tc>
      </w:tr>
      <w:tr>
        <w:trPr>
          <w:trHeight w:val="20"/>
        </w:trPr>
        <w:tc>
          <w:tcPr>
            <w:tcW w:w="7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4880" w:type="dxa"/>
            <w:vAlign w:val="bottom"/>
            <w:gridSpan w:val="17"/>
          </w:tcPr>
          <w:p>
            <w:pPr>
              <w:spacing w:after="0"/>
              <w:rPr>
                <w:rFonts w:ascii="Arial" w:cs="Arial" w:eastAsia="Arial" w:hAnsi="Arial"/>
                <w:sz w:val="16"/>
                <w:szCs w:val="16"/>
                <w:color w:val="0000FF"/>
              </w:rPr>
            </w:pPr>
            <w:hyperlink w:anchor="page137">
              <w:r>
                <w:rPr>
                  <w:rFonts w:ascii="Arial" w:cs="Arial" w:eastAsia="Arial" w:hAnsi="Arial"/>
                  <w:sz w:val="16"/>
                  <w:szCs w:val="16"/>
                  <w:color w:val="0000FF"/>
                </w:rPr>
                <w:t>USE OF PROCEEDS</w:t>
              </w:r>
            </w:hyperlink>
          </w:p>
        </w:tc>
        <w:tc>
          <w:tcPr>
            <w:tcW w:w="4880" w:type="dxa"/>
            <w:vAlign w:val="bottom"/>
            <w:gridSpan w:val="4"/>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137">
              <w:r>
                <w:rPr>
                  <w:rFonts w:ascii="Arial" w:cs="Arial" w:eastAsia="Arial" w:hAnsi="Arial"/>
                  <w:sz w:val="16"/>
                  <w:szCs w:val="16"/>
                  <w:color w:val="0000FF"/>
                  <w:w w:val="97"/>
                </w:rPr>
                <w:t>115</w:t>
              </w:r>
            </w:hyperlink>
          </w:p>
        </w:tc>
      </w:tr>
      <w:tr>
        <w:trPr>
          <w:trHeight w:val="20"/>
        </w:trPr>
        <w:tc>
          <w:tcPr>
            <w:tcW w:w="7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1520" w:type="dxa"/>
            <w:vAlign w:val="bottom"/>
            <w:gridSpan w:val="6"/>
          </w:tcPr>
          <w:p>
            <w:pPr>
              <w:spacing w:after="0"/>
              <w:rPr>
                <w:rFonts w:ascii="Arial" w:cs="Arial" w:eastAsia="Arial" w:hAnsi="Arial"/>
                <w:sz w:val="16"/>
                <w:szCs w:val="16"/>
                <w:color w:val="0000FF"/>
              </w:rPr>
            </w:pPr>
            <w:hyperlink w:anchor="page138">
              <w:r>
                <w:rPr>
                  <w:rFonts w:ascii="Arial" w:cs="Arial" w:eastAsia="Arial" w:hAnsi="Arial"/>
                  <w:sz w:val="16"/>
                  <w:szCs w:val="16"/>
                  <w:color w:val="0000FF"/>
                </w:rPr>
                <w:t>DIVIDEND POLICY</w:t>
              </w:r>
            </w:hyperlink>
          </w:p>
        </w:tc>
        <w:tc>
          <w:tcPr>
            <w:tcW w:w="8240" w:type="dxa"/>
            <w:vAlign w:val="bottom"/>
            <w:gridSpan w:val="15"/>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138">
              <w:r>
                <w:rPr>
                  <w:rFonts w:ascii="Arial" w:cs="Arial" w:eastAsia="Arial" w:hAnsi="Arial"/>
                  <w:sz w:val="16"/>
                  <w:szCs w:val="16"/>
                  <w:color w:val="0000FF"/>
                  <w:w w:val="97"/>
                </w:rPr>
                <w:t>116</w:t>
              </w:r>
            </w:hyperlink>
          </w:p>
        </w:tc>
      </w:tr>
      <w:tr>
        <w:trPr>
          <w:trHeight w:val="20"/>
        </w:trPr>
        <w:tc>
          <w:tcPr>
            <w:tcW w:w="7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1260" w:type="dxa"/>
            <w:vAlign w:val="bottom"/>
            <w:gridSpan w:val="3"/>
          </w:tcPr>
          <w:p>
            <w:pPr>
              <w:spacing w:after="0"/>
              <w:rPr>
                <w:rFonts w:ascii="Arial" w:cs="Arial" w:eastAsia="Arial" w:hAnsi="Arial"/>
                <w:sz w:val="16"/>
                <w:szCs w:val="16"/>
                <w:color w:val="0000FF"/>
                <w:w w:val="95"/>
              </w:rPr>
            </w:pPr>
            <w:hyperlink w:anchor="page139">
              <w:r>
                <w:rPr>
                  <w:rFonts w:ascii="Arial" w:cs="Arial" w:eastAsia="Arial" w:hAnsi="Arial"/>
                  <w:sz w:val="16"/>
                  <w:szCs w:val="16"/>
                  <w:color w:val="0000FF"/>
                  <w:w w:val="95"/>
                </w:rPr>
                <w:t>CAPITALIZATION</w:t>
              </w:r>
            </w:hyperlink>
          </w:p>
        </w:tc>
        <w:tc>
          <w:tcPr>
            <w:tcW w:w="120" w:type="dxa"/>
            <w:vAlign w:val="bottom"/>
            <w:gridSpan w:val="2"/>
          </w:tcPr>
          <w:p>
            <w:pPr>
              <w:spacing w:after="0"/>
              <w:rPr>
                <w:sz w:val="15"/>
                <w:szCs w:val="15"/>
                <w:color w:val="auto"/>
              </w:rPr>
            </w:pPr>
          </w:p>
        </w:tc>
        <w:tc>
          <w:tcPr>
            <w:tcW w:w="8380" w:type="dxa"/>
            <w:vAlign w:val="bottom"/>
            <w:gridSpan w:val="16"/>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139">
              <w:r>
                <w:rPr>
                  <w:rFonts w:ascii="Arial" w:cs="Arial" w:eastAsia="Arial" w:hAnsi="Arial"/>
                  <w:sz w:val="16"/>
                  <w:szCs w:val="16"/>
                  <w:color w:val="0000FF"/>
                  <w:w w:val="97"/>
                </w:rPr>
                <w:t>117</w:t>
              </w:r>
            </w:hyperlink>
          </w:p>
        </w:tc>
      </w:tr>
      <w:tr>
        <w:trPr>
          <w:trHeight w:val="20"/>
        </w:trPr>
        <w:tc>
          <w:tcPr>
            <w:tcW w:w="7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740" w:type="dxa"/>
            <w:vAlign w:val="bottom"/>
          </w:tcPr>
          <w:p>
            <w:pPr>
              <w:spacing w:after="0"/>
              <w:rPr>
                <w:rFonts w:ascii="Arial" w:cs="Arial" w:eastAsia="Arial" w:hAnsi="Arial"/>
                <w:sz w:val="16"/>
                <w:szCs w:val="16"/>
                <w:color w:val="0000FF"/>
                <w:w w:val="93"/>
              </w:rPr>
            </w:pPr>
            <w:hyperlink w:anchor="page143">
              <w:r>
                <w:rPr>
                  <w:rFonts w:ascii="Arial" w:cs="Arial" w:eastAsia="Arial" w:hAnsi="Arial"/>
                  <w:sz w:val="16"/>
                  <w:szCs w:val="16"/>
                  <w:color w:val="0000FF"/>
                  <w:w w:val="93"/>
                </w:rPr>
                <w:t>DILUTION</w:t>
              </w:r>
            </w:hyperlink>
          </w:p>
        </w:tc>
        <w:tc>
          <w:tcPr>
            <w:tcW w:w="520" w:type="dxa"/>
            <w:vAlign w:val="bottom"/>
            <w:gridSpan w:val="2"/>
          </w:tcPr>
          <w:p>
            <w:pPr>
              <w:spacing w:after="0"/>
              <w:rPr>
                <w:sz w:val="15"/>
                <w:szCs w:val="15"/>
                <w:color w:val="auto"/>
              </w:rPr>
            </w:pPr>
          </w:p>
        </w:tc>
        <w:tc>
          <w:tcPr>
            <w:tcW w:w="8500" w:type="dxa"/>
            <w:vAlign w:val="bottom"/>
            <w:gridSpan w:val="18"/>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143">
              <w:r>
                <w:rPr>
                  <w:rFonts w:ascii="Arial" w:cs="Arial" w:eastAsia="Arial" w:hAnsi="Arial"/>
                  <w:sz w:val="16"/>
                  <w:szCs w:val="16"/>
                  <w:color w:val="0000FF"/>
                  <w:w w:val="97"/>
                </w:rPr>
                <w:t>121</w:t>
              </w:r>
            </w:hyperlink>
          </w:p>
        </w:tc>
      </w:tr>
      <w:tr>
        <w:trPr>
          <w:trHeight w:val="20"/>
        </w:trPr>
        <w:tc>
          <w:tcPr>
            <w:tcW w:w="7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8080" w:type="dxa"/>
            <w:vAlign w:val="bottom"/>
            <w:gridSpan w:val="19"/>
          </w:tcPr>
          <w:p>
            <w:pPr>
              <w:spacing w:after="0"/>
              <w:rPr>
                <w:rFonts w:ascii="Arial" w:cs="Arial" w:eastAsia="Arial" w:hAnsi="Arial"/>
                <w:sz w:val="16"/>
                <w:szCs w:val="16"/>
                <w:color w:val="0000FF"/>
                <w:w w:val="98"/>
              </w:rPr>
            </w:pPr>
            <w:hyperlink w:anchor="page148">
              <w:r>
                <w:rPr>
                  <w:rFonts w:ascii="Arial" w:cs="Arial" w:eastAsia="Arial" w:hAnsi="Arial"/>
                  <w:sz w:val="16"/>
                  <w:szCs w:val="16"/>
                  <w:color w:val="0000FF"/>
                  <w:w w:val="98"/>
                </w:rPr>
                <w:t>MANAGEMENT’S DISCUSSION AND ANALYSIS OF FINANCIAL CONDITION AND RESULTS OF OPERATIONS</w:t>
              </w:r>
            </w:hyperlink>
          </w:p>
        </w:tc>
        <w:tc>
          <w:tcPr>
            <w:tcW w:w="1680" w:type="dxa"/>
            <w:vAlign w:val="bottom"/>
            <w:gridSpan w:val="2"/>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148">
              <w:r>
                <w:rPr>
                  <w:rFonts w:ascii="Arial" w:cs="Arial" w:eastAsia="Arial" w:hAnsi="Arial"/>
                  <w:sz w:val="16"/>
                  <w:szCs w:val="16"/>
                  <w:color w:val="0000FF"/>
                  <w:w w:val="97"/>
                </w:rPr>
                <w:t>126</w:t>
              </w:r>
            </w:hyperlink>
          </w:p>
        </w:tc>
      </w:tr>
      <w:tr>
        <w:trPr>
          <w:trHeight w:val="20"/>
        </w:trPr>
        <w:tc>
          <w:tcPr>
            <w:tcW w:w="7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740" w:type="dxa"/>
            <w:vAlign w:val="bottom"/>
          </w:tcPr>
          <w:p>
            <w:pPr>
              <w:spacing w:after="0"/>
              <w:rPr>
                <w:rFonts w:ascii="Arial" w:cs="Arial" w:eastAsia="Arial" w:hAnsi="Arial"/>
                <w:sz w:val="16"/>
                <w:szCs w:val="16"/>
                <w:color w:val="0000FF"/>
                <w:w w:val="86"/>
              </w:rPr>
            </w:pPr>
            <w:hyperlink w:anchor="page193">
              <w:r>
                <w:rPr>
                  <w:rFonts w:ascii="Arial" w:cs="Arial" w:eastAsia="Arial" w:hAnsi="Arial"/>
                  <w:sz w:val="16"/>
                  <w:szCs w:val="16"/>
                  <w:color w:val="0000FF"/>
                  <w:w w:val="86"/>
                </w:rPr>
                <w:t>BUSINESS</w:t>
              </w:r>
            </w:hyperlink>
          </w:p>
        </w:tc>
        <w:tc>
          <w:tcPr>
            <w:tcW w:w="7340" w:type="dxa"/>
            <w:vAlign w:val="bottom"/>
            <w:gridSpan w:val="18"/>
          </w:tcPr>
          <w:p>
            <w:pPr>
              <w:spacing w:after="0"/>
              <w:rPr>
                <w:sz w:val="15"/>
                <w:szCs w:val="15"/>
                <w:color w:val="auto"/>
              </w:rPr>
            </w:pPr>
          </w:p>
        </w:tc>
        <w:tc>
          <w:tcPr>
            <w:tcW w:w="1680" w:type="dxa"/>
            <w:vAlign w:val="bottom"/>
            <w:gridSpan w:val="2"/>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193">
              <w:r>
                <w:rPr>
                  <w:rFonts w:ascii="Arial" w:cs="Arial" w:eastAsia="Arial" w:hAnsi="Arial"/>
                  <w:sz w:val="16"/>
                  <w:szCs w:val="16"/>
                  <w:color w:val="0000FF"/>
                  <w:w w:val="97"/>
                </w:rPr>
                <w:t>171</w:t>
              </w:r>
            </w:hyperlink>
          </w:p>
        </w:tc>
      </w:tr>
      <w:tr>
        <w:trPr>
          <w:trHeight w:val="20"/>
        </w:trPr>
        <w:tc>
          <w:tcPr>
            <w:tcW w:w="7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1140" w:type="dxa"/>
            <w:vAlign w:val="bottom"/>
            <w:gridSpan w:val="2"/>
          </w:tcPr>
          <w:p>
            <w:pPr>
              <w:spacing w:after="0"/>
              <w:rPr>
                <w:rFonts w:ascii="Arial" w:cs="Arial" w:eastAsia="Arial" w:hAnsi="Arial"/>
                <w:sz w:val="16"/>
                <w:szCs w:val="16"/>
                <w:color w:val="0000FF"/>
                <w:w w:val="95"/>
              </w:rPr>
            </w:pPr>
            <w:hyperlink w:anchor="page235">
              <w:r>
                <w:rPr>
                  <w:rFonts w:ascii="Arial" w:cs="Arial" w:eastAsia="Arial" w:hAnsi="Arial"/>
                  <w:sz w:val="16"/>
                  <w:szCs w:val="16"/>
                  <w:color w:val="0000FF"/>
                  <w:w w:val="95"/>
                </w:rPr>
                <w:t>MANAGEMENT</w:t>
              </w:r>
            </w:hyperlink>
          </w:p>
        </w:tc>
        <w:tc>
          <w:tcPr>
            <w:tcW w:w="8620" w:type="dxa"/>
            <w:vAlign w:val="bottom"/>
            <w:gridSpan w:val="19"/>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235">
              <w:r>
                <w:rPr>
                  <w:rFonts w:ascii="Arial" w:cs="Arial" w:eastAsia="Arial" w:hAnsi="Arial"/>
                  <w:sz w:val="16"/>
                  <w:szCs w:val="16"/>
                  <w:color w:val="0000FF"/>
                  <w:w w:val="97"/>
                </w:rPr>
                <w:t>213</w:t>
              </w:r>
            </w:hyperlink>
          </w:p>
        </w:tc>
      </w:tr>
      <w:tr>
        <w:trPr>
          <w:trHeight w:val="20"/>
        </w:trPr>
        <w:tc>
          <w:tcPr>
            <w:tcW w:w="7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2220" w:type="dxa"/>
            <w:vAlign w:val="bottom"/>
            <w:gridSpan w:val="9"/>
          </w:tcPr>
          <w:p>
            <w:pPr>
              <w:spacing w:after="0"/>
              <w:rPr>
                <w:rFonts w:ascii="Arial" w:cs="Arial" w:eastAsia="Arial" w:hAnsi="Arial"/>
                <w:sz w:val="16"/>
                <w:szCs w:val="16"/>
                <w:color w:val="0000FF"/>
                <w:w w:val="97"/>
              </w:rPr>
            </w:pPr>
            <w:hyperlink w:anchor="page244">
              <w:r>
                <w:rPr>
                  <w:rFonts w:ascii="Arial" w:cs="Arial" w:eastAsia="Arial" w:hAnsi="Arial"/>
                  <w:sz w:val="16"/>
                  <w:szCs w:val="16"/>
                  <w:color w:val="0000FF"/>
                  <w:w w:val="97"/>
                </w:rPr>
                <w:t>EXECUTIVE COMPENSATION</w:t>
              </w:r>
            </w:hyperlink>
          </w:p>
        </w:tc>
        <w:tc>
          <w:tcPr>
            <w:tcW w:w="7540" w:type="dxa"/>
            <w:vAlign w:val="bottom"/>
            <w:gridSpan w:val="12"/>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244">
              <w:r>
                <w:rPr>
                  <w:rFonts w:ascii="Arial" w:cs="Arial" w:eastAsia="Arial" w:hAnsi="Arial"/>
                  <w:sz w:val="16"/>
                  <w:szCs w:val="16"/>
                  <w:color w:val="0000FF"/>
                  <w:w w:val="97"/>
                </w:rPr>
                <w:t>222</w:t>
              </w:r>
            </w:hyperlink>
          </w:p>
        </w:tc>
      </w:tr>
      <w:tr>
        <w:trPr>
          <w:trHeight w:val="20"/>
        </w:trPr>
        <w:tc>
          <w:tcPr>
            <w:tcW w:w="7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2220" w:type="dxa"/>
            <w:vAlign w:val="bottom"/>
            <w:gridSpan w:val="9"/>
          </w:tcPr>
          <w:p>
            <w:pPr>
              <w:spacing w:after="0"/>
              <w:rPr>
                <w:rFonts w:ascii="Arial" w:cs="Arial" w:eastAsia="Arial" w:hAnsi="Arial"/>
                <w:sz w:val="16"/>
                <w:szCs w:val="16"/>
                <w:color w:val="0000FF"/>
              </w:rPr>
            </w:pPr>
            <w:hyperlink w:anchor="page263">
              <w:r>
                <w:rPr>
                  <w:rFonts w:ascii="Arial" w:cs="Arial" w:eastAsia="Arial" w:hAnsi="Arial"/>
                  <w:sz w:val="16"/>
                  <w:szCs w:val="16"/>
                  <w:color w:val="0000FF"/>
                </w:rPr>
                <w:t>DIRECTOR COMPENSATION</w:t>
              </w:r>
            </w:hyperlink>
          </w:p>
        </w:tc>
        <w:tc>
          <w:tcPr>
            <w:tcW w:w="7540" w:type="dxa"/>
            <w:vAlign w:val="bottom"/>
            <w:gridSpan w:val="12"/>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263">
              <w:r>
                <w:rPr>
                  <w:rFonts w:ascii="Arial" w:cs="Arial" w:eastAsia="Arial" w:hAnsi="Arial"/>
                  <w:sz w:val="16"/>
                  <w:szCs w:val="16"/>
                  <w:color w:val="0000FF"/>
                  <w:w w:val="97"/>
                </w:rPr>
                <w:t>241</w:t>
              </w:r>
            </w:hyperlink>
          </w:p>
        </w:tc>
      </w:tr>
      <w:tr>
        <w:trPr>
          <w:trHeight w:val="20"/>
        </w:trPr>
        <w:tc>
          <w:tcPr>
            <w:tcW w:w="7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3280" w:type="dxa"/>
            <w:vAlign w:val="bottom"/>
            <w:gridSpan w:val="13"/>
          </w:tcPr>
          <w:p>
            <w:pPr>
              <w:spacing w:after="0"/>
              <w:rPr>
                <w:rFonts w:ascii="Arial" w:cs="Arial" w:eastAsia="Arial" w:hAnsi="Arial"/>
                <w:sz w:val="16"/>
                <w:szCs w:val="16"/>
                <w:color w:val="0000FF"/>
                <w:w w:val="98"/>
              </w:rPr>
            </w:pPr>
            <w:hyperlink w:anchor="page265">
              <w:r>
                <w:rPr>
                  <w:rFonts w:ascii="Arial" w:cs="Arial" w:eastAsia="Arial" w:hAnsi="Arial"/>
                  <w:sz w:val="16"/>
                  <w:szCs w:val="16"/>
                  <w:color w:val="0000FF"/>
                  <w:w w:val="98"/>
                </w:rPr>
                <w:t>PRINCIPAL AND SELLING STOCKHOLDERS</w:t>
              </w:r>
            </w:hyperlink>
          </w:p>
        </w:tc>
        <w:tc>
          <w:tcPr>
            <w:tcW w:w="6480" w:type="dxa"/>
            <w:vAlign w:val="bottom"/>
            <w:gridSpan w:val="8"/>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265">
              <w:r>
                <w:rPr>
                  <w:rFonts w:ascii="Arial" w:cs="Arial" w:eastAsia="Arial" w:hAnsi="Arial"/>
                  <w:sz w:val="16"/>
                  <w:szCs w:val="16"/>
                  <w:color w:val="0000FF"/>
                  <w:w w:val="97"/>
                </w:rPr>
                <w:t>243</w:t>
              </w:r>
            </w:hyperlink>
          </w:p>
        </w:tc>
      </w:tr>
      <w:tr>
        <w:trPr>
          <w:trHeight w:val="20"/>
        </w:trPr>
        <w:tc>
          <w:tcPr>
            <w:tcW w:w="7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5140" w:type="dxa"/>
            <w:vAlign w:val="bottom"/>
            <w:gridSpan w:val="18"/>
          </w:tcPr>
          <w:p>
            <w:pPr>
              <w:spacing w:after="0"/>
              <w:rPr>
                <w:rFonts w:ascii="Arial" w:cs="Arial" w:eastAsia="Arial" w:hAnsi="Arial"/>
                <w:sz w:val="16"/>
                <w:szCs w:val="16"/>
                <w:color w:val="0000FF"/>
                <w:w w:val="98"/>
              </w:rPr>
            </w:pPr>
            <w:hyperlink w:anchor="page269">
              <w:r>
                <w:rPr>
                  <w:rFonts w:ascii="Arial" w:cs="Arial" w:eastAsia="Arial" w:hAnsi="Arial"/>
                  <w:sz w:val="16"/>
                  <w:szCs w:val="16"/>
                  <w:color w:val="0000FF"/>
                  <w:w w:val="98"/>
                </w:rPr>
                <w:t>CERTAIN RELATIONSHIPS AND RELATED PERSON TRANSACTIONS</w:t>
              </w:r>
            </w:hyperlink>
          </w:p>
        </w:tc>
        <w:tc>
          <w:tcPr>
            <w:tcW w:w="4620" w:type="dxa"/>
            <w:vAlign w:val="bottom"/>
            <w:gridSpan w:val="3"/>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269">
              <w:r>
                <w:rPr>
                  <w:rFonts w:ascii="Arial" w:cs="Arial" w:eastAsia="Arial" w:hAnsi="Arial"/>
                  <w:sz w:val="16"/>
                  <w:szCs w:val="16"/>
                  <w:color w:val="0000FF"/>
                  <w:w w:val="97"/>
                </w:rPr>
                <w:t>247</w:t>
              </w:r>
            </w:hyperlink>
          </w:p>
        </w:tc>
      </w:tr>
      <w:tr>
        <w:trPr>
          <w:trHeight w:val="20"/>
        </w:trPr>
        <w:tc>
          <w:tcPr>
            <w:tcW w:w="7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2640" w:type="dxa"/>
            <w:vAlign w:val="bottom"/>
            <w:gridSpan w:val="10"/>
          </w:tcPr>
          <w:p>
            <w:pPr>
              <w:spacing w:after="0"/>
              <w:rPr>
                <w:rFonts w:ascii="Arial" w:cs="Arial" w:eastAsia="Arial" w:hAnsi="Arial"/>
                <w:sz w:val="16"/>
                <w:szCs w:val="16"/>
                <w:color w:val="0000FF"/>
                <w:w w:val="98"/>
              </w:rPr>
            </w:pPr>
            <w:hyperlink w:anchor="page276">
              <w:r>
                <w:rPr>
                  <w:rFonts w:ascii="Arial" w:cs="Arial" w:eastAsia="Arial" w:hAnsi="Arial"/>
                  <w:sz w:val="16"/>
                  <w:szCs w:val="16"/>
                  <w:color w:val="0000FF"/>
                  <w:w w:val="98"/>
                </w:rPr>
                <w:t>DESCRIPTION OF CAPITAL STOCK</w:t>
              </w:r>
            </w:hyperlink>
          </w:p>
        </w:tc>
        <w:tc>
          <w:tcPr>
            <w:tcW w:w="2500" w:type="dxa"/>
            <w:vAlign w:val="bottom"/>
            <w:gridSpan w:val="8"/>
          </w:tcPr>
          <w:p>
            <w:pPr>
              <w:spacing w:after="0"/>
              <w:rPr>
                <w:sz w:val="15"/>
                <w:szCs w:val="15"/>
                <w:color w:val="auto"/>
              </w:rPr>
            </w:pPr>
          </w:p>
        </w:tc>
        <w:tc>
          <w:tcPr>
            <w:tcW w:w="4620" w:type="dxa"/>
            <w:vAlign w:val="bottom"/>
            <w:gridSpan w:val="3"/>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276">
              <w:r>
                <w:rPr>
                  <w:rFonts w:ascii="Arial" w:cs="Arial" w:eastAsia="Arial" w:hAnsi="Arial"/>
                  <w:sz w:val="16"/>
                  <w:szCs w:val="16"/>
                  <w:color w:val="0000FF"/>
                  <w:w w:val="97"/>
                </w:rPr>
                <w:t>254</w:t>
              </w:r>
            </w:hyperlink>
          </w:p>
        </w:tc>
      </w:tr>
      <w:tr>
        <w:trPr>
          <w:trHeight w:val="20"/>
        </w:trPr>
        <w:tc>
          <w:tcPr>
            <w:tcW w:w="7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9760" w:type="dxa"/>
            <w:vAlign w:val="bottom"/>
            <w:gridSpan w:val="21"/>
          </w:tcPr>
          <w:p>
            <w:pPr>
              <w:spacing w:after="0"/>
              <w:rPr>
                <w:rFonts w:ascii="Arial" w:cs="Arial" w:eastAsia="Arial" w:hAnsi="Arial"/>
                <w:sz w:val="16"/>
                <w:szCs w:val="16"/>
                <w:color w:val="0000FF"/>
              </w:rPr>
            </w:pPr>
            <w:hyperlink w:anchor="page288">
              <w:r>
                <w:rPr>
                  <w:rFonts w:ascii="Arial" w:cs="Arial" w:eastAsia="Arial" w:hAnsi="Arial"/>
                  <w:sz w:val="16"/>
                  <w:szCs w:val="16"/>
                  <w:color w:val="0000FF"/>
                </w:rPr>
                <w:t>SHARES ELIGIBLE FOR FUTURE SALE</w:t>
              </w:r>
            </w:hyperlink>
          </w:p>
        </w:tc>
        <w:tc>
          <w:tcPr>
            <w:tcW w:w="1320" w:type="dxa"/>
            <w:vAlign w:val="bottom"/>
            <w:gridSpan w:val="5"/>
          </w:tcPr>
          <w:p>
            <w:pPr>
              <w:jc w:val="center"/>
              <w:ind w:left="980"/>
              <w:spacing w:after="0"/>
              <w:rPr>
                <w:rFonts w:ascii="Arial" w:cs="Arial" w:eastAsia="Arial" w:hAnsi="Arial"/>
                <w:sz w:val="16"/>
                <w:szCs w:val="16"/>
                <w:color w:val="0000FF"/>
                <w:w w:val="97"/>
              </w:rPr>
            </w:pPr>
            <w:hyperlink w:anchor="page288">
              <w:r>
                <w:rPr>
                  <w:rFonts w:ascii="Arial" w:cs="Arial" w:eastAsia="Arial" w:hAnsi="Arial"/>
                  <w:sz w:val="16"/>
                  <w:szCs w:val="16"/>
                  <w:color w:val="0000FF"/>
                  <w:w w:val="97"/>
                </w:rPr>
                <w:t>266</w:t>
              </w:r>
            </w:hyperlink>
          </w:p>
        </w:tc>
      </w:tr>
      <w:tr>
        <w:trPr>
          <w:trHeight w:val="20"/>
        </w:trPr>
        <w:tc>
          <w:tcPr>
            <w:tcW w:w="7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9760" w:type="dxa"/>
            <w:vAlign w:val="bottom"/>
            <w:gridSpan w:val="21"/>
          </w:tcPr>
          <w:p>
            <w:pPr>
              <w:spacing w:after="0"/>
              <w:rPr>
                <w:rFonts w:ascii="Arial" w:cs="Arial" w:eastAsia="Arial" w:hAnsi="Arial"/>
                <w:sz w:val="16"/>
                <w:szCs w:val="16"/>
                <w:color w:val="0000FF"/>
              </w:rPr>
            </w:pPr>
            <w:hyperlink w:anchor="page296">
              <w:r>
                <w:rPr>
                  <w:rFonts w:ascii="Arial" w:cs="Arial" w:eastAsia="Arial" w:hAnsi="Arial"/>
                  <w:sz w:val="16"/>
                  <w:szCs w:val="16"/>
                  <w:color w:val="0000FF"/>
                </w:rPr>
                <w:t>MATERIAL U.S. FEDERAL INCOME TAX CONSIDERATIONS FOR NON-U.S. HOLDERS OF CLASS A COMMON STOCK</w:t>
              </w:r>
            </w:hyperlink>
          </w:p>
        </w:tc>
        <w:tc>
          <w:tcPr>
            <w:tcW w:w="1320" w:type="dxa"/>
            <w:vAlign w:val="bottom"/>
            <w:gridSpan w:val="5"/>
          </w:tcPr>
          <w:p>
            <w:pPr>
              <w:jc w:val="center"/>
              <w:ind w:left="980"/>
              <w:spacing w:after="0"/>
              <w:rPr>
                <w:rFonts w:ascii="Arial" w:cs="Arial" w:eastAsia="Arial" w:hAnsi="Arial"/>
                <w:sz w:val="16"/>
                <w:szCs w:val="16"/>
                <w:color w:val="0000FF"/>
                <w:w w:val="97"/>
              </w:rPr>
            </w:pPr>
            <w:hyperlink w:anchor="page296">
              <w:r>
                <w:rPr>
                  <w:rFonts w:ascii="Arial" w:cs="Arial" w:eastAsia="Arial" w:hAnsi="Arial"/>
                  <w:sz w:val="16"/>
                  <w:szCs w:val="16"/>
                  <w:color w:val="0000FF"/>
                  <w:w w:val="97"/>
                </w:rPr>
                <w:t>274</w:t>
              </w:r>
            </w:hyperlink>
          </w:p>
        </w:tc>
      </w:tr>
      <w:tr>
        <w:trPr>
          <w:trHeight w:val="20"/>
        </w:trPr>
        <w:tc>
          <w:tcPr>
            <w:tcW w:w="7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100" w:type="dxa"/>
            <w:vAlign w:val="bottom"/>
            <w:gridSpan w:val="10"/>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760" w:type="dxa"/>
            <w:vAlign w:val="bottom"/>
            <w:gridSpan w:val="5"/>
            <w:shd w:val="clear" w:color="auto" w:fill="0000FF"/>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3400" w:type="dxa"/>
            <w:vAlign w:val="bottom"/>
            <w:gridSpan w:val="14"/>
          </w:tcPr>
          <w:p>
            <w:pPr>
              <w:spacing w:after="0"/>
              <w:rPr>
                <w:rFonts w:ascii="Arial" w:cs="Arial" w:eastAsia="Arial" w:hAnsi="Arial"/>
                <w:sz w:val="16"/>
                <w:szCs w:val="16"/>
                <w:color w:val="0000FF"/>
                <w:w w:val="98"/>
              </w:rPr>
            </w:pPr>
            <w:hyperlink w:anchor="page300">
              <w:r>
                <w:rPr>
                  <w:rFonts w:ascii="Arial" w:cs="Arial" w:eastAsia="Arial" w:hAnsi="Arial"/>
                  <w:sz w:val="16"/>
                  <w:szCs w:val="16"/>
                  <w:color w:val="0000FF"/>
                  <w:w w:val="98"/>
                </w:rPr>
                <w:t>UNDERWRITING (CONFLICTS OF INTEREST)</w:t>
              </w:r>
            </w:hyperlink>
          </w:p>
        </w:tc>
        <w:tc>
          <w:tcPr>
            <w:tcW w:w="6360" w:type="dxa"/>
            <w:vAlign w:val="bottom"/>
            <w:gridSpan w:val="7"/>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300">
              <w:r>
                <w:rPr>
                  <w:rFonts w:ascii="Arial" w:cs="Arial" w:eastAsia="Arial" w:hAnsi="Arial"/>
                  <w:sz w:val="16"/>
                  <w:szCs w:val="16"/>
                  <w:color w:val="0000FF"/>
                  <w:w w:val="97"/>
                </w:rPr>
                <w:t>278</w:t>
              </w:r>
            </w:hyperlink>
          </w:p>
        </w:tc>
      </w:tr>
      <w:tr>
        <w:trPr>
          <w:trHeight w:val="20"/>
        </w:trPr>
        <w:tc>
          <w:tcPr>
            <w:tcW w:w="7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10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1300" w:type="dxa"/>
            <w:vAlign w:val="bottom"/>
            <w:gridSpan w:val="4"/>
          </w:tcPr>
          <w:p>
            <w:pPr>
              <w:spacing w:after="0"/>
              <w:rPr>
                <w:rFonts w:ascii="Arial" w:cs="Arial" w:eastAsia="Arial" w:hAnsi="Arial"/>
                <w:sz w:val="16"/>
                <w:szCs w:val="16"/>
                <w:color w:val="0000FF"/>
                <w:w w:val="96"/>
              </w:rPr>
            </w:pPr>
            <w:hyperlink w:anchor="page315">
              <w:r>
                <w:rPr>
                  <w:rFonts w:ascii="Arial" w:cs="Arial" w:eastAsia="Arial" w:hAnsi="Arial"/>
                  <w:sz w:val="16"/>
                  <w:szCs w:val="16"/>
                  <w:color w:val="0000FF"/>
                  <w:w w:val="96"/>
                </w:rPr>
                <w:t>LEGAL MATTERS</w:t>
              </w:r>
            </w:hyperlink>
          </w:p>
        </w:tc>
        <w:tc>
          <w:tcPr>
            <w:tcW w:w="2100" w:type="dxa"/>
            <w:vAlign w:val="bottom"/>
            <w:gridSpan w:val="10"/>
          </w:tcPr>
          <w:p>
            <w:pPr>
              <w:spacing w:after="0"/>
              <w:rPr>
                <w:sz w:val="15"/>
                <w:szCs w:val="15"/>
                <w:color w:val="auto"/>
              </w:rPr>
            </w:pPr>
          </w:p>
        </w:tc>
        <w:tc>
          <w:tcPr>
            <w:tcW w:w="6360" w:type="dxa"/>
            <w:vAlign w:val="bottom"/>
            <w:gridSpan w:val="7"/>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315">
              <w:r>
                <w:rPr>
                  <w:rFonts w:ascii="Arial" w:cs="Arial" w:eastAsia="Arial" w:hAnsi="Arial"/>
                  <w:sz w:val="16"/>
                  <w:szCs w:val="16"/>
                  <w:color w:val="0000FF"/>
                  <w:w w:val="97"/>
                </w:rPr>
                <w:t>293</w:t>
              </w:r>
            </w:hyperlink>
          </w:p>
        </w:tc>
      </w:tr>
      <w:tr>
        <w:trPr>
          <w:trHeight w:val="20"/>
        </w:trPr>
        <w:tc>
          <w:tcPr>
            <w:tcW w:w="7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14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740" w:type="dxa"/>
            <w:vAlign w:val="bottom"/>
          </w:tcPr>
          <w:p>
            <w:pPr>
              <w:spacing w:after="0"/>
              <w:rPr>
                <w:rFonts w:ascii="Arial" w:cs="Arial" w:eastAsia="Arial" w:hAnsi="Arial"/>
                <w:sz w:val="16"/>
                <w:szCs w:val="16"/>
                <w:color w:val="0000FF"/>
                <w:w w:val="93"/>
              </w:rPr>
            </w:pPr>
            <w:hyperlink w:anchor="page316">
              <w:r>
                <w:rPr>
                  <w:rFonts w:ascii="Arial" w:cs="Arial" w:eastAsia="Arial" w:hAnsi="Arial"/>
                  <w:sz w:val="16"/>
                  <w:szCs w:val="16"/>
                  <w:color w:val="0000FF"/>
                  <w:w w:val="93"/>
                </w:rPr>
                <w:t>EXPERTS</w:t>
              </w:r>
            </w:hyperlink>
          </w:p>
        </w:tc>
        <w:tc>
          <w:tcPr>
            <w:tcW w:w="560" w:type="dxa"/>
            <w:vAlign w:val="bottom"/>
            <w:gridSpan w:val="3"/>
          </w:tcPr>
          <w:p>
            <w:pPr>
              <w:spacing w:after="0"/>
              <w:rPr>
                <w:sz w:val="15"/>
                <w:szCs w:val="15"/>
                <w:color w:val="auto"/>
              </w:rPr>
            </w:pPr>
          </w:p>
        </w:tc>
        <w:tc>
          <w:tcPr>
            <w:tcW w:w="8460" w:type="dxa"/>
            <w:vAlign w:val="bottom"/>
            <w:gridSpan w:val="17"/>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316">
              <w:r>
                <w:rPr>
                  <w:rFonts w:ascii="Arial" w:cs="Arial" w:eastAsia="Arial" w:hAnsi="Arial"/>
                  <w:sz w:val="16"/>
                  <w:szCs w:val="16"/>
                  <w:color w:val="0000FF"/>
                  <w:w w:val="97"/>
                </w:rPr>
                <w:t>293</w:t>
              </w:r>
            </w:hyperlink>
          </w:p>
        </w:tc>
      </w:tr>
      <w:tr>
        <w:trPr>
          <w:trHeight w:val="20"/>
        </w:trPr>
        <w:tc>
          <w:tcPr>
            <w:tcW w:w="740" w:type="dxa"/>
            <w:vAlign w:val="bottom"/>
            <w:shd w:val="clear" w:color="auto" w:fill="0000FF"/>
          </w:tcPr>
          <w:p>
            <w:pPr>
              <w:spacing w:after="0" w:line="20" w:lineRule="exact"/>
              <w:rPr>
                <w:sz w:val="1"/>
                <w:szCs w:val="1"/>
                <w:color w:val="auto"/>
              </w:rPr>
            </w:pPr>
          </w:p>
        </w:tc>
        <w:tc>
          <w:tcPr>
            <w:tcW w:w="270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3440" w:type="dxa"/>
            <w:vAlign w:val="bottom"/>
            <w:gridSpan w:val="15"/>
          </w:tcPr>
          <w:p>
            <w:pPr>
              <w:spacing w:after="0"/>
              <w:rPr>
                <w:rFonts w:ascii="Arial" w:cs="Arial" w:eastAsia="Arial" w:hAnsi="Arial"/>
                <w:sz w:val="16"/>
                <w:szCs w:val="16"/>
                <w:color w:val="0000FF"/>
                <w:w w:val="98"/>
              </w:rPr>
            </w:pPr>
            <w:hyperlink w:anchor="page316">
              <w:r>
                <w:rPr>
                  <w:rFonts w:ascii="Arial" w:cs="Arial" w:eastAsia="Arial" w:hAnsi="Arial"/>
                  <w:sz w:val="16"/>
                  <w:szCs w:val="16"/>
                  <w:color w:val="0000FF"/>
                  <w:w w:val="98"/>
                </w:rPr>
                <w:t>WHERE YOU CAN FIND MORE INFORMATION</w:t>
              </w:r>
            </w:hyperlink>
          </w:p>
        </w:tc>
        <w:tc>
          <w:tcPr>
            <w:tcW w:w="6320" w:type="dxa"/>
            <w:vAlign w:val="bottom"/>
            <w:gridSpan w:val="6"/>
          </w:tcPr>
          <w:p>
            <w:pPr>
              <w:spacing w:after="0"/>
              <w:rPr>
                <w:sz w:val="15"/>
                <w:szCs w:val="15"/>
                <w:color w:val="auto"/>
              </w:rPr>
            </w:pPr>
          </w:p>
        </w:tc>
        <w:tc>
          <w:tcPr>
            <w:tcW w:w="1320" w:type="dxa"/>
            <w:vAlign w:val="bottom"/>
            <w:gridSpan w:val="5"/>
          </w:tcPr>
          <w:p>
            <w:pPr>
              <w:jc w:val="center"/>
              <w:ind w:left="980"/>
              <w:spacing w:after="0"/>
              <w:rPr>
                <w:rFonts w:ascii="Arial" w:cs="Arial" w:eastAsia="Arial" w:hAnsi="Arial"/>
                <w:sz w:val="16"/>
                <w:szCs w:val="16"/>
                <w:color w:val="0000FF"/>
                <w:w w:val="97"/>
              </w:rPr>
            </w:pPr>
            <w:hyperlink w:anchor="page316">
              <w:r>
                <w:rPr>
                  <w:rFonts w:ascii="Arial" w:cs="Arial" w:eastAsia="Arial" w:hAnsi="Arial"/>
                  <w:sz w:val="16"/>
                  <w:szCs w:val="16"/>
                  <w:color w:val="0000FF"/>
                  <w:w w:val="97"/>
                </w:rPr>
                <w:t>293</w:t>
              </w:r>
            </w:hyperlink>
          </w:p>
        </w:tc>
      </w:tr>
      <w:tr>
        <w:trPr>
          <w:trHeight w:val="20"/>
        </w:trPr>
        <w:tc>
          <w:tcPr>
            <w:tcW w:w="3440" w:type="dxa"/>
            <w:vAlign w:val="bottom"/>
            <w:gridSpan w:val="15"/>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r>
      <w:tr>
        <w:trPr>
          <w:trHeight w:val="183"/>
        </w:trPr>
        <w:tc>
          <w:tcPr>
            <w:tcW w:w="4000" w:type="dxa"/>
            <w:vAlign w:val="bottom"/>
            <w:gridSpan w:val="16"/>
          </w:tcPr>
          <w:p>
            <w:pPr>
              <w:spacing w:after="0"/>
              <w:rPr>
                <w:rFonts w:ascii="Arial" w:cs="Arial" w:eastAsia="Arial" w:hAnsi="Arial"/>
                <w:sz w:val="16"/>
                <w:szCs w:val="16"/>
                <w:color w:val="0000FF"/>
                <w:w w:val="97"/>
              </w:rPr>
            </w:pPr>
            <w:hyperlink w:anchor="page317">
              <w:r>
                <w:rPr>
                  <w:rFonts w:ascii="Arial" w:cs="Arial" w:eastAsia="Arial" w:hAnsi="Arial"/>
                  <w:sz w:val="16"/>
                  <w:szCs w:val="16"/>
                  <w:color w:val="0000FF"/>
                  <w:w w:val="97"/>
                </w:rPr>
                <w:t>INDEX TO CONSOLIDATED FINANCIAL STATEMENTS</w:t>
              </w:r>
            </w:hyperlink>
          </w:p>
        </w:tc>
        <w:tc>
          <w:tcPr>
            <w:tcW w:w="5760" w:type="dxa"/>
            <w:vAlign w:val="bottom"/>
            <w:gridSpan w:val="5"/>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gridSpan w:val="4"/>
          </w:tcPr>
          <w:p>
            <w:pPr>
              <w:jc w:val="center"/>
              <w:spacing w:after="0"/>
              <w:rPr>
                <w:rFonts w:ascii="Arial" w:cs="Arial" w:eastAsia="Arial" w:hAnsi="Arial"/>
                <w:sz w:val="15"/>
                <w:szCs w:val="15"/>
                <w:color w:val="0000FF"/>
                <w:w w:val="70"/>
              </w:rPr>
            </w:pPr>
            <w:hyperlink w:anchor="page317">
              <w:r>
                <w:rPr>
                  <w:rFonts w:ascii="Arial" w:cs="Arial" w:eastAsia="Arial" w:hAnsi="Arial"/>
                  <w:sz w:val="15"/>
                  <w:szCs w:val="15"/>
                  <w:color w:val="0000FF"/>
                  <w:w w:val="70"/>
                </w:rPr>
                <w:t>F-1</w:t>
              </w:r>
            </w:hyperlink>
          </w:p>
        </w:tc>
      </w:tr>
      <w:tr>
        <w:trPr>
          <w:trHeight w:val="20"/>
        </w:trPr>
        <w:tc>
          <w:tcPr>
            <w:tcW w:w="7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178"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have not, and the selling stockholders and the underwriters have not, authorized anyone to provide you with any information or to make any representations other than those contained in this prospectus or in any free writing prospectus we have prepared and filed with the SEC. We, the selling stockholders and the underwriters take no responsibility for, and can provide no assurance as to the reliability of, any other information that others may give you. This prospectus is an offer to sell only the shares offered hereby, but only under the circumstances and in jurisdictions where it is lawful to do so. The information contained in this prospectus is current only as of its date, regardless of the time of delivery of this prospectus or of any sale of our Class A common stock.</w:t>
      </w:r>
    </w:p>
    <w:p>
      <w:pPr>
        <w:spacing w:after="0" w:line="148"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For investors outside of the United States: None of us, the selling stockholders or the underwriters has done anything that would permit our initial public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260"/>
          </w:cols>
          <w:pgMar w:left="320" w:top="1440" w:right="31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9019"/>
          </w:cols>
          <w:pgMar w:left="14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iv</w:t>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9019"/>
          </w:cols>
          <w:pgMar w:left="1440" w:top="1440" w:right="1440" w:bottom="1440" w:gutter="0" w:footer="0" w:header="0"/>
        </w:sectPr>
      </w:pPr>
    </w:p>
    <w:bookmarkStart w:id="19" w:name="page20"/>
    <w:bookmarkEnd w:id="19"/>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MARKET, INDUSTRY AND OTHER DATA</w:t>
      </w:r>
    </w:p>
    <w:p>
      <w:pPr>
        <w:spacing w:after="0" w:line="182" w:lineRule="exact"/>
        <w:rPr>
          <w:sz w:val="20"/>
          <w:szCs w:val="20"/>
          <w:color w:val="auto"/>
        </w:rPr>
      </w:pPr>
    </w:p>
    <w:p>
      <w:pPr>
        <w:jc w:val="both"/>
        <w:ind w:firstLine="287"/>
        <w:spacing w:after="0" w:line="271" w:lineRule="auto"/>
        <w:rPr>
          <w:sz w:val="20"/>
          <w:szCs w:val="20"/>
          <w:color w:val="auto"/>
        </w:rPr>
      </w:pPr>
      <w:r>
        <w:rPr>
          <w:rFonts w:ascii="Arial" w:cs="Arial" w:eastAsia="Arial" w:hAnsi="Arial"/>
          <w:sz w:val="15"/>
          <w:szCs w:val="15"/>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Among others, we refer to information and estimates from the following third-party sources:</w:t>
      </w:r>
    </w:p>
    <w:p>
      <w:pPr>
        <w:spacing w:after="0" w:line="118" w:lineRule="exact"/>
        <w:rPr>
          <w:sz w:val="20"/>
          <w:szCs w:val="20"/>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PwC, </w:t>
      </w:r>
      <w:r>
        <w:rPr>
          <w:rFonts w:ascii="Arial" w:cs="Arial" w:eastAsia="Arial" w:hAnsi="Arial"/>
          <w:sz w:val="16"/>
          <w:szCs w:val="16"/>
          <w:i w:val="1"/>
          <w:iCs w:val="1"/>
          <w:color w:val="auto"/>
        </w:rPr>
        <w:t>Future of Customer Experience Survey,</w:t>
      </w:r>
      <w:r>
        <w:rPr>
          <w:rFonts w:ascii="Arial" w:cs="Arial" w:eastAsia="Arial" w:hAnsi="Arial"/>
          <w:sz w:val="16"/>
          <w:szCs w:val="16"/>
          <w:color w:val="auto"/>
        </w:rPr>
        <w:t xml:space="preserve"> 2017/2018;</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Pew Research Center, </w:t>
      </w:r>
      <w:r>
        <w:rPr>
          <w:rFonts w:ascii="Arial" w:cs="Arial" w:eastAsia="Arial" w:hAnsi="Arial"/>
          <w:sz w:val="16"/>
          <w:szCs w:val="16"/>
          <w:i w:val="1"/>
          <w:iCs w:val="1"/>
          <w:color w:val="auto"/>
        </w:rPr>
        <w:t>Most Americans Say the Current Economy Is Helping the Rich, Hurting the Poor and Middle Class</w:t>
      </w:r>
      <w:r>
        <w:rPr>
          <w:rFonts w:ascii="Arial" w:cs="Arial" w:eastAsia="Arial" w:hAnsi="Arial"/>
          <w:sz w:val="16"/>
          <w:szCs w:val="16"/>
          <w:color w:val="auto"/>
        </w:rPr>
        <w:t>, December 2019;</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Gallup, </w:t>
      </w:r>
      <w:r>
        <w:rPr>
          <w:rFonts w:ascii="Arial" w:cs="Arial" w:eastAsia="Arial" w:hAnsi="Arial"/>
          <w:sz w:val="16"/>
          <w:szCs w:val="16"/>
          <w:i w:val="1"/>
          <w:iCs w:val="1"/>
          <w:color w:val="auto"/>
        </w:rPr>
        <w:t>What Percentage of Americans Owns Stock?</w:t>
      </w:r>
      <w:r>
        <w:rPr>
          <w:rFonts w:ascii="Arial" w:cs="Arial" w:eastAsia="Arial" w:hAnsi="Arial"/>
          <w:sz w:val="16"/>
          <w:szCs w:val="16"/>
          <w:color w:val="auto"/>
        </w:rPr>
        <w:t>, September 2020;</w:t>
      </w:r>
    </w:p>
    <w:p>
      <w:pPr>
        <w:spacing w:after="0" w:line="178"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Harris Poll, on behalf of Ondot Systems, April 2020;</w:t>
      </w:r>
    </w:p>
    <w:p>
      <w:pPr>
        <w:spacing w:after="0" w:line="158"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Charles Schwab Corporation, </w:t>
      </w:r>
      <w:r>
        <w:rPr>
          <w:rFonts w:ascii="Arial" w:cs="Arial" w:eastAsia="Arial" w:hAnsi="Arial"/>
          <w:sz w:val="16"/>
          <w:szCs w:val="16"/>
          <w:i w:val="1"/>
          <w:iCs w:val="1"/>
          <w:color w:val="auto"/>
        </w:rPr>
        <w:t>Winter Business Update</w:t>
      </w:r>
      <w:r>
        <w:rPr>
          <w:rFonts w:ascii="Arial" w:cs="Arial" w:eastAsia="Arial" w:hAnsi="Arial"/>
          <w:sz w:val="16"/>
          <w:szCs w:val="16"/>
          <w:color w:val="auto"/>
        </w:rPr>
        <w:t>, February 2021;</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Federal Deposit Insurance Corporation, </w:t>
      </w:r>
      <w:r>
        <w:rPr>
          <w:rFonts w:ascii="Arial" w:cs="Arial" w:eastAsia="Arial" w:hAnsi="Arial"/>
          <w:sz w:val="16"/>
          <w:szCs w:val="16"/>
          <w:i w:val="1"/>
          <w:iCs w:val="1"/>
          <w:color w:val="auto"/>
        </w:rPr>
        <w:t>How America Banks: Household Use of Banking and Financial Services</w:t>
      </w:r>
      <w:r>
        <w:rPr>
          <w:rFonts w:ascii="Arial" w:cs="Arial" w:eastAsia="Arial" w:hAnsi="Arial"/>
          <w:sz w:val="16"/>
          <w:szCs w:val="16"/>
          <w:color w:val="auto"/>
        </w:rPr>
        <w:t>, 2019 FDIC Survey, October 2020;</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Federal Deposit Insurance Corporation, </w:t>
      </w:r>
      <w:r>
        <w:rPr>
          <w:rFonts w:ascii="Arial" w:cs="Arial" w:eastAsia="Arial" w:hAnsi="Arial"/>
          <w:sz w:val="16"/>
          <w:szCs w:val="16"/>
          <w:i w:val="1"/>
          <w:iCs w:val="1"/>
          <w:color w:val="auto"/>
        </w:rPr>
        <w:t>Unsafe and Unsound Banking Practices: Brokered Deposits and Interest Rate Restrictions</w:t>
      </w:r>
      <w:r>
        <w:rPr>
          <w:rFonts w:ascii="Arial" w:cs="Arial" w:eastAsia="Arial" w:hAnsi="Arial"/>
          <w:sz w:val="16"/>
          <w:szCs w:val="16"/>
          <w:color w:val="auto"/>
        </w:rPr>
        <w:t>, January 2021;</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Nilson Report, </w:t>
      </w:r>
      <w:r>
        <w:rPr>
          <w:rFonts w:ascii="Arial" w:cs="Arial" w:eastAsia="Arial" w:hAnsi="Arial"/>
          <w:sz w:val="16"/>
          <w:szCs w:val="16"/>
          <w:i w:val="1"/>
          <w:iCs w:val="1"/>
          <w:color w:val="auto"/>
        </w:rPr>
        <w:t>Top Issuers of General Purpose Credit Cards in the U.S.,</w:t>
      </w:r>
      <w:r>
        <w:rPr>
          <w:rFonts w:ascii="Arial" w:cs="Arial" w:eastAsia="Arial" w:hAnsi="Arial"/>
          <w:sz w:val="16"/>
          <w:szCs w:val="16"/>
          <w:color w:val="auto"/>
        </w:rPr>
        <w:t xml:space="preserve"> February 2021;</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Nilson Report, </w:t>
      </w:r>
      <w:r>
        <w:rPr>
          <w:rFonts w:ascii="Arial" w:cs="Arial" w:eastAsia="Arial" w:hAnsi="Arial"/>
          <w:sz w:val="16"/>
          <w:szCs w:val="16"/>
          <w:i w:val="1"/>
          <w:iCs w:val="1"/>
          <w:color w:val="auto"/>
        </w:rPr>
        <w:t>Top U.S. Debit Card Issuers,</w:t>
      </w:r>
      <w:r>
        <w:rPr>
          <w:rFonts w:ascii="Arial" w:cs="Arial" w:eastAsia="Arial" w:hAnsi="Arial"/>
          <w:sz w:val="16"/>
          <w:szCs w:val="16"/>
          <w:color w:val="auto"/>
        </w:rPr>
        <w:t xml:space="preserve"> April 2021;</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Square, Inc., </w:t>
      </w:r>
      <w:r>
        <w:rPr>
          <w:rFonts w:ascii="Arial" w:cs="Arial" w:eastAsia="Arial" w:hAnsi="Arial"/>
          <w:sz w:val="16"/>
          <w:szCs w:val="16"/>
          <w:i w:val="1"/>
          <w:iCs w:val="1"/>
          <w:color w:val="auto"/>
        </w:rPr>
        <w:t>Company Overview</w:t>
      </w:r>
      <w:r>
        <w:rPr>
          <w:rFonts w:ascii="Arial" w:cs="Arial" w:eastAsia="Arial" w:hAnsi="Arial"/>
          <w:sz w:val="16"/>
          <w:szCs w:val="16"/>
          <w:color w:val="auto"/>
        </w:rPr>
        <w:t>, March 2021;</w:t>
      </w:r>
    </w:p>
    <w:p>
      <w:pPr>
        <w:spacing w:after="0" w:line="190"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Credit Suisse Research Institute, Global Wealth Databook, October 2019;</w:t>
      </w:r>
    </w:p>
    <w:p>
      <w:pPr>
        <w:spacing w:after="0" w:line="146"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Hardman &amp; Co., </w:t>
      </w:r>
      <w:r>
        <w:rPr>
          <w:rFonts w:ascii="Arial" w:cs="Arial" w:eastAsia="Arial" w:hAnsi="Arial"/>
          <w:sz w:val="16"/>
          <w:szCs w:val="16"/>
          <w:i w:val="1"/>
          <w:iCs w:val="1"/>
          <w:color w:val="auto"/>
        </w:rPr>
        <w:t>How Big Is the Potential Investment Platform Market in the UK?</w:t>
      </w:r>
      <w:r>
        <w:rPr>
          <w:rFonts w:ascii="Arial" w:cs="Arial" w:eastAsia="Arial" w:hAnsi="Arial"/>
          <w:sz w:val="16"/>
          <w:szCs w:val="16"/>
          <w:color w:val="auto"/>
        </w:rPr>
        <w:t>, May 2020;</w:t>
      </w:r>
    </w:p>
    <w:p>
      <w:pPr>
        <w:spacing w:after="0" w:line="178"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App Annie;</w:t>
      </w:r>
    </w:p>
    <w:p>
      <w:pPr>
        <w:spacing w:after="0" w:line="158"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Federal Reserve, </w:t>
      </w:r>
      <w:r>
        <w:rPr>
          <w:rFonts w:ascii="Arial" w:cs="Arial" w:eastAsia="Arial" w:hAnsi="Arial"/>
          <w:sz w:val="16"/>
          <w:szCs w:val="16"/>
          <w:i w:val="1"/>
          <w:iCs w:val="1"/>
          <w:color w:val="auto"/>
        </w:rPr>
        <w:t>Distribution of Household Wealth in the U.S. since 1989</w:t>
      </w:r>
      <w:r>
        <w:rPr>
          <w:rFonts w:ascii="Arial" w:cs="Arial" w:eastAsia="Arial" w:hAnsi="Arial"/>
          <w:sz w:val="16"/>
          <w:szCs w:val="16"/>
          <w:color w:val="auto"/>
        </w:rPr>
        <w:t>, December 2020;</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Deloitte, </w:t>
      </w:r>
      <w:r>
        <w:rPr>
          <w:rFonts w:ascii="Arial" w:cs="Arial" w:eastAsia="Arial" w:hAnsi="Arial"/>
          <w:sz w:val="16"/>
          <w:szCs w:val="16"/>
          <w:i w:val="1"/>
          <w:iCs w:val="1"/>
          <w:color w:val="auto"/>
        </w:rPr>
        <w:t>The Future of Wealth in the United States</w:t>
      </w:r>
      <w:r>
        <w:rPr>
          <w:rFonts w:ascii="Arial" w:cs="Arial" w:eastAsia="Arial" w:hAnsi="Arial"/>
          <w:sz w:val="16"/>
          <w:szCs w:val="16"/>
          <w:color w:val="auto"/>
        </w:rPr>
        <w:t>, November 2015;</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National Bureau of Economic Research, </w:t>
      </w:r>
      <w:r>
        <w:rPr>
          <w:rFonts w:ascii="Arial" w:cs="Arial" w:eastAsia="Arial" w:hAnsi="Arial"/>
          <w:sz w:val="16"/>
          <w:szCs w:val="16"/>
          <w:i w:val="1"/>
          <w:iCs w:val="1"/>
          <w:color w:val="auto"/>
        </w:rPr>
        <w:t>The Wisdom of the Robinhood Crowd</w:t>
      </w:r>
      <w:r>
        <w:rPr>
          <w:rFonts w:ascii="Arial" w:cs="Arial" w:eastAsia="Arial" w:hAnsi="Arial"/>
          <w:sz w:val="16"/>
          <w:szCs w:val="16"/>
          <w:color w:val="auto"/>
        </w:rPr>
        <w:t>, September 2020;</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FINRA Investor Education Foundation, </w:t>
      </w:r>
      <w:r>
        <w:rPr>
          <w:rFonts w:ascii="Arial" w:cs="Arial" w:eastAsia="Arial" w:hAnsi="Arial"/>
          <w:sz w:val="16"/>
          <w:szCs w:val="16"/>
          <w:i w:val="1"/>
          <w:iCs w:val="1"/>
          <w:color w:val="auto"/>
        </w:rPr>
        <w:t>Investors in the United States: A Report of the National Financial Capability Study</w:t>
      </w:r>
      <w:r>
        <w:rPr>
          <w:rFonts w:ascii="Arial" w:cs="Arial" w:eastAsia="Arial" w:hAnsi="Arial"/>
          <w:sz w:val="16"/>
          <w:szCs w:val="16"/>
          <w:color w:val="auto"/>
        </w:rPr>
        <w:t>, December 2019;</w:t>
      </w:r>
    </w:p>
    <w:p>
      <w:pPr>
        <w:spacing w:after="0" w:line="162" w:lineRule="exact"/>
        <w:rPr>
          <w:rFonts w:ascii="Arial" w:cs="Arial" w:eastAsia="Arial" w:hAnsi="Arial"/>
          <w:sz w:val="16"/>
          <w:szCs w:val="16"/>
          <w:color w:val="auto"/>
        </w:rPr>
      </w:pPr>
    </w:p>
    <w:p>
      <w:pPr>
        <w:ind w:left="560" w:hanging="278"/>
        <w:spacing w:after="0" w:line="280" w:lineRule="auto"/>
        <w:tabs>
          <w:tab w:leader="none" w:pos="556"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FINRA Investor Education Foundation, </w:t>
      </w:r>
      <w:r>
        <w:rPr>
          <w:rFonts w:ascii="Arial" w:cs="Arial" w:eastAsia="Arial" w:hAnsi="Arial"/>
          <w:sz w:val="16"/>
          <w:szCs w:val="16"/>
          <w:i w:val="1"/>
          <w:iCs w:val="1"/>
          <w:color w:val="auto"/>
        </w:rPr>
        <w:t>New Research: Global Pandemic Brings Surge of New and Experienced Retail Investors Into the Stock Market</w:t>
      </w:r>
      <w:r>
        <w:rPr>
          <w:rFonts w:ascii="Arial" w:cs="Arial" w:eastAsia="Arial" w:hAnsi="Arial"/>
          <w:sz w:val="16"/>
          <w:szCs w:val="16"/>
          <w:color w:val="auto"/>
        </w:rPr>
        <w:t>, February 2021; and</w:t>
      </w:r>
    </w:p>
    <w:p>
      <w:pPr>
        <w:spacing w:after="0" w:line="124"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Experian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are generally reliable, such information, which includes information derived in part from management’s estimates and beliefs, is inherently uncertain and imprecise. Market and industry data are subject to change and may be limited by the availability of raw data, the voluntary nature of the data-gathering process and other limitations inherent in any statistical survey of such data. In addition, forecasts, assumptions and estimates of the future performance of the markets and industries in which we operate are necessarily subject to uncertainty and risk due to a variety of factors, including those described in “Risk Factors” and “Special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vii</w:t>
      </w:r>
    </w:p>
    <w:p>
      <w:pPr>
        <w:sectPr>
          <w:pgSz w:w="11900" w:h="16838" w:orient="portrait"/>
          <w:cols w:equalWidth="0" w:num="1">
            <w:col w:w="11260"/>
          </w:cols>
          <w:pgMar w:left="320" w:top="1440" w:right="319" w:bottom="144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5969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596963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PROSPECTUS SUMMARY</w:t>
      </w:r>
    </w:p>
    <w:p>
      <w:pPr>
        <w:spacing w:after="0" w:line="17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 xml:space="preserve">This summary highlights information appearing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related notes appearing at the end of this prospectus, before making any investment decision. Our fiscal year ends on December 31. Unless the context otherwise requires, we use the terms “Robinhood,” the “Company,” “we,” “us” and “our” in this prospectus to refer to Robinhood Markets, Inc. and our consolidated subsidiaries, and we use the term “RHM” to refer only to Robinhood Markets, Inc. (and not its subsidiaries). We refer to our “users” and our “customers” interchangeably throughout this prospectus to refer to individuals who hold accounts on our platform. However, because we do not have contracts as defined in </w:t>
      </w:r>
      <w:r>
        <w:rPr>
          <w:rFonts w:ascii="Arial" w:cs="Arial" w:eastAsia="Arial" w:hAnsi="Arial"/>
          <w:sz w:val="16"/>
          <w:szCs w:val="16"/>
          <w:i w:val="1"/>
          <w:iCs w:val="1"/>
          <w:color w:val="auto"/>
        </w:rPr>
        <w:t>ASC 606, Revenue from Contracts with Customers</w:t>
      </w:r>
      <w:r>
        <w:rPr>
          <w:rFonts w:ascii="Arial" w:cs="Arial" w:eastAsia="Arial" w:hAnsi="Arial"/>
          <w:sz w:val="16"/>
          <w:szCs w:val="16"/>
          <w:color w:val="auto"/>
        </w:rPr>
        <w:t>, with our users, our users do not meet the definition of “customer” for purposes of the accounting rules. See “—Revenue Recognition” in Note 1 to our audited consolidated financial statements appearing at the end of this prospectus.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Overview</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Our mission is to </w:t>
      </w:r>
      <w:r>
        <w:rPr>
          <w:rFonts w:ascii="Arial" w:cs="Arial" w:eastAsia="Arial" w:hAnsi="Arial"/>
          <w:sz w:val="16"/>
          <w:szCs w:val="16"/>
          <w:b w:val="1"/>
          <w:bCs w:val="1"/>
          <w:color w:val="auto"/>
        </w:rPr>
        <w:t>democratize finance for all</w:t>
      </w:r>
      <w:r>
        <w:rPr>
          <w:rFonts w:ascii="Arial" w:cs="Arial" w:eastAsia="Arial" w:hAnsi="Arial"/>
          <w:sz w:val="16"/>
          <w:szCs w:val="16"/>
          <w:color w:val="auto"/>
        </w:rPr>
        <w:t>.</w:t>
      </w:r>
    </w:p>
    <w:p>
      <w:pPr>
        <w:spacing w:after="0" w:line="183"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Robinhood was founded on the belief that everyone should be welcome to participate in our financial system. We are creating a modern financial services platform for everyone, regardless of their wealth, income or background.</w:t>
      </w:r>
    </w:p>
    <w:p>
      <w:pPr>
        <w:spacing w:after="0" w:line="15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The stock market is widely recognized as one of the greatest wealth creators of the last century. But systemic barriers to investing, like expensive commissions, minimum balance requirements and complicated, jargon-filled paperwork, have dissuaded millions of people from feeling welcome or able to participate.</w:t>
      </w:r>
    </w:p>
    <w:p>
      <w:pPr>
        <w:spacing w:after="0" w:line="145"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Robinhood has set out to change this. We use technology to deliver a new way for people to interact with the financial system. We believe investing should be familiar and welcoming, with a simple design and an intuitive interface, so that customers are empowered to achieve their goals. We started with a revolutionary, bold brand and design, and the Robinhood app now makes investing approachable for millions.</w:t>
      </w:r>
    </w:p>
    <w:p>
      <w:pPr>
        <w:spacing w:after="0" w:line="12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i w:val="1"/>
          <w:iCs w:val="1"/>
          <w:color w:val="auto"/>
        </w:rPr>
        <w:t xml:space="preserve">Cultural Impact. </w:t>
      </w:r>
      <w:r>
        <w:rPr>
          <w:rFonts w:ascii="Arial" w:cs="Arial" w:eastAsia="Arial" w:hAnsi="Arial"/>
          <w:sz w:val="16"/>
          <w:szCs w:val="16"/>
          <w:color w:val="auto"/>
        </w:rPr>
        <w:t>We pioneered commission-free stock trading with no account minimums, which the rest of the industry emulated, and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continued to build relationships with our customers by introducing new products that further expand access to the financial system. We believe we have made investing culturally relevant and understandable, and that our platform is enabling our customers to become long-term investors and take greater control of their finances. Over half of 18-44 year olds in the United States know who Robinhood is according to an internal brand study that we conducted in March 2021. As a further sign of our relevance today, Robinhood reached the number-one spot on the Apple App Store multiple times in the first quarter of 2021 and was frequently ranked number one in the Finance category on the Apple App store during 2020 and the first quarter of 2021.</w:t>
      </w:r>
    </w:p>
    <w:p>
      <w:pPr>
        <w:spacing w:after="0" w:line="143"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i w:val="1"/>
          <w:iCs w:val="1"/>
          <w:color w:val="auto"/>
        </w:rPr>
        <w:t>Built for People</w:t>
      </w:r>
      <w:r>
        <w:rPr>
          <w:rFonts w:ascii="Arial" w:cs="Arial" w:eastAsia="Arial" w:hAnsi="Arial"/>
          <w:sz w:val="16"/>
          <w:szCs w:val="16"/>
          <w:color w:val="auto"/>
        </w:rPr>
        <w:t>. Customer feedback is at the heart of product development at Robinhood. In the early days, our founders would walk the</w:t>
      </w:r>
      <w:r>
        <w:rPr>
          <w:rFonts w:ascii="Arial" w:cs="Arial" w:eastAsia="Arial" w:hAnsi="Arial"/>
          <w:sz w:val="16"/>
          <w:szCs w:val="16"/>
          <w:i w:val="1"/>
          <w:iCs w:val="1"/>
          <w:color w:val="auto"/>
        </w:rPr>
        <w:t xml:space="preserve"> </w:t>
      </w:r>
      <w:r>
        <w:rPr>
          <w:rFonts w:ascii="Arial" w:cs="Arial" w:eastAsia="Arial" w:hAnsi="Arial"/>
          <w:sz w:val="16"/>
          <w:szCs w:val="16"/>
          <w:color w:val="auto"/>
        </w:rPr>
        <w:t>campus of Stanford sharing product and design ideas and gathering real-time feedback. Today, we continue this tradition in a programmatic way, seeking customer perspectives to inform our priorities and inspire our innovation. We want to understand our customers and their expectations, ambitions, fears and challenges. Their insights help us focus on what is important and this approach enables us to expand our offering centered on their needs. Many of our customers are new to investing, and we are encouraged to see them taking their first steps toward wealth creation. We have replaced confusing jargon with simplicity and slang. Our tools are delightful and engaging.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080"/>
          </w:cols>
          <w:pgMar w:left="900" w:top="1440" w:right="91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913765</wp:posOffset>
            </wp:positionV>
            <wp:extent cx="7153275" cy="5407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5407660"/>
                    </a:xfrm>
                    <a:prstGeom prst="rect">
                      <a:avLst/>
                    </a:prstGeom>
                    <a:noFill/>
                  </pic:spPr>
                </pic:pic>
              </a:graphicData>
            </a:graphic>
          </wp:anchor>
        </w:drawing>
      </w:r>
    </w:p>
    <w:p>
      <w:pPr>
        <w:spacing w:after="0" w:line="39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As of March 31, 2021, we had 18.0 million Net Cumulative Funded Accounts on our platform, and from January 1, 2015 to March 31, 2021, over half of the customers funding accounts on our platform told us that Robinhood was their first brokerage account. We believe that close to 50% of all new retail funded accounts opened in the United States from 2016 to 2021 were new accounts created on Robinhood, based on new account data from publicly reporting peer brokerages. See “Management’s Discussion and Analysis of Financial Condition and Results of Operations—Key Performance Metrics” for a definition of “Net Cumulative Funded Accounts.”</w:t>
      </w:r>
    </w:p>
    <w:p>
      <w:pPr>
        <w:spacing w:after="0" w:line="129"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i w:val="1"/>
          <w:iCs w:val="1"/>
          <w:color w:val="auto"/>
        </w:rPr>
        <w:t xml:space="preserve">Technological Innovation. </w:t>
      </w:r>
      <w:r>
        <w:rPr>
          <w:rFonts w:ascii="Arial" w:cs="Arial" w:eastAsia="Arial" w:hAnsi="Arial"/>
          <w:sz w:val="16"/>
          <w:szCs w:val="16"/>
          <w:color w:val="auto"/>
        </w:rPr>
        <w:t>We have built a foundation for future development. With a focused team and appropriate regulatory approvals,</w:t>
      </w:r>
      <w:r>
        <w:rPr>
          <w:rFonts w:ascii="Arial" w:cs="Arial" w:eastAsia="Arial" w:hAnsi="Arial"/>
          <w:sz w:val="16"/>
          <w:szCs w:val="16"/>
          <w:i w:val="1"/>
          <w:iCs w:val="1"/>
          <w:color w:val="auto"/>
        </w:rPr>
        <w:t xml:space="preserve"> </w:t>
      </w:r>
      <w:r>
        <w:rPr>
          <w:rFonts w:ascii="Arial" w:cs="Arial" w:eastAsia="Arial" w:hAnsi="Arial"/>
          <w:sz w:val="16"/>
          <w:szCs w:val="16"/>
          <w:color w:val="auto"/>
        </w:rPr>
        <w:t>we created our own clearing platform. Our platform is entirely cloud-based and built on proprietary, API-driven services to meet the needs of a fast-growing, mobile-first, modern financial institution. Our platform also enables a vertically integrated, end-to-end approach to product development, which helps us move faster from idea to creation, empowers us to better scale with the growth of our business and affords us better unit economics that we can share with our customers. Our approach also provides increased internal visibility over clearing and settlement. We anticipate that our self-clearing platform will continue to position us well to further innovate for customers.</w:t>
      </w:r>
    </w:p>
    <w:p>
      <w:pPr>
        <w:spacing w:after="0" w:line="130"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i w:val="1"/>
          <w:iCs w:val="1"/>
          <w:color w:val="auto"/>
        </w:rPr>
        <w:t>Engagement through Education</w:t>
      </w:r>
      <w:r>
        <w:rPr>
          <w:rFonts w:ascii="Arial" w:cs="Arial" w:eastAsia="Arial" w:hAnsi="Arial"/>
          <w:sz w:val="16"/>
          <w:szCs w:val="16"/>
          <w:color w:val="auto"/>
        </w:rPr>
        <w:t>. Education is core to accomplishing our mission. We believe access to easy-to-understand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and education is fundamental to expanding participation in the U.S. financial system. This is why we have created educational content for everyone, no matter where they are on their investing journey. That means jargon-free financial literacy resources and digestible financial news direct to customers. As of March 31, 2021, our Robinhood Snacks newsletter and podcast had nearly 32 million subscribers, and the daily podcast was downloaded nearly 40 million times in 2020, with more than 10 million additional downloads in the three months ended March 31, 2021. Our library of financial literacy resources, Robinhood Learn, had more than seven million cumulative page views as of March 31, 2021, and monthly unique visits to Robinhood Learn rose nearly six-fold from January 2020 to March 2021.</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 xml:space="preserve">The Robinhood Platform. </w:t>
      </w:r>
      <w:r>
        <w:rPr>
          <w:rFonts w:ascii="Arial" w:cs="Arial" w:eastAsia="Arial" w:hAnsi="Arial"/>
          <w:sz w:val="16"/>
          <w:szCs w:val="16"/>
          <w:color w:val="auto"/>
        </w:rPr>
        <w:t>Our platform, which began as a U.S. stock-focused retail brokerage, currently offers:</w:t>
      </w:r>
    </w:p>
    <w:p>
      <w:pPr>
        <w:spacing w:after="0" w:line="179" w:lineRule="exact"/>
        <w:rPr>
          <w:sz w:val="20"/>
          <w:szCs w:val="20"/>
          <w:color w:val="auto"/>
        </w:rPr>
      </w:pPr>
    </w:p>
    <w:p>
      <w:pPr>
        <w:ind w:left="580" w:hanging="288"/>
        <w:spacing w:after="0" w:line="260" w:lineRule="auto"/>
        <w:tabs>
          <w:tab w:leader="none" w:pos="576"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trading in U.S. listed stocks and Exchange Traded Funds (“ETFs”), as well as related options and American Depositary Receipts (“ADRs”);</w:t>
      </w:r>
    </w:p>
    <w:p>
      <w:pPr>
        <w:spacing w:after="0" w:line="139" w:lineRule="exact"/>
        <w:rPr>
          <w:rFonts w:ascii="Arial" w:cs="Arial" w:eastAsia="Arial" w:hAnsi="Arial"/>
          <w:sz w:val="16"/>
          <w:szCs w:val="16"/>
          <w:color w:val="auto"/>
        </w:rPr>
      </w:pPr>
    </w:p>
    <w:p>
      <w:pPr>
        <w:ind w:left="580" w:hanging="288"/>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cryptocurrency trading through our subsidiary, Robinhood Crypto, LLC (“RHC”);</w:t>
      </w:r>
    </w:p>
    <w:p>
      <w:pPr>
        <w:spacing w:after="0" w:line="174" w:lineRule="exact"/>
        <w:rPr>
          <w:rFonts w:ascii="Arial" w:cs="Arial" w:eastAsia="Arial" w:hAnsi="Arial"/>
          <w:sz w:val="16"/>
          <w:szCs w:val="16"/>
          <w:color w:val="auto"/>
        </w:rPr>
      </w:pPr>
    </w:p>
    <w:p>
      <w:pPr>
        <w:ind w:left="580" w:hanging="288"/>
        <w:spacing w:after="0" w:line="260" w:lineRule="auto"/>
        <w:tabs>
          <w:tab w:leader="none" w:pos="576" w:val="left"/>
        </w:tabs>
        <w:numPr>
          <w:ilvl w:val="0"/>
          <w:numId w:val="4"/>
        </w:numPr>
        <w:rPr>
          <w:rFonts w:ascii="Arial" w:cs="Arial" w:eastAsia="Arial" w:hAnsi="Arial"/>
          <w:sz w:val="16"/>
          <w:szCs w:val="16"/>
          <w:color w:val="auto"/>
        </w:rPr>
      </w:pPr>
      <w:r>
        <w:rPr>
          <w:rFonts w:ascii="Arial" w:cs="Arial" w:eastAsia="Arial" w:hAnsi="Arial"/>
          <w:sz w:val="16"/>
          <w:szCs w:val="16"/>
          <w:color w:val="auto"/>
        </w:rPr>
        <w:t>fractional trading, which enables all of our customers—regardless of budget—to build a diversified portfolio and access stocks previously out of reach;</w:t>
      </w:r>
    </w:p>
    <w:p>
      <w:pPr>
        <w:spacing w:after="0" w:line="139" w:lineRule="exact"/>
        <w:rPr>
          <w:rFonts w:ascii="Arial" w:cs="Arial" w:eastAsia="Arial" w:hAnsi="Arial"/>
          <w:sz w:val="16"/>
          <w:szCs w:val="16"/>
          <w:color w:val="auto"/>
        </w:rPr>
      </w:pPr>
    </w:p>
    <w:p>
      <w:pPr>
        <w:ind w:left="580" w:hanging="288"/>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recurring investments, which help customers make investing routine and employ dollar-cost averaging;</w:t>
      </w:r>
    </w:p>
    <w:p>
      <w:pPr>
        <w:spacing w:after="0" w:line="162" w:lineRule="exact"/>
        <w:rPr>
          <w:rFonts w:ascii="Arial" w:cs="Arial" w:eastAsia="Arial" w:hAnsi="Arial"/>
          <w:sz w:val="16"/>
          <w:szCs w:val="16"/>
          <w:color w:val="auto"/>
        </w:rPr>
      </w:pPr>
    </w:p>
    <w:p>
      <w:pPr>
        <w:jc w:val="both"/>
        <w:ind w:left="580" w:hanging="288"/>
        <w:spacing w:after="0" w:line="254" w:lineRule="auto"/>
        <w:tabs>
          <w:tab w:leader="none" w:pos="576"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Management, which includes Robinhood-branded debit cards and enables customers to save and spend by paying bills, writing checks, earning interest, withdrawing funds via ATMs and receiving Federal Deposit Insurance Corporation (“FDIC”) pass-through insurance on cash swept from their brokerage account; and</w:t>
      </w:r>
    </w:p>
    <w:p>
      <w:pPr>
        <w:spacing w:after="0" w:line="156" w:lineRule="exact"/>
        <w:rPr>
          <w:rFonts w:ascii="Arial" w:cs="Arial" w:eastAsia="Arial" w:hAnsi="Arial"/>
          <w:sz w:val="16"/>
          <w:szCs w:val="16"/>
          <w:color w:val="auto"/>
        </w:rPr>
      </w:pPr>
    </w:p>
    <w:p>
      <w:pPr>
        <w:ind w:left="580" w:hanging="288"/>
        <w:spacing w:after="0" w:line="260" w:lineRule="auto"/>
        <w:tabs>
          <w:tab w:leader="none" w:pos="576" w:val="left"/>
        </w:tabs>
        <w:numPr>
          <w:ilvl w:val="0"/>
          <w:numId w:val="4"/>
        </w:numPr>
        <w:rPr>
          <w:rFonts w:ascii="Arial" w:cs="Arial" w:eastAsia="Arial" w:hAnsi="Arial"/>
          <w:sz w:val="16"/>
          <w:szCs w:val="16"/>
          <w:color w:val="auto"/>
        </w:rPr>
      </w:pPr>
      <w:r>
        <w:rPr>
          <w:rFonts w:ascii="Arial" w:cs="Arial" w:eastAsia="Arial" w:hAnsi="Arial"/>
          <w:sz w:val="16"/>
          <w:szCs w:val="16"/>
          <w:color w:val="auto"/>
        </w:rPr>
        <w:t>Robinhood Gold, our monthly paid subscription service that provides customers with premium features, such as enhanced instant access to deposits, professional research, Nasdaq Level II market data and, upon approval, access to margin investing.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080"/>
          </w:cols>
          <w:pgMar w:left="900" w:top="1440" w:right="91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6887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i w:val="1"/>
          <w:iCs w:val="1"/>
          <w:color w:val="auto"/>
        </w:rPr>
        <w:t xml:space="preserve">Financial Tool to Financial Network. </w:t>
      </w:r>
      <w:r>
        <w:rPr>
          <w:rFonts w:ascii="Arial" w:cs="Arial" w:eastAsia="Arial" w:hAnsi="Arial"/>
          <w:sz w:val="16"/>
          <w:szCs w:val="16"/>
          <w:color w:val="auto"/>
        </w:rPr>
        <w:t>We have seen an enthusiastic response from customers and are humbled by how often they share</w:t>
      </w:r>
      <w:r>
        <w:rPr>
          <w:rFonts w:ascii="Arial" w:cs="Arial" w:eastAsia="Arial" w:hAnsi="Arial"/>
          <w:sz w:val="16"/>
          <w:szCs w:val="16"/>
          <w:i w:val="1"/>
          <w:iCs w:val="1"/>
          <w:color w:val="auto"/>
        </w:rPr>
        <w:t xml:space="preserve"> </w:t>
      </w:r>
      <w:r>
        <w:rPr>
          <w:rFonts w:ascii="Arial" w:cs="Arial" w:eastAsia="Arial" w:hAnsi="Arial"/>
          <w:sz w:val="16"/>
          <w:szCs w:val="16"/>
          <w:color w:val="auto"/>
        </w:rPr>
        <w:t>Robinhood with their families, friends and colleagues. This powerful word-of-mouth referral network has helped to rapidly grow our customer base. In 2020, our Net Cumulative Funded Accounts grew 143% to 12.5 million, increasing to 18.0 million as of March 31, 2021, with over 80% of new Funded Accounts in 2020 and in the three months ended March 31, 2021 joining our platform organically or through the Robinhood Referral Program. For the monthly cohorts in the year ended December 31, 2019, our average revenue payback period was approximately 13 months, and for the monthly cohorts in the year ended December 31, 2020, our average revenue payback period improved to less than five months. See “Management’s Discussion and Analysis of Financial Condition and Results of Operations—Key Performance Metrics” for definitions of “Funded Accounts” and “revenue payback period.” For a definition of “organically” acquired customers and a definition and description of the “Robinhood Referral Program,” see “Management’s Discussion and Analysis of Financial Condition and Results of Operations—Our Business Model—New Customer Growth.”</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the year ended December 31, 2020, as compared to the year ended December 31, 2019:</w:t>
      </w:r>
    </w:p>
    <w:p>
      <w:pPr>
        <w:spacing w:after="0" w:line="163" w:lineRule="exact"/>
        <w:rPr>
          <w:sz w:val="20"/>
          <w:szCs w:val="20"/>
          <w:color w:val="auto"/>
        </w:rPr>
      </w:pPr>
    </w:p>
    <w:p>
      <w:pPr>
        <w:ind w:left="580" w:hanging="288"/>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total revenue grew 245% to $959 million, up from $278 million;</w:t>
      </w:r>
    </w:p>
    <w:p>
      <w:pPr>
        <w:spacing w:after="0" w:line="174" w:lineRule="exact"/>
        <w:rPr>
          <w:rFonts w:ascii="Arial" w:cs="Arial" w:eastAsia="Arial" w:hAnsi="Arial"/>
          <w:sz w:val="16"/>
          <w:szCs w:val="16"/>
          <w:color w:val="auto"/>
        </w:rPr>
      </w:pPr>
    </w:p>
    <w:p>
      <w:pPr>
        <w:ind w:left="580" w:hanging="288"/>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recorded net income of $7 million, compared to a net loss of $107 million; and</w:t>
      </w:r>
    </w:p>
    <w:p>
      <w:pPr>
        <w:spacing w:after="0" w:line="162" w:lineRule="exact"/>
        <w:rPr>
          <w:rFonts w:ascii="Arial" w:cs="Arial" w:eastAsia="Arial" w:hAnsi="Arial"/>
          <w:sz w:val="16"/>
          <w:szCs w:val="16"/>
          <w:color w:val="auto"/>
        </w:rPr>
      </w:pPr>
    </w:p>
    <w:p>
      <w:pPr>
        <w:ind w:left="580" w:hanging="288"/>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Adjusted EBITDA was $155 million, compared to negative $74 million.</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addition, for the three months ended March 31, 2021, as compared to the three months ended March 31, 2020:</w:t>
      </w:r>
    </w:p>
    <w:p>
      <w:pPr>
        <w:spacing w:after="0" w:line="175" w:lineRule="exact"/>
        <w:rPr>
          <w:sz w:val="20"/>
          <w:szCs w:val="20"/>
          <w:color w:val="auto"/>
        </w:rPr>
      </w:pPr>
    </w:p>
    <w:p>
      <w:pPr>
        <w:ind w:left="580" w:hanging="288"/>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total revenue grew 309% to $522 million, up from $128 million;</w:t>
      </w:r>
    </w:p>
    <w:p>
      <w:pPr>
        <w:spacing w:after="0" w:line="162" w:lineRule="exact"/>
        <w:rPr>
          <w:rFonts w:ascii="Arial" w:cs="Arial" w:eastAsia="Arial" w:hAnsi="Arial"/>
          <w:sz w:val="16"/>
          <w:szCs w:val="16"/>
          <w:color w:val="auto"/>
        </w:rPr>
      </w:pPr>
    </w:p>
    <w:p>
      <w:pPr>
        <w:ind w:left="580" w:hanging="288"/>
        <w:spacing w:after="0" w:line="260" w:lineRule="auto"/>
        <w:tabs>
          <w:tab w:leader="none" w:pos="576"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recorded net loss of $1.4 billion, which included a $1.5 billion fair value adjustment to our convertible notes and warrant liability, compared to a net loss of $53 million;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080"/>
          </w:cols>
          <w:pgMar w:left="900" w:top="1440" w:right="91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5969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5969635"/>
                    </a:xfrm>
                    <a:prstGeom prst="rect">
                      <a:avLst/>
                    </a:prstGeom>
                    <a:noFill/>
                  </pic:spPr>
                </pic:pic>
              </a:graphicData>
            </a:graphic>
          </wp:anchor>
        </w:drawing>
      </w:r>
    </w:p>
    <w:p>
      <w:pPr>
        <w:spacing w:after="0" w:line="399" w:lineRule="exact"/>
        <w:rPr>
          <w:sz w:val="20"/>
          <w:szCs w:val="20"/>
          <w:color w:val="auto"/>
        </w:rPr>
      </w:pPr>
    </w:p>
    <w:p>
      <w:pPr>
        <w:ind w:left="580" w:hanging="288"/>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Adjusted EBITDA was $115 million, compared to negative $47 million.</w:t>
      </w:r>
    </w:p>
    <w:p>
      <w:pPr>
        <w:spacing w:after="0" w:line="163"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Adjusted EBITDA is a non-GAAP financial measure. See “Management’s Discussion and Analysis of Financial Condition and Results of Operations—Non-GAAP Financial Measures” for more information about Adjusted EBITDA, including the definition and limitations of such measure, and a reconciliation of net income (loss) to Adjusted EBITDA.</w:t>
      </w:r>
    </w:p>
    <w:p>
      <w:pPr>
        <w:spacing w:after="0" w:line="129"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i w:val="1"/>
          <w:iCs w:val="1"/>
          <w:color w:val="auto"/>
        </w:rPr>
        <w:t xml:space="preserve">Future Vision. </w:t>
      </w:r>
      <w:r>
        <w:rPr>
          <w:rFonts w:ascii="Arial" w:cs="Arial" w:eastAsia="Arial" w:hAnsi="Arial"/>
          <w:sz w:val="16"/>
          <w:szCs w:val="16"/>
          <w:color w:val="auto"/>
        </w:rPr>
        <w:t>Our vision is for Robinhood to become the most trusted, lowest-cost, and most culturally relevant money app worldwide. We</w:t>
      </w:r>
      <w:r>
        <w:rPr>
          <w:rFonts w:ascii="Arial" w:cs="Arial" w:eastAsia="Arial" w:hAnsi="Arial"/>
          <w:sz w:val="16"/>
          <w:szCs w:val="16"/>
          <w:i w:val="1"/>
          <w:iCs w:val="1"/>
          <w:color w:val="auto"/>
        </w:rPr>
        <w:t xml:space="preserve"> </w:t>
      </w:r>
      <w:r>
        <w:rPr>
          <w:rFonts w:ascii="Arial" w:cs="Arial" w:eastAsia="Arial" w:hAnsi="Arial"/>
          <w:sz w:val="16"/>
          <w:szCs w:val="16"/>
          <w:color w:val="auto"/>
        </w:rPr>
        <w:t>innovate at the epicenter of finance, technology and access for all. As we look to the future, we want to help Robinhood customers manage all aspects of their financial lives in one place. We envision them moving seamlessly between investing, saving and spending all on the Robinhood platform. When we check our email, there is a go-to app. When we need a map, there is a go-to app. We envision a world in which Robinhood is that go-to app for money. We believe people want to build financial independence and have the tools and ability to own their financial well-being. We look forward to being our customers' single money app that enables them to achieve those goals.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Trends in Our Favor</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Technology Is Transforming Customer Expectations</w:t>
      </w:r>
    </w:p>
    <w:p>
      <w:pPr>
        <w:spacing w:after="0" w:line="179" w:lineRule="exact"/>
        <w:rPr>
          <w:sz w:val="20"/>
          <w:szCs w:val="20"/>
          <w:color w:val="auto"/>
        </w:rPr>
      </w:pPr>
    </w:p>
    <w:p>
      <w:pPr>
        <w:jc w:val="both"/>
        <w:ind w:firstLine="287"/>
        <w:spacing w:after="0" w:line="272" w:lineRule="auto"/>
        <w:rPr>
          <w:sz w:val="20"/>
          <w:szCs w:val="20"/>
          <w:color w:val="auto"/>
        </w:rPr>
      </w:pPr>
      <w:r>
        <w:rPr>
          <w:rFonts w:ascii="Arial" w:cs="Arial" w:eastAsia="Arial" w:hAnsi="Arial"/>
          <w:sz w:val="15"/>
          <w:szCs w:val="15"/>
          <w:color w:val="auto"/>
        </w:rPr>
        <w:t>Across industries, we have witnessed a movement toward products and brands that redefine the customer experience through technology. Today, people can get dinner delivered to their door with two taps on a smartphone, purchase groceries without ever setting foot in a store and conduct morning meetings with hundreds of colleagues from their homes. We observe a similar trend in the equity markets, where 30% of retail investors in the United States place orders using a mobile app, according to 2018 FINRA surveys. That number grows to 59% when looking solely at participants aged 18-34. Innovative technology-based companies are challenging traditional norms and engaging people in new ways.</w:t>
      </w:r>
    </w:p>
    <w:p>
      <w:pPr>
        <w:spacing w:after="0" w:line="146"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nature of these experiences has rapidly advanced customer expectations and demands for intuitive, engaging and easy-to-use products. Brands that empower customers through these types of products are often propelled to cultural relevance. According to PwC, 73% of consumers worldwide point to customer experience as an important factor in their purchasing decisions, and 65% of U.S. consumers find a positive experience with a brand to be more influential than great advertising.</w:t>
      </w:r>
    </w:p>
    <w:p>
      <w:pPr>
        <w:spacing w:after="0" w:line="147"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At the same time, smartphone usage has skyrocketed. Not only are smartphones essentially ubiquitous nationwide, they are a dominating force in consumers’ lives. Companies that have been able to leverage mobile technology to deliver market-leading customer experiences continue to reshape legacy industry growth trends and create significant shareholder value.</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Increasing Participation in the Financial Markets and the Rise of FinTech Companies</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U.S. stock market is one of the greatest sources of wealth creation in the world. Average historical returns on the S&amp;P 500 amount to approximately 9% annually over the past 50 years. But this great wealth creator has remained out of reach for many individuals and families, while others have had better access, more useful tools and a clearer invitation to participate. That is beginning to change as more and more people are taking their financial lives into their own hands. There are many people still unserved, and we believe we are well-placed to help build this momentum toward increased participation.</w:t>
      </w:r>
    </w:p>
    <w:p>
      <w:pPr>
        <w:spacing w:after="0" w:line="145"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Since 2010, the S&amp;P 500 has produced an average annual return of approximately 13%. That has coincided with a substantial increase in participation among retail investors seeking to improve their financial health. Retail investing now comprises roughly 20% of U.S. equity trading volume, doubling in the decade from 2010 to 2020. Yet, we believe there is still significant room for growth: according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080"/>
          </w:cols>
          <w:pgMar w:left="900" w:top="1440" w:right="91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5862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5862955"/>
                    </a:xfrm>
                    <a:prstGeom prst="rect">
                      <a:avLst/>
                    </a:prstGeom>
                    <a:noFill/>
                  </pic:spPr>
                </pic:pic>
              </a:graphicData>
            </a:graphic>
          </wp:anchor>
        </w:drawing>
      </w:r>
    </w:p>
    <w:p>
      <w:pPr>
        <w:spacing w:after="0" w:line="39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2019 Pew Research survey, approximately 60% of all Americans still do not have investments outside of their retirement accounts, and, according to a 2020 Gallup poll, an even greater percentage of young adults aged 18 to 29—68%—have no money invested in the stock market at all.</w:t>
      </w:r>
    </w:p>
    <w:p>
      <w:pPr>
        <w:spacing w:after="0" w:line="145" w:lineRule="exact"/>
        <w:rPr>
          <w:sz w:val="20"/>
          <w:szCs w:val="20"/>
          <w:color w:val="auto"/>
        </w:rPr>
      </w:pPr>
    </w:p>
    <w:p>
      <w:pPr>
        <w:ind w:right="140" w:firstLine="287"/>
        <w:spacing w:after="0" w:line="251" w:lineRule="auto"/>
        <w:rPr>
          <w:sz w:val="20"/>
          <w:szCs w:val="20"/>
          <w:color w:val="auto"/>
        </w:rPr>
      </w:pPr>
      <w:r>
        <w:rPr>
          <w:rFonts w:ascii="Arial" w:cs="Arial" w:eastAsia="Arial" w:hAnsi="Arial"/>
          <w:sz w:val="16"/>
          <w:szCs w:val="16"/>
          <w:color w:val="auto"/>
        </w:rPr>
        <w:t>FinTech companies offer customer experiences powered by modern and nimble infrastructure as well as intuitive customer interfaces, making these companies well-positioned to rapidly build and deploy innovative products that meet the expectations of the growing generation of digital consumers. This rapid product cycle has led to innovation across the FinTech landscape, with consumers increasingly looking to technology companies for financial products. Nearly two-thirds of Americans, according to a Harris Poll conducted in 2020, would consider purchasing or applying for financial products through a technology company’s platform instead of a traditional financial services provider, and that figure increases to 81% for Americans aged 18 to 34.</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Our Opportunity</w:t>
      </w:r>
    </w:p>
    <w:p>
      <w:pPr>
        <w:spacing w:after="0" w:line="175" w:lineRule="exact"/>
        <w:rPr>
          <w:sz w:val="20"/>
          <w:szCs w:val="20"/>
          <w:color w:val="auto"/>
        </w:rPr>
      </w:pPr>
    </w:p>
    <w:p>
      <w:pPr>
        <w:ind w:firstLine="287"/>
        <w:spacing w:after="0" w:line="260" w:lineRule="auto"/>
        <w:rPr>
          <w:sz w:val="20"/>
          <w:szCs w:val="20"/>
          <w:color w:val="auto"/>
        </w:rPr>
      </w:pPr>
      <w:r>
        <w:rPr>
          <w:rFonts w:ascii="Arial" w:cs="Arial" w:eastAsia="Arial" w:hAnsi="Arial"/>
          <w:sz w:val="16"/>
          <w:szCs w:val="16"/>
          <w:color w:val="auto"/>
        </w:rPr>
        <w:t>Financial services underpin our daily lives. Activities such as investing, saving and spending are core financial activities that offer avenues for Robinhood to grow with our customers throughout their financial journey.</w:t>
      </w:r>
    </w:p>
    <w:p>
      <w:pPr>
        <w:spacing w:after="0" w:line="139" w:lineRule="exact"/>
        <w:rPr>
          <w:sz w:val="20"/>
          <w:szCs w:val="20"/>
          <w:color w:val="auto"/>
        </w:rPr>
      </w:pPr>
    </w:p>
    <w:p>
      <w:pPr>
        <w:ind w:firstLine="287"/>
        <w:spacing w:after="0" w:line="260" w:lineRule="auto"/>
        <w:rPr>
          <w:sz w:val="20"/>
          <w:szCs w:val="20"/>
          <w:color w:val="auto"/>
        </w:rPr>
      </w:pPr>
      <w:r>
        <w:rPr>
          <w:rFonts w:ascii="Arial" w:cs="Arial" w:eastAsia="Arial" w:hAnsi="Arial"/>
          <w:sz w:val="16"/>
          <w:szCs w:val="16"/>
          <w:color w:val="auto"/>
        </w:rPr>
        <w:t>Our current retail brokerage, cryptocurrency trading and Cash Management offerings are the first step toward a comprehensive financial services platform.</w:t>
      </w:r>
    </w:p>
    <w:p>
      <w:pPr>
        <w:spacing w:after="0" w:line="139" w:lineRule="exact"/>
        <w:rPr>
          <w:sz w:val="20"/>
          <w:szCs w:val="20"/>
          <w:color w:val="auto"/>
        </w:rPr>
      </w:pPr>
    </w:p>
    <w:p>
      <w:pPr>
        <w:jc w:val="both"/>
        <w:ind w:left="580" w:hanging="288"/>
        <w:spacing w:after="0" w:line="251" w:lineRule="auto"/>
        <w:tabs>
          <w:tab w:leader="none" w:pos="576"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retail investing platform is currently our core product offering, one we have continued to expand since its launch in 2015. Retail investing in the United States represents a large market today—U.S. retail investors are estimated by Charles Schwab to have total assets of approximately $50 trillion. Additionally, from January 1, 2015 to March 31, 2021, over half of the customers funding accounts on our platform told us that Robinhood was their first brokerage account. Given that dynamic, we believe we are meaningfully expanding the size of the defined market—bringing in participants who would otherwise not be involved in the financial system. Expanding the universe of investors has been, and we expect will continue to be, a significant driver of our market-leading growth.</w:t>
      </w:r>
    </w:p>
    <w:p>
      <w:pPr>
        <w:spacing w:after="0" w:line="159" w:lineRule="exact"/>
        <w:rPr>
          <w:rFonts w:ascii="Arial" w:cs="Arial" w:eastAsia="Arial" w:hAnsi="Arial"/>
          <w:sz w:val="16"/>
          <w:szCs w:val="16"/>
          <w:color w:val="auto"/>
        </w:rPr>
      </w:pPr>
    </w:p>
    <w:p>
      <w:pPr>
        <w:jc w:val="both"/>
        <w:ind w:left="580" w:hanging="288"/>
        <w:spacing w:after="0" w:line="250" w:lineRule="auto"/>
        <w:tabs>
          <w:tab w:leader="none" w:pos="552" w:val="left"/>
        </w:tabs>
        <w:numPr>
          <w:ilvl w:val="0"/>
          <w:numId w:val="8"/>
        </w:numPr>
        <w:rPr>
          <w:rFonts w:ascii="Arial" w:cs="Arial" w:eastAsia="Arial" w:hAnsi="Arial"/>
          <w:sz w:val="16"/>
          <w:szCs w:val="16"/>
          <w:i w:val="1"/>
          <w:iCs w:val="1"/>
          <w:color w:val="auto"/>
        </w:rPr>
      </w:pPr>
      <w:r>
        <w:rPr>
          <w:rFonts w:ascii="Arial" w:cs="Arial" w:eastAsia="Arial" w:hAnsi="Arial"/>
          <w:sz w:val="16"/>
          <w:szCs w:val="16"/>
          <w:color w:val="auto"/>
        </w:rPr>
        <w:t xml:space="preserve">Our cryptocurrency trading platform offers commission-free buying and selling of cryptocurrency through our subsidiary, RHC. From February 21, 2018, the day before we introduced cryptocurrency trading on our platform, </w:t>
      </w:r>
      <w:r>
        <w:rPr>
          <w:rFonts w:ascii="Arial" w:cs="Arial" w:eastAsia="Arial" w:hAnsi="Arial"/>
          <w:sz w:val="16"/>
          <w:szCs w:val="16"/>
          <w:color w:val="auto"/>
          <w:highlight w:val="white"/>
        </w:rPr>
        <w:t>to March 31, 2021, the total cryptocurrency</w:t>
      </w:r>
      <w:r>
        <w:rPr>
          <w:rFonts w:ascii="Arial" w:cs="Arial" w:eastAsia="Arial" w:hAnsi="Arial"/>
          <w:sz w:val="16"/>
          <w:szCs w:val="16"/>
          <w:color w:val="auto"/>
        </w:rPr>
        <w:t xml:space="preserve"> </w:t>
      </w:r>
      <w:r>
        <w:rPr>
          <w:rFonts w:ascii="Arial" w:cs="Arial" w:eastAsia="Arial" w:hAnsi="Arial"/>
          <w:sz w:val="16"/>
          <w:szCs w:val="16"/>
          <w:color w:val="auto"/>
          <w:highlight w:val="white"/>
        </w:rPr>
        <w:t xml:space="preserve">market capitalization has grown from approximately $450 billion to approximately </w:t>
      </w:r>
      <w:r>
        <w:rPr>
          <w:rFonts w:ascii="Arial" w:cs="Arial" w:eastAsia="Arial" w:hAnsi="Arial"/>
          <w:sz w:val="16"/>
          <w:szCs w:val="16"/>
          <w:color w:val="auto"/>
        </w:rPr>
        <w:t>$1.9 trillion, driven by increased adoption of</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cryptocurrency trading by both retail and institutional investors, as well as continued growth of various non-investing use cases for crypto-assets. In addition, the worldwide daily average market volume of Bitcoin, </w:t>
      </w:r>
      <w:r>
        <w:rPr>
          <w:rFonts w:ascii="Arial" w:cs="Arial" w:eastAsia="Arial" w:hAnsi="Arial"/>
          <w:sz w:val="16"/>
          <w:szCs w:val="16"/>
          <w:color w:val="auto"/>
          <w:highlight w:val="white"/>
        </w:rPr>
        <w:t>which was the most traded cryptocurrency on our</w:t>
      </w:r>
      <w:r>
        <w:rPr>
          <w:rFonts w:ascii="Arial" w:cs="Arial" w:eastAsia="Arial" w:hAnsi="Arial"/>
          <w:sz w:val="16"/>
          <w:szCs w:val="16"/>
          <w:color w:val="auto"/>
        </w:rPr>
        <w:t xml:space="preserve"> </w:t>
      </w:r>
      <w:r>
        <w:rPr>
          <w:rFonts w:ascii="Arial" w:cs="Arial" w:eastAsia="Arial" w:hAnsi="Arial"/>
          <w:sz w:val="16"/>
          <w:szCs w:val="16"/>
          <w:color w:val="auto"/>
          <w:highlight w:val="white"/>
        </w:rPr>
        <w:t xml:space="preserve">platform by notional value for the year ended December 31, 2020 and for the three months ended March 31, 2021, was over </w:t>
      </w:r>
      <w:r>
        <w:rPr>
          <w:rFonts w:ascii="Arial" w:cs="Arial" w:eastAsia="Arial" w:hAnsi="Arial"/>
          <w:sz w:val="16"/>
          <w:szCs w:val="16"/>
          <w:color w:val="auto"/>
        </w:rPr>
        <w:t>$54 billion</w:t>
      </w:r>
      <w:r>
        <w:rPr>
          <w:rFonts w:ascii="Arial" w:cs="Arial" w:eastAsia="Arial" w:hAnsi="Arial"/>
          <w:sz w:val="16"/>
          <w:szCs w:val="16"/>
          <w:color w:val="auto"/>
          <w:highlight w:val="white"/>
        </w:rPr>
        <w:t xml:space="preserve"> </w:t>
      </w:r>
      <w:r>
        <w:rPr>
          <w:rFonts w:ascii="Arial" w:cs="Arial" w:eastAsia="Arial" w:hAnsi="Arial"/>
          <w:sz w:val="16"/>
          <w:szCs w:val="16"/>
          <w:color w:val="auto"/>
        </w:rPr>
        <w:t>in March 2021, as compared to approximately $8 billion in February 2018. While future market size estimates for the cryptocurrency market are highly varied, the historical trend has been strongly supportive. We believe that growing interest and adoption of cryptocurrency will drive increased customer interest in our platform and that we have significant room to grow even within our current customer base. For more information about our AUC represented by cryptocurrency and the percentage of transaction revenue represented by cryptocurrency, please see “—Key Performance Metrics” and "—Key Components of our Results of Operations” under the section titled “Management’s Discussion and Analysis of Financial Condition and Results of Operations.”</w:t>
      </w:r>
    </w:p>
    <w:p>
      <w:pPr>
        <w:spacing w:after="0" w:line="149" w:lineRule="exact"/>
        <w:rPr>
          <w:rFonts w:ascii="Arial" w:cs="Arial" w:eastAsia="Arial" w:hAnsi="Arial"/>
          <w:sz w:val="16"/>
          <w:szCs w:val="16"/>
          <w:i w:val="1"/>
          <w:iCs w:val="1"/>
          <w:color w:val="auto"/>
        </w:rPr>
      </w:pPr>
    </w:p>
    <w:p>
      <w:pPr>
        <w:jc w:val="both"/>
        <w:ind w:left="580" w:hanging="288"/>
        <w:spacing w:after="0" w:line="254" w:lineRule="auto"/>
        <w:tabs>
          <w:tab w:leader="none" w:pos="576"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Cash Management product, which places uninvested customer cash with FDIC-insured banks and offers a competitive interest rate (and also includes Robinhood-branded debit cards), is highly complementary to our brokerage offering and enhances our overall ecosystem. While still a small proportion of our overall revenue, we believe continued adoption of our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080"/>
          </w:cols>
          <w:pgMar w:left="900" w:top="1440" w:right="91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6007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6007100"/>
                    </a:xfrm>
                    <a:prstGeom prst="rect">
                      <a:avLst/>
                    </a:prstGeom>
                    <a:noFill/>
                  </pic:spPr>
                </pic:pic>
              </a:graphicData>
            </a:graphic>
          </wp:anchor>
        </w:drawing>
      </w:r>
    </w:p>
    <w:p>
      <w:pPr>
        <w:spacing w:after="0" w:line="399" w:lineRule="exact"/>
        <w:rPr>
          <w:sz w:val="20"/>
          <w:szCs w:val="20"/>
          <w:color w:val="auto"/>
        </w:rPr>
      </w:pPr>
    </w:p>
    <w:p>
      <w:pPr>
        <w:jc w:val="both"/>
        <w:ind w:left="580"/>
        <w:spacing w:after="0" w:line="252" w:lineRule="auto"/>
        <w:rPr>
          <w:sz w:val="20"/>
          <w:szCs w:val="20"/>
          <w:color w:val="auto"/>
        </w:rPr>
      </w:pPr>
      <w:r>
        <w:rPr>
          <w:rFonts w:ascii="Arial" w:cs="Arial" w:eastAsia="Arial" w:hAnsi="Arial"/>
          <w:sz w:val="16"/>
          <w:szCs w:val="16"/>
          <w:color w:val="auto"/>
        </w:rPr>
        <w:t>Management product by existing customers, as well as increased adoption through the expansion of our customer base, will result in meaningful opportunities in the future. According to the FDIC, there are over $1 trillion in brokered deposits in the U.S. banking system as of June 30, 2020 and the Nilson Report estimated U.S. prepaid and debit card purchase volume to be approximately $3.8 trillion dollars in 2020.</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believe these current product offerings represent only the beginning. Our customers already trust us with their hard-earned cash and assets, positioning us as the first financial services relationship for many new investors and younger generations of investors. We see a significant opportunity to introduce innovative products to address our customers’ future needs—including investing, saving, spending and borrowing—allowing us to grow with new and existing customers from our single money app. These additional opportunities are significant—for example, U.S. credit card purchase volume was approximately $3.6 trillion in 2020 (according to Nilson Report), and there is an approximately $4 trillion volume opportunity in peer-to-peer and micro-merchant payments (according to Square, Inc.). We also plan to invest in improvements to our customer support functions to adequately support the significant growth in our user base. In particular, while we do not currently provide general customer support by telephone and only offer callback phone support (which customers can request in-app) for certain use cases, which may limit potential or existing customers’ access to support and has drawn negative public attention, we plan to expand our phone-based voice support to additional use cases and are increasing the number of customer support professionals we employ.</w:t>
      </w:r>
    </w:p>
    <w:p>
      <w:pPr>
        <w:spacing w:after="0" w:line="15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currently only operate our business in the United States and offer services only to U.S. citizens and permanent residents with a legal address within the United States or Puerto Rico. Total global wealth outside of the United States, as of mid-2019, has been estimated at over $250 trillion, according to the Credit Suisse Research Institute. Opportunities like this give us confidence that we can have a meaningful impact at driving increased access and market participation outside of the United States, and that the global opportunity for us to democratize finance for all is significant.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What Sets Us Apart</w:t>
      </w:r>
    </w:p>
    <w:p>
      <w:pPr>
        <w:spacing w:after="0" w:line="163"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We have built a market-leading financial technology platform with an intuitive customer interface that has changed the landscape of retail investing. While we have already achieved significant growth, we believe we are well-positioned to serve an increasing portion of the population and the broader financial services ecosystem.</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Creative Product Design</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 xml:space="preserve">We believe archaic, cumbersome digital platforms reinforce legacy barriers to participation in the financial system. We put design at the center of our product with the goal of building long-term relationships with customers. We involve our talented product designers early and often throughout our product development process to create intuitive and elegant experiences that efficiently address our customers’ needs. Our customer-centric approach has made our platform easy to use, informative and familiar in look and feel for a generation of mobile-first customers. For example, to make our customer experience both delightful and informative, we seamlessly integrate information into our platform through Robinhood Learn and our newsfeed, which offers free news from trusted sources including </w:t>
      </w:r>
      <w:r>
        <w:rPr>
          <w:rFonts w:ascii="Arial" w:cs="Arial" w:eastAsia="Arial" w:hAnsi="Arial"/>
          <w:sz w:val="16"/>
          <w:szCs w:val="16"/>
          <w:i w:val="1"/>
          <w:iCs w:val="1"/>
          <w:color w:val="auto"/>
        </w:rPr>
        <w:t>Barron’s</w:t>
      </w:r>
      <w:r>
        <w:rPr>
          <w:rFonts w:ascii="Arial" w:cs="Arial" w:eastAsia="Arial" w:hAnsi="Arial"/>
          <w:sz w:val="16"/>
          <w:szCs w:val="16"/>
          <w:color w:val="auto"/>
        </w:rPr>
        <w:t xml:space="preserve">, </w:t>
      </w:r>
      <w:r>
        <w:rPr>
          <w:rFonts w:ascii="Arial" w:cs="Arial" w:eastAsia="Arial" w:hAnsi="Arial"/>
          <w:sz w:val="16"/>
          <w:szCs w:val="16"/>
          <w:i w:val="1"/>
          <w:iCs w:val="1"/>
          <w:color w:val="auto"/>
        </w:rPr>
        <w:t>Reuters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Wall</w:t>
      </w:r>
      <w:r>
        <w:rPr>
          <w:rFonts w:ascii="Arial" w:cs="Arial" w:eastAsia="Arial" w:hAnsi="Arial"/>
          <w:sz w:val="16"/>
          <w:szCs w:val="16"/>
          <w:color w:val="auto"/>
        </w:rPr>
        <w:t xml:space="preserve"> </w:t>
      </w:r>
      <w:r>
        <w:rPr>
          <w:rFonts w:ascii="Arial" w:cs="Arial" w:eastAsia="Arial" w:hAnsi="Arial"/>
          <w:sz w:val="16"/>
          <w:szCs w:val="16"/>
          <w:i w:val="1"/>
          <w:iCs w:val="1"/>
          <w:color w:val="auto"/>
        </w:rPr>
        <w:t>Street Journal</w:t>
      </w:r>
      <w:r>
        <w:rPr>
          <w:rFonts w:ascii="Arial" w:cs="Arial" w:eastAsia="Arial" w:hAnsi="Arial"/>
          <w:sz w:val="16"/>
          <w:szCs w:val="16"/>
          <w:color w:val="auto"/>
        </w:rPr>
        <w:t>.</w:t>
      </w:r>
    </w:p>
    <w:p>
      <w:pPr>
        <w:spacing w:after="0" w:line="14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products are designed mobile-first, allowing us to offer attractive investing, spending and saving experiences as more people shift their daily financial services activities to the palm of their hands. This simplicity and ease of use has made Robinhood the go-to mobile investing experience, and in 2020 we garnered over half of all new app downloads among mobile investing and trading platforms in the United States (a group comprised of us, Etrade, Fidelity Investments, IBKR, M1 Finance, Schwab, TD Ameritrade, Thinkorswim, Vanguard and Webull) according to mobile data and analytics provider App Annie.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080"/>
          </w:cols>
          <w:pgMar w:left="900" w:top="1440" w:right="91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6106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610616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Category-Defining Brand</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We believe Robinhood today is a symbol of retail investing and finance in America. By taking a fresh, people-centric approach and creating a delightful, engaging customer experience, we believe we have built a trusted, category-defining brand that has made investing socially relevant for the next generation.</w:t>
      </w:r>
    </w:p>
    <w:p>
      <w:pPr>
        <w:spacing w:after="0" w:line="14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relationship we have built with our customers has led many to want to talk about Robinhood and share their experience with their friends and family. From Robinhood’s inception, a vast majority of our growth has come directly from customers joining our platform organically or through the Robinhood Referral Program. This virality of Robinhood has continued—and even accelerated—since other major brokerages adopted our commission-free model beginning in October 2019. In 2020 and in the three months ended March 31, 2021, over 80% of new Funded Accounts joined our platform organically or through the Robinhood Referral Program. The excitement around Robinhood demonstrates how our innovative approach to financial products has built deep, loyal customer relationships and positioned us well to continue attracting new people to our platform, and sharing new product experiences with our customers.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Financial Services at Internet Scale</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people-centric approach has driven customer enthusiasm and engagement, resulting in rapid adoption of our products. We designed our platform to provide our customers with relevant, accessible information when they need it most. Being an investor involves following a regular cycle of events—news releases, earnings announcements, transaction executions—that creates a regular cadence of content and information.</w:t>
      </w:r>
    </w:p>
    <w:p>
      <w:pPr>
        <w:spacing w:after="0" w:line="14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use our platform, from push notifications to widgets, to provide seamless customized updates to our customers. This engenders trust, creates enduring long-term relationships and has resonated with our customers. During 2020, among our customers who visited our app in a given day, they did so nearly seven times a day on average and engaged with us for a variety of reasons—to read the news, check their watch lists, manage their cash balances, make investments and monitor their portfolios. That figure is approximately two to four times higher than other leading FinTech companies during the same time period. We have sustained this level of engagement at scale, with 18.0 million Net Cumulative Funded Accounts as of March 31, 2021. See “Management’s Discussion and Analysis of Financial Condition and Results of Operations—Key Performance Metrics” for a definition of “MAUs.”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Vertically Integrated Platform</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design our own products and services and deliver them through a single, app-based platform supported by proprietary technology that has been cloud-based from the start. Our subsidiary, RHF, is a licensed introducing broker-dealer, and our other broker-dealer subsidiary, RHS, is a licensed clearing broker-dealer. Our digitally-native technology stack also gives us control over our product development from end-to-end, enabling faster development times, better customer experiences, stronger unit economics, greater flexibility and a robust and dynamic risk management framework. Our vertically integrated platform has enabled us to rapidly introduce new products and services such as cryptocurrency trading, dividend reinvestment, fractional shares, recurring investments and IPO Access, while also supporting our ability to quickly scale, including onboarding millions of new customers during 2020 and the first quarter of 2021.</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Innovative and Compelling Business Model</w:t>
      </w:r>
    </w:p>
    <w:p>
      <w:pPr>
        <w:spacing w:after="0" w:line="19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We shattered paradigms of traditional financial services by building mobile-first products and services that our customers love to use, with no commission fees or account minimums, resulting in rapid growth and strong unit economics. Our strong brand and platform accessibility has created a network that has enabled us to onboard millions of customers with minimal marketing. For the monthly cohorts in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080"/>
          </w:cols>
          <w:pgMar w:left="900" w:top="1440" w:right="91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61893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6189345"/>
                    </a:xfrm>
                    <a:prstGeom prst="rect">
                      <a:avLst/>
                    </a:prstGeom>
                    <a:noFill/>
                  </pic:spPr>
                </pic:pic>
              </a:graphicData>
            </a:graphic>
          </wp:anchor>
        </w:drawing>
      </w:r>
    </w:p>
    <w:p>
      <w:pPr>
        <w:spacing w:after="0" w:line="3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ended December 31, 2019, our average revenue payback period was approximately 13 months, and for the monthly cohorts in the year ended December 31, 2020, our average revenue payback period improved to less than five months. Over time, our customers deepen their engagement and relationship with our platform, and our ability to grow with them results in attractive cohort economics, including a nearly three-fold increase in average revenues per user in the first 24 months for both our 2017 and 2018 annual cohorts. See “Management’s Discussion and Analysis of Financial Condition and Results of Operations—Key Performance Metrics” for definitions of “revenue payback period,” “cohort” and “Average Revenues Per User.”</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Founder-Led, Passionate and Experienced Team</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Robinhood was founded in 2013 by Vladimir Tenev and Baiju Bhatt. Our founders deeply believe that everyone should have access to the financial system. To execute on this mission, we have assembled a world-class executive leadership team that includes Chief Operating Officer Gretchen Howard, previously a Partner at CapitalG, Chief Financial Officer Jason Warnick, who was most recently VP of Finance and Chief of Staff to the Chief Financial Officer at Amazon, Chief Marketing and Communications Officer Christina Smedley, previously a VP of Marketing at Facebook, Chief Legal Officer Daniel Gallagher, previously Chief Legal Officer at Mylan N.V. and SEC Commissioner from 2011 to 2015, and Chief Product Officer, Aparna Chennapragada, who was previously a Vice President and General Manager at Google. See “Management” for more information on our executive leadership team.</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Our Growth Strategies</w:t>
      </w:r>
    </w:p>
    <w:p>
      <w:pPr>
        <w:spacing w:after="0" w:line="163"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We aim to serve our customers with existing product offerings, grow with our customers over time as they build their wealth and create new and innovative products that are relevant to new and existing customers. By doing so, we believe we will be able to continue to rapidly scale our customer base and maintain our market-leading customer engagement.</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Key elements of our growth strategy include:</w:t>
      </w:r>
    </w:p>
    <w:p>
      <w:pPr>
        <w:spacing w:after="0" w:line="155" w:lineRule="exact"/>
        <w:rPr>
          <w:sz w:val="20"/>
          <w:szCs w:val="20"/>
          <w:color w:val="auto"/>
        </w:rPr>
      </w:pPr>
    </w:p>
    <w:p>
      <w:pPr>
        <w:jc w:val="both"/>
        <w:ind w:left="580" w:hanging="288"/>
        <w:spacing w:after="0" w:line="261" w:lineRule="auto"/>
        <w:tabs>
          <w:tab w:leader="none" w:pos="552" w:val="left"/>
        </w:tabs>
        <w:numPr>
          <w:ilvl w:val="0"/>
          <w:numId w:val="9"/>
        </w:numPr>
        <w:rPr>
          <w:rFonts w:ascii="Arial" w:cs="Arial" w:eastAsia="Arial" w:hAnsi="Arial"/>
          <w:sz w:val="16"/>
          <w:szCs w:val="16"/>
          <w:i w:val="1"/>
          <w:iCs w:val="1"/>
          <w:color w:val="auto"/>
        </w:rPr>
      </w:pPr>
      <w:r>
        <w:rPr>
          <w:rFonts w:ascii="Arial" w:cs="Arial" w:eastAsia="Arial" w:hAnsi="Arial"/>
          <w:sz w:val="16"/>
          <w:szCs w:val="16"/>
          <w:b w:val="1"/>
          <w:bCs w:val="1"/>
          <w:color w:val="auto"/>
        </w:rPr>
        <w:t xml:space="preserve">Continuing to Add New Customers to Our Platform. </w:t>
      </w:r>
      <w:r>
        <w:rPr>
          <w:rFonts w:ascii="Arial" w:cs="Arial" w:eastAsia="Arial" w:hAnsi="Arial"/>
          <w:sz w:val="16"/>
          <w:szCs w:val="16"/>
          <w:color w:val="auto"/>
        </w:rPr>
        <w:t>We believe there remains a significant opportunity for us to continue growing</w:t>
      </w:r>
      <w:r>
        <w:rPr>
          <w:rFonts w:ascii="Arial" w:cs="Arial" w:eastAsia="Arial" w:hAnsi="Arial"/>
          <w:sz w:val="16"/>
          <w:szCs w:val="16"/>
          <w:b w:val="1"/>
          <w:bCs w:val="1"/>
          <w:color w:val="auto"/>
        </w:rPr>
        <w:t xml:space="preserve"> </w:t>
      </w:r>
      <w:r>
        <w:rPr>
          <w:rFonts w:ascii="Arial" w:cs="Arial" w:eastAsia="Arial" w:hAnsi="Arial"/>
          <w:sz w:val="16"/>
          <w:szCs w:val="16"/>
          <w:color w:val="auto"/>
        </w:rPr>
        <w:t>our customer base as we attract new investors to financial markets. Historically, the majority of our customers have joined organically or through the Robinhood Referral Program, and we expect that planned increases in marketing in the future will drive higher brand awareness that can further accelerate our growth.</w:t>
      </w:r>
    </w:p>
    <w:p>
      <w:pPr>
        <w:spacing w:after="0" w:line="119" w:lineRule="exact"/>
        <w:rPr>
          <w:rFonts w:ascii="Arial" w:cs="Arial" w:eastAsia="Arial" w:hAnsi="Arial"/>
          <w:sz w:val="16"/>
          <w:szCs w:val="16"/>
          <w:i w:val="1"/>
          <w:iCs w:val="1"/>
          <w:color w:val="auto"/>
        </w:rPr>
      </w:pPr>
    </w:p>
    <w:p>
      <w:pPr>
        <w:jc w:val="both"/>
        <w:ind w:left="580" w:hanging="288"/>
        <w:spacing w:after="0" w:line="267" w:lineRule="auto"/>
        <w:tabs>
          <w:tab w:leader="none" w:pos="576"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Growing with Our Customers. </w:t>
      </w:r>
      <w:r>
        <w:rPr>
          <w:rFonts w:ascii="Arial" w:cs="Arial" w:eastAsia="Arial" w:hAnsi="Arial"/>
          <w:sz w:val="16"/>
          <w:szCs w:val="16"/>
          <w:color w:val="auto"/>
        </w:rPr>
        <w:t>Many of our customers are just beginning their financial journeys. As our customers grow their wealth,</w:t>
      </w:r>
      <w:r>
        <w:rPr>
          <w:rFonts w:ascii="Arial" w:cs="Arial" w:eastAsia="Arial" w:hAnsi="Arial"/>
          <w:sz w:val="16"/>
          <w:szCs w:val="16"/>
          <w:b w:val="1"/>
          <w:bCs w:val="1"/>
          <w:color w:val="auto"/>
        </w:rPr>
        <w:t xml:space="preserve"> </w:t>
      </w:r>
      <w:r>
        <w:rPr>
          <w:rFonts w:ascii="Arial" w:cs="Arial" w:eastAsia="Arial" w:hAnsi="Arial"/>
          <w:sz w:val="16"/>
          <w:szCs w:val="16"/>
          <w:color w:val="auto"/>
        </w:rPr>
        <w:t>we believe they will continue to expand their relationship with our platform, providing an increased opportunity to meet their growing financial needs.</w:t>
      </w:r>
    </w:p>
    <w:p>
      <w:pPr>
        <w:spacing w:after="0" w:line="114" w:lineRule="exact"/>
        <w:rPr>
          <w:rFonts w:ascii="Arial" w:cs="Arial" w:eastAsia="Arial" w:hAnsi="Arial"/>
          <w:sz w:val="16"/>
          <w:szCs w:val="16"/>
          <w:color w:val="auto"/>
        </w:rPr>
      </w:pPr>
    </w:p>
    <w:p>
      <w:pPr>
        <w:ind w:left="580" w:hanging="288"/>
        <w:spacing w:after="0" w:line="286" w:lineRule="auto"/>
        <w:tabs>
          <w:tab w:leader="none" w:pos="576"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Continuing Product and Technology Innovation. </w:t>
      </w:r>
      <w:r>
        <w:rPr>
          <w:rFonts w:ascii="Arial" w:cs="Arial" w:eastAsia="Arial" w:hAnsi="Arial"/>
          <w:sz w:val="16"/>
          <w:szCs w:val="16"/>
          <w:color w:val="auto"/>
        </w:rPr>
        <w:t>We intend to continue to invest in our platform through four key areas: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innovation, educational content, technology and infrastructure improvements and customer support.</w:t>
      </w:r>
    </w:p>
    <w:p>
      <w:pPr>
        <w:spacing w:after="0" w:line="111" w:lineRule="exact"/>
        <w:rPr>
          <w:rFonts w:ascii="Arial" w:cs="Arial" w:eastAsia="Arial" w:hAnsi="Arial"/>
          <w:sz w:val="16"/>
          <w:szCs w:val="16"/>
          <w:color w:val="auto"/>
        </w:rPr>
      </w:pPr>
    </w:p>
    <w:p>
      <w:pPr>
        <w:ind w:left="580" w:hanging="288"/>
        <w:spacing w:after="0" w:line="286" w:lineRule="auto"/>
        <w:tabs>
          <w:tab w:leader="none" w:pos="576"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Expanding Internationally. </w:t>
      </w:r>
      <w:r>
        <w:rPr>
          <w:rFonts w:ascii="Arial" w:cs="Arial" w:eastAsia="Arial" w:hAnsi="Arial"/>
          <w:sz w:val="16"/>
          <w:szCs w:val="16"/>
          <w:color w:val="auto"/>
        </w:rPr>
        <w:t>We believe there is a significant opportunity for Robinhood to grow internationally. Over time, we intend to</w:t>
      </w:r>
      <w:r>
        <w:rPr>
          <w:rFonts w:ascii="Arial" w:cs="Arial" w:eastAsia="Arial" w:hAnsi="Arial"/>
          <w:sz w:val="16"/>
          <w:szCs w:val="16"/>
          <w:b w:val="1"/>
          <w:bCs w:val="1"/>
          <w:color w:val="auto"/>
        </w:rPr>
        <w:t xml:space="preserve"> </w:t>
      </w:r>
      <w:r>
        <w:rPr>
          <w:rFonts w:ascii="Arial" w:cs="Arial" w:eastAsia="Arial" w:hAnsi="Arial"/>
          <w:sz w:val="16"/>
          <w:szCs w:val="16"/>
          <w:color w:val="auto"/>
        </w:rPr>
        <w:t>pursue a disciplined approach to international expansion, including into Europe and Asia.</w:t>
      </w:r>
    </w:p>
    <w:p>
      <w:pPr>
        <w:spacing w:after="0" w:line="11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are committed to maintaining strong relationships with our loyal customer base and earning our customers’ trust when they choose our platform on their financial journeys. Our brand has faced challenges in recent years, including as a result of, among other things, the March 2020 Outages, the April-May 2021 Outages, the Early 2021 Trading Restrictions, the complexity of our options trading offerings and related concerns about limited customer support and controversial customer communications and displays. We take these concerns seriously and have prioritized developing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080"/>
          </w:cols>
          <w:pgMar w:left="900" w:top="1440" w:right="91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6083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6083300"/>
                    </a:xfrm>
                    <a:prstGeom prst="rect">
                      <a:avLst/>
                    </a:prstGeom>
                    <a:noFill/>
                  </pic:spPr>
                </pic:pic>
              </a:graphicData>
            </a:graphic>
          </wp:anchor>
        </w:drawing>
      </w:r>
    </w:p>
    <w:p>
      <w:pPr>
        <w:spacing w:after="0" w:line="3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responsive solutions, such as by reinforcing our platform infrastructure, raising additional capital to cushion ourselves against the potential for future increased collateral requirements and related market stress, expanding our investor education resources, adding additional eligibility criteria for our options authorization, tripling the number of customer support professionals we employ, introducing phone-based voice customer support and redesigning certain customer display features. We are determined to continually evolve to better serve our expanding customer base. See “Risk Factors—Risks Related to Our Business,” “Risk Factors—Risks Related to Regulation and Litigation” and “Business —Legal Proceedings” for more information about these challenges, including the March 2020 Outages, the April-May 2021 Outages, and the Early 2021 Trading Restrictions.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Our Values, Commitments and Responsibilities</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At Robinhood, our values are in service of our customers. The following values describe the company that we aspire to become.</w:t>
      </w:r>
    </w:p>
    <w:p>
      <w:pPr>
        <w:spacing w:after="0" w:line="159" w:lineRule="exact"/>
        <w:rPr>
          <w:sz w:val="20"/>
          <w:szCs w:val="20"/>
          <w:color w:val="auto"/>
        </w:rPr>
      </w:pPr>
    </w:p>
    <w:p>
      <w:pPr>
        <w:ind w:left="580" w:hanging="288"/>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Safety First. </w:t>
      </w:r>
      <w:r>
        <w:rPr>
          <w:rFonts w:ascii="Arial" w:cs="Arial" w:eastAsia="Arial" w:hAnsi="Arial"/>
          <w:sz w:val="16"/>
          <w:szCs w:val="16"/>
          <w:color w:val="auto"/>
        </w:rPr>
        <w:t>Robinhood is a safety-first company.</w:t>
      </w:r>
    </w:p>
    <w:p>
      <w:pPr>
        <w:spacing w:after="0" w:line="162" w:lineRule="exact"/>
        <w:rPr>
          <w:rFonts w:ascii="Arial" w:cs="Arial" w:eastAsia="Arial" w:hAnsi="Arial"/>
          <w:sz w:val="16"/>
          <w:szCs w:val="16"/>
          <w:color w:val="auto"/>
        </w:rPr>
      </w:pPr>
    </w:p>
    <w:p>
      <w:pPr>
        <w:ind w:left="580" w:hanging="288"/>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Participation Is Power</w:t>
      </w:r>
      <w:r>
        <w:rPr>
          <w:rFonts w:ascii="Arial" w:cs="Arial" w:eastAsia="Arial" w:hAnsi="Arial"/>
          <w:sz w:val="16"/>
          <w:szCs w:val="16"/>
          <w:color w:val="auto"/>
        </w:rPr>
        <w:t>. At Robinhood, the rich don’t get a better deal.</w:t>
      </w:r>
    </w:p>
    <w:p>
      <w:pPr>
        <w:spacing w:after="0" w:line="162" w:lineRule="exact"/>
        <w:rPr>
          <w:rFonts w:ascii="Arial" w:cs="Arial" w:eastAsia="Arial" w:hAnsi="Arial"/>
          <w:sz w:val="16"/>
          <w:szCs w:val="16"/>
          <w:color w:val="auto"/>
        </w:rPr>
      </w:pPr>
    </w:p>
    <w:p>
      <w:pPr>
        <w:ind w:left="580" w:hanging="288"/>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Radical Customer Focus</w:t>
      </w:r>
      <w:r>
        <w:rPr>
          <w:rFonts w:ascii="Arial" w:cs="Arial" w:eastAsia="Arial" w:hAnsi="Arial"/>
          <w:sz w:val="16"/>
          <w:szCs w:val="16"/>
          <w:color w:val="auto"/>
        </w:rPr>
        <w:t>. We exist to make our customers happy.</w:t>
      </w:r>
    </w:p>
    <w:p>
      <w:pPr>
        <w:spacing w:after="0" w:line="174" w:lineRule="exact"/>
        <w:rPr>
          <w:rFonts w:ascii="Arial" w:cs="Arial" w:eastAsia="Arial" w:hAnsi="Arial"/>
          <w:sz w:val="16"/>
          <w:szCs w:val="16"/>
          <w:color w:val="auto"/>
        </w:rPr>
      </w:pPr>
    </w:p>
    <w:p>
      <w:pPr>
        <w:ind w:left="580" w:hanging="288"/>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First-Principles Thinking</w:t>
      </w:r>
      <w:r>
        <w:rPr>
          <w:rFonts w:ascii="Arial" w:cs="Arial" w:eastAsia="Arial" w:hAnsi="Arial"/>
          <w:sz w:val="16"/>
          <w:szCs w:val="16"/>
          <w:color w:val="auto"/>
        </w:rPr>
        <w:t>. We make bold bets and challenge the status quo.</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understand that millions of our customers are using Robinhood to enter the financial markets for the first time, and we take our responsibility to them seriously. We pursue strong, close working relationships with our regulators, and we believe the goals of our regulators and customers are aligned. We are passionate about operating Robinhood in a way that aligns with customer interests, applicable regulations, and with our own mission to democratize finance for all.</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commitments to our customers include:</w:t>
      </w:r>
    </w:p>
    <w:p>
      <w:pPr>
        <w:spacing w:after="0" w:line="155" w:lineRule="exact"/>
        <w:rPr>
          <w:sz w:val="20"/>
          <w:szCs w:val="20"/>
          <w:color w:val="auto"/>
        </w:rPr>
      </w:pPr>
    </w:p>
    <w:p>
      <w:pPr>
        <w:ind w:left="580" w:hanging="288"/>
        <w:spacing w:after="0" w:line="286"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No Commission Fees</w:t>
      </w:r>
      <w:r>
        <w:rPr>
          <w:rFonts w:ascii="Arial" w:cs="Arial" w:eastAsia="Arial" w:hAnsi="Arial"/>
          <w:sz w:val="16"/>
          <w:szCs w:val="16"/>
          <w:color w:val="auto"/>
        </w:rPr>
        <w:t>. We believe that everyone should have equal access to financial markets. We pioneered commission-free stock</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with no account minimums.</w:t>
      </w:r>
    </w:p>
    <w:p>
      <w:pPr>
        <w:spacing w:after="0" w:line="99" w:lineRule="exact"/>
        <w:rPr>
          <w:rFonts w:ascii="Arial" w:cs="Arial" w:eastAsia="Arial" w:hAnsi="Arial"/>
          <w:sz w:val="16"/>
          <w:szCs w:val="16"/>
          <w:color w:val="auto"/>
        </w:rPr>
      </w:pPr>
    </w:p>
    <w:p>
      <w:pPr>
        <w:ind w:left="580" w:hanging="288"/>
        <w:spacing w:after="0" w:line="286"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Quality Execution</w:t>
      </w:r>
      <w:r>
        <w:rPr>
          <w:rFonts w:ascii="Arial" w:cs="Arial" w:eastAsia="Arial" w:hAnsi="Arial"/>
          <w:sz w:val="16"/>
          <w:szCs w:val="16"/>
          <w:color w:val="auto"/>
        </w:rPr>
        <w:t>. We perform regular and rigorous reviews of the execution quality our customers receive from our securities market</w:t>
      </w:r>
      <w:r>
        <w:rPr>
          <w:rFonts w:ascii="Arial" w:cs="Arial" w:eastAsia="Arial" w:hAnsi="Arial"/>
          <w:sz w:val="16"/>
          <w:szCs w:val="16"/>
          <w:b w:val="1"/>
          <w:bCs w:val="1"/>
          <w:color w:val="auto"/>
        </w:rPr>
        <w:t xml:space="preserve"> </w:t>
      </w:r>
      <w:r>
        <w:rPr>
          <w:rFonts w:ascii="Arial" w:cs="Arial" w:eastAsia="Arial" w:hAnsi="Arial"/>
          <w:sz w:val="16"/>
          <w:szCs w:val="16"/>
          <w:color w:val="auto"/>
        </w:rPr>
        <w:t>makers, including the execution price, speed and price improvement.</w:t>
      </w:r>
    </w:p>
    <w:p>
      <w:pPr>
        <w:spacing w:after="0" w:line="99" w:lineRule="exact"/>
        <w:rPr>
          <w:rFonts w:ascii="Arial" w:cs="Arial" w:eastAsia="Arial" w:hAnsi="Arial"/>
          <w:sz w:val="16"/>
          <w:szCs w:val="16"/>
          <w:color w:val="auto"/>
        </w:rPr>
      </w:pPr>
    </w:p>
    <w:p>
      <w:pPr>
        <w:ind w:left="580" w:hanging="288"/>
        <w:spacing w:after="0" w:line="286"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High Security Standards</w:t>
      </w:r>
      <w:r>
        <w:rPr>
          <w:rFonts w:ascii="Arial" w:cs="Arial" w:eastAsia="Arial" w:hAnsi="Arial"/>
          <w:sz w:val="16"/>
          <w:szCs w:val="16"/>
          <w:color w:val="auto"/>
        </w:rPr>
        <w:t>. We are committed to keeping our customers’ accounts safe. We offer security tools and a promise to</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 direct losses that happen due to unauthorized activity that is not the fault of our customer.</w:t>
      </w:r>
    </w:p>
    <w:p>
      <w:pPr>
        <w:spacing w:after="0" w:line="111" w:lineRule="exact"/>
        <w:rPr>
          <w:rFonts w:ascii="Arial" w:cs="Arial" w:eastAsia="Arial" w:hAnsi="Arial"/>
          <w:sz w:val="16"/>
          <w:szCs w:val="16"/>
          <w:color w:val="auto"/>
        </w:rPr>
      </w:pPr>
    </w:p>
    <w:p>
      <w:pPr>
        <w:jc w:val="both"/>
        <w:ind w:left="580" w:hanging="288"/>
        <w:spacing w:after="0" w:line="267"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Extra Protection</w:t>
      </w:r>
      <w:r>
        <w:rPr>
          <w:rFonts w:ascii="Arial" w:cs="Arial" w:eastAsia="Arial" w:hAnsi="Arial"/>
          <w:sz w:val="16"/>
          <w:szCs w:val="16"/>
          <w:color w:val="auto"/>
        </w:rPr>
        <w:t>. RHF and RHS are members of Securities Investor Protection Corporation (“SIPC”) and we provide our brokerage</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with additional “excess of SIPC” coverage. In addition, our Cash Management product places customer cash with FDIC-insured banks.</w:t>
      </w:r>
    </w:p>
    <w:p>
      <w:pPr>
        <w:spacing w:after="0" w:line="114" w:lineRule="exact"/>
        <w:rPr>
          <w:rFonts w:ascii="Arial" w:cs="Arial" w:eastAsia="Arial" w:hAnsi="Arial"/>
          <w:sz w:val="16"/>
          <w:szCs w:val="16"/>
          <w:color w:val="auto"/>
        </w:rPr>
      </w:pPr>
    </w:p>
    <w:p>
      <w:pPr>
        <w:ind w:left="580" w:hanging="288"/>
        <w:spacing w:after="0" w:line="286"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Dedicated Support</w:t>
      </w:r>
      <w:r>
        <w:rPr>
          <w:rFonts w:ascii="Arial" w:cs="Arial" w:eastAsia="Arial" w:hAnsi="Arial"/>
          <w:sz w:val="16"/>
          <w:szCs w:val="16"/>
          <w:color w:val="auto"/>
        </w:rPr>
        <w:t>. We aim to respond to our customers as quickly as possible to resolve issues swiftly and will continue to invest in</w:t>
      </w:r>
      <w:r>
        <w:rPr>
          <w:rFonts w:ascii="Arial" w:cs="Arial" w:eastAsia="Arial" w:hAnsi="Arial"/>
          <w:sz w:val="16"/>
          <w:szCs w:val="16"/>
          <w:b w:val="1"/>
          <w:bCs w:val="1"/>
          <w:color w:val="auto"/>
        </w:rPr>
        <w:t xml:space="preserve"> </w:t>
      </w:r>
      <w:r>
        <w:rPr>
          <w:rFonts w:ascii="Arial" w:cs="Arial" w:eastAsia="Arial" w:hAnsi="Arial"/>
          <w:sz w:val="16"/>
          <w:szCs w:val="16"/>
          <w:color w:val="auto"/>
        </w:rPr>
        <w:t>expanding our customer support functions.</w:t>
      </w:r>
    </w:p>
    <w:p>
      <w:pPr>
        <w:spacing w:after="0" w:line="99" w:lineRule="exact"/>
        <w:rPr>
          <w:rFonts w:ascii="Arial" w:cs="Arial" w:eastAsia="Arial" w:hAnsi="Arial"/>
          <w:sz w:val="16"/>
          <w:szCs w:val="16"/>
          <w:color w:val="auto"/>
        </w:rPr>
      </w:pPr>
    </w:p>
    <w:p>
      <w:pPr>
        <w:ind w:left="580" w:hanging="288"/>
        <w:spacing w:after="0" w:line="286"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Transparency</w:t>
      </w:r>
      <w:r>
        <w:rPr>
          <w:rFonts w:ascii="Arial" w:cs="Arial" w:eastAsia="Arial" w:hAnsi="Arial"/>
          <w:sz w:val="16"/>
          <w:szCs w:val="16"/>
          <w:color w:val="auto"/>
        </w:rPr>
        <w:t>. We aim to operate a transparent business model. We currently dedicate a portion of our website to describing how we</w:t>
      </w:r>
      <w:r>
        <w:rPr>
          <w:rFonts w:ascii="Arial" w:cs="Arial" w:eastAsia="Arial" w:hAnsi="Arial"/>
          <w:sz w:val="16"/>
          <w:szCs w:val="16"/>
          <w:b w:val="1"/>
          <w:bCs w:val="1"/>
          <w:color w:val="auto"/>
        </w:rPr>
        <w:t xml:space="preserve"> </w:t>
      </w:r>
      <w:r>
        <w:rPr>
          <w:rFonts w:ascii="Arial" w:cs="Arial" w:eastAsia="Arial" w:hAnsi="Arial"/>
          <w:sz w:val="16"/>
          <w:szCs w:val="16"/>
          <w:color w:val="auto"/>
        </w:rPr>
        <w:t>make money and we will continue to keep our customers informed about how we generate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080"/>
          </w:cols>
          <w:pgMar w:left="900" w:top="1440" w:right="91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647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647001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Summary of Risk Factors</w:t>
      </w:r>
    </w:p>
    <w:p>
      <w:pPr>
        <w:spacing w:after="0" w:line="163"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You should consider carefully the risks described under the “Risk Factors” section beginning on page 35 and elsewhere in this prospectus. These risks could materially and adversely affect our business, financial condition, results of operations and prospects, which could cause the trading price of our Class A common stock to decline and could result in a partial or total loss of your investment. These risks include, but are not limited to, that:</w:t>
      </w:r>
    </w:p>
    <w:p>
      <w:pPr>
        <w:spacing w:after="0" w:line="147" w:lineRule="exact"/>
        <w:rPr>
          <w:sz w:val="20"/>
          <w:szCs w:val="20"/>
          <w:color w:val="auto"/>
        </w:rPr>
      </w:pPr>
    </w:p>
    <w:p>
      <w:pPr>
        <w:ind w:left="580" w:hanging="288"/>
        <w:spacing w:after="0" w:line="260" w:lineRule="auto"/>
        <w:tabs>
          <w:tab w:leader="none" w:pos="5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a limited operating history, which makes it difficult to evaluate our business and prospects and increases the risks associated with an investment in our Class A common stock.</w:t>
      </w:r>
    </w:p>
    <w:p>
      <w:pPr>
        <w:spacing w:after="0" w:line="151" w:lineRule="exact"/>
        <w:rPr>
          <w:rFonts w:ascii="Arial" w:cs="Arial" w:eastAsia="Arial" w:hAnsi="Arial"/>
          <w:sz w:val="16"/>
          <w:szCs w:val="16"/>
          <w:color w:val="auto"/>
        </w:rPr>
      </w:pPr>
    </w:p>
    <w:p>
      <w:pPr>
        <w:ind w:left="580" w:hanging="288"/>
        <w:spacing w:after="0" w:line="260" w:lineRule="auto"/>
        <w:tabs>
          <w:tab w:leader="none" w:pos="5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grown rapidly in recent years and we have limited operating experience at our current scale of operations; if we are unable to manage our growth effectively, our financial performance may suffer and our brand and company culture may be harmed.</w:t>
      </w:r>
    </w:p>
    <w:p>
      <w:pPr>
        <w:spacing w:after="0" w:line="139" w:lineRule="exact"/>
        <w:rPr>
          <w:rFonts w:ascii="Arial" w:cs="Arial" w:eastAsia="Arial" w:hAnsi="Arial"/>
          <w:sz w:val="16"/>
          <w:szCs w:val="16"/>
          <w:color w:val="auto"/>
        </w:rPr>
      </w:pPr>
    </w:p>
    <w:p>
      <w:pPr>
        <w:ind w:left="580" w:hanging="288"/>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not continue to grow on pace with historical rates.</w:t>
      </w:r>
    </w:p>
    <w:p>
      <w:pPr>
        <w:spacing w:after="0" w:line="162" w:lineRule="exact"/>
        <w:rPr>
          <w:rFonts w:ascii="Arial" w:cs="Arial" w:eastAsia="Arial" w:hAnsi="Arial"/>
          <w:sz w:val="16"/>
          <w:szCs w:val="16"/>
          <w:color w:val="auto"/>
        </w:rPr>
      </w:pPr>
    </w:p>
    <w:p>
      <w:pPr>
        <w:ind w:left="580" w:hanging="288"/>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incurred operating losses in the past and may not maintain profitability in the future.</w:t>
      </w:r>
    </w:p>
    <w:p>
      <w:pPr>
        <w:spacing w:after="0" w:line="174" w:lineRule="exact"/>
        <w:rPr>
          <w:rFonts w:ascii="Arial" w:cs="Arial" w:eastAsia="Arial" w:hAnsi="Arial"/>
          <w:sz w:val="16"/>
          <w:szCs w:val="16"/>
          <w:color w:val="auto"/>
        </w:rPr>
      </w:pPr>
    </w:p>
    <w:p>
      <w:pPr>
        <w:jc w:val="both"/>
        <w:ind w:left="580" w:hanging="288"/>
        <w:spacing w:after="0" w:line="252" w:lineRule="auto"/>
        <w:tabs>
          <w:tab w:leader="none" w:pos="5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Because a majority of our revenue is transaction-based (including 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w:t>
      </w:r>
    </w:p>
    <w:p>
      <w:pPr>
        <w:spacing w:after="0" w:line="147" w:lineRule="exact"/>
        <w:rPr>
          <w:rFonts w:ascii="Arial" w:cs="Arial" w:eastAsia="Arial" w:hAnsi="Arial"/>
          <w:sz w:val="16"/>
          <w:szCs w:val="16"/>
          <w:color w:val="auto"/>
        </w:rPr>
      </w:pPr>
    </w:p>
    <w:p>
      <w:pPr>
        <w:jc w:val="both"/>
        <w:ind w:left="580" w:hanging="288"/>
        <w:spacing w:after="0" w:line="254" w:lineRule="auto"/>
        <w:tabs>
          <w:tab w:leader="none" w:pos="5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require additional capital to satisfy our liquidity needs and support business growth and objectives, and this capital might not be available to use on reasonable terms, if at all, may result in stockholder dilution, and may be delayed or prohibited by applicable regulations.</w:t>
      </w:r>
    </w:p>
    <w:p>
      <w:pPr>
        <w:spacing w:after="0" w:line="144" w:lineRule="exact"/>
        <w:rPr>
          <w:rFonts w:ascii="Arial" w:cs="Arial" w:eastAsia="Arial" w:hAnsi="Arial"/>
          <w:sz w:val="16"/>
          <w:szCs w:val="16"/>
          <w:color w:val="auto"/>
        </w:rPr>
      </w:pPr>
    </w:p>
    <w:p>
      <w:pPr>
        <w:jc w:val="both"/>
        <w:ind w:left="580" w:hanging="288"/>
        <w:spacing w:after="0" w:line="251" w:lineRule="auto"/>
        <w:tabs>
          <w:tab w:leader="none" w:pos="5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do not maintain the capital levels required by regulators and self-regulatory organizations (“SROs”), including the SEC and the Financial Industry Regulatory Authority (“FINRA”), or do not satisfy the cash deposit and collateral requirements imposed by certain other SROs such as the Depository Trust Company (the “DTC”), National Securities Clearing Corporation (the “NSCC”) and the Options Clearing Corporation (the “OCC”), our broker-dealer business may be restricted and we may be fined or exposed to significant losses or subject to other disciplinary or corrective actions. In a worst-case scenario, failure to maintain these requirements could lead to our broker-dealer business being liquidated or wound down.</w:t>
      </w:r>
    </w:p>
    <w:p>
      <w:pPr>
        <w:spacing w:after="0" w:line="159" w:lineRule="exact"/>
        <w:rPr>
          <w:rFonts w:ascii="Arial" w:cs="Arial" w:eastAsia="Arial" w:hAnsi="Arial"/>
          <w:sz w:val="16"/>
          <w:szCs w:val="16"/>
          <w:color w:val="auto"/>
        </w:rPr>
      </w:pPr>
    </w:p>
    <w:p>
      <w:pPr>
        <w:ind w:left="580" w:hanging="288"/>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Harm to our brand and reputation could adversely affect our business.</w:t>
      </w:r>
    </w:p>
    <w:p>
      <w:pPr>
        <w:spacing w:after="0" w:line="162" w:lineRule="exact"/>
        <w:rPr>
          <w:rFonts w:ascii="Arial" w:cs="Arial" w:eastAsia="Arial" w:hAnsi="Arial"/>
          <w:sz w:val="16"/>
          <w:szCs w:val="16"/>
          <w:color w:val="auto"/>
        </w:rPr>
      </w:pPr>
    </w:p>
    <w:p>
      <w:pPr>
        <w:ind w:left="580" w:hanging="288"/>
        <w:spacing w:after="0" w:line="260" w:lineRule="auto"/>
        <w:tabs>
          <w:tab w:leader="none" w:pos="5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business and reputation may be harmed by changes in business, economic or political conditions that impact global financial markets, or by a systemic market event.</w:t>
      </w:r>
    </w:p>
    <w:p>
      <w:pPr>
        <w:spacing w:after="0" w:line="139" w:lineRule="exact"/>
        <w:rPr>
          <w:rFonts w:ascii="Arial" w:cs="Arial" w:eastAsia="Arial" w:hAnsi="Arial"/>
          <w:sz w:val="16"/>
          <w:szCs w:val="16"/>
          <w:color w:val="auto"/>
        </w:rPr>
      </w:pPr>
    </w:p>
    <w:p>
      <w:pPr>
        <w:ind w:left="580" w:hanging="288"/>
        <w:spacing w:after="0" w:line="260" w:lineRule="auto"/>
        <w:tabs>
          <w:tab w:leader="none" w:pos="5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future success depends on the continuing efforts of our key employees and our ability to attract and retain highly skilled personnel and senior management.</w:t>
      </w:r>
    </w:p>
    <w:p>
      <w:pPr>
        <w:spacing w:after="0" w:line="151" w:lineRule="exact"/>
        <w:rPr>
          <w:rFonts w:ascii="Arial" w:cs="Arial" w:eastAsia="Arial" w:hAnsi="Arial"/>
          <w:sz w:val="16"/>
          <w:szCs w:val="16"/>
          <w:color w:val="auto"/>
        </w:rPr>
      </w:pPr>
    </w:p>
    <w:p>
      <w:pPr>
        <w:jc w:val="both"/>
        <w:ind w:left="580" w:hanging="288"/>
        <w:spacing w:after="0" w:line="254" w:lineRule="auto"/>
        <w:tabs>
          <w:tab w:leader="none" w:pos="5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44" w:lineRule="exact"/>
        <w:rPr>
          <w:rFonts w:ascii="Arial" w:cs="Arial" w:eastAsia="Arial" w:hAnsi="Arial"/>
          <w:sz w:val="16"/>
          <w:szCs w:val="16"/>
          <w:color w:val="auto"/>
        </w:rPr>
      </w:pPr>
    </w:p>
    <w:p>
      <w:pPr>
        <w:jc w:val="both"/>
        <w:ind w:left="580" w:hanging="288"/>
        <w:spacing w:after="0" w:line="254" w:lineRule="auto"/>
        <w:tabs>
          <w:tab w:leader="none" w:pos="5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been subject to regulatory investigations, actions and settlements and we expect to continue to be subject to such proceedings in the future, which could cause us to incur substantial costs or require us to change our business practices in a manner materially adverse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080"/>
          </w:cols>
          <w:pgMar w:left="900" w:top="1440" w:right="91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64249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6424930"/>
                    </a:xfrm>
                    <a:prstGeom prst="rect">
                      <a:avLst/>
                    </a:prstGeom>
                    <a:noFill/>
                  </pic:spPr>
                </pic:pic>
              </a:graphicData>
            </a:graphic>
          </wp:anchor>
        </w:drawing>
      </w:r>
    </w:p>
    <w:p>
      <w:pPr>
        <w:spacing w:after="0" w:line="399" w:lineRule="exact"/>
        <w:rPr>
          <w:sz w:val="20"/>
          <w:szCs w:val="20"/>
          <w:color w:val="auto"/>
        </w:rPr>
      </w:pPr>
    </w:p>
    <w:p>
      <w:pPr>
        <w:ind w:left="288" w:hanging="288"/>
        <w:spacing w:after="0" w:line="260"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involved in numerous litigation matters that are expensive and time-consuming, and, if resolved adversely, could harm our reputation, business, financial condition or results of operations.</w:t>
      </w:r>
    </w:p>
    <w:p>
      <w:pPr>
        <w:spacing w:after="0" w:line="139" w:lineRule="exact"/>
        <w:rPr>
          <w:rFonts w:ascii="Arial" w:cs="Arial" w:eastAsia="Arial" w:hAnsi="Arial"/>
          <w:sz w:val="16"/>
          <w:szCs w:val="16"/>
          <w:color w:val="auto"/>
        </w:rPr>
      </w:pPr>
    </w:p>
    <w:p>
      <w:pPr>
        <w:ind w:left="288" w:hanging="288"/>
        <w:spacing w:after="0" w:line="260"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operate in highly competitive markets, and many of our competitors have greater resources than we do and may have products and services that may be more appealing than ours to our current or potential customers.</w:t>
      </w:r>
    </w:p>
    <w:p>
      <w:pPr>
        <w:spacing w:after="0" w:line="139" w:lineRule="exact"/>
        <w:rPr>
          <w:rFonts w:ascii="Arial" w:cs="Arial" w:eastAsia="Arial" w:hAnsi="Arial"/>
          <w:sz w:val="16"/>
          <w:szCs w:val="16"/>
          <w:color w:val="auto"/>
        </w:rPr>
      </w:pPr>
    </w:p>
    <w:p>
      <w:pPr>
        <w:ind w:left="288" w:hanging="288"/>
        <w:spacing w:after="0" w:line="260"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fail to retain existing customers or attract new customers, or if our customers decrease their use of our products and services, our growth could be slower than we expect and our business may be harmed.</w:t>
      </w:r>
    </w:p>
    <w:p>
      <w:pPr>
        <w:spacing w:after="0" w:line="151" w:lineRule="exact"/>
        <w:rPr>
          <w:rFonts w:ascii="Arial" w:cs="Arial" w:eastAsia="Arial" w:hAnsi="Arial"/>
          <w:sz w:val="16"/>
          <w:szCs w:val="16"/>
          <w:color w:val="auto"/>
        </w:rPr>
      </w:pPr>
    </w:p>
    <w:p>
      <w:pPr>
        <w:ind w:left="288" w:hanging="288"/>
        <w:spacing w:after="0" w:line="260"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introduction of new products and services, or changes to existing products and services, could fail to attract or retain customers or generate growth and revenue.</w:t>
      </w:r>
    </w:p>
    <w:p>
      <w:pPr>
        <w:spacing w:after="0" w:line="139" w:lineRule="exact"/>
        <w:rPr>
          <w:rFonts w:ascii="Arial" w:cs="Arial" w:eastAsia="Arial" w:hAnsi="Arial"/>
          <w:sz w:val="16"/>
          <w:szCs w:val="16"/>
          <w:color w:val="auto"/>
        </w:rPr>
      </w:pPr>
    </w:p>
    <w:p>
      <w:pPr>
        <w:ind w:left="288" w:hanging="288"/>
        <w:spacing w:after="0" w:line="260"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do not keep pace with industry and technological changes and continue to provide new and innovative products and services, our business may become less competitive and our business may be adversely impacted.</w:t>
      </w:r>
    </w:p>
    <w:p>
      <w:pPr>
        <w:spacing w:after="0" w:line="139" w:lineRule="exact"/>
        <w:rPr>
          <w:rFonts w:ascii="Arial" w:cs="Arial" w:eastAsia="Arial" w:hAnsi="Arial"/>
          <w:sz w:val="16"/>
          <w:szCs w:val="16"/>
          <w:color w:val="auto"/>
        </w:rPr>
      </w:pPr>
    </w:p>
    <w:p>
      <w:pPr>
        <w:ind w:left="288" w:hanging="288"/>
        <w:spacing w:after="0" w:line="260"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platform has been, and may in the future be, subject to interruption and instability due to operational and technological failures, whether internal or external.</w:t>
      </w:r>
    </w:p>
    <w:p>
      <w:pPr>
        <w:spacing w:after="0" w:line="151" w:lineRule="exact"/>
        <w:rPr>
          <w:rFonts w:ascii="Arial" w:cs="Arial" w:eastAsia="Arial" w:hAnsi="Arial"/>
          <w:sz w:val="16"/>
          <w:szCs w:val="16"/>
          <w:color w:val="auto"/>
        </w:rPr>
      </w:pPr>
    </w:p>
    <w:p>
      <w:pPr>
        <w:ind w:left="288" w:hanging="288"/>
        <w:spacing w:after="0" w:line="260"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rely on third parties to perform certain key functions, and their failure to perform those functions could adversely affect our business, financial condition and results of operations.</w:t>
      </w:r>
    </w:p>
    <w:p>
      <w:pPr>
        <w:spacing w:after="0" w:line="139" w:lineRule="exact"/>
        <w:rPr>
          <w:rFonts w:ascii="Arial" w:cs="Arial" w:eastAsia="Arial" w:hAnsi="Arial"/>
          <w:sz w:val="16"/>
          <w:szCs w:val="16"/>
          <w:color w:val="auto"/>
        </w:rPr>
      </w:pPr>
    </w:p>
    <w:p>
      <w:pPr>
        <w:ind w:left="288" w:hanging="288"/>
        <w:spacing w:after="0" w:line="260"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business could be materially and adversely affected by a cybersecurity breach or other attack involving our computer systems or data or those of our customers or third-party service providers.</w:t>
      </w:r>
    </w:p>
    <w:p>
      <w:pPr>
        <w:spacing w:after="0" w:line="139" w:lineRule="exact"/>
        <w:rPr>
          <w:rFonts w:ascii="Arial" w:cs="Arial" w:eastAsia="Arial" w:hAnsi="Arial"/>
          <w:sz w:val="16"/>
          <w:szCs w:val="16"/>
          <w:color w:val="auto"/>
        </w:rPr>
      </w:pPr>
    </w:p>
    <w:p>
      <w:pPr>
        <w:jc w:val="both"/>
        <w:ind w:left="288" w:hanging="288"/>
        <w:spacing w:after="0" w:line="252"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collect, store, share, disclose, transfer, use and otherwise process customer information and other data, including personal data, and an actual or perceived failure by us or our third-party service providers to protect such information and data or respect customers' privacy could damage our reputation and brand, negatively affect our ability to retain customers and harm our business, financial condition, operating results, cash flows and prospects.</w:t>
      </w:r>
    </w:p>
    <w:p>
      <w:pPr>
        <w:spacing w:after="0" w:line="159" w:lineRule="exact"/>
        <w:rPr>
          <w:rFonts w:ascii="Arial" w:cs="Arial" w:eastAsia="Arial" w:hAnsi="Arial"/>
          <w:sz w:val="16"/>
          <w:szCs w:val="16"/>
          <w:color w:val="auto"/>
        </w:rPr>
      </w:pPr>
    </w:p>
    <w:p>
      <w:pPr>
        <w:ind w:left="288" w:hanging="288"/>
        <w:spacing w:after="0" w:line="260"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compliance and risk management policies and procedures as a regulated financial services company may not be fully effective in identifying or mitigating compliance and risk exposure in all market environments or against all types of risk.</w:t>
      </w:r>
    </w:p>
    <w:p>
      <w:pPr>
        <w:spacing w:after="0" w:line="139" w:lineRule="exact"/>
        <w:rPr>
          <w:rFonts w:ascii="Arial" w:cs="Arial" w:eastAsia="Arial" w:hAnsi="Arial"/>
          <w:sz w:val="16"/>
          <w:szCs w:val="16"/>
          <w:color w:val="auto"/>
        </w:rPr>
      </w:pPr>
    </w:p>
    <w:p>
      <w:pPr>
        <w:ind w:left="288" w:hanging="288"/>
        <w:spacing w:after="0" w:line="260"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failure to obtain, maintain, protect and enforce our intellectual property rights could adversely affect our business, financial condition and results of operations.</w:t>
      </w:r>
    </w:p>
    <w:p>
      <w:pPr>
        <w:spacing w:after="0" w:line="139" w:lineRule="exact"/>
        <w:rPr>
          <w:rFonts w:ascii="Arial" w:cs="Arial" w:eastAsia="Arial" w:hAnsi="Arial"/>
          <w:sz w:val="16"/>
          <w:szCs w:val="16"/>
          <w:color w:val="auto"/>
        </w:rPr>
      </w:pPr>
    </w:p>
    <w:p>
      <w:pPr>
        <w:ind w:left="288" w:hanging="288"/>
        <w:spacing w:after="0" w:line="260"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failure to properly handle cash, securities and cryptocurrencies held on behalf of customers could harm our business and reputation.</w:t>
      </w:r>
    </w:p>
    <w:p>
      <w:pPr>
        <w:spacing w:after="0" w:line="151" w:lineRule="exact"/>
        <w:rPr>
          <w:rFonts w:ascii="Arial" w:cs="Arial" w:eastAsia="Arial" w:hAnsi="Arial"/>
          <w:sz w:val="16"/>
          <w:szCs w:val="16"/>
          <w:color w:val="auto"/>
        </w:rPr>
      </w:pPr>
    </w:p>
    <w:p>
      <w:pPr>
        <w:jc w:val="both"/>
        <w:ind w:left="288" w:hanging="288"/>
        <w:spacing w:after="0" w:line="252"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customers may be able to purchase shares of our Class A common stock offered by this prospectus from our subsidiary, RHF, acting in its capacity as a selling group member in this offering. Any negative experiences our customers have in connection with their participation or attempted participation in this offering may harm our brand and reputation, as well as our business, financial condition and results of operations. In addition, our customers’ participation in this offering could result in increased volatility in the trading price of our Class A common stock.</w:t>
      </w:r>
    </w:p>
    <w:p>
      <w:pPr>
        <w:spacing w:after="0" w:line="145" w:lineRule="exact"/>
        <w:rPr>
          <w:rFonts w:ascii="Arial" w:cs="Arial" w:eastAsia="Arial" w:hAnsi="Arial"/>
          <w:sz w:val="16"/>
          <w:szCs w:val="16"/>
          <w:color w:val="auto"/>
        </w:rPr>
      </w:pPr>
    </w:p>
    <w:p>
      <w:pPr>
        <w:jc w:val="both"/>
        <w:ind w:left="288" w:hanging="288"/>
        <w:spacing w:after="0" w:line="252"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multi-class structure of our common stock will have the effect, prior to the Final Conversion Date (as defined in “Description of Capital Stock”), of concentrating voting power with our founders and certain of their related entities, which will limit your ability to influence the outcome of matters submitted to our stockholders for approval, including the election of our board of directors, the adoption of amendments to our Charter and our Bylaws (each, as defined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72"/>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788"/>
          </w:cols>
          <w:pgMar w:left="1192" w:top="1440" w:right="91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70694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7069455"/>
                    </a:xfrm>
                    <a:prstGeom prst="rect">
                      <a:avLst/>
                    </a:prstGeom>
                    <a:noFill/>
                  </pic:spPr>
                </pic:pic>
              </a:graphicData>
            </a:graphic>
          </wp:anchor>
        </w:drawing>
      </w:r>
    </w:p>
    <w:p>
      <w:pPr>
        <w:spacing w:after="0" w:line="399" w:lineRule="exact"/>
        <w:rPr>
          <w:sz w:val="20"/>
          <w:szCs w:val="20"/>
          <w:color w:val="auto"/>
        </w:rPr>
      </w:pPr>
    </w:p>
    <w:p>
      <w:pPr>
        <w:ind w:left="580"/>
        <w:spacing w:after="0" w:line="260" w:lineRule="auto"/>
        <w:rPr>
          <w:sz w:val="20"/>
          <w:szCs w:val="20"/>
          <w:color w:val="auto"/>
        </w:rPr>
      </w:pPr>
      <w:r>
        <w:rPr>
          <w:rFonts w:ascii="Arial" w:cs="Arial" w:eastAsia="Arial" w:hAnsi="Arial"/>
          <w:sz w:val="16"/>
          <w:szCs w:val="16"/>
          <w:color w:val="auto"/>
        </w:rPr>
        <w:t>Offering”) and the approval of any merger, consolidation, sale of all or substantially all of our assets, or other major corporate transaction.</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Corporate Information</w:t>
      </w:r>
    </w:p>
    <w:p>
      <w:pPr>
        <w:spacing w:after="0" w:line="163"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were incorporated in the State of Delaware on November 22, 2013. Our principal executive offices are located at 85 Willow Road in Menlo Park, California 94025, and our telephone number at that address is (844) 428-5411. Our website address is www.robinhood.com. Information contained on our website is not incorporated by reference into this prospectus, and you should not consider it to be part of this prospectus.</w:t>
      </w:r>
    </w:p>
    <w:p>
      <w:pPr>
        <w:spacing w:after="0" w:line="15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“Robinhood Markets, Inc.,” our logo, and other trademarks or trade names of Robinhood appearing in this prospectus are our property. This prospectus also contains trademarks and trade names of other companies, which are the property of their respective owners. Solely for convenience, trademarks and trade names referred to in this prospectus may appear without the ® or ™ symbols, but such references are not intended to indicate, in any way, that we will not assert, to the fullest extent under applicable law, our rights or the right of the applicable licensor to these trademarks and trade names.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Organizational Structure</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organizational chart depicts our principal operating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Implications of Being an Emerging Growth Company</w:t>
      </w:r>
    </w:p>
    <w:p>
      <w:pPr>
        <w:spacing w:after="0" w:line="175"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including:</w:t>
      </w:r>
    </w:p>
    <w:p>
      <w:pPr>
        <w:spacing w:after="0" w:line="145" w:lineRule="exact"/>
        <w:rPr>
          <w:sz w:val="20"/>
          <w:szCs w:val="20"/>
          <w:color w:val="auto"/>
        </w:rPr>
      </w:pPr>
    </w:p>
    <w:p>
      <w:pPr>
        <w:jc w:val="both"/>
        <w:ind w:left="580" w:hanging="288"/>
        <w:spacing w:after="0" w:line="254"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ectPr>
          <w:pgSz w:w="11900" w:h="16838" w:orient="portrait"/>
          <w:cols w:equalWidth="0" w:num="1">
            <w:col w:w="10080"/>
          </w:cols>
          <w:pgMar w:left="900" w:top="1440"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080"/>
          </w:cols>
          <w:pgMar w:left="900" w:top="1440" w:right="91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3086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3086100"/>
                    </a:xfrm>
                    <a:prstGeom prst="rect">
                      <a:avLst/>
                    </a:prstGeom>
                    <a:noFill/>
                  </pic:spPr>
                </pic:pic>
              </a:graphicData>
            </a:graphic>
          </wp:anchor>
        </w:drawing>
      </w:r>
    </w:p>
    <w:p>
      <w:pPr>
        <w:spacing w:after="0" w:line="399" w:lineRule="exact"/>
        <w:rPr>
          <w:sz w:val="20"/>
          <w:szCs w:val="20"/>
          <w:color w:val="auto"/>
        </w:rPr>
      </w:pPr>
    </w:p>
    <w:p>
      <w:pPr>
        <w:ind w:left="580" w:hanging="288"/>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w:t>
      </w:r>
    </w:p>
    <w:p>
      <w:pPr>
        <w:spacing w:after="0" w:line="162" w:lineRule="exact"/>
        <w:rPr>
          <w:rFonts w:ascii="Arial" w:cs="Arial" w:eastAsia="Arial" w:hAnsi="Arial"/>
          <w:sz w:val="16"/>
          <w:szCs w:val="16"/>
          <w:color w:val="auto"/>
        </w:rPr>
      </w:pPr>
    </w:p>
    <w:p>
      <w:pPr>
        <w:ind w:left="580" w:hanging="288"/>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exemption from the requirements to hold non-binding advisory votes on executive compensation and golden parachute payments;</w:t>
      </w:r>
    </w:p>
    <w:p>
      <w:pPr>
        <w:spacing w:after="0" w:line="162" w:lineRule="exact"/>
        <w:rPr>
          <w:rFonts w:ascii="Arial" w:cs="Arial" w:eastAsia="Arial" w:hAnsi="Arial"/>
          <w:sz w:val="16"/>
          <w:szCs w:val="16"/>
          <w:color w:val="auto"/>
        </w:rPr>
      </w:pPr>
    </w:p>
    <w:p>
      <w:pPr>
        <w:ind w:left="580" w:hanging="288"/>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exemption from the auditor attestation requirement in the assessment of our internal control over financial reporting; and</w:t>
      </w:r>
    </w:p>
    <w:p>
      <w:pPr>
        <w:spacing w:after="0" w:line="174" w:lineRule="exact"/>
        <w:rPr>
          <w:rFonts w:ascii="Arial" w:cs="Arial" w:eastAsia="Arial" w:hAnsi="Arial"/>
          <w:sz w:val="16"/>
          <w:szCs w:val="16"/>
          <w:color w:val="auto"/>
        </w:rPr>
      </w:pPr>
    </w:p>
    <w:p>
      <w:pPr>
        <w:jc w:val="both"/>
        <w:ind w:left="580" w:hanging="288"/>
        <w:spacing w:after="0" w:line="254" w:lineRule="auto"/>
        <w:tabs>
          <w:tab w:leader="none" w:pos="5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may take advantage of these exemptions up until the last day of the fiscal year following the fifth anniversary of this offering or such earlier time that we are no longer an emerging growth company. We would cease to be an emerging growth company earlier if we have more than $1.07 billion in annual gross revenue, we have more than $700.0 million in market value of our common stock held by non-affiliates (and we have been a public company for at least 12 months and have filed one annual report on Form 10-K) or we issue more than $1 billion of non-convertible debt securities over a three-year period. We may choose to take advantage of some, but not all, of the available exemptions. We have taken advantage of certain reduced reporting obligations in this prospectus. Accordingly, the information contained herein may be different than the information you receive from other public companies in which you hold stock. For more information, see “Risk Factors— General Risk Factors—</w:t>
      </w:r>
      <w:r>
        <w:rPr>
          <w:rFonts w:ascii="Arial" w:cs="Arial" w:eastAsia="Arial" w:hAnsi="Arial"/>
          <w:sz w:val="16"/>
          <w:szCs w:val="16"/>
          <w:i w:val="1"/>
          <w:iCs w:val="1"/>
          <w:color w:val="auto"/>
        </w:rPr>
        <w:t>We are an “emerging growth company,” and the reduced disclosure requirements applicable to emerging growth</w:t>
      </w:r>
      <w:r>
        <w:rPr>
          <w:rFonts w:ascii="Arial" w:cs="Arial" w:eastAsia="Arial" w:hAnsi="Arial"/>
          <w:sz w:val="16"/>
          <w:szCs w:val="16"/>
          <w:color w:val="auto"/>
        </w:rPr>
        <w:t xml:space="preserve"> </w:t>
      </w:r>
      <w:r>
        <w:rPr>
          <w:rFonts w:ascii="Arial" w:cs="Arial" w:eastAsia="Arial" w:hAnsi="Arial"/>
          <w:sz w:val="16"/>
          <w:szCs w:val="16"/>
          <w:i w:val="1"/>
          <w:iCs w:val="1"/>
          <w:color w:val="auto"/>
        </w:rPr>
        <w:t>companies may make our Class A common stock less attractive to investors.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080"/>
          </w:cols>
          <w:pgMar w:left="900" w:top="1440" w:right="919" w:bottom="1440"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51422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514223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Arial" w:cs="Arial" w:eastAsia="Arial" w:hAnsi="Arial"/>
          <w:sz w:val="31"/>
          <w:szCs w:val="31"/>
          <w:color w:val="auto"/>
        </w:rPr>
        <w:t>THE OFFERING</w:t>
      </w:r>
    </w:p>
    <w:p>
      <w:pPr>
        <w:sectPr>
          <w:pgSz w:w="11900" w:h="16838" w:orient="portrait"/>
          <w:cols w:equalWidth="0" w:num="1">
            <w:col w:w="10040"/>
          </w:cols>
          <w:pgMar w:left="920" w:top="1440" w:right="9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offered by us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offered by the selling stockholders</w:t>
      </w:r>
    </w:p>
    <w:p>
      <w:pPr>
        <w:spacing w:after="0" w:line="67" w:lineRule="exact"/>
        <w:rPr>
          <w:sz w:val="20"/>
          <w:szCs w:val="20"/>
          <w:color w:val="auto"/>
        </w:rPr>
      </w:pPr>
    </w:p>
    <w:p>
      <w:pPr>
        <w:ind w:left="140" w:hanging="142"/>
        <w:spacing w:after="0" w:line="226" w:lineRule="auto"/>
        <w:rPr>
          <w:sz w:val="20"/>
          <w:szCs w:val="20"/>
          <w:color w:val="auto"/>
        </w:rPr>
      </w:pPr>
      <w:r>
        <w:rPr>
          <w:rFonts w:ascii="Arial" w:cs="Arial" w:eastAsia="Arial" w:hAnsi="Arial"/>
          <w:sz w:val="16"/>
          <w:szCs w:val="16"/>
          <w:color w:val="auto"/>
        </w:rPr>
        <w:t>Underwriters’ option to purchase additional shares of Class A common stock from us, solely to cover over-allotments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to be outstanding after this offering</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Class B common stock to be outstanding after this offering</w:t>
      </w:r>
    </w:p>
    <w:p>
      <w:pPr>
        <w:spacing w:after="0" w:line="67" w:lineRule="exact"/>
        <w:rPr>
          <w:sz w:val="20"/>
          <w:szCs w:val="20"/>
          <w:color w:val="auto"/>
        </w:rPr>
      </w:pPr>
    </w:p>
    <w:p>
      <w:pPr>
        <w:ind w:right="200"/>
        <w:spacing w:after="0" w:line="310" w:lineRule="auto"/>
        <w:rPr>
          <w:sz w:val="20"/>
          <w:szCs w:val="20"/>
          <w:color w:val="auto"/>
        </w:rPr>
      </w:pPr>
      <w:r>
        <w:rPr>
          <w:rFonts w:ascii="Arial" w:cs="Arial" w:eastAsia="Arial" w:hAnsi="Arial"/>
          <w:sz w:val="15"/>
          <w:szCs w:val="15"/>
          <w:color w:val="auto"/>
        </w:rPr>
        <w:t>Class C common stock to be outstanding after this offering Total common stock to be outstanding after this offering</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52,375,000 shares.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2,625,000 shares.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5,500,000 shares.</w:t>
      </w:r>
    </w:p>
    <w:p>
      <w:pPr>
        <w:spacing w:after="0" w:line="67"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703,868,056 shares (or 709,368,056 shares if the underwriters exercise in full their option to purchase an additional 5,500,000 shares of our Class A common stock from us).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131,807,224 shares.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835,675,280 shares (or 841,175,280 shares if the underwriters exercise in full their option to purchase an additional 5,500,000 shares of our Class A common stock from us).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are entitled to one vote per share.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B common stock are entitled to 10 votes per share.</w:t>
      </w:r>
    </w:p>
    <w:p>
      <w:pPr>
        <w:spacing w:after="0" w:line="67" w:lineRule="exact"/>
        <w:rPr>
          <w:sz w:val="20"/>
          <w:szCs w:val="20"/>
          <w:color w:val="auto"/>
        </w:rPr>
      </w:pPr>
    </w:p>
    <w:p>
      <w:pPr>
        <w:jc w:val="both"/>
        <w:spacing w:after="0" w:line="226" w:lineRule="auto"/>
        <w:rPr>
          <w:sz w:val="20"/>
          <w:szCs w:val="20"/>
          <w:color w:val="auto"/>
        </w:rPr>
      </w:pPr>
      <w:r>
        <w:rPr>
          <w:rFonts w:ascii="Arial" w:cs="Arial" w:eastAsia="Arial" w:hAnsi="Arial"/>
          <w:sz w:val="16"/>
          <w:szCs w:val="16"/>
          <w:color w:val="auto"/>
        </w:rPr>
        <w:t>Shares of our Class C common stock have no voting rights, except as otherwise required by law.</w:t>
      </w:r>
    </w:p>
    <w:p>
      <w:pPr>
        <w:spacing w:after="0" w:line="60" w:lineRule="exact"/>
        <w:rPr>
          <w:sz w:val="20"/>
          <w:szCs w:val="20"/>
          <w:color w:val="auto"/>
        </w:rPr>
      </w:pPr>
    </w:p>
    <w:p>
      <w:pPr>
        <w:jc w:val="both"/>
        <w:spacing w:after="0" w:line="216" w:lineRule="auto"/>
        <w:rPr>
          <w:sz w:val="20"/>
          <w:szCs w:val="20"/>
          <w:color w:val="auto"/>
        </w:rPr>
      </w:pPr>
      <w:r>
        <w:rPr>
          <w:rFonts w:ascii="Arial" w:cs="Arial" w:eastAsia="Arial" w:hAnsi="Arial"/>
          <w:sz w:val="15"/>
          <w:szCs w:val="15"/>
          <w:color w:val="auto"/>
        </w:rPr>
        <w:t>Holders of our Class A common stock and Class B common stock will vote together as a single class, unless otherwise required by law or our amended and restated certificate of incorporation (the “Charter”), which will become effective immediately prior to the completion of this offering. Upon the completion of this offering, (i) Mr. Tenev, who is also our CEO, President and a director, and his related entities will hold an economic interest in approximately 7.9% of our outstanding capital stock and Mr. Tenev will hold approximately 26.2% of the voting power of our outstanding capital stock and</w:t>
      </w:r>
    </w:p>
    <w:p>
      <w:pPr>
        <w:spacing w:after="0" w:line="1" w:lineRule="exact"/>
        <w:rPr>
          <w:sz w:val="20"/>
          <w:szCs w:val="20"/>
          <w:color w:val="auto"/>
        </w:rPr>
      </w:pPr>
    </w:p>
    <w:p>
      <w:pPr>
        <w:jc w:val="both"/>
        <w:ind w:firstLine="2"/>
        <w:spacing w:after="0" w:line="207" w:lineRule="auto"/>
        <w:tabs>
          <w:tab w:leader="none" w:pos="239"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Bhatt, who is also our Chief Creative Officer and a director, and his related entities will hold an economic interest in approximately 7.9% of our outstanding capital stock and Mr. Bhatt will hold approximately 39.0% of the voting power of our outstanding capital stock, in each case, which voting power may increase over time upon the vesting and settlement of equity awards held by such founder that are outstanding immediately prior to the effectiveness of this offering if such founder exercises his Equity Exchange Rights (as defined below) with respect to the shares received upon settlement of such equity awards.</w:t>
      </w:r>
    </w:p>
    <w:p>
      <w:pPr>
        <w:spacing w:after="0" w:line="200" w:lineRule="exact"/>
        <w:rPr>
          <w:sz w:val="20"/>
          <w:szCs w:val="20"/>
          <w:color w:val="auto"/>
        </w:rPr>
      </w:pPr>
    </w:p>
    <w:p>
      <w:pPr>
        <w:sectPr>
          <w:pgSz w:w="11900" w:h="16838" w:orient="portrait"/>
          <w:cols w:equalWidth="0" w:num="2">
            <w:col w:w="4320" w:space="280"/>
            <w:col w:w="5440"/>
          </w:cols>
          <w:pgMar w:left="920" w:top="1440"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040"/>
          </w:cols>
          <w:pgMar w:left="920" w:top="1440" w:right="93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4201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42011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4080"/>
        <w:spacing w:after="0" w:line="204" w:lineRule="auto"/>
        <w:rPr>
          <w:sz w:val="20"/>
          <w:szCs w:val="20"/>
          <w:color w:val="auto"/>
        </w:rPr>
      </w:pPr>
      <w:r>
        <w:rPr>
          <w:rFonts w:ascii="Arial" w:cs="Arial" w:eastAsia="Arial" w:hAnsi="Arial"/>
          <w:sz w:val="16"/>
          <w:szCs w:val="16"/>
          <w:color w:val="auto"/>
        </w:rPr>
        <w:t>If all such equity awards held by Mr. Tenev and Mr. Bhatt (including the IPO-Vesting Market-Based RSUs, but excluding the Market-Based RSUs subject to market-based vesting conditions that can only be satisfied following this offering) were vested (assuming an initial public offering price of our Class A common stock of $ 40.00 per share, which is the midpoint of the estimated offering price range set forth on the cover of this prospectus) and the Class A common stock received in settlement of such awards was exchanged for shares of Class B common stock pursuant to the Equity Exchange Rights, immediately following the completion of this offering, Mr. Tenev and Mr. Bhatt and their respective related entities would hold an economic interest in approximately 8.2% and 8.2%, respectively, of our outstanding capital stock, and Mr. Tenev and Mr. Bhatt would hold approximately 27.1% and 39.8%, respectively, of the voting power of our outstanding capital stock. If all such equity awards held by Mr. Tenev and Mr. Bhatt (including all of the Market-Based RSUs) were vested (assuming all applicable market-based vesting conditions were satisfied, including those that can only be satisfied following this offering) and the Class A common stock received in settlement of such awards was exchanged for shares of Class B common stock pursuant to the Equity Exchange Rights, immediately following the completion of this offering, Mr. Tenev and Mr. Bhatt and their respective related entities would hold approximately 10.0% and 9.5%, respectively, of our outstanding capital stock, and Mr. Tenev and Mr. Bhatt would hold approximately 32.6% and 43.1%, respectively, of the voting power of our outstanding capital stock.</w:t>
      </w:r>
    </w:p>
    <w:p>
      <w:pPr>
        <w:spacing w:after="0" w:line="72" w:lineRule="exact"/>
        <w:rPr>
          <w:sz w:val="20"/>
          <w:szCs w:val="20"/>
          <w:color w:val="auto"/>
        </w:rPr>
      </w:pPr>
    </w:p>
    <w:p>
      <w:pPr>
        <w:jc w:val="both"/>
        <w:ind w:left="4080"/>
        <w:spacing w:after="0" w:line="207" w:lineRule="auto"/>
        <w:rPr>
          <w:sz w:val="20"/>
          <w:szCs w:val="20"/>
          <w:color w:val="auto"/>
        </w:rPr>
      </w:pPr>
      <w:r>
        <w:rPr>
          <w:rFonts w:ascii="Arial" w:cs="Arial" w:eastAsia="Arial" w:hAnsi="Arial"/>
          <w:sz w:val="16"/>
          <w:szCs w:val="16"/>
          <w:color w:val="auto"/>
        </w:rPr>
        <w:t>As a result, prior to the Final Conversion Date (as defined below), our founders will have the ability to determine or significantly influence any action requiring the approval of our stockholders, including the election of our board of directors, the adoption of amendments to our Charter and our amended and restated bylaws (the “Bylaws”), which will be adopted immediately prior to the completion of this offering, and the approval of any merger, consolidation, sale of all or substantially all of our assets or other major corporate transaction. See the sections titled “Principal and Selling Stockholders” and “Description of Capital Stock”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520"/>
          </w:cols>
          <w:pgMar w:left="1440" w:top="1440" w:right="9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08" w:lineRule="auto"/>
        <w:rPr>
          <w:sz w:val="20"/>
          <w:szCs w:val="20"/>
          <w:color w:val="auto"/>
        </w:rPr>
      </w:pPr>
      <w:r>
        <w:rPr>
          <w:rFonts w:ascii="Arial" w:cs="Arial" w:eastAsia="Arial" w:hAnsi="Arial"/>
          <w:sz w:val="16"/>
          <w:szCs w:val="16"/>
          <w:color w:val="auto"/>
        </w:rPr>
        <w:t>We estimate that our net proceeds from the sale of our Class A common stock in this offering will be approximately $2.0 billion, assuming an initial public offering price of our Class A common stock of $40.00 per share, which is the midpoint of the estimated price range set forth on the cover page of this prospectus, and after deducting estimated underwriting discounts and commissions and estimated offering expenses payable by us. We will not receive any proceeds from the sale of our Class A common stock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-1213485</wp:posOffset>
            </wp:positionV>
            <wp:extent cx="7153275" cy="508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5088890"/>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3880" w:space="720"/>
            <w:col w:w="5440"/>
          </w:cols>
          <w:pgMar w:left="920" w:top="1440" w:right="939" w:bottom="1440" w:gutter="0" w:footer="0" w:header="0"/>
        </w:sectPr>
      </w:pPr>
    </w:p>
    <w:p>
      <w:pPr>
        <w:jc w:val="both"/>
        <w:ind w:left="4600"/>
        <w:spacing w:after="0" w:line="206" w:lineRule="auto"/>
        <w:rPr>
          <w:sz w:val="20"/>
          <w:szCs w:val="20"/>
          <w:color w:val="auto"/>
        </w:rPr>
      </w:pPr>
      <w:r>
        <w:rPr>
          <w:rFonts w:ascii="Arial" w:cs="Arial" w:eastAsia="Arial" w:hAnsi="Arial"/>
          <w:sz w:val="16"/>
          <w:szCs w:val="16"/>
          <w:color w:val="auto"/>
        </w:rPr>
        <w:t>We intend to use a portion of the net proceeds we receive in this offering to repay approximately $342.1 million that we expect to borrow, shortly prior to the completion of this offering, under our revolving credit facilities to fund our anticipated tax withholding and remittance obligations of approximately $342.1 million related to the IPO-Vesting Time-Based RSU Settlement and IPO-Vesting Market-Based RSU Settlement (assuming the effectiveness of this offering on March 31, 2021 for purposes of any applicable time-based vesting conditions; an assumed initial public offering price of our Class A common stock of $40.00 per share, which is the midpoint of the range listed on the cover page of this prospectus, for purposes of determining the satisfaction of any market-based vesting conditions; and an assumed 45% tax withholding rate).</w:t>
      </w:r>
    </w:p>
    <w:p>
      <w:pPr>
        <w:spacing w:after="0" w:line="184" w:lineRule="exact"/>
        <w:rPr>
          <w:sz w:val="20"/>
          <w:szCs w:val="20"/>
          <w:color w:val="auto"/>
        </w:rPr>
      </w:pPr>
    </w:p>
    <w:p>
      <w:pPr>
        <w:jc w:val="both"/>
        <w:ind w:left="4600"/>
        <w:spacing w:after="0" w:line="209" w:lineRule="auto"/>
        <w:rPr>
          <w:sz w:val="20"/>
          <w:szCs w:val="20"/>
          <w:color w:val="auto"/>
        </w:rPr>
      </w:pPr>
      <w:r>
        <w:rPr>
          <w:rFonts w:ascii="Arial" w:cs="Arial" w:eastAsia="Arial" w:hAnsi="Arial"/>
          <w:sz w:val="16"/>
          <w:szCs w:val="16"/>
          <w:color w:val="auto"/>
        </w:rPr>
        <w:t>We intend to use the remaining net proceeds we receive in this offering for working capital, capital expenditures and general corporate purposes, including increasing our hiring efforts to expand our employee base, expanding our customer support operations and satisfying our general capital needs (including capital requirements imposed by regulators and SROs and cash deposit and collateral requirements under the rules of the DTC, NSCC and OCC). See “Use of Proceeds.”</w:t>
      </w:r>
    </w:p>
    <w:p>
      <w:pPr>
        <w:sectPr>
          <w:pgSz w:w="11900" w:h="16838" w:orient="portrait"/>
          <w:cols w:equalWidth="0" w:num="1">
            <w:col w:w="10040"/>
          </w:cols>
          <w:pgMar w:left="920" w:top="1440" w:right="9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spacing w:after="0" w:line="212"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available funds and future earnings, if any, to fund the development and expansion of our business, and we do not anticipate declaring or paying any cash dividends in the foreseeable future. See “Dividend Policy.”</w:t>
      </w:r>
    </w:p>
    <w:p>
      <w:pPr>
        <w:spacing w:after="0" w:line="60" w:lineRule="exact"/>
        <w:rPr>
          <w:sz w:val="20"/>
          <w:szCs w:val="20"/>
          <w:color w:val="auto"/>
        </w:rPr>
      </w:pPr>
    </w:p>
    <w:p>
      <w:pPr>
        <w:sectPr>
          <w:pgSz w:w="11900" w:h="16838" w:orient="portrait"/>
          <w:cols w:equalWidth="0" w:num="2">
            <w:col w:w="3880" w:space="720"/>
            <w:col w:w="5440"/>
          </w:cols>
          <w:pgMar w:left="920" w:top="1440" w:right="93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spacing w:after="0" w:line="218" w:lineRule="auto"/>
        <w:rPr>
          <w:rFonts w:ascii="Arial" w:cs="Arial" w:eastAsia="Arial" w:hAnsi="Arial"/>
          <w:sz w:val="16"/>
          <w:szCs w:val="16"/>
          <w:color w:val="auto"/>
        </w:rPr>
      </w:pPr>
      <w:r>
        <w:rPr>
          <w:rFonts w:ascii="Arial" w:cs="Arial" w:eastAsia="Arial" w:hAnsi="Arial"/>
          <w:sz w:val="16"/>
          <w:szCs w:val="16"/>
          <w:color w:val="auto"/>
        </w:rPr>
        <w:t xml:space="preserve">You should read the “Risk Factors” section beginning on page </w:t>
      </w:r>
      <w:hyperlink w:anchor="page57">
        <w:r>
          <w:rPr>
            <w:rFonts w:ascii="Arial" w:cs="Arial" w:eastAsia="Arial" w:hAnsi="Arial"/>
            <w:sz w:val="16"/>
            <w:szCs w:val="16"/>
            <w:color w:val="auto"/>
          </w:rPr>
          <w:t xml:space="preserve">35 </w:t>
        </w:r>
      </w:hyperlink>
      <w:r>
        <w:rPr>
          <w:rFonts w:ascii="Arial" w:cs="Arial" w:eastAsia="Arial" w:hAnsi="Arial"/>
          <w:sz w:val="16"/>
          <w:szCs w:val="16"/>
          <w:color w:val="auto"/>
        </w:rPr>
        <w:t>and the other information included in this prospectus for a discussion of factors to consider before deciding to invest in shares of our Class A common stock.</w:t>
      </w:r>
    </w:p>
    <w:p>
      <w:pPr>
        <w:spacing w:after="0" w:line="60" w:lineRule="exact"/>
        <w:rPr>
          <w:sz w:val="20"/>
          <w:szCs w:val="20"/>
          <w:color w:val="auto"/>
        </w:rPr>
      </w:pPr>
    </w:p>
    <w:p>
      <w:pPr>
        <w:sectPr>
          <w:pgSz w:w="11900" w:h="16838" w:orient="portrait"/>
          <w:cols w:equalWidth="0" w:num="2">
            <w:col w:w="3880" w:space="720"/>
            <w:col w:w="5440"/>
          </w:cols>
          <w:pgMar w:left="920" w:top="1440" w:right="939" w:bottom="1440" w:gutter="0" w:footer="0" w:header="0"/>
          <w:type w:val="continuous"/>
        </w:sectPr>
      </w:pPr>
    </w:p>
    <w:p>
      <w:pPr>
        <w:spacing w:after="0"/>
        <w:rPr>
          <w:sz w:val="20"/>
          <w:szCs w:val="20"/>
          <w:color w:val="auto"/>
        </w:rPr>
      </w:pPr>
      <w:r>
        <w:rPr>
          <w:rFonts w:ascii="Arial" w:cs="Arial" w:eastAsia="Arial" w:hAnsi="Arial"/>
          <w:sz w:val="15"/>
          <w:szCs w:val="15"/>
          <w:color w:val="auto"/>
        </w:rPr>
        <w:t>Listing</w:t>
      </w:r>
    </w:p>
    <w:p>
      <w:pPr>
        <w:spacing w:after="0" w:line="20" w:lineRule="exact"/>
        <w:rPr>
          <w:sz w:val="20"/>
          <w:szCs w:val="20"/>
          <w:color w:val="auto"/>
        </w:rPr>
      </w:pPr>
      <w:r>
        <w:rPr>
          <w:sz w:val="20"/>
          <w:szCs w:val="20"/>
          <w:color w:val="auto"/>
        </w:rPr>
        <w:br w:type="column"/>
      </w:r>
    </w:p>
    <w:p>
      <w:pPr>
        <w:spacing w:after="0" w:line="226" w:lineRule="auto"/>
        <w:rPr>
          <w:sz w:val="20"/>
          <w:szCs w:val="20"/>
          <w:color w:val="auto"/>
        </w:rPr>
      </w:pPr>
      <w:r>
        <w:rPr>
          <w:rFonts w:ascii="Arial" w:cs="Arial" w:eastAsia="Arial" w:hAnsi="Arial"/>
          <w:sz w:val="16"/>
          <w:szCs w:val="16"/>
          <w:color w:val="auto"/>
        </w:rPr>
        <w:t>We have applied to list our Class A common stock on the Nasdaq under the symbol “HOOD”.</w:t>
      </w:r>
    </w:p>
    <w:p>
      <w:pPr>
        <w:spacing w:after="0" w:line="200" w:lineRule="exact"/>
        <w:rPr>
          <w:sz w:val="20"/>
          <w:szCs w:val="20"/>
          <w:color w:val="auto"/>
        </w:rPr>
      </w:pPr>
    </w:p>
    <w:p>
      <w:pPr>
        <w:sectPr>
          <w:pgSz w:w="11900" w:h="16838" w:orient="portrait"/>
          <w:cols w:equalWidth="0" w:num="2">
            <w:col w:w="3880" w:space="720"/>
            <w:col w:w="5440"/>
          </w:cols>
          <w:pgMar w:left="920" w:top="1440"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040"/>
          </w:cols>
          <w:pgMar w:left="920" w:top="1440" w:right="939" w:bottom="1440" w:gutter="0" w:footer="0" w:header="0"/>
          <w:type w:val="continuous"/>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Participation by Robinhood customers in the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RHF, one of our broker-dealer subsidiaries, is a member of the selling group for this offering. We expect the underwriters to reserve approximately 20 to 35% of the shares of our Class A common stock offered by this prospectus for RHF, acting as a selling group member, to allocate for sale to Robinhood customers through our IPO Access feature on our platform. Any such sales will be made at the same initial public offering price, and at the same time, as any other purchases in this offering, including purchases by institutions and other large investors, and in accordance with customary broker-dealer practices and procedures. The final number of shares of our Class A common stock in this offering that will be reserved for allocation to Robinhood customers will be determined at the pricing of this offering and will be based on the level of demand from Robinhood customers and all other purchasers in this offering in accordance with the broker-dealer book building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-1807845</wp:posOffset>
            </wp:positionV>
            <wp:extent cx="7153275" cy="3495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349567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3880" w:space="720"/>
            <w:col w:w="5440"/>
          </w:cols>
          <w:pgMar w:left="920" w:top="1440" w:right="939" w:bottom="1440" w:gutter="0" w:footer="0" w:header="0"/>
        </w:sectPr>
      </w:pPr>
    </w:p>
    <w:p>
      <w:pPr>
        <w:jc w:val="both"/>
        <w:ind w:left="4600"/>
        <w:spacing w:after="0" w:line="214" w:lineRule="auto"/>
        <w:rPr>
          <w:sz w:val="20"/>
          <w:szCs w:val="20"/>
          <w:color w:val="auto"/>
        </w:rPr>
      </w:pPr>
      <w:r>
        <w:rPr>
          <w:rFonts w:ascii="Arial" w:cs="Arial" w:eastAsia="Arial" w:hAnsi="Arial"/>
          <w:sz w:val="16"/>
          <w:szCs w:val="16"/>
          <w:color w:val="auto"/>
        </w:rPr>
        <w:t>Any such reserved shares of our Class A common stock that are not so purchased will be offered by the underwriters to other members of the general public on the same basis as the other shares of our Class A common stock offered by this prospectus.</w:t>
      </w:r>
    </w:p>
    <w:p>
      <w:pPr>
        <w:spacing w:after="0" w:line="180" w:lineRule="exact"/>
        <w:rPr>
          <w:sz w:val="20"/>
          <w:szCs w:val="20"/>
          <w:color w:val="auto"/>
        </w:rPr>
      </w:pPr>
    </w:p>
    <w:p>
      <w:pPr>
        <w:jc w:val="both"/>
        <w:ind w:left="4600"/>
        <w:spacing w:after="0" w:line="212" w:lineRule="auto"/>
        <w:rPr>
          <w:sz w:val="20"/>
          <w:szCs w:val="20"/>
          <w:color w:val="auto"/>
        </w:rPr>
      </w:pPr>
      <w:r>
        <w:rPr>
          <w:rFonts w:ascii="Arial" w:cs="Arial" w:eastAsia="Arial" w:hAnsi="Arial"/>
          <w:sz w:val="16"/>
          <w:szCs w:val="16"/>
          <w:color w:val="auto"/>
        </w:rPr>
        <w:t>RHF, one of our affiliates, is a member of FINRA and a selling group member in this offering and has a “conflict of interest” within the meaning of FINRA Rule 5121. Accordingly, this offering will be made in compliance with the applicable provisions of FINRA Rule 5121. See “Underwriting (Conflicts of Interest)—Participation by Robinhood Customers in the Offering.”</w:t>
      </w:r>
    </w:p>
    <w:p>
      <w:pPr>
        <w:sectPr>
          <w:pgSz w:w="11900" w:h="16838" w:orient="portrait"/>
          <w:cols w:equalWidth="0" w:num="1">
            <w:col w:w="10040"/>
          </w:cols>
          <w:pgMar w:left="920" w:top="1440"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040"/>
          </w:cols>
          <w:pgMar w:left="920" w:top="1440" w:right="939"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58407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584073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020" w:type="dxa"/>
            <w:vAlign w:val="bottom"/>
          </w:tcPr>
          <w:p>
            <w:pPr>
              <w:spacing w:after="0"/>
              <w:rPr>
                <w:sz w:val="20"/>
                <w:szCs w:val="20"/>
                <w:color w:val="auto"/>
              </w:rPr>
            </w:pPr>
            <w:r>
              <w:rPr>
                <w:rFonts w:ascii="Arial" w:cs="Arial" w:eastAsia="Arial" w:hAnsi="Arial"/>
                <w:sz w:val="16"/>
                <w:szCs w:val="16"/>
                <w:color w:val="auto"/>
              </w:rPr>
              <w:t>Indication of Interest</w:t>
            </w:r>
          </w:p>
        </w:tc>
        <w:tc>
          <w:tcPr>
            <w:tcW w:w="7020" w:type="dxa"/>
            <w:vAlign w:val="bottom"/>
          </w:tcPr>
          <w:p>
            <w:pPr>
              <w:ind w:left="1580"/>
              <w:spacing w:after="0"/>
              <w:rPr>
                <w:sz w:val="20"/>
                <w:szCs w:val="20"/>
                <w:color w:val="auto"/>
              </w:rPr>
            </w:pPr>
            <w:r>
              <w:rPr>
                <w:rFonts w:ascii="Arial" w:cs="Arial" w:eastAsia="Arial" w:hAnsi="Arial"/>
                <w:sz w:val="16"/>
                <w:szCs w:val="16"/>
                <w:color w:val="auto"/>
              </w:rPr>
              <w:t>Salesforce  Ventures  LLC  (the  “Prospective  Investor”)  has  indicated  an</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interest in purchasing up to an aggregate of $150 million in shares of our</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Class A common stock offered in this offering at the initial public offering</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price. In addition, the Prospective Investor, to the extent it elects to purchase</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any shares of our Class A common stock in this offering, will enter into a</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lock-up  agreement  on  substantially  the  same  terms  as  the  lock-up</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agreements entered into by the holders of our preferred stock and certain</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w w:val="99"/>
              </w:rPr>
              <w:t>non-employee holders of our common stock, which would prohibit the sale of</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any shares of Class A common stock purchased in this offering by the</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Prospective  Investor  for  a  period  of  125  days  from  the  date  of  this</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prospectus, subject to a potential partial early release and certain other</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exceptions as set forth under “Underwriting (Conflicts of Interest)—Lock-Up</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Agreements.” Because this indication of interest is not a binding agreement</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or  commitment  to  purchase,  the  Prospective  Investor  may  decide  to</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purchase more, less or no shares of our Class A common stock in this</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w w:val="99"/>
              </w:rPr>
              <w:t>offering, or the underwriters may decide to sell more, less or no shares of our</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Class A common stock in this offering to the Prospective Investor. The</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underwriters will receive the same discount from any shares of Class A</w:t>
            </w:r>
          </w:p>
        </w:tc>
      </w:tr>
      <w:tr>
        <w:trPr>
          <w:trHeight w:val="191"/>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common stock sold to the Prospective Investor as they will from any other</w:t>
            </w:r>
          </w:p>
        </w:tc>
      </w:tr>
      <w:tr>
        <w:trPr>
          <w:trHeight w:val="192"/>
        </w:trPr>
        <w:tc>
          <w:tcPr>
            <w:tcW w:w="3020" w:type="dxa"/>
            <w:vAlign w:val="bottom"/>
          </w:tcPr>
          <w:p>
            <w:pPr>
              <w:spacing w:after="0"/>
              <w:rPr>
                <w:sz w:val="16"/>
                <w:szCs w:val="16"/>
                <w:color w:val="auto"/>
              </w:rPr>
            </w:pPr>
          </w:p>
        </w:tc>
        <w:tc>
          <w:tcPr>
            <w:tcW w:w="7020" w:type="dxa"/>
            <w:vAlign w:val="bottom"/>
          </w:tcPr>
          <w:p>
            <w:pPr>
              <w:ind w:left="1580"/>
              <w:spacing w:after="0"/>
              <w:rPr>
                <w:sz w:val="20"/>
                <w:szCs w:val="20"/>
                <w:color w:val="auto"/>
              </w:rPr>
            </w:pPr>
            <w:r>
              <w:rPr>
                <w:rFonts w:ascii="Arial" w:cs="Arial" w:eastAsia="Arial" w:hAnsi="Arial"/>
                <w:sz w:val="16"/>
                <w:szCs w:val="16"/>
                <w:color w:val="auto"/>
              </w:rPr>
              <w:t>shares of Class A common stock sold to the public in this offering.</w:t>
            </w:r>
          </w:p>
        </w:tc>
      </w:tr>
    </w:tbl>
    <w:p>
      <w:pPr>
        <w:spacing w:after="0" w:line="200" w:lineRule="exact"/>
        <w:rPr>
          <w:sz w:val="20"/>
          <w:szCs w:val="20"/>
          <w:color w:val="auto"/>
        </w:rPr>
      </w:pPr>
    </w:p>
    <w:p>
      <w:pPr>
        <w:spacing w:after="0" w:line="217"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 xml:space="preserve">The number of shares of our Class A common stock to be outstanding after this offering is based on </w:t>
      </w:r>
      <w:r>
        <w:rPr>
          <w:rFonts w:ascii="Arial" w:cs="Arial" w:eastAsia="Arial" w:hAnsi="Arial"/>
          <w:sz w:val="16"/>
          <w:szCs w:val="16"/>
          <w:color w:val="auto"/>
          <w:highlight w:val="white"/>
        </w:rPr>
        <w:t>648,993,056</w:t>
      </w:r>
      <w:r>
        <w:rPr>
          <w:rFonts w:ascii="Arial" w:cs="Arial" w:eastAsia="Arial" w:hAnsi="Arial"/>
          <w:sz w:val="16"/>
          <w:szCs w:val="16"/>
          <w:color w:val="auto"/>
        </w:rPr>
        <w:t xml:space="preserve"> shares of our Class A common stock, </w:t>
      </w:r>
      <w:r>
        <w:rPr>
          <w:rFonts w:ascii="Arial" w:cs="Arial" w:eastAsia="Arial" w:hAnsi="Arial"/>
          <w:sz w:val="16"/>
          <w:szCs w:val="16"/>
          <w:color w:val="auto"/>
          <w:highlight w:val="white"/>
        </w:rPr>
        <w:t>134,307,224</w:t>
      </w:r>
      <w:r>
        <w:rPr>
          <w:rFonts w:ascii="Arial" w:cs="Arial" w:eastAsia="Arial" w:hAnsi="Arial"/>
          <w:sz w:val="16"/>
          <w:szCs w:val="16"/>
          <w:color w:val="auto"/>
        </w:rPr>
        <w:t xml:space="preserve"> shares of our Class B common stock and no shares of our Class C common stock, in each case outstanding as of March 31, 2021, which gives effect to the Assumed Share Events (as defined below) and excludes:</w:t>
      </w:r>
    </w:p>
    <w:p>
      <w:pPr>
        <w:spacing w:after="0" w:line="145" w:lineRule="exact"/>
        <w:rPr>
          <w:sz w:val="20"/>
          <w:szCs w:val="20"/>
          <w:color w:val="auto"/>
        </w:rPr>
      </w:pPr>
    </w:p>
    <w:p>
      <w:pPr>
        <w:ind w:left="580" w:hanging="288"/>
        <w:spacing w:after="0" w:line="260" w:lineRule="auto"/>
        <w:tabs>
          <w:tab w:leader="none" w:pos="576" w:val="left"/>
        </w:tabs>
        <w:numPr>
          <w:ilvl w:val="0"/>
          <w:numId w:val="17"/>
        </w:numPr>
        <w:rPr>
          <w:rFonts w:ascii="Arial" w:cs="Arial" w:eastAsia="Arial" w:hAnsi="Arial"/>
          <w:sz w:val="16"/>
          <w:szCs w:val="16"/>
          <w:color w:val="auto"/>
          <w:highlight w:val="white"/>
        </w:rPr>
      </w:pPr>
      <w:r>
        <w:rPr>
          <w:rFonts w:ascii="Arial" w:cs="Arial" w:eastAsia="Arial" w:hAnsi="Arial"/>
          <w:sz w:val="16"/>
          <w:szCs w:val="16"/>
          <w:color w:val="auto"/>
          <w:highlight w:val="white"/>
        </w:rPr>
        <w:t>18,096,127 shares of our Class A common stock issuable upon exercise of options to purchase shares of our common stock outstanding as of March 31, 2021, with a weighted-average exercise price of $2.23 per share;</w:t>
      </w:r>
    </w:p>
    <w:p>
      <w:pPr>
        <w:spacing w:after="0" w:line="139" w:lineRule="exact"/>
        <w:rPr>
          <w:rFonts w:ascii="Arial" w:cs="Arial" w:eastAsia="Arial" w:hAnsi="Arial"/>
          <w:sz w:val="16"/>
          <w:szCs w:val="16"/>
          <w:color w:val="auto"/>
          <w:highlight w:val="white"/>
        </w:rPr>
      </w:pPr>
    </w:p>
    <w:p>
      <w:pPr>
        <w:jc w:val="both"/>
        <w:ind w:left="580" w:hanging="288"/>
        <w:spacing w:after="0" w:line="252" w:lineRule="auto"/>
        <w:tabs>
          <w:tab w:leader="none" w:pos="576" w:val="left"/>
        </w:tabs>
        <w:numPr>
          <w:ilvl w:val="0"/>
          <w:numId w:val="17"/>
        </w:numPr>
        <w:rPr>
          <w:rFonts w:ascii="Arial" w:cs="Arial" w:eastAsia="Arial" w:hAnsi="Arial"/>
          <w:sz w:val="16"/>
          <w:szCs w:val="16"/>
          <w:color w:val="auto"/>
          <w:highlight w:val="white"/>
        </w:rPr>
      </w:pPr>
      <w:r>
        <w:rPr>
          <w:rFonts w:ascii="Arial" w:cs="Arial" w:eastAsia="Arial" w:hAnsi="Arial"/>
          <w:sz w:val="16"/>
          <w:szCs w:val="16"/>
          <w:color w:val="auto"/>
          <w:highlight w:val="white"/>
        </w:rPr>
        <w:t>13,564,134 shares of our Class A common stock issuable upon exercise of warrants to purchase shares of our equity securities, $379.8 million aggregate maximum purchase amount of which was outstanding as of March 31, 2021, assuming an exercise price of $28.00 (which is the lower of (i) 70% of the assumed initial public offering price of our Class A common stock of $40.00 per share, which is the midpoint of the estimated offering price range set forth on the cover page of this prospectus, and (ii) $38.29);</w:t>
      </w:r>
    </w:p>
    <w:p>
      <w:pPr>
        <w:spacing w:after="0" w:line="159" w:lineRule="exact"/>
        <w:rPr>
          <w:rFonts w:ascii="Arial" w:cs="Arial" w:eastAsia="Arial" w:hAnsi="Arial"/>
          <w:sz w:val="16"/>
          <w:szCs w:val="16"/>
          <w:color w:val="auto"/>
          <w:highlight w:val="white"/>
        </w:rPr>
      </w:pPr>
    </w:p>
    <w:p>
      <w:pPr>
        <w:jc w:val="both"/>
        <w:ind w:left="580" w:hanging="288"/>
        <w:spacing w:after="0" w:line="252" w:lineRule="auto"/>
        <w:tabs>
          <w:tab w:leader="none" w:pos="576" w:val="left"/>
        </w:tabs>
        <w:numPr>
          <w:ilvl w:val="0"/>
          <w:numId w:val="17"/>
        </w:numPr>
        <w:rPr>
          <w:rFonts w:ascii="Arial" w:cs="Arial" w:eastAsia="Arial" w:hAnsi="Arial"/>
          <w:sz w:val="16"/>
          <w:szCs w:val="16"/>
          <w:color w:val="auto"/>
          <w:highlight w:val="white"/>
        </w:rPr>
      </w:pPr>
      <w:r>
        <w:rPr>
          <w:rFonts w:ascii="Arial" w:cs="Arial" w:eastAsia="Arial" w:hAnsi="Arial"/>
          <w:sz w:val="16"/>
          <w:szCs w:val="16"/>
          <w:color w:val="auto"/>
          <w:highlight w:val="white"/>
        </w:rPr>
        <w:t>39,069,091 shares of our Class A common stock subject to outstanding restricted stock units (“RSUs”) that are issuable upon satisfaction of time-based and liquidity-based vesting conditions (which liquidity-based conditions will be satisfied in connection with this offering) (“Time-Based RSUs”) as of March 31, 2021, but for which the time-based vesting condition was not satisfied as of March 31, 2021;</w:t>
      </w:r>
    </w:p>
    <w:p>
      <w:pPr>
        <w:spacing w:after="0" w:line="147" w:lineRule="exact"/>
        <w:rPr>
          <w:rFonts w:ascii="Arial" w:cs="Arial" w:eastAsia="Arial" w:hAnsi="Arial"/>
          <w:sz w:val="16"/>
          <w:szCs w:val="16"/>
          <w:color w:val="auto"/>
          <w:highlight w:val="white"/>
        </w:rPr>
      </w:pPr>
    </w:p>
    <w:p>
      <w:pPr>
        <w:ind w:left="580" w:hanging="288"/>
        <w:spacing w:after="0" w:line="260" w:lineRule="auto"/>
        <w:tabs>
          <w:tab w:leader="none" w:pos="5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23,744,640 shares of our Class A common stock subject to outstanding 2019 Market-Based RSUs (as defined below under “Executive Compensation—Narrative Description of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080"/>
          </w:cols>
          <w:pgMar w:left="900" w:top="1440" w:right="91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913765</wp:posOffset>
            </wp:positionV>
            <wp:extent cx="7153275" cy="549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5491480"/>
                    </a:xfrm>
                    <a:prstGeom prst="rect">
                      <a:avLst/>
                    </a:prstGeom>
                    <a:noFill/>
                  </pic:spPr>
                </pic:pic>
              </a:graphicData>
            </a:graphic>
          </wp:anchor>
        </w:drawing>
      </w:r>
    </w:p>
    <w:p>
      <w:pPr>
        <w:spacing w:after="0" w:line="399" w:lineRule="exact"/>
        <w:rPr>
          <w:sz w:val="20"/>
          <w:szCs w:val="20"/>
          <w:color w:val="auto"/>
        </w:rPr>
      </w:pPr>
    </w:p>
    <w:p>
      <w:pPr>
        <w:jc w:val="both"/>
        <w:ind w:left="288"/>
        <w:spacing w:after="0" w:line="251" w:lineRule="auto"/>
        <w:rPr>
          <w:sz w:val="20"/>
          <w:szCs w:val="20"/>
          <w:color w:val="auto"/>
        </w:rPr>
      </w:pPr>
      <w:r>
        <w:rPr>
          <w:rFonts w:ascii="Arial" w:cs="Arial" w:eastAsia="Arial" w:hAnsi="Arial"/>
          <w:sz w:val="16"/>
          <w:szCs w:val="16"/>
          <w:color w:val="auto"/>
        </w:rPr>
        <w:t>Compensation Arrangements—Market-Based RSUs”) that are issuable upon satisfaction of market-based vesting conditions and quarterly time-based vesting conditions, but for which such vesting conditions were not satisfied assuming the effectiveness of this offering on March 31, 2021 either because (i) the market-based vesting condition was not satisfied in this offering but may be satisfied in the future or (ii) the market-based vesting condition was satisfied in this offering but the applicable quarterly time-based vesting condition was not satisfied as of March 31, 2021, assuming an initial public offering price of our Class A common stock of $40.00 per share, which is the midpoint of the estimated offering price range set forth on the cover page of this prospectus;</w:t>
      </w:r>
    </w:p>
    <w:p>
      <w:pPr>
        <w:spacing w:after="0" w:line="148" w:lineRule="exact"/>
        <w:rPr>
          <w:sz w:val="20"/>
          <w:szCs w:val="20"/>
          <w:color w:val="auto"/>
        </w:rPr>
      </w:pPr>
    </w:p>
    <w:p>
      <w:pPr>
        <w:jc w:val="both"/>
        <w:ind w:left="288" w:hanging="288"/>
        <w:spacing w:after="0" w:line="252" w:lineRule="auto"/>
        <w:tabs>
          <w:tab w:leader="none" w:pos="2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35,520,000 shares of our Class A common stock subject to outstanding 2021 Market-Based RSUs (as defined below under “Executive Compensation—Narrative Description of Executive Compensation Arrangements—Market-Based RSUs”) that are issuable upon satisfaction of market-based vesting conditions (which market-based vesting conditions are based on the achievement of stock price goals following this offering), which were granted to our founders in May 2021, assuming achievement of all market-based vesting conditions; and</w:t>
      </w:r>
    </w:p>
    <w:p>
      <w:pPr>
        <w:spacing w:after="0" w:line="145" w:lineRule="exact"/>
        <w:rPr>
          <w:rFonts w:ascii="Arial" w:cs="Arial" w:eastAsia="Arial" w:hAnsi="Arial"/>
          <w:sz w:val="16"/>
          <w:szCs w:val="16"/>
          <w:color w:val="auto"/>
        </w:rPr>
      </w:pPr>
    </w:p>
    <w:p>
      <w:pPr>
        <w:ind w:left="288" w:hanging="288"/>
        <w:spacing w:after="0"/>
        <w:tabs>
          <w:tab w:leader="none" w:pos="288"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equity compensation plans, consisting of:</w:t>
      </w:r>
    </w:p>
    <w:p>
      <w:pPr>
        <w:spacing w:after="0" w:line="174" w:lineRule="exact"/>
        <w:rPr>
          <w:rFonts w:ascii="Arial" w:cs="Arial" w:eastAsia="Arial" w:hAnsi="Arial"/>
          <w:sz w:val="16"/>
          <w:szCs w:val="16"/>
          <w:color w:val="auto"/>
        </w:rPr>
      </w:pPr>
    </w:p>
    <w:p>
      <w:pPr>
        <w:jc w:val="both"/>
        <w:ind w:left="868" w:hanging="295"/>
        <w:spacing w:after="0" w:line="252" w:lineRule="auto"/>
        <w:tabs>
          <w:tab w:leader="none" w:pos="865"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27,799,737 shares of our Class A common stock reserved for future issuance under our 2020 Equity Incentive Plan (our “2020 Plan”) as </w:t>
      </w:r>
      <w:r>
        <w:rPr>
          <w:rFonts w:ascii="Arial" w:cs="Arial" w:eastAsia="Arial" w:hAnsi="Arial"/>
          <w:sz w:val="16"/>
          <w:szCs w:val="16"/>
          <w:color w:val="auto"/>
          <w:highlight w:val="white"/>
        </w:rPr>
        <w:t>of March 31,</w:t>
      </w:r>
      <w:r>
        <w:rPr>
          <w:rFonts w:ascii="Arial" w:cs="Arial" w:eastAsia="Arial" w:hAnsi="Arial"/>
          <w:sz w:val="16"/>
          <w:szCs w:val="16"/>
          <w:color w:val="auto"/>
        </w:rPr>
        <w:t xml:space="preserve"> 2021. The number of shares reserved but unissued (and not subject to any awards) under our 2020 Plan at the time our 2021 Plan (as defined below) becomes effective will be added to the shares of our Class A common stock to be reserved for future issuance under our 2021 Plan upon its effectiveness (as described below), at which time we will cease granting awards under our 2020 Plan;</w:t>
      </w:r>
    </w:p>
    <w:p>
      <w:pPr>
        <w:spacing w:after="0" w:line="145" w:lineRule="exact"/>
        <w:rPr>
          <w:rFonts w:ascii="Arial" w:cs="Arial" w:eastAsia="Arial" w:hAnsi="Arial"/>
          <w:sz w:val="16"/>
          <w:szCs w:val="16"/>
          <w:color w:val="auto"/>
        </w:rPr>
      </w:pPr>
    </w:p>
    <w:p>
      <w:pPr>
        <w:jc w:val="both"/>
        <w:ind w:left="868" w:hanging="295"/>
        <w:spacing w:after="0" w:line="250" w:lineRule="auto"/>
        <w:tabs>
          <w:tab w:leader="none" w:pos="865" w:val="left"/>
        </w:tabs>
        <w:numPr>
          <w:ilvl w:val="1"/>
          <w:numId w:val="18"/>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2021 Omnibus Incentive Plan (our “2021 Plan”), which will become effective immediately prior to the completion of this offering, consisting of an initial share reserve equal to approximately (i) 11% of the number of shares of our common stock (of all classes) that will be outstanding immediately after the closing of this offering plus (ii) (A) shares reserved but unissued (and not subject to any awards) under our 2020 Plan as of the effective date of our 2021 Plan and (B) any shares subject to stock options, RSUs and other equity-based awards granted under our 2020 Plan or 2013 Plan that, on or after the effective date of our 2021 Plan, expire or otherwise terminate without having been exercised in full, are tendered to or withheld by us for payment of an exercise price or to satisfy tax withholding obligations or are forfeited to or repurchased by us due to failure to vest. We expect that, when our 2021 Plan becomes effective (and after giving effect to the shares entering the pool on the date of this prospectus under clause (ii)(B) above in connection with the net settlement of RSUs granted under our 2020 Plan or 2013 Plan), the aggregate number of shares reserved for issuance under our 2021 Plan will be equal to approximately 14% of the number of shares of our common stock (of all classes) that will be outstanding immediately after the closing of this offering, subject to automatic annual increases in accordance with our 2021 Plan as described under “Executive Compensation—Employee Benefits and Stock Plans—2021 Omnibus Incentive Plan”; and</w:t>
      </w:r>
    </w:p>
    <w:p>
      <w:pPr>
        <w:spacing w:after="0" w:line="149" w:lineRule="exact"/>
        <w:rPr>
          <w:rFonts w:ascii="Arial" w:cs="Arial" w:eastAsia="Arial" w:hAnsi="Arial"/>
          <w:sz w:val="16"/>
          <w:szCs w:val="16"/>
          <w:color w:val="auto"/>
        </w:rPr>
      </w:pPr>
    </w:p>
    <w:p>
      <w:pPr>
        <w:jc w:val="both"/>
        <w:ind w:left="868" w:hanging="295"/>
        <w:spacing w:after="0" w:line="254" w:lineRule="auto"/>
        <w:tabs>
          <w:tab w:leader="none" w:pos="889" w:val="left"/>
        </w:tabs>
        <w:numPr>
          <w:ilvl w:val="1"/>
          <w:numId w:val="18"/>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2021 Employee Share Purchase Plan (our “ESPP”), which will become effective immediately prior to the completion of this offering, as described under “Executive Compensation—Employee Benefits and Stock Plans—2021 Employee Share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72"/>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788"/>
          </w:cols>
          <w:pgMar w:left="1192" w:top="1440" w:right="91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5695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5695950"/>
                    </a:xfrm>
                    <a:prstGeom prst="rect">
                      <a:avLst/>
                    </a:prstGeom>
                    <a:noFill/>
                  </pic:spPr>
                </pic:pic>
              </a:graphicData>
            </a:graphic>
          </wp:anchor>
        </w:drawing>
      </w:r>
    </w:p>
    <w:p>
      <w:pPr>
        <w:spacing w:after="0" w:line="399" w:lineRule="exact"/>
        <w:rPr>
          <w:sz w:val="20"/>
          <w:szCs w:val="20"/>
          <w:color w:val="auto"/>
        </w:rPr>
      </w:pPr>
    </w:p>
    <w:p>
      <w:pPr>
        <w:ind w:left="8"/>
        <w:spacing w:after="0"/>
        <w:rPr>
          <w:sz w:val="20"/>
          <w:szCs w:val="20"/>
          <w:color w:val="auto"/>
        </w:rPr>
      </w:pPr>
      <w:r>
        <w:rPr>
          <w:rFonts w:ascii="Arial" w:cs="Arial" w:eastAsia="Arial" w:hAnsi="Arial"/>
          <w:sz w:val="16"/>
          <w:szCs w:val="16"/>
          <w:color w:val="auto"/>
        </w:rPr>
        <w:t>Except as otherwise noted, all information in this prospectus assumes and reflects the following (the “Assumed Share Events”):</w:t>
      </w:r>
    </w:p>
    <w:p>
      <w:pPr>
        <w:spacing w:after="0" w:line="163" w:lineRule="exact"/>
        <w:rPr>
          <w:sz w:val="20"/>
          <w:szCs w:val="20"/>
          <w:color w:val="auto"/>
        </w:rPr>
      </w:pPr>
    </w:p>
    <w:p>
      <w:pPr>
        <w:jc w:val="both"/>
        <w:ind w:left="288" w:hanging="288"/>
        <w:spacing w:after="0" w:line="254" w:lineRule="auto"/>
        <w:tabs>
          <w:tab w:leader="none" w:pos="2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filing and effectiveness of our newly amended and restated certificate of incorporation (the “Charter”), which will effect the reclassification </w:t>
      </w:r>
      <w:r>
        <w:rPr>
          <w:rFonts w:ascii="Arial" w:cs="Arial" w:eastAsia="Arial" w:hAnsi="Arial"/>
          <w:sz w:val="16"/>
          <w:szCs w:val="16"/>
          <w:color w:val="auto"/>
          <w:highlight w:val="white"/>
        </w:rPr>
        <w:t>of our common stock into Class A common stock (the “Reclassification”), and the adoption of our amended and</w:t>
      </w:r>
      <w:r>
        <w:rPr>
          <w:rFonts w:ascii="Arial" w:cs="Arial" w:eastAsia="Arial" w:hAnsi="Arial"/>
          <w:sz w:val="16"/>
          <w:szCs w:val="16"/>
          <w:color w:val="auto"/>
        </w:rPr>
        <w:t xml:space="preserve"> </w:t>
      </w:r>
      <w:r>
        <w:rPr>
          <w:rFonts w:ascii="Arial" w:cs="Arial" w:eastAsia="Arial" w:hAnsi="Arial"/>
          <w:sz w:val="16"/>
          <w:szCs w:val="16"/>
          <w:color w:val="auto"/>
          <w:highlight w:val="white"/>
        </w:rPr>
        <w:t>restated bylaws (the “Bylaws”), each of which will occur immediately prior to the completion of this offering;</w:t>
      </w:r>
    </w:p>
    <w:p>
      <w:pPr>
        <w:spacing w:after="0" w:line="144" w:lineRule="exact"/>
        <w:rPr>
          <w:rFonts w:ascii="Arial" w:cs="Arial" w:eastAsia="Arial" w:hAnsi="Arial"/>
          <w:sz w:val="16"/>
          <w:szCs w:val="16"/>
          <w:color w:val="auto"/>
        </w:rPr>
      </w:pPr>
    </w:p>
    <w:p>
      <w:pPr>
        <w:jc w:val="both"/>
        <w:ind w:left="288" w:hanging="288"/>
        <w:spacing w:after="0" w:line="254" w:lineRule="auto"/>
        <w:tabs>
          <w:tab w:leader="none" w:pos="284" w:val="left"/>
        </w:tabs>
        <w:numPr>
          <w:ilvl w:val="0"/>
          <w:numId w:val="19"/>
        </w:numPr>
        <w:rPr>
          <w:rFonts w:ascii="Arial" w:cs="Arial" w:eastAsia="Arial" w:hAnsi="Arial"/>
          <w:sz w:val="16"/>
          <w:szCs w:val="16"/>
          <w:color w:val="auto"/>
          <w:highlight w:val="white"/>
        </w:rPr>
      </w:pPr>
      <w:r>
        <w:rPr>
          <w:rFonts w:ascii="Arial" w:cs="Arial" w:eastAsia="Arial" w:hAnsi="Arial"/>
          <w:sz w:val="16"/>
          <w:szCs w:val="16"/>
          <w:color w:val="auto"/>
          <w:highlight w:val="white"/>
        </w:rPr>
        <w:t>514,845,025 shares of our Class A common stock outstanding as of March 31, 2021 (giving effect to the Reclassification and the Preferred Share Conversion (as defined below), but not the other Assumed Share Events described herein), which number of shares excludes the shares being exchanged in the Class B Exchange (as defined below);</w:t>
      </w:r>
    </w:p>
    <w:p>
      <w:pPr>
        <w:spacing w:after="0" w:line="156" w:lineRule="exact"/>
        <w:rPr>
          <w:rFonts w:ascii="Arial" w:cs="Arial" w:eastAsia="Arial" w:hAnsi="Arial"/>
          <w:sz w:val="16"/>
          <w:szCs w:val="16"/>
          <w:color w:val="auto"/>
          <w:highlight w:val="white"/>
        </w:rPr>
      </w:pPr>
    </w:p>
    <w:p>
      <w:pPr>
        <w:jc w:val="both"/>
        <w:ind w:left="288" w:hanging="288"/>
        <w:spacing w:after="0" w:line="252" w:lineRule="auto"/>
        <w:tabs>
          <w:tab w:leader="none" w:pos="284" w:val="left"/>
        </w:tabs>
        <w:numPr>
          <w:ilvl w:val="0"/>
          <w:numId w:val="19"/>
        </w:numPr>
        <w:rPr>
          <w:rFonts w:ascii="Arial" w:cs="Arial" w:eastAsia="Arial" w:hAnsi="Arial"/>
          <w:sz w:val="16"/>
          <w:szCs w:val="16"/>
          <w:color w:val="auto"/>
          <w:highlight w:val="white"/>
        </w:rPr>
      </w:pPr>
      <w:r>
        <w:rPr>
          <w:rFonts w:ascii="Arial" w:cs="Arial" w:eastAsia="Arial" w:hAnsi="Arial"/>
          <w:sz w:val="16"/>
          <w:szCs w:val="16"/>
          <w:color w:val="auto"/>
          <w:highlight w:val="white"/>
        </w:rPr>
        <w:t>130,155,246 shares of our Class B common stock (giving effect to the Reclassification, but not the other Assumed Share Events described herein), which reflects shares of our Class A common stock outstanding beneficially owned by our founders as of March 31, 2021 (giving effect to the Reclassification) that will be exchanged for an equivalent number of shares of our Class B common stock immediately prior to the completion of this offering pursuant to the terms of the certain exchange agreements to be entered into between us and our founders (the “Class B Exchange”);</w:t>
      </w:r>
    </w:p>
    <w:p>
      <w:pPr>
        <w:spacing w:after="0" w:line="145" w:lineRule="exact"/>
        <w:rPr>
          <w:rFonts w:ascii="Arial" w:cs="Arial" w:eastAsia="Arial" w:hAnsi="Arial"/>
          <w:sz w:val="16"/>
          <w:szCs w:val="16"/>
          <w:color w:val="auto"/>
          <w:highlight w:val="white"/>
        </w:rPr>
      </w:pPr>
    </w:p>
    <w:p>
      <w:pPr>
        <w:jc w:val="both"/>
        <w:ind w:left="288" w:hanging="288"/>
        <w:spacing w:after="0" w:line="254" w:lineRule="auto"/>
        <w:tabs>
          <w:tab w:leader="none" w:pos="284" w:val="left"/>
        </w:tabs>
        <w:numPr>
          <w:ilvl w:val="0"/>
          <w:numId w:val="19"/>
        </w:numPr>
        <w:rPr>
          <w:rFonts w:ascii="Arial" w:cs="Arial" w:eastAsia="Arial" w:hAnsi="Arial"/>
          <w:sz w:val="16"/>
          <w:szCs w:val="16"/>
          <w:color w:val="auto"/>
          <w:highlight w:val="white"/>
        </w:rPr>
      </w:pPr>
      <w:r>
        <w:rPr>
          <w:rFonts w:ascii="Arial" w:cs="Arial" w:eastAsia="Arial" w:hAnsi="Arial"/>
          <w:sz w:val="16"/>
          <w:szCs w:val="16"/>
          <w:color w:val="auto"/>
          <w:highlight w:val="white"/>
        </w:rPr>
        <w:t>the automatic conversion, on a one-to-one basis, of all of our outstanding redeemable convertible preferred stock, of which 412,742,897 shares were outstanding as of March 31, 2021, into 412,742,897 shares of our Class A common stock immediately prior to the completion of this offering, as if such conversion had occurred on March 31, 2021 (the “Preferred Share Conversion”);</w:t>
      </w:r>
    </w:p>
    <w:p>
      <w:pPr>
        <w:spacing w:after="0" w:line="144" w:lineRule="exact"/>
        <w:rPr>
          <w:rFonts w:ascii="Arial" w:cs="Arial" w:eastAsia="Arial" w:hAnsi="Arial"/>
          <w:sz w:val="16"/>
          <w:szCs w:val="16"/>
          <w:color w:val="auto"/>
          <w:highlight w:val="white"/>
        </w:rPr>
      </w:pPr>
    </w:p>
    <w:p>
      <w:pPr>
        <w:jc w:val="both"/>
        <w:ind w:left="288" w:hanging="288"/>
        <w:spacing w:after="0" w:line="252" w:lineRule="auto"/>
        <w:tabs>
          <w:tab w:leader="none" w:pos="284" w:val="left"/>
        </w:tabs>
        <w:numPr>
          <w:ilvl w:val="0"/>
          <w:numId w:val="19"/>
        </w:numPr>
        <w:rPr>
          <w:rFonts w:ascii="Arial" w:cs="Arial" w:eastAsia="Arial" w:hAnsi="Arial"/>
          <w:sz w:val="16"/>
          <w:szCs w:val="16"/>
          <w:color w:val="auto"/>
          <w:highlight w:val="white"/>
        </w:rPr>
      </w:pPr>
      <w:r>
        <w:rPr>
          <w:rFonts w:ascii="Arial" w:cs="Arial" w:eastAsia="Arial" w:hAnsi="Arial"/>
          <w:sz w:val="16"/>
          <w:szCs w:val="16"/>
          <w:color w:val="auto"/>
          <w:highlight w:val="white"/>
        </w:rPr>
        <w:t>the automatic conversion of all of our outstanding Tranche I convertible notes, of whic</w:t>
      </w:r>
      <w:r>
        <w:rPr>
          <w:rFonts w:ascii="Arial" w:cs="Arial" w:eastAsia="Arial" w:hAnsi="Arial"/>
          <w:sz w:val="16"/>
          <w:szCs w:val="16"/>
          <w:color w:val="auto"/>
        </w:rPr>
        <w:t>h we had $2,551.7 million in aggregate amount</w:t>
      </w:r>
      <w:r>
        <w:rPr>
          <w:rFonts w:ascii="Arial" w:cs="Arial" w:eastAsia="Arial" w:hAnsi="Arial"/>
          <w:sz w:val="16"/>
          <w:szCs w:val="16"/>
          <w:color w:val="auto"/>
          <w:highlight w:val="white"/>
        </w:rPr>
        <w:t xml:space="preserve"> </w:t>
      </w:r>
      <w:r>
        <w:rPr>
          <w:rFonts w:ascii="Arial" w:cs="Arial" w:eastAsia="Arial" w:hAnsi="Arial"/>
          <w:sz w:val="16"/>
          <w:szCs w:val="16"/>
          <w:color w:val="auto"/>
        </w:rPr>
        <w:t>as of March 31, 2021, including accrued interest, into 91,133,420 shares of our Class A common stock upon the completion of this offering, assuming a conversion price of $28.00 (which is the lower of (i) 70% of the assumed initial public offering price of our Class A common stock of $40.00 per share, which is the midpoint of the estimated offering price range set forth on the cover page of this prospectus, and (ii) $38.29), as if such conversion had occurred on March 31, 2021 (the “Tranche I Note Conversion”);</w:t>
      </w:r>
    </w:p>
    <w:p>
      <w:pPr>
        <w:spacing w:after="0" w:line="157" w:lineRule="exact"/>
        <w:rPr>
          <w:rFonts w:ascii="Arial" w:cs="Arial" w:eastAsia="Arial" w:hAnsi="Arial"/>
          <w:sz w:val="16"/>
          <w:szCs w:val="16"/>
          <w:color w:val="auto"/>
          <w:highlight w:val="white"/>
        </w:rPr>
      </w:pPr>
    </w:p>
    <w:p>
      <w:pPr>
        <w:jc w:val="both"/>
        <w:ind w:left="288" w:hanging="288"/>
        <w:spacing w:after="0" w:line="251" w:lineRule="auto"/>
        <w:tabs>
          <w:tab w:leader="none" w:pos="2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automatic conversion of all of our outstanding Tranche II convertible notes, of which we had $1,028.0 million in aggregate amount as of March 31, 2021, including accrued interest, into 36,712,877 shares of our Class A common stock upon the completion of this offering, assuming a conversion price of $28.00 (which is the lower of (i) 70% of the assumed initial public offering price of our Class A common stock of $40.00 per share, which is the midpoint of the estimated offering price range set forth on the cover page of this prospectus, and (ii) $42.12), as if such conversion had occurred on March 31, 2021 (the “Tranche II Note Conversion” and, together with the Tranche I Note Conversion, the “Convertible Note Conversion”);</w:t>
      </w:r>
    </w:p>
    <w:p>
      <w:pPr>
        <w:spacing w:after="0" w:line="148" w:lineRule="exact"/>
        <w:rPr>
          <w:rFonts w:ascii="Arial" w:cs="Arial" w:eastAsia="Arial" w:hAnsi="Arial"/>
          <w:sz w:val="16"/>
          <w:szCs w:val="16"/>
          <w:color w:val="auto"/>
        </w:rPr>
      </w:pPr>
    </w:p>
    <w:p>
      <w:pPr>
        <w:jc w:val="both"/>
        <w:ind w:left="288" w:hanging="288"/>
        <w:spacing w:after="0" w:line="250" w:lineRule="auto"/>
        <w:tabs>
          <w:tab w:leader="none" w:pos="2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issuance of 6,301,734 shares of our Class A common stock and 1,996,520 shares of our Class B common stock upon the vesting and settlement of outstanding Time-Based RSUs for which both the time-based and the liquidity-based vesting conditions will be met in connection with this offering (“IPO-Vesting Time-Based RSUs”) (assuming that our founders elect, pursuant to the Equity Exchange Rights described below, to exchange all shares of Class A common stock initially received by them upon such vesting and settlement for an equivalent number of shares of Class B common stock), based on the number of IPO-Vesting Time-Based RSUs for which the time-based vesting condition was satisfied as of March 31, 2021, after withholding an aggregate of approximately 6,789,157 shares to satisfy the associated estimated income tax obligations (based on an assumed initial public offering price of our Class A common stock of $40.00 per share, which is the midpoint of the estimated offering price range set forth on the cover page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72"/>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788"/>
          </w:cols>
          <w:pgMar w:left="1192" w:top="1440" w:right="91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913765</wp:posOffset>
            </wp:positionV>
            <wp:extent cx="7153275" cy="5589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5589905"/>
                    </a:xfrm>
                    <a:prstGeom prst="rect">
                      <a:avLst/>
                    </a:prstGeom>
                    <a:noFill/>
                  </pic:spPr>
                </pic:pic>
              </a:graphicData>
            </a:graphic>
          </wp:anchor>
        </w:drawing>
      </w:r>
    </w:p>
    <w:p>
      <w:pPr>
        <w:spacing w:after="0" w:line="3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this prospectus, and an assumed 45% tax withholding rate) (the “IPO-Vesting Time-Based RSU Settlement”);</w:t>
      </w:r>
    </w:p>
    <w:p>
      <w:pPr>
        <w:spacing w:after="0" w:line="163" w:lineRule="exact"/>
        <w:rPr>
          <w:sz w:val="20"/>
          <w:szCs w:val="20"/>
          <w:color w:val="auto"/>
        </w:rPr>
      </w:pPr>
    </w:p>
    <w:p>
      <w:pPr>
        <w:jc w:val="both"/>
        <w:ind w:left="580" w:hanging="288"/>
        <w:spacing w:after="0" w:line="250" w:lineRule="auto"/>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issuance of 2,155,458 shares of our Class B common stock upon the vesting and settlement of outstanding 2019 Market-Based RSUs for which the market-based vesting conditions will be satisfied in connection with this offering (“IPO-Vesting Market-Based RSUs”) (assuming that our founders elect, pursuant to the Equity Exchange Rights described below, to exchange all shares of Class A common stock initially received by them upon such vesting and settlement for an equivalent number of shares of Class B common stock), assuming the effectiveness of this offering on March 31, 2021 for purposes of any applicable time-based vesting conditions and, for purposes of determining the satisfaction of the market-based vesting condition, an initial public offering price of our Class A common stock of $40.00 per share, which is the midpoint of the estimated offering price range set forth on the cover page of this prospectus, after withholding an aggregate of approximately 1,763,560 shares to satisfy the associated estimated income tax obligations (based on an assumed 45% tax withholding rate) (the “IPO-Vesting Market-Based RSU Settlement”);</w:t>
      </w:r>
    </w:p>
    <w:p>
      <w:pPr>
        <w:spacing w:after="0" w:line="151" w:lineRule="exact"/>
        <w:rPr>
          <w:rFonts w:ascii="Arial" w:cs="Arial" w:eastAsia="Arial" w:hAnsi="Arial"/>
          <w:sz w:val="16"/>
          <w:szCs w:val="16"/>
          <w:color w:val="auto"/>
        </w:rPr>
      </w:pPr>
    </w:p>
    <w:p>
      <w:pPr>
        <w:ind w:left="580" w:hanging="288"/>
        <w:spacing w:after="0" w:line="260" w:lineRule="auto"/>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 exercise of outstanding options or warrants, settlement of outstanding RSUs or conversion of our convertible notes except as described above; and</w:t>
      </w:r>
    </w:p>
    <w:p>
      <w:pPr>
        <w:spacing w:after="0" w:line="151" w:lineRule="exact"/>
        <w:rPr>
          <w:rFonts w:ascii="Arial" w:cs="Arial" w:eastAsia="Arial" w:hAnsi="Arial"/>
          <w:sz w:val="16"/>
          <w:szCs w:val="16"/>
          <w:color w:val="auto"/>
        </w:rPr>
      </w:pPr>
    </w:p>
    <w:p>
      <w:pPr>
        <w:ind w:left="580" w:hanging="288"/>
        <w:spacing w:after="0" w:line="260" w:lineRule="auto"/>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 exercise of the underwriters’ option to purchase an additional 5,500,000 shares of Class A common stock from us, solely to cover over-allotments.</w:t>
      </w:r>
    </w:p>
    <w:p>
      <w:pPr>
        <w:spacing w:after="0" w:line="13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addition, the number of shares beneficially owned by our founders has been computed after giving effect to the entry by our founders and certain of their respective related entities (including estate planning vehicles) into the Founder Voting Agreement (as defined herein), pursuant to which certain of those related entities will grant voting proxies to either the related founder or the other founder, as further described under “Certain Relationships and Related Party Transactions—Voting Agreements—Founder Voting Agreement” and in the footnotes accompanying the table set forth under “Principal and Selling Stockholders.”</w:t>
      </w:r>
    </w:p>
    <w:p>
      <w:pPr>
        <w:spacing w:after="0" w:line="14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For more information about our convertible notes and warrants, see “Certain Relationships and Related Person Transactions—Convertible Note and Warrant Financings.” For more information about our 2019 Market-Based RSUs and 2021 Market-Based RSUs (together, the “Market-Based RSUs”), see “Executive Compensation—Narrative Description of Executive Compensation Arrangements—Market-Based RSUs.”</w:t>
      </w:r>
    </w:p>
    <w:p>
      <w:pPr>
        <w:spacing w:after="0" w:line="15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 xml:space="preserve">Following the completion of this offering, and pursuant to certain equity exchange agreements to be entered into between us and each of our founders, each of our founders will have a right (but not an obligation) to require us to exchange, for shares of Class B common stock, any shares of Class A common stock received by him upon the vesting and settlement of RSUs related to shares of Class A common stock (the “Equity Exchange Rights”). The Equity Exchange Rights apply only to equity awards granted to our founders prior to the effectiveness of our Charter, which will occur immediately prior to the completion of this offering. As of March 31, 2021, there were </w:t>
      </w:r>
      <w:r>
        <w:rPr>
          <w:rFonts w:ascii="Arial" w:cs="Arial" w:eastAsia="Arial" w:hAnsi="Arial"/>
          <w:sz w:val="16"/>
          <w:szCs w:val="16"/>
          <w:color w:val="auto"/>
          <w:highlight w:val="white"/>
        </w:rPr>
        <w:t>5,808,048 shares of our Class A</w:t>
      </w:r>
      <w:r>
        <w:rPr>
          <w:rFonts w:ascii="Arial" w:cs="Arial" w:eastAsia="Arial" w:hAnsi="Arial"/>
          <w:sz w:val="16"/>
          <w:szCs w:val="16"/>
          <w:color w:val="auto"/>
        </w:rPr>
        <w:t xml:space="preserve"> </w:t>
      </w:r>
      <w:r>
        <w:rPr>
          <w:rFonts w:ascii="Arial" w:cs="Arial" w:eastAsia="Arial" w:hAnsi="Arial"/>
          <w:sz w:val="16"/>
          <w:szCs w:val="16"/>
          <w:color w:val="auto"/>
          <w:highlight w:val="white"/>
        </w:rPr>
        <w:t>common stock subject to outstanding Time-Based RSUs and 27,663,658 shar</w:t>
      </w:r>
      <w:r>
        <w:rPr>
          <w:rFonts w:ascii="Arial" w:cs="Arial" w:eastAsia="Arial" w:hAnsi="Arial"/>
          <w:sz w:val="16"/>
          <w:szCs w:val="16"/>
          <w:color w:val="auto"/>
        </w:rPr>
        <w:t>es of our Class A common stock subject to outstanding 2019</w:t>
      </w:r>
      <w:r>
        <w:rPr>
          <w:rFonts w:ascii="Arial" w:cs="Arial" w:eastAsia="Arial" w:hAnsi="Arial"/>
          <w:sz w:val="16"/>
          <w:szCs w:val="16"/>
          <w:color w:val="auto"/>
          <w:highlight w:val="white"/>
        </w:rPr>
        <w:t xml:space="preserve"> </w:t>
      </w:r>
      <w:r>
        <w:rPr>
          <w:rFonts w:ascii="Arial" w:cs="Arial" w:eastAsia="Arial" w:hAnsi="Arial"/>
          <w:sz w:val="16"/>
          <w:szCs w:val="16"/>
          <w:color w:val="auto"/>
        </w:rPr>
        <w:t>Market-Based RSUs, in each case held by our founders and that may be exchanged, upon vesting and settlement, for an equivalent number of shares of our Class B common stock following this offering pursuant to the Equity Exchange Rights. In addition, in May 2021, our founders were granted 2021 Market-Based RSUs in respect of 35,520,000 shares of our Class A common stock that may be exchanged, upon vesting and settlement, for an equivalent number of shares of our Class B common stock following this offering pursuant to the Equity Exchange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080"/>
          </w:cols>
          <w:pgMar w:left="900" w:top="1440" w:right="91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913765</wp:posOffset>
            </wp:positionV>
            <wp:extent cx="7153275" cy="2888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288861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line="260" w:lineRule="auto"/>
        <w:rPr>
          <w:sz w:val="20"/>
          <w:szCs w:val="20"/>
          <w:color w:val="auto"/>
        </w:rPr>
      </w:pPr>
      <w:r>
        <w:rPr>
          <w:rFonts w:ascii="Arial" w:cs="Arial" w:eastAsia="Arial" w:hAnsi="Arial"/>
          <w:sz w:val="32"/>
          <w:szCs w:val="32"/>
          <w:color w:val="auto"/>
        </w:rPr>
        <w:t>SUMMARY HISTORICAL CONSOLIDATED FINANCIAL AND OTHER DATA</w:t>
      </w:r>
    </w:p>
    <w:p>
      <w:pPr>
        <w:spacing w:after="0" w:line="124"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following tables present summary historical consolidated financial and operating data for our business as of the dates and for the periods indicated. The summary consolidated statements of operations data presented below for the fiscal years ended December 31, 2019 and December 31, 2020 and the summary consolidated balance sheet data as of December 31, 2020 have been derived from our audited consolidated financial statements appearing at the end of this prospectus. The summary consolidated statements of operations data presented below for the three months ended March 31, 2020 and March 31, 2021 and the summary consolidated balance sheet data as of March 31, 2021 have been derived from our unaudited condensed consolidated financial statements appearing at the end of this prospectus. Results for any interim period are not necessarily indicative of the results that may be expected for the full fiscal year or any future period.</w:t>
      </w:r>
    </w:p>
    <w:p>
      <w:pPr>
        <w:spacing w:after="0" w:line="15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summary consolidated historical financial and operating data is not necessarily indicative of the results to be expected in any future period. You should read the following summary historical financial and operating data in conjunction with the section of this prospectus titled “Management’s Discussion and Analysis of Financial Condition and Results of Operations” and our audited consolidated financial statements and related notes appearing at the end of this prospectus. The summary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080"/>
          </w:cols>
          <w:pgMar w:left="900" w:top="1440" w:right="91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6394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6394450"/>
                    </a:xfrm>
                    <a:prstGeom prst="rect">
                      <a:avLst/>
                    </a:prstGeom>
                    <a:noFill/>
                  </pic:spPr>
                </pic:pic>
              </a:graphicData>
            </a:graphic>
          </wp:anchor>
        </w:drawing>
      </w:r>
    </w:p>
    <w:p>
      <w:pPr>
        <w:spacing w:after="0" w:line="39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financial and other data in this section are not intended to replace, and are qualified in their entirety by, our consolidated financial statements and related notes thereto included elsewhere in this prospectus.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4"/>
            <w:vMerge w:val="restart"/>
          </w:tcPr>
          <w:p>
            <w:pPr>
              <w:jc w:val="right"/>
              <w:ind w:right="601"/>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40" w:type="dxa"/>
            <w:vAlign w:val="bottom"/>
            <w:gridSpan w:val="4"/>
          </w:tcPr>
          <w:p>
            <w:pPr>
              <w:jc w:val="right"/>
              <w:ind w:right="741"/>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March 31,</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share and per share data)</w:t>
            </w: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Transaction-based revenues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170,831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720,133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95,631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420,439</w:t>
            </w:r>
          </w:p>
        </w:tc>
        <w:tc>
          <w:tcPr>
            <w:tcW w:w="0" w:type="dxa"/>
            <w:vAlign w:val="bottom"/>
          </w:tcPr>
          <w:p>
            <w:pPr>
              <w:spacing w:after="0"/>
              <w:rPr>
                <w:sz w:val="1"/>
                <w:szCs w:val="1"/>
                <w:color w:val="auto"/>
              </w:rPr>
            </w:pPr>
          </w:p>
        </w:tc>
      </w:tr>
      <w:tr>
        <w:trPr>
          <w:trHeight w:val="203"/>
        </w:trPr>
        <w:tc>
          <w:tcPr>
            <w:tcW w:w="4180" w:type="dxa"/>
            <w:vAlign w:val="bottom"/>
          </w:tcPr>
          <w:p>
            <w:pPr>
              <w:ind w:left="220"/>
              <w:spacing w:after="0"/>
              <w:rPr>
                <w:sz w:val="20"/>
                <w:szCs w:val="20"/>
                <w:color w:val="auto"/>
              </w:rPr>
            </w:pPr>
            <w:r>
              <w:rPr>
                <w:rFonts w:ascii="Arial" w:cs="Arial" w:eastAsia="Arial" w:hAnsi="Arial"/>
                <w:sz w:val="16"/>
                <w:szCs w:val="16"/>
                <w:color w:val="auto"/>
              </w:rPr>
              <w:t>Net interest revenues</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70,639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177,437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24,016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62,497</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36,063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61,263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39,238</w:t>
            </w:r>
          </w:p>
        </w:tc>
        <w:tc>
          <w:tcPr>
            <w:tcW w:w="0" w:type="dxa"/>
            <w:vAlign w:val="bottom"/>
          </w:tcPr>
          <w:p>
            <w:pPr>
              <w:spacing w:after="0"/>
              <w:rPr>
                <w:sz w:val="1"/>
                <w:szCs w:val="1"/>
                <w:color w:val="auto"/>
              </w:rPr>
            </w:pPr>
          </w:p>
        </w:tc>
      </w:tr>
      <w:tr>
        <w:trPr>
          <w:trHeight w:val="195"/>
        </w:trPr>
        <w:tc>
          <w:tcPr>
            <w:tcW w:w="4180" w:type="dxa"/>
            <w:vAlign w:val="bottom"/>
          </w:tcPr>
          <w:p>
            <w:pPr>
              <w:ind w:left="500"/>
              <w:spacing w:after="0"/>
              <w:rPr>
                <w:sz w:val="20"/>
                <w:szCs w:val="20"/>
                <w:color w:val="auto"/>
              </w:rPr>
            </w:pPr>
            <w:r>
              <w:rPr>
                <w:rFonts w:ascii="Arial" w:cs="Arial" w:eastAsia="Arial" w:hAnsi="Arial"/>
                <w:sz w:val="16"/>
                <w:szCs w:val="16"/>
                <w:color w:val="auto"/>
              </w:rPr>
              <w:t>Total net revenues</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277,533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958,833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127,550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522,174</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20"/>
              <w:spacing w:after="0"/>
              <w:rPr>
                <w:sz w:val="20"/>
                <w:szCs w:val="20"/>
                <w:color w:val="auto"/>
              </w:rPr>
            </w:pPr>
            <w:r>
              <w:rPr>
                <w:rFonts w:ascii="Arial" w:cs="Arial" w:eastAsia="Arial" w:hAnsi="Arial"/>
                <w:sz w:val="16"/>
                <w:szCs w:val="16"/>
                <w:color w:val="auto"/>
              </w:rPr>
              <w:t>Brokerage and transaction</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45,459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111,083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20,404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41,004</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Technology and development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94,932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215,630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116,858</w:t>
            </w:r>
          </w:p>
        </w:tc>
        <w:tc>
          <w:tcPr>
            <w:tcW w:w="0" w:type="dxa"/>
            <w:vAlign w:val="bottom"/>
          </w:tcPr>
          <w:p>
            <w:pPr>
              <w:spacing w:after="0"/>
              <w:rPr>
                <w:sz w:val="1"/>
                <w:szCs w:val="1"/>
                <w:color w:val="auto"/>
              </w:rPr>
            </w:pPr>
          </w:p>
        </w:tc>
      </w:tr>
      <w:tr>
        <w:trPr>
          <w:trHeight w:val="203"/>
        </w:trPr>
        <w:tc>
          <w:tcPr>
            <w:tcW w:w="4180" w:type="dxa"/>
            <w:vAlign w:val="bottom"/>
          </w:tcPr>
          <w:p>
            <w:pPr>
              <w:ind w:left="220"/>
              <w:spacing w:after="0"/>
              <w:rPr>
                <w:sz w:val="20"/>
                <w:szCs w:val="20"/>
                <w:color w:val="auto"/>
              </w:rPr>
            </w:pPr>
            <w:r>
              <w:rPr>
                <w:rFonts w:ascii="Arial" w:cs="Arial" w:eastAsia="Arial" w:hAnsi="Arial"/>
                <w:sz w:val="16"/>
                <w:szCs w:val="16"/>
                <w:color w:val="auto"/>
              </w:rPr>
              <w:t>Operations</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33,869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137,905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66,564</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Marketing</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124,699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185,741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102,248</w:t>
            </w:r>
          </w:p>
        </w:tc>
        <w:tc>
          <w:tcPr>
            <w:tcW w:w="0" w:type="dxa"/>
            <w:vAlign w:val="bottom"/>
          </w:tcPr>
          <w:p>
            <w:pPr>
              <w:spacing w:after="0"/>
              <w:rPr>
                <w:sz w:val="1"/>
                <w:szCs w:val="1"/>
                <w:color w:val="auto"/>
              </w:rPr>
            </w:pPr>
          </w:p>
        </w:tc>
      </w:tr>
      <w:tr>
        <w:trPr>
          <w:trHeight w:val="203"/>
        </w:trPr>
        <w:tc>
          <w:tcPr>
            <w:tcW w:w="4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85,504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294,694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34,651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137,114</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operating expenses</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384,463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945,053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179,995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463,788</w:t>
            </w:r>
          </w:p>
        </w:tc>
        <w:tc>
          <w:tcPr>
            <w:tcW w:w="0" w:type="dxa"/>
            <w:vAlign w:val="bottom"/>
          </w:tcPr>
          <w:p>
            <w:pPr>
              <w:spacing w:after="0"/>
              <w:rPr>
                <w:sz w:val="1"/>
                <w:szCs w:val="1"/>
                <w:color w:val="auto"/>
              </w:rPr>
            </w:pPr>
          </w:p>
        </w:tc>
      </w:tr>
      <w:tr>
        <w:trPr>
          <w:trHeight w:val="155"/>
        </w:trPr>
        <w:tc>
          <w:tcPr>
            <w:tcW w:w="418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Change in fair value of convertible notes and warrant</w:t>
            </w: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liability</w:t>
            </w:r>
          </w:p>
        </w:tc>
        <w:tc>
          <w:tcPr>
            <w:tcW w:w="2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1,492,269</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expense (income), net</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(107,587)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13,830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(52,588)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(1,433,024)</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Provision for (benefit from) income taxes</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11,779</w:t>
            </w: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(106,569)</w:t>
            </w:r>
          </w:p>
        </w:tc>
        <w:tc>
          <w:tcPr>
            <w:tcW w:w="80" w:type="dxa"/>
            <w:vAlign w:val="bottom"/>
          </w:tcPr>
          <w:p>
            <w:pPr>
              <w:spacing w:after="0"/>
              <w:rPr>
                <w:sz w:val="16"/>
                <w:szCs w:val="16"/>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7,449</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(52,502)</w:t>
            </w:r>
          </w:p>
        </w:tc>
        <w:tc>
          <w:tcPr>
            <w:tcW w:w="100" w:type="dxa"/>
            <w:vAlign w:val="bottom"/>
          </w:tcPr>
          <w:p>
            <w:pPr>
              <w:spacing w:after="0"/>
              <w:rPr>
                <w:sz w:val="16"/>
                <w:szCs w:val="16"/>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(1,444,803)</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18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Net income (loss) per share attributable to common</w:t>
            </w:r>
          </w:p>
        </w:tc>
        <w:tc>
          <w:tcPr>
            <w:tcW w:w="2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(0.48)</w:t>
            </w:r>
          </w:p>
        </w:tc>
        <w:tc>
          <w:tcPr>
            <w:tcW w:w="80" w:type="dxa"/>
            <w:vAlign w:val="bottom"/>
          </w:tcPr>
          <w:p>
            <w:pPr>
              <w:spacing w:after="0"/>
              <w:rPr>
                <w:sz w:val="17"/>
                <w:szCs w:val="17"/>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0.01</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17"/>
                <w:szCs w:val="17"/>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line="139" w:lineRule="exact"/>
              <w:rPr>
                <w:sz w:val="20"/>
                <w:szCs w:val="20"/>
                <w:color w:val="auto"/>
              </w:rPr>
            </w:pPr>
            <w:r>
              <w:rPr>
                <w:rFonts w:ascii="Arial" w:cs="Arial" w:eastAsia="Arial" w:hAnsi="Arial"/>
                <w:sz w:val="16"/>
                <w:szCs w:val="16"/>
                <w:b w:val="1"/>
                <w:bCs w:val="1"/>
                <w:color w:val="auto"/>
                <w:w w:val="99"/>
              </w:rPr>
              <w:t>Weighted-average shares used to compute net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1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(loss) per share attributable to common stockholders: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221,664,610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225,748,355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224,780,085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230,685,464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80" w:type="dxa"/>
            <w:vAlign w:val="bottom"/>
          </w:tcPr>
          <w:p>
            <w:pPr>
              <w:ind w:left="220"/>
              <w:spacing w:after="0" w:line="171" w:lineRule="exact"/>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221,664,610</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244,997,388</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224,780,085</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230,685,464</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18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Unaudited pro forma net loss per share attributable to</w:t>
            </w:r>
          </w:p>
        </w:tc>
        <w:tc>
          <w:tcPr>
            <w:tcW w:w="2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b w:val="1"/>
                <w:bCs w:val="1"/>
                <w:color w:val="auto"/>
              </w:rPr>
              <w:t>common stockholders</w:t>
            </w:r>
            <w:r>
              <w:rPr>
                <w:rFonts w:ascii="Arial" w:cs="Arial" w:eastAsia="Arial" w:hAnsi="Arial"/>
                <w:sz w:val="20"/>
                <w:szCs w:val="20"/>
                <w:b w:val="1"/>
                <w:bCs w:val="1"/>
                <w:color w:val="auto"/>
                <w:vertAlign w:val="superscript"/>
              </w:rPr>
              <w:t>(1)</w:t>
            </w:r>
            <w:r>
              <w:rPr>
                <w:rFonts w:ascii="Arial" w:cs="Arial" w:eastAsia="Arial" w:hAnsi="Arial"/>
                <w:sz w:val="16"/>
                <w:szCs w:val="16"/>
                <w:b w:val="1"/>
                <w:bCs w:val="1"/>
                <w:color w:val="auto"/>
              </w:rPr>
              <w: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20"/>
              <w:spacing w:after="0"/>
              <w:rPr>
                <w:sz w:val="20"/>
                <w:szCs w:val="20"/>
                <w:color w:val="auto"/>
              </w:rPr>
            </w:pPr>
            <w:r>
              <w:rPr>
                <w:rFonts w:ascii="Arial" w:cs="Arial" w:eastAsia="Arial" w:hAnsi="Arial"/>
                <w:sz w:val="16"/>
                <w:szCs w:val="16"/>
                <w:color w:val="auto"/>
              </w:rPr>
              <w:t>Basic and diluted</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18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Unaudited pro forma weighted-average shares used to</w:t>
            </w:r>
          </w:p>
        </w:tc>
        <w:tc>
          <w:tcPr>
            <w:tcW w:w="2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18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compute net loss per share attributable to common</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b w:val="1"/>
                <w:bCs w:val="1"/>
                <w:color w:val="auto"/>
              </w:rPr>
              <w:t>stockholders</w:t>
            </w:r>
            <w:r>
              <w:rPr>
                <w:rFonts w:ascii="Arial" w:cs="Arial" w:eastAsia="Arial" w:hAnsi="Arial"/>
                <w:sz w:val="20"/>
                <w:szCs w:val="20"/>
                <w:b w:val="1"/>
                <w:bCs w:val="1"/>
                <w:color w:val="auto"/>
                <w:vertAlign w:val="superscript"/>
              </w:rPr>
              <w:t>(2)</w:t>
            </w:r>
            <w:r>
              <w:rPr>
                <w:rFonts w:ascii="Arial" w:cs="Arial" w:eastAsia="Arial" w:hAnsi="Arial"/>
                <w:sz w:val="16"/>
                <w:szCs w:val="16"/>
                <w:b w:val="1"/>
                <w:bCs w:val="1"/>
                <w:color w:val="auto"/>
              </w:rPr>
              <w: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20"/>
              <w:spacing w:after="0"/>
              <w:rPr>
                <w:sz w:val="20"/>
                <w:szCs w:val="20"/>
                <w:color w:val="auto"/>
              </w:rPr>
            </w:pPr>
            <w:r>
              <w:rPr>
                <w:rFonts w:ascii="Arial" w:cs="Arial" w:eastAsia="Arial" w:hAnsi="Arial"/>
                <w:sz w:val="16"/>
                <w:szCs w:val="16"/>
                <w:color w:val="auto"/>
              </w:rPr>
              <w:t>Basic and diluted</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596,057,347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720,663,088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jc w:val="both"/>
        <w:ind w:left="300" w:hanging="295"/>
        <w:spacing w:after="0" w:line="233" w:lineRule="auto"/>
        <w:tabs>
          <w:tab w:leader="none" w:pos="288" w:val="left"/>
        </w:tabs>
        <w:numPr>
          <w:ilvl w:val="0"/>
          <w:numId w:val="21"/>
        </w:numPr>
        <w:rPr>
          <w:rFonts w:ascii="Arial" w:cs="Arial" w:eastAsia="Arial" w:hAnsi="Arial"/>
          <w:sz w:val="13"/>
          <w:szCs w:val="13"/>
          <w:color w:val="auto"/>
        </w:rPr>
      </w:pPr>
      <w:r>
        <w:rPr>
          <w:rFonts w:ascii="Arial" w:cs="Arial" w:eastAsia="Arial" w:hAnsi="Arial"/>
          <w:sz w:val="13"/>
          <w:szCs w:val="13"/>
          <w:color w:val="auto"/>
        </w:rPr>
        <w:t>Net loss in computing unaudited pro forma basic net loss per share has been adjusted (i) to remove losses resulting from the remeasurement of our convertible notes and warrant liability of nil for the year ended December 31, 2020 and $1.5 billion for the three months ended March 31, 2021 and (ii) for share-based compensation expense related to IPO-Vesting Time-Based RSUs for which the time-based vesting condition was satisfied or partially satisfied as of December 31, 2020 or March 31, 2021, as applicable, and IPO-Vesting Market-Based RSUs, assuming, for purposes of determining the satisfaction of the market-based vesting condition, an initial public offering price of our Class A common stock of $40.00 per share, which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080"/>
          </w:cols>
          <w:pgMar w:left="900" w:top="1440" w:right="91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913765</wp:posOffset>
            </wp:positionV>
            <wp:extent cx="7153275" cy="5734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57340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300"/>
        <w:spacing w:after="0" w:line="230" w:lineRule="auto"/>
        <w:rPr>
          <w:sz w:val="20"/>
          <w:szCs w:val="20"/>
          <w:color w:val="auto"/>
        </w:rPr>
      </w:pPr>
      <w:r>
        <w:rPr>
          <w:rFonts w:ascii="Arial" w:cs="Arial" w:eastAsia="Arial" w:hAnsi="Arial"/>
          <w:sz w:val="13"/>
          <w:szCs w:val="13"/>
          <w:color w:val="auto"/>
        </w:rPr>
        <w:t>midpoint of the estimated offering price range set forth on the cover page of this prospectus; if a qualifying liquidity condition had occurred on January 1, 2020, we would have recognized share-based compensation of approximately $214.0 million for the year ended December 31, 2020 and share-based compensation of approximately $141.8 million for the three months ended March 31, 2021, and (iii) for an adjustment to income taxes, net of valuation allowance, of $6.4 million for the year ended December 31, 2020 and $11.3 million for the three months ended March 31, 2021. Share-based compensation that will be recognized after March 31, 2021 through the date of this prospectus is estimated to be $681.4 million (assuming, for purposes of determining the satisfaction of any applicable market-based vesting condition, an initial public offering price of our Class A common stock of $40.00 per share, which is the midpoint of the estimated offering price range set forth on the cover page of this prospectus), which is excluded from the unaudited pro forma net loss computation described above.</w:t>
      </w:r>
    </w:p>
    <w:p>
      <w:pPr>
        <w:spacing w:after="0" w:line="1" w:lineRule="exact"/>
        <w:rPr>
          <w:sz w:val="20"/>
          <w:szCs w:val="20"/>
          <w:color w:val="auto"/>
        </w:rPr>
      </w:pPr>
    </w:p>
    <w:p>
      <w:pPr>
        <w:jc w:val="both"/>
        <w:ind w:left="300" w:hanging="295"/>
        <w:spacing w:after="0" w:line="232" w:lineRule="auto"/>
        <w:tabs>
          <w:tab w:leader="none" w:pos="288"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Weighted-average shares used to compute net loss per share attributable to common stockholders give effect to (i) the Preferred Share Conversion, (ii) the Convertible Note Conversion, (iii) the IPO-Vesting Time-Based RSU Settlement and (iv) the IPO-Vesting Market-Based RSU Settlement. Unaudited pro forma diluted net loss per share is the same as the unaudited pro forma basic net loss per share for each period because the impact of any potentially dilutive securities was anti-dilutive. Shares underlying approximately 5,507,359 IPO-Vesting Time-Based RSUs and approximately 115,266 IPO-Vesting Market-Based RSUs that would have vested after March 31, 2021 through the date of this prospectus (assuming, for purposes of determining the satisfaction of any applicable market-based vesting condition, an initial public offering price of our Class A common stock of $40.00 per share, which is the midpoint of the estimated offering price range set forth on the cover page of this prospectus) have been excluded from the unaudited pro forma weighted-average shares calculated above.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97"/>
              </w:rPr>
              <w:t>As of March 31, 2021</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Actual</w:t>
            </w:r>
          </w:p>
        </w:tc>
        <w:tc>
          <w:tcPr>
            <w:tcW w:w="240" w:type="dxa"/>
            <w:vAlign w:val="bottom"/>
          </w:tcPr>
          <w:p>
            <w:pPr>
              <w:spacing w:after="0"/>
              <w:rPr>
                <w:sz w:val="10"/>
                <w:szCs w:val="10"/>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4"/>
              </w:rPr>
              <w:t>Pro Forma</w:t>
            </w:r>
            <w:r>
              <w:rPr>
                <w:rFonts w:ascii="Arial" w:cs="Arial" w:eastAsia="Arial" w:hAnsi="Arial"/>
                <w:sz w:val="16"/>
                <w:szCs w:val="16"/>
                <w:b w:val="1"/>
                <w:bCs w:val="1"/>
                <w:color w:val="auto"/>
                <w:w w:val="94"/>
                <w:vertAlign w:val="superscript"/>
              </w:rPr>
              <w:t>(1)</w:t>
            </w:r>
          </w:p>
        </w:tc>
        <w:tc>
          <w:tcPr>
            <w:tcW w:w="200" w:type="dxa"/>
            <w:vAlign w:val="bottom"/>
          </w:tcPr>
          <w:p>
            <w:pPr>
              <w:spacing w:after="0"/>
              <w:rPr>
                <w:sz w:val="10"/>
                <w:szCs w:val="10"/>
                <w:color w:val="auto"/>
              </w:rPr>
            </w:pPr>
          </w:p>
        </w:tc>
        <w:tc>
          <w:tcPr>
            <w:tcW w:w="1220" w:type="dxa"/>
            <w:vAlign w:val="bottom"/>
          </w:tcPr>
          <w:p>
            <w:pPr>
              <w:jc w:val="right"/>
              <w:ind w:right="225"/>
              <w:spacing w:after="0" w:line="124"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155"/>
        </w:trPr>
        <w:tc>
          <w:tcPr>
            <w:tcW w:w="5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05"/>
              <w:spacing w:after="0" w:line="156" w:lineRule="exact"/>
              <w:rPr>
                <w:sz w:val="20"/>
                <w:szCs w:val="20"/>
                <w:color w:val="auto"/>
              </w:rPr>
            </w:pPr>
            <w:r>
              <w:rPr>
                <w:rFonts w:ascii="Arial" w:cs="Arial" w:eastAsia="Arial" w:hAnsi="Arial"/>
                <w:sz w:val="18"/>
                <w:szCs w:val="18"/>
                <w:b w:val="1"/>
                <w:bCs w:val="1"/>
                <w:color w:val="auto"/>
                <w:vertAlign w:val="subscript"/>
              </w:rPr>
              <w:t>Adjusted</w:t>
            </w:r>
            <w:r>
              <w:rPr>
                <w:rFonts w:ascii="Arial" w:cs="Arial" w:eastAsia="Arial" w:hAnsi="Arial"/>
                <w:sz w:val="7"/>
                <w:szCs w:val="7"/>
                <w:b w:val="1"/>
                <w:bCs w:val="1"/>
                <w:color w:val="auto"/>
              </w:rPr>
              <w:t>(2)(3)(4)</w:t>
            </w:r>
          </w:p>
        </w:tc>
        <w:tc>
          <w:tcPr>
            <w:tcW w:w="0" w:type="dxa"/>
            <w:vAlign w:val="bottom"/>
          </w:tcPr>
          <w:p>
            <w:pPr>
              <w:spacing w:after="0"/>
              <w:rPr>
                <w:sz w:val="1"/>
                <w:szCs w:val="1"/>
                <w:color w:val="auto"/>
              </w:rPr>
            </w:pPr>
          </w:p>
        </w:tc>
      </w:tr>
      <w:tr>
        <w:trPr>
          <w:trHeight w:val="147"/>
        </w:trPr>
        <w:tc>
          <w:tcPr>
            <w:tcW w:w="5640" w:type="dxa"/>
            <w:vAlign w:val="bottom"/>
          </w:tcPr>
          <w:p>
            <w:pPr>
              <w:ind w:left="20"/>
              <w:spacing w:after="0" w:line="148" w:lineRule="exact"/>
              <w:rPr>
                <w:sz w:val="20"/>
                <w:szCs w:val="20"/>
                <w:color w:val="auto"/>
              </w:rPr>
            </w:pPr>
            <w:r>
              <w:rPr>
                <w:rFonts w:ascii="Arial" w:cs="Arial" w:eastAsia="Arial" w:hAnsi="Arial"/>
                <w:sz w:val="13"/>
                <w:szCs w:val="13"/>
                <w:i w:val="1"/>
                <w:iCs w:val="1"/>
                <w:color w:val="auto"/>
              </w:rPr>
              <w:t>(in thousands)</w:t>
            </w: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Condensed Consolidated Balance Sheet Data (at period end):</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4,794,546</w:t>
            </w:r>
          </w:p>
        </w:tc>
        <w:tc>
          <w:tcPr>
            <w:tcW w:w="80" w:type="dxa"/>
            <w:vAlign w:val="bottom"/>
          </w:tcPr>
          <w:p>
            <w:pPr>
              <w:spacing w:after="0"/>
              <w:rPr>
                <w:sz w:val="17"/>
                <w:szCs w:val="17"/>
                <w:color w:val="auto"/>
              </w:rPr>
            </w:pPr>
          </w:p>
        </w:tc>
        <w:tc>
          <w:tcPr>
            <w:tcW w:w="24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4,794,546</w:t>
            </w:r>
          </w:p>
        </w:tc>
        <w:tc>
          <w:tcPr>
            <w:tcW w:w="100" w:type="dxa"/>
            <w:vAlign w:val="bottom"/>
          </w:tcPr>
          <w:p>
            <w:pPr>
              <w:spacing w:after="0"/>
              <w:rPr>
                <w:sz w:val="17"/>
                <w:szCs w:val="17"/>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6,446,215</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3,049,583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3,049,583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3,049,583</w:t>
            </w: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rPr>
                <w:sz w:val="20"/>
                <w:szCs w:val="20"/>
                <w:color w:val="auto"/>
              </w:rPr>
            </w:pPr>
            <w:r>
              <w:rPr>
                <w:rFonts w:ascii="Arial" w:cs="Arial" w:eastAsia="Arial" w:hAnsi="Arial"/>
                <w:sz w:val="16"/>
                <w:szCs w:val="16"/>
                <w:color w:val="auto"/>
              </w:rPr>
              <w:t>Receivables from users, net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5,367,042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5,367,042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5,367,042</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Working capital</w:t>
            </w:r>
            <w:r>
              <w:rPr>
                <w:rFonts w:ascii="Arial" w:cs="Arial" w:eastAsia="Arial" w:hAnsi="Arial"/>
                <w:sz w:val="20"/>
                <w:szCs w:val="20"/>
                <w:color w:val="auto"/>
                <w:vertAlign w:val="superscript"/>
              </w:rPr>
              <w:t>(4)</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5,658,312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5,331,768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7,325,358</w:t>
            </w: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15,104,493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15,113,189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16,759,685</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Payables to users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5,840,835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5,840,835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5,840,835</w:t>
            </w: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rPr>
                <w:sz w:val="20"/>
                <w:szCs w:val="20"/>
                <w:color w:val="auto"/>
              </w:rPr>
            </w:pPr>
            <w:r>
              <w:rPr>
                <w:rFonts w:ascii="Arial" w:cs="Arial" w:eastAsia="Arial" w:hAnsi="Arial"/>
                <w:sz w:val="16"/>
                <w:szCs w:val="16"/>
                <w:color w:val="auto"/>
              </w:rPr>
              <w:t>Revolving credit facilities</w:t>
            </w:r>
          </w:p>
        </w:tc>
        <w:tc>
          <w:tcPr>
            <w:tcW w:w="3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342,109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Convertible notes</w:t>
            </w:r>
            <w:r>
              <w:rPr>
                <w:rFonts w:ascii="Arial" w:cs="Arial" w:eastAsia="Arial" w:hAnsi="Arial"/>
                <w:sz w:val="20"/>
                <w:szCs w:val="20"/>
                <w:color w:val="auto"/>
                <w:vertAlign w:val="superscript"/>
              </w:rPr>
              <w:t>(5)</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4,675,082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line="204" w:lineRule="exact"/>
              <w:rPr>
                <w:sz w:val="20"/>
                <w:szCs w:val="20"/>
                <w:color w:val="auto"/>
              </w:rPr>
            </w:pPr>
            <w:r>
              <w:rPr>
                <w:rFonts w:ascii="Arial" w:cs="Arial" w:eastAsia="Arial" w:hAnsi="Arial"/>
                <w:sz w:val="16"/>
                <w:szCs w:val="16"/>
                <w:color w:val="auto"/>
              </w:rPr>
              <w:t>Warrant liability</w:t>
            </w:r>
            <w:r>
              <w:rPr>
                <w:rFonts w:ascii="Arial" w:cs="Arial" w:eastAsia="Arial" w:hAnsi="Arial"/>
                <w:sz w:val="20"/>
                <w:szCs w:val="20"/>
                <w:color w:val="auto"/>
                <w:vertAlign w:val="superscript"/>
              </w:rPr>
              <w:t>(6)</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369,162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14,409,940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9,698,777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9,351,683</w:t>
            </w:r>
          </w:p>
        </w:tc>
        <w:tc>
          <w:tcPr>
            <w:tcW w:w="0" w:type="dxa"/>
            <w:vAlign w:val="bottom"/>
          </w:tcPr>
          <w:p>
            <w:pPr>
              <w:spacing w:after="0"/>
              <w:rPr>
                <w:sz w:val="1"/>
                <w:szCs w:val="1"/>
                <w:color w:val="auto"/>
              </w:rPr>
            </w:pPr>
          </w:p>
        </w:tc>
      </w:tr>
      <w:tr>
        <w:trPr>
          <w:trHeight w:val="203"/>
        </w:trPr>
        <w:tc>
          <w:tcPr>
            <w:tcW w:w="5640" w:type="dxa"/>
            <w:vAlign w:val="bottom"/>
          </w:tcPr>
          <w:p>
            <w:pPr>
              <w:ind w:left="20"/>
              <w:spacing w:after="0"/>
              <w:rPr>
                <w:sz w:val="20"/>
                <w:szCs w:val="20"/>
                <w:color w:val="auto"/>
              </w:rPr>
            </w:pPr>
            <w:r>
              <w:rPr>
                <w:rFonts w:ascii="Arial" w:cs="Arial" w:eastAsia="Arial" w:hAnsi="Arial"/>
                <w:sz w:val="16"/>
                <w:szCs w:val="16"/>
                <w:color w:val="auto"/>
              </w:rPr>
              <w:t>Redeemable convertible preferred stock</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2,179,739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(deficit) equity</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(1,485,186)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5,414,412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7,408,002</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jc w:val="both"/>
        <w:ind w:left="300" w:hanging="295"/>
        <w:spacing w:after="0" w:line="231" w:lineRule="auto"/>
        <w:tabs>
          <w:tab w:leader="none" w:pos="288"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pro forma consolidated balance sheet data gives effect to (i) the Preferred Share Conversion, (ii) the Convertible Note Conversion, (iii) the IPO-Vesting Time-Based RSU Settlement, (iv) the IPO-Vesting Market-Based RSU Settlement, (v) the related increase in liabilities and corresponding decrease in additional paid-in capital for the associated tax withholding and remittance liabilities related to the IPO-Vesting Time-Based RSU Settlement and the IPO-Vesting Market-Based RSU Settlement, (vi) the borrowing of $342.1 million under our revolving credit facilities to satisfy our tax withholding and remittance obligations related to the IPO-Vesting Time-Based RSU Settlement and the IPO-Vesting Market-Based RSU Settlement, (vii) a cash payment of $342.1 million to satisfy our tax withholding and remittance liabilities described in clause (v) above (assuming the effectiveness of this offering on March 31, 2021 for purposes of any applicable time-based vesting conditions; an initial public offering price of our Class A common stock of $40.00 per share, which is the midpoint of the estimated offering price range set forth on the cover page of this prospectus, for purposes of determining the satisfaction of any market-based vesting conditions; and an assumed 45% tax withholding rate), (viii) the reclassification of our warrant liability into additional paid-in capital because upon the completion of this offering, the warrants will, in accordance with their terms, become exercisable for our Class A common stock, (ix) share-based compensation expense of $355.8 million related to IPO-Vesting Time-Based RSUs for which the time-based vesting condition was satisfied or partially satisfied as of March 31, 2021 and IPO-Vesting Market-Based RSUs, assuming the effectiveness of this offering on March 31, 2021 for purposes of any applicable time-based vesting conditions and, for purposes of determining the satisfaction of the market-based vesting condition, an initial public offering price of our Class A common stock of $40.00 per share, which is the midpoint of the estimated offering price range set forth on the cover page of this prospectus, reflected as an increase to additional paid-in capital and accumulated deficit, (x) income tax benefit of $17.7 million net of valuation allowance, (xi) the filing and effectiveness of our Charter in Delaware, which will occur immediately prior to the completion of this offering and will effect the Reclassification, and (xii) the Class B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080"/>
          </w:cols>
          <w:pgMar w:left="900" w:top="1440" w:right="91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913765</wp:posOffset>
            </wp:positionV>
            <wp:extent cx="7153275" cy="5643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56432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300" w:hanging="295"/>
        <w:spacing w:after="0" w:line="230" w:lineRule="auto"/>
        <w:tabs>
          <w:tab w:leader="none" w:pos="288"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pro forma as adjusted column in the consolidated balance sheet data table above gives effect to (i) the pro forma adjustments set out above, (ii) our issuance and sale by the Company of 52,375,000 shares of Class A common stock in this offering, assuming an initial public offering price of our Class A common stock of $40.00 per share, which is the midpoint of the estimated price range set forth on the cover page of this prospectus, after deducting the estimated underwriting discounts and commissions, estimated offering expenses payable by us, of which $0.2 million had been paid, and $5.0 million had been accrued, at March 31, 2021, and (iii) the use of a portion of the proceeds from the offering to repay $342.1 million of borrowings drawn under our revolving credit facilities to satisfy our tax withholding and remittance obligations related to the IPO-Vesting Time-Based RSU Settlement and the IPO-Vesting Market-Based RSU Settlement, as described under “Use of Proceeds.”</w:t>
      </w:r>
    </w:p>
    <w:p>
      <w:pPr>
        <w:jc w:val="both"/>
        <w:ind w:left="300" w:hanging="295"/>
        <w:spacing w:after="0" w:line="231" w:lineRule="auto"/>
        <w:tabs>
          <w:tab w:leader="none" w:pos="288"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pro forma as adjusted information discussed above is illustrative only and will depend on the actual initial public offering price, the number of shares of Class A common stock sold by us in this offering and other terms of this offering determined at pricing. Each $1.00 increase or decrease in the assumed initial public offering price of our Class A common stock of $40.00 per share, which is the midpoint of the estimated price range set forth on the cover page of this prospectus, would increase or decrease, as applicable, (i) each of cash and cash equivalents, working capital, total assets and total stockholders’ (deficit) equity on a pro forma as adjusted basis by approximately $41.6 million, and (ii) the amount we would borrow under our revolving credit facilities and be required to pay to satisfy our tax withholding and remittance obligations by approximately $8.6 million, in each case assuming that the number of shares of Class A common stock offered by us, as set forth on the cover page of this prospectus, remains the same and after deducting estimated underwriting discounts and commissions and estimated offering expenses payable by us. Similarly, each 1,000,000-share increase or decrease in the number of shares of Class A common stock offered by us in this offering would increase or decrease, as applicable, each of cash and cash equivalents, working capital, total assets and total stockholders’ (deficit) equity on a pro forma as adjusted basis by approximately $38.3 million, assuming no change in the assumed initial public offering price per share of our Class A common stock of $40.00 per share, which is the midpoint of the estimated price range set forth on the cover page of this prospectus, and after deducting estimated underwriting discounts and commissions and estimated offering expenses payable by us.</w:t>
      </w:r>
    </w:p>
    <w:p>
      <w:pPr>
        <w:spacing w:after="0" w:line="4" w:lineRule="exact"/>
        <w:rPr>
          <w:rFonts w:ascii="Arial" w:cs="Arial" w:eastAsia="Arial" w:hAnsi="Arial"/>
          <w:sz w:val="13"/>
          <w:szCs w:val="13"/>
          <w:color w:val="auto"/>
        </w:rPr>
      </w:pPr>
    </w:p>
    <w:p>
      <w:pPr>
        <w:ind w:left="280" w:hanging="275"/>
        <w:spacing w:after="0" w:line="233" w:lineRule="auto"/>
        <w:tabs>
          <w:tab w:leader="none" w:pos="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Working capital is defined as current assets less current liabilities.</w:t>
      </w:r>
    </w:p>
    <w:p>
      <w:pPr>
        <w:jc w:val="both"/>
        <w:ind w:left="300" w:hanging="295"/>
        <w:spacing w:after="0" w:line="249" w:lineRule="auto"/>
        <w:tabs>
          <w:tab w:leader="none" w:pos="288"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 February 2021, we issued two tranches of convertible notes, consisting of $2,532.0 million aggregate principal amount of Tranche I convertible notes and $1,020.0 million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For more information about our convertible notes and warrant financings, see “Certain Relationships and Related Person Transactions—Convertible Note and Warrant Financings” and Note 5 - “Fair Value of Financial Instruments" in our unaudited condensed consolidated financial statements.</w:t>
      </w:r>
    </w:p>
    <w:p>
      <w:pPr>
        <w:spacing w:after="0" w:line="1" w:lineRule="exact"/>
        <w:rPr>
          <w:rFonts w:ascii="Arial" w:cs="Arial" w:eastAsia="Arial" w:hAnsi="Arial"/>
          <w:sz w:val="12"/>
          <w:szCs w:val="12"/>
          <w:color w:val="auto"/>
        </w:rPr>
      </w:pPr>
    </w:p>
    <w:p>
      <w:pPr>
        <w:jc w:val="both"/>
        <w:ind w:left="300" w:hanging="295"/>
        <w:spacing w:after="0" w:line="233" w:lineRule="auto"/>
        <w:tabs>
          <w:tab w:leader="none" w:pos="288"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connection with our February 2021 convertible note offering, we granted to each purchaser of the Tranche I convertible notes a warrant to purchase a number of shares of equity securities equal to 15% of the aggregate proceeds invested by such purchaser in the Tranche I convertible notes (i.e</w:t>
      </w:r>
      <w:r>
        <w:rPr>
          <w:rFonts w:ascii="Arial" w:cs="Arial" w:eastAsia="Arial" w:hAnsi="Arial"/>
          <w:sz w:val="13"/>
          <w:szCs w:val="13"/>
          <w:i w:val="1"/>
          <w:iCs w:val="1"/>
          <w:color w:val="auto"/>
        </w:rPr>
        <w:t>.</w:t>
      </w:r>
      <w:r>
        <w:rPr>
          <w:rFonts w:ascii="Arial" w:cs="Arial" w:eastAsia="Arial" w:hAnsi="Arial"/>
          <w:sz w:val="13"/>
          <w:szCs w:val="13"/>
          <w:color w:val="auto"/>
        </w:rPr>
        <w:t>,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 paid by investors in this offering and (ii) $38.29. For more information about our convertible notes and warrant financings, see “Certain Relationships and Related Person Transactions—Convertible Note and Warrant Financings.”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auto"/>
        </w:rPr>
        <w:t>Key Performance Metrics</w:t>
      </w:r>
    </w:p>
    <w:p>
      <w:pPr>
        <w:spacing w:after="0" w:line="175" w:lineRule="exact"/>
        <w:rPr>
          <w:sz w:val="20"/>
          <w:szCs w:val="20"/>
          <w:color w:val="auto"/>
        </w:rPr>
      </w:pPr>
    </w:p>
    <w:p>
      <w:pPr>
        <w:ind w:firstLine="287"/>
        <w:spacing w:after="0" w:line="260" w:lineRule="auto"/>
        <w:rPr>
          <w:sz w:val="20"/>
          <w:szCs w:val="20"/>
          <w:color w:val="auto"/>
        </w:rPr>
      </w:pPr>
      <w:r>
        <w:rPr>
          <w:rFonts w:ascii="Arial" w:cs="Arial" w:eastAsia="Arial" w:hAnsi="Arial"/>
          <w:sz w:val="16"/>
          <w:szCs w:val="16"/>
          <w:color w:val="auto"/>
        </w:rPr>
        <w:t>In addition to the measures presented in our consolidated financial statements, we use the following key business metrics to help us evaluate our business, identify trends affecting our business, formulate business plans and make strategic decisions: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40" w:type="dxa"/>
            <w:vAlign w:val="bottom"/>
            <w:gridSpan w:val="5"/>
          </w:tcPr>
          <w:p>
            <w:pPr>
              <w:ind w:left="480"/>
              <w:spacing w:after="0"/>
              <w:rPr>
                <w:sz w:val="20"/>
                <w:szCs w:val="20"/>
                <w:color w:val="auto"/>
              </w:rPr>
            </w:pPr>
            <w:r>
              <w:rPr>
                <w:rFonts w:ascii="Arial" w:cs="Arial" w:eastAsia="Arial" w:hAnsi="Arial"/>
                <w:sz w:val="13"/>
                <w:szCs w:val="13"/>
                <w:b w:val="1"/>
                <w:bCs w:val="1"/>
                <w:color w:val="auto"/>
              </w:rPr>
              <w:t>Year or Month Ended</w:t>
            </w:r>
          </w:p>
        </w:tc>
        <w:tc>
          <w:tcPr>
            <w:tcW w:w="180" w:type="dxa"/>
            <w:vAlign w:val="bottom"/>
          </w:tcPr>
          <w:p>
            <w:pPr>
              <w:spacing w:after="0"/>
              <w:rPr>
                <w:sz w:val="12"/>
                <w:szCs w:val="12"/>
                <w:color w:val="auto"/>
              </w:rPr>
            </w:pPr>
          </w:p>
        </w:tc>
        <w:tc>
          <w:tcPr>
            <w:tcW w:w="2740" w:type="dxa"/>
            <w:vAlign w:val="bottom"/>
            <w:gridSpan w:val="4"/>
            <w:vMerge w:val="restart"/>
          </w:tcPr>
          <w:p>
            <w:pPr>
              <w:jc w:val="right"/>
              <w:ind w:right="144"/>
              <w:spacing w:after="0"/>
              <w:rPr>
                <w:sz w:val="20"/>
                <w:szCs w:val="20"/>
                <w:color w:val="auto"/>
              </w:rPr>
            </w:pPr>
            <w:r>
              <w:rPr>
                <w:rFonts w:ascii="Arial" w:cs="Arial" w:eastAsia="Arial" w:hAnsi="Arial"/>
                <w:sz w:val="13"/>
                <w:szCs w:val="13"/>
                <w:b w:val="1"/>
                <w:bCs w:val="1"/>
                <w:color w:val="auto"/>
                <w:w w:val="99"/>
              </w:rPr>
              <w:t>Three Months or Month Ended March 31,</w:t>
            </w: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for ARPU)</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95"/>
        </w:trPr>
        <w:tc>
          <w:tcPr>
            <w:tcW w:w="3920" w:type="dxa"/>
            <w:vAlign w:val="bottom"/>
            <w:shd w:val="clear" w:color="auto" w:fill="CCEEFF"/>
          </w:tcPr>
          <w:p>
            <w:pPr>
              <w:ind w:left="20"/>
              <w:spacing w:after="0" w:line="195" w:lineRule="exact"/>
              <w:rPr>
                <w:sz w:val="20"/>
                <w:szCs w:val="20"/>
                <w:color w:val="auto"/>
              </w:rPr>
            </w:pPr>
            <w:r>
              <w:rPr>
                <w:rFonts w:ascii="Arial" w:cs="Arial" w:eastAsia="Arial" w:hAnsi="Arial"/>
                <w:sz w:val="16"/>
                <w:szCs w:val="16"/>
                <w:color w:val="auto"/>
              </w:rPr>
              <w:t>Net Cumulative Funded Accounts</w:t>
            </w:r>
            <w:r>
              <w:rPr>
                <w:rFonts w:ascii="Arial" w:cs="Arial" w:eastAsia="Arial" w:hAnsi="Arial"/>
                <w:sz w:val="20"/>
                <w:szCs w:val="20"/>
                <w:color w:val="auto"/>
                <w:vertAlign w:val="superscript"/>
              </w:rPr>
              <w:t>(1)</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3"/>
        </w:trPr>
        <w:tc>
          <w:tcPr>
            <w:tcW w:w="3920" w:type="dxa"/>
            <w:vAlign w:val="bottom"/>
          </w:tcPr>
          <w:p>
            <w:pPr>
              <w:ind w:left="20"/>
              <w:spacing w:after="0" w:line="204" w:lineRule="exact"/>
              <w:rPr>
                <w:sz w:val="20"/>
                <w:szCs w:val="20"/>
                <w:color w:val="auto"/>
              </w:rPr>
            </w:pPr>
            <w:r>
              <w:rPr>
                <w:rFonts w:ascii="Arial" w:cs="Arial" w:eastAsia="Arial" w:hAnsi="Arial"/>
                <w:sz w:val="16"/>
                <w:szCs w:val="16"/>
                <w:color w:val="auto"/>
              </w:rPr>
              <w:t>Monthly Active Users (MAU)</w:t>
            </w:r>
            <w:r>
              <w:rPr>
                <w:rFonts w:ascii="Arial" w:cs="Arial" w:eastAsia="Arial" w:hAnsi="Arial"/>
                <w:sz w:val="20"/>
                <w:szCs w:val="20"/>
                <w:color w:val="auto"/>
                <w:vertAlign w:val="superscript"/>
              </w:rPr>
              <w:t>(2)</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Assets Under Custody (AUC)</w:t>
            </w:r>
            <w:r>
              <w:rPr>
                <w:rFonts w:ascii="Arial" w:cs="Arial" w:eastAsia="Arial" w:hAnsi="Arial"/>
                <w:sz w:val="20"/>
                <w:szCs w:val="20"/>
                <w:color w:val="auto"/>
                <w:vertAlign w:val="superscript"/>
              </w:rPr>
              <w:t>(3)</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14,135.6</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62,978.5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19,220.1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80,932.4</w:t>
            </w:r>
          </w:p>
        </w:tc>
        <w:tc>
          <w:tcPr>
            <w:tcW w:w="0" w:type="dxa"/>
            <w:vAlign w:val="bottom"/>
          </w:tcPr>
          <w:p>
            <w:pPr>
              <w:spacing w:after="0"/>
              <w:rPr>
                <w:sz w:val="1"/>
                <w:szCs w:val="1"/>
                <w:color w:val="auto"/>
              </w:rPr>
            </w:pPr>
          </w:p>
        </w:tc>
      </w:tr>
      <w:tr>
        <w:trPr>
          <w:trHeight w:val="266"/>
        </w:trPr>
        <w:tc>
          <w:tcPr>
            <w:tcW w:w="3920" w:type="dxa"/>
            <w:vAlign w:val="bottom"/>
          </w:tcPr>
          <w:p>
            <w:pPr>
              <w:ind w:left="20"/>
              <w:spacing w:after="0"/>
              <w:rPr>
                <w:sz w:val="20"/>
                <w:szCs w:val="20"/>
                <w:color w:val="auto"/>
              </w:rPr>
            </w:pPr>
            <w:r>
              <w:rPr>
                <w:rFonts w:ascii="Arial" w:cs="Arial" w:eastAsia="Arial" w:hAnsi="Arial"/>
                <w:sz w:val="16"/>
                <w:szCs w:val="16"/>
                <w:color w:val="auto"/>
              </w:rPr>
              <w:t>Average Revenues Per User (ARPU)</w:t>
            </w:r>
            <w:r>
              <w:rPr>
                <w:rFonts w:ascii="Arial" w:cs="Arial" w:eastAsia="Arial" w:hAnsi="Arial"/>
                <w:sz w:val="20"/>
                <w:szCs w:val="20"/>
                <w:color w:val="auto"/>
                <w:vertAlign w:val="superscript"/>
              </w:rPr>
              <w:t>(4)</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
              <w:spacing w:after="0"/>
              <w:rPr>
                <w:sz w:val="20"/>
                <w:szCs w:val="20"/>
                <w:color w:val="auto"/>
              </w:rPr>
            </w:pPr>
            <w:r>
              <w:rPr>
                <w:rFonts w:ascii="Arial" w:cs="Arial" w:eastAsia="Arial" w:hAnsi="Arial"/>
                <w:sz w:val="16"/>
                <w:szCs w:val="16"/>
                <w:color w:val="auto"/>
              </w:rPr>
              <w:t>65.7</w:t>
            </w:r>
          </w:p>
        </w:tc>
        <w:tc>
          <w:tcPr>
            <w:tcW w:w="80" w:type="dxa"/>
            <w:vAlign w:val="bottom"/>
          </w:tcPr>
          <w:p>
            <w:pPr>
              <w:spacing w:after="0"/>
              <w:rPr>
                <w:sz w:val="23"/>
                <w:szCs w:val="23"/>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108.9</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82.9</w:t>
            </w:r>
          </w:p>
        </w:tc>
        <w:tc>
          <w:tcPr>
            <w:tcW w:w="80" w:type="dxa"/>
            <w:vAlign w:val="bottom"/>
          </w:tcPr>
          <w:p>
            <w:pPr>
              <w:spacing w:after="0"/>
              <w:rPr>
                <w:sz w:val="23"/>
                <w:szCs w:val="23"/>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jc w:val="both"/>
        <w:ind w:left="300" w:hanging="295"/>
        <w:spacing w:after="0" w:line="232" w:lineRule="auto"/>
        <w:tabs>
          <w:tab w:leader="none" w:pos="288" w:val="left"/>
        </w:tabs>
        <w:numPr>
          <w:ilvl w:val="0"/>
          <w:numId w:val="25"/>
        </w:numPr>
        <w:rPr>
          <w:rFonts w:ascii="Arial" w:cs="Arial" w:eastAsia="Arial" w:hAnsi="Arial"/>
          <w:sz w:val="13"/>
          <w:szCs w:val="13"/>
          <w:color w:val="auto"/>
        </w:rPr>
      </w:pPr>
      <w:r>
        <w:rPr>
          <w:rFonts w:ascii="Arial" w:cs="Arial" w:eastAsia="Arial" w:hAnsi="Arial"/>
          <w:sz w:val="13"/>
          <w:szCs w:val="13"/>
          <w:color w:val="auto"/>
        </w:rPr>
        <w:t>Net Cumulative Funded Accounts. We define Net Cumulative Funded Accounts as the total of Net Funded Accounts from inception to a stated date or period end. “Net Funded Accounts” is the total number of Funded Accounts for a stated period, excluding “churned users” and including “resurrected users” as of the end of that period. A “Funded Account” is a Robinhood account into which the account user makes an initial deposit or money transfer, of any amount, during the relevant period, which account is designed to provide a customer with access to any and all of the products offered on our platform. Users are considered “churned” if their accounts were previously Funded Accounts and their account balance (which is measured as the fair value of assets in the user’s account less the amount due from the user) drops to or below zero dollars (which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080"/>
          </w:cols>
          <w:pgMar w:left="900" w:top="1440" w:right="91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913765</wp:posOffset>
            </wp:positionV>
            <wp:extent cx="7153275" cy="57188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571881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300"/>
        <w:spacing w:after="0" w:line="230" w:lineRule="auto"/>
        <w:rPr>
          <w:sz w:val="20"/>
          <w:szCs w:val="20"/>
          <w:color w:val="auto"/>
        </w:rPr>
      </w:pPr>
      <w:r>
        <w:rPr>
          <w:rFonts w:ascii="Arial" w:cs="Arial" w:eastAsia="Arial" w:hAnsi="Arial"/>
          <w:sz w:val="13"/>
          <w:szCs w:val="13"/>
          <w:color w:val="auto"/>
        </w:rPr>
        <w:t>balances typically result from Fraudulent Deposit Transactions and, less often, from margin loans) for 45 consecutive calendar days. Users are considered “resurrected” if they were considered churned users during and as of the end of the immediately preceding period, and had their account balance increase above zero (and are not considered churned users) in the current period. For more information about Fraudulent Deposit Transactions, see “Management’s Discussion and Analysis of Financial Condition and Results of Operations—Key Components of our Results of Operations—Operating Expenses—Operations.”</w:t>
      </w:r>
    </w:p>
    <w:p>
      <w:pPr>
        <w:spacing w:after="0" w:line="1" w:lineRule="exact"/>
        <w:rPr>
          <w:sz w:val="20"/>
          <w:szCs w:val="20"/>
          <w:color w:val="auto"/>
        </w:rPr>
      </w:pPr>
    </w:p>
    <w:p>
      <w:pPr>
        <w:jc w:val="both"/>
        <w:ind w:left="300" w:hanging="295"/>
        <w:spacing w:after="0" w:line="230" w:lineRule="auto"/>
        <w:tabs>
          <w:tab w:leader="none" w:pos="288" w:val="left"/>
        </w:tabs>
        <w:numPr>
          <w:ilvl w:val="0"/>
          <w:numId w:val="26"/>
        </w:numPr>
        <w:rPr>
          <w:rFonts w:ascii="Arial" w:cs="Arial" w:eastAsia="Arial" w:hAnsi="Arial"/>
          <w:sz w:val="13"/>
          <w:szCs w:val="13"/>
          <w:color w:val="auto"/>
        </w:rPr>
      </w:pPr>
      <w:r>
        <w:rPr>
          <w:rFonts w:ascii="Arial" w:cs="Arial" w:eastAsia="Arial" w:hAnsi="Arial"/>
          <w:sz w:val="13"/>
          <w:szCs w:val="13"/>
          <w:color w:val="auto"/>
        </w:rPr>
        <w:t>Monthly Active Users (“MAU”). We define MAU as the number of Monthly Active Users during a specified calendar month. A “Monthly Active User” is a unique user who makes a debit card transaction, transitions between two different screens on a mobile device while logged into their account or who loads a page in a web browser, at any point during the relevant month. A user need not satisfy these conditions on a monthly or recurring basis or have a Funded Account to be included in MAU. Figures in the table reflect MAU for the last month of each period presented. We utilize MAU to measure how many customers interact with our products and services during a given month. MAU does not measure the frequency or duration of the interaction, but we consider it a useful indicator for engagement. Additionally, MAUs are positively correlated with, but are not indicative of the performance of revenue and other key performance indicators.</w:t>
      </w:r>
    </w:p>
    <w:p>
      <w:pPr>
        <w:ind w:left="300" w:hanging="295"/>
        <w:spacing w:after="0" w:line="238" w:lineRule="auto"/>
        <w:tabs>
          <w:tab w:leader="none" w:pos="288"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Assets Under Custody (“AUC”). We define AUC as the sum of the fair value of all equities, options, cryptocurrency and cash held by users in their accounts, net of customer margin balances, as of a stated date or period end on a trade date basis. The following table sets out the components of AUC by type of asset:</w:t>
      </w:r>
    </w:p>
    <w:p>
      <w:pPr>
        <w:spacing w:after="0" w:line="10" w:lineRule="exact"/>
        <w:rPr>
          <w:sz w:val="20"/>
          <w:szCs w:val="20"/>
          <w:color w:val="auto"/>
        </w:rPr>
      </w:pPr>
    </w:p>
    <w:tbl>
      <w:tblPr>
        <w:tblLayout w:type="fixed"/>
        <w:tblInd w:w="28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5"/>
          </w:tcPr>
          <w:p>
            <w:pPr>
              <w:ind w:left="220"/>
              <w:spacing w:after="0"/>
              <w:rPr>
                <w:sz w:val="20"/>
                <w:szCs w:val="20"/>
                <w:color w:val="auto"/>
              </w:rPr>
            </w:pPr>
            <w:r>
              <w:rPr>
                <w:rFonts w:ascii="Arial" w:cs="Arial" w:eastAsia="Arial" w:hAnsi="Arial"/>
                <w:sz w:val="13"/>
                <w:szCs w:val="13"/>
                <w:b w:val="1"/>
                <w:bCs w:val="1"/>
                <w:color w:val="auto"/>
              </w:rPr>
              <w:t>Year Ended December 31,</w:t>
            </w:r>
          </w:p>
        </w:tc>
        <w:tc>
          <w:tcPr>
            <w:tcW w:w="2560" w:type="dxa"/>
            <w:vAlign w:val="bottom"/>
            <w:gridSpan w:val="5"/>
          </w:tcPr>
          <w:p>
            <w:pPr>
              <w:jc w:val="right"/>
              <w:spacing w:after="0"/>
              <w:rPr>
                <w:sz w:val="20"/>
                <w:szCs w:val="20"/>
                <w:color w:val="auto"/>
              </w:rPr>
            </w:pPr>
            <w:r>
              <w:rPr>
                <w:rFonts w:ascii="Arial" w:cs="Arial" w:eastAsia="Arial" w:hAnsi="Arial"/>
                <w:sz w:val="13"/>
                <w:szCs w:val="13"/>
                <w:b w:val="1"/>
                <w:bCs w:val="1"/>
                <w:color w:val="auto"/>
                <w:w w:val="99"/>
              </w:rPr>
              <w:t>Three Months or Month Ended March 31,</w:t>
            </w:r>
          </w:p>
        </w:tc>
      </w:tr>
      <w:tr>
        <w:trPr>
          <w:trHeight w:val="15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r>
      <w:tr>
        <w:trPr>
          <w:trHeight w:val="159"/>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Equities</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11,721.8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52,983.1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13,541.9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65,076.7</w:t>
            </w:r>
          </w:p>
        </w:tc>
      </w:tr>
      <w:tr>
        <w:trPr>
          <w:trHeight w:val="167"/>
        </w:trPr>
        <w:tc>
          <w:tcPr>
            <w:tcW w:w="4260" w:type="dxa"/>
            <w:vAlign w:val="bottom"/>
          </w:tcPr>
          <w:p>
            <w:pPr>
              <w:ind w:left="20"/>
              <w:spacing w:after="0"/>
              <w:rPr>
                <w:sz w:val="20"/>
                <w:szCs w:val="20"/>
                <w:color w:val="auto"/>
              </w:rPr>
            </w:pPr>
            <w:r>
              <w:rPr>
                <w:rFonts w:ascii="Arial" w:cs="Arial" w:eastAsia="Arial" w:hAnsi="Arial"/>
                <w:sz w:val="13"/>
                <w:szCs w:val="13"/>
                <w:color w:val="auto"/>
              </w:rPr>
              <w:t>Options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244.6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2,117.0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583.3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2,041.4</w:t>
            </w:r>
          </w:p>
        </w:tc>
      </w:tr>
      <w:tr>
        <w:trPr>
          <w:trHeight w:val="167"/>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Cryptocurrencies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11,597.4</w:t>
            </w:r>
          </w:p>
        </w:tc>
      </w:tr>
      <w:tr>
        <w:trPr>
          <w:trHeight w:val="167"/>
        </w:trPr>
        <w:tc>
          <w:tcPr>
            <w:tcW w:w="4260" w:type="dxa"/>
            <w:vAlign w:val="bottom"/>
          </w:tcPr>
          <w:p>
            <w:pPr>
              <w:ind w:left="20"/>
              <w:spacing w:after="0"/>
              <w:rPr>
                <w:sz w:val="20"/>
                <w:szCs w:val="20"/>
                <w:color w:val="auto"/>
              </w:rPr>
            </w:pPr>
            <w:r>
              <w:rPr>
                <w:rFonts w:ascii="Arial" w:cs="Arial" w:eastAsia="Arial" w:hAnsi="Arial"/>
                <w:sz w:val="13"/>
                <w:szCs w:val="13"/>
                <w:color w:val="auto"/>
              </w:rPr>
              <w:t>Cash held by users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2,413.8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7,947.3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5,368.9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7,646.3</w:t>
            </w:r>
          </w:p>
        </w:tc>
      </w:tr>
      <w:tr>
        <w:trPr>
          <w:trHeight w:val="167"/>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customer margin balances</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(659.3)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(3,595.9)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(5,429.4)</w:t>
            </w:r>
          </w:p>
        </w:tc>
      </w:tr>
      <w:tr>
        <w:trPr>
          <w:trHeight w:val="161"/>
        </w:trPr>
        <w:tc>
          <w:tcPr>
            <w:tcW w:w="4260" w:type="dxa"/>
            <w:vAlign w:val="bottom"/>
          </w:tcPr>
          <w:p>
            <w:pPr>
              <w:ind w:left="20"/>
              <w:spacing w:after="0"/>
              <w:rPr>
                <w:sz w:val="20"/>
                <w:szCs w:val="20"/>
                <w:color w:val="auto"/>
              </w:rPr>
            </w:pPr>
            <w:r>
              <w:rPr>
                <w:rFonts w:ascii="Arial" w:cs="Arial" w:eastAsia="Arial" w:hAnsi="Arial"/>
                <w:sz w:val="13"/>
                <w:szCs w:val="13"/>
                <w:color w:val="auto"/>
              </w:rPr>
              <w:t>Assets Under Custody (AUC)</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14,135.6</w:t>
            </w:r>
          </w:p>
        </w:tc>
        <w:tc>
          <w:tcPr>
            <w:tcW w:w="80" w:type="dxa"/>
            <w:vAlign w:val="bottom"/>
          </w:tcPr>
          <w:p>
            <w:pPr>
              <w:spacing w:after="0"/>
              <w:rPr>
                <w:sz w:val="14"/>
                <w:szCs w:val="14"/>
                <w:color w:val="auto"/>
              </w:rPr>
            </w:pP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62,978.5</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19,220.1</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80,932.4</w:t>
            </w:r>
          </w:p>
        </w:tc>
      </w:tr>
    </w:tbl>
    <w:p>
      <w:pPr>
        <w:spacing w:after="0" w:line="157" w:lineRule="exact"/>
        <w:rPr>
          <w:sz w:val="20"/>
          <w:szCs w:val="20"/>
          <w:color w:val="auto"/>
        </w:rPr>
      </w:pPr>
    </w:p>
    <w:p>
      <w:pPr>
        <w:jc w:val="both"/>
        <w:ind w:left="300" w:hanging="295"/>
        <w:spacing w:after="0" w:line="258" w:lineRule="auto"/>
        <w:tabs>
          <w:tab w:leader="none" w:pos="288" w:val="left"/>
        </w:tabs>
        <w:numPr>
          <w:ilvl w:val="0"/>
          <w:numId w:val="27"/>
        </w:numPr>
        <w:rPr>
          <w:rFonts w:ascii="Arial" w:cs="Arial" w:eastAsia="Arial" w:hAnsi="Arial"/>
          <w:sz w:val="12"/>
          <w:szCs w:val="12"/>
          <w:color w:val="auto"/>
        </w:rPr>
      </w:pPr>
      <w:r>
        <w:rPr>
          <w:rFonts w:ascii="Arial" w:cs="Arial" w:eastAsia="Arial" w:hAnsi="Arial"/>
          <w:sz w:val="12"/>
          <w:szCs w:val="12"/>
          <w:color w:val="auto"/>
        </w:rPr>
        <w:t>Average Revenues Per User (“ARPU”): We define ARPU as total revenue for a given period (or, in the case of ARPU for a given cohort, total revenue generated by that cohort during a given year or period) divided by the average of Net Cumulative Funded Accounts (or, in the case of ARPU for a given cohort, the Net Cumulative Funded Accounts included in that cohort) as of the last day of that period and as of the last day of the immediately preceding period. In the case of ARPU for a three-month period, this figure is multiplied by four to annualize the figure for comparability. Figures in the table represent ARPU for each year or annualized three-month period presented.</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Non-GAAP Financial Measures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Adjusted EBITDA</w:t>
      </w:r>
    </w:p>
    <w:p>
      <w:pPr>
        <w:spacing w:after="0" w:line="179" w:lineRule="exact"/>
        <w:rPr>
          <w:sz w:val="20"/>
          <w:szCs w:val="20"/>
          <w:color w:val="auto"/>
        </w:rPr>
      </w:pPr>
    </w:p>
    <w:p>
      <w:pPr>
        <w:jc w:val="both"/>
        <w:ind w:firstLine="287"/>
        <w:spacing w:after="0" w:line="266" w:lineRule="auto"/>
        <w:rPr>
          <w:sz w:val="20"/>
          <w:szCs w:val="20"/>
          <w:color w:val="auto"/>
        </w:rPr>
      </w:pPr>
      <w:r>
        <w:rPr>
          <w:rFonts w:ascii="Arial" w:cs="Arial" w:eastAsia="Arial" w:hAnsi="Arial"/>
          <w:sz w:val="15"/>
          <w:szCs w:val="15"/>
          <w:color w:val="auto"/>
        </w:rPr>
        <w:t>We collect and analyze operating and financial data to evaluate the health of our business, allocate our resources and assess our performance. In addition to total net revenue, net income (loss) and other results under U.S. generally accepted accounting principles (“GAAP”), we utilize non-GAAP calculations of adjusted earnings before interest, taxes, depreciation and amortization (“Adjusted EBITDA”). Adjusted EBITDA is defined as net income (loss), excluding (i) provision for (benefit from) income taxes, (ii) interest expense on credit facilities,</w:t>
      </w:r>
    </w:p>
    <w:p>
      <w:pPr>
        <w:ind w:firstLine="5"/>
        <w:spacing w:after="0" w:line="260" w:lineRule="auto"/>
        <w:tabs>
          <w:tab w:leader="none" w:pos="2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depreciation and amortization, (iv) share-based compensation expense, (v) change in fair value of convertible notes and warrant liability and (vi) certain legal and tax settlements, reserves and expenses.</w:t>
      </w:r>
    </w:p>
    <w:p>
      <w:pPr>
        <w:spacing w:after="0" w:line="13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above items are excluded from our Adjusted EBITDA measure because these items are non-cash in nature, or because the amount and timing of these items is unpredictable, is not driven by core results of operations and renders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prospectus because it is a key measurement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080"/>
          </w:cols>
          <w:pgMar w:left="900" w:top="1440" w:right="91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5074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507428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GAAP measures used by other companies. The following table presents a reconciliation of net income (loss), the most directly comparable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GAAP measure, to Adjusted EBITDA: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gridSpan w:val="5"/>
            <w:vMerge w:val="restart"/>
          </w:tcPr>
          <w:p>
            <w:pPr>
              <w:ind w:left="34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Pr>
          <w:p>
            <w:pPr>
              <w:spacing w:after="0"/>
              <w:rPr>
                <w:sz w:val="13"/>
                <w:szCs w:val="13"/>
                <w:color w:val="auto"/>
              </w:rPr>
            </w:pPr>
          </w:p>
        </w:tc>
        <w:tc>
          <w:tcPr>
            <w:tcW w:w="2580" w:type="dxa"/>
            <w:vAlign w:val="bottom"/>
            <w:gridSpan w:val="4"/>
          </w:tcPr>
          <w:p>
            <w:pPr>
              <w:jc w:val="right"/>
              <w:ind w:right="742"/>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March 31,</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(106,569)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(1,444,803)</w:t>
            </w: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rPr>
                <w:sz w:val="20"/>
                <w:szCs w:val="20"/>
                <w:color w:val="auto"/>
              </w:rPr>
            </w:pPr>
            <w:r>
              <w:rPr>
                <w:rFonts w:ascii="Arial" w:cs="Arial" w:eastAsia="Arial" w:hAnsi="Arial"/>
                <w:sz w:val="16"/>
                <w:szCs w:val="16"/>
                <w:color w:val="auto"/>
              </w:rPr>
              <w:t>Add: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expenses related to credit facilities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w:t>
            </w: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6,381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11,779</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9,938</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3,821</w:t>
            </w: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Arial" w:cs="Arial" w:eastAsia="Arial" w:hAnsi="Arial"/>
                <w:sz w:val="16"/>
                <w:szCs w:val="16"/>
                <w:color w:val="auto"/>
              </w:rPr>
              <w:t>EBITDA (non-GAAP)</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(101,152)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28,650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(49,356)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(1,426,404)</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8,996</w:t>
            </w:r>
          </w:p>
        </w:tc>
        <w:tc>
          <w:tcPr>
            <w:tcW w:w="0" w:type="dxa"/>
            <w:vAlign w:val="bottom"/>
          </w:tcPr>
          <w:p>
            <w:pPr>
              <w:spacing w:after="0"/>
              <w:rPr>
                <w:sz w:val="1"/>
                <w:szCs w:val="1"/>
                <w:color w:val="auto"/>
              </w:rPr>
            </w:pPr>
          </w:p>
        </w:tc>
      </w:tr>
      <w:tr>
        <w:trPr>
          <w:trHeight w:val="157"/>
        </w:trPr>
        <w:tc>
          <w:tcPr>
            <w:tcW w:w="4180" w:type="dxa"/>
            <w:vAlign w:val="bottom"/>
          </w:tcPr>
          <w:p>
            <w:pPr>
              <w:ind w:left="20"/>
              <w:spacing w:after="0" w:line="158" w:lineRule="exact"/>
              <w:rPr>
                <w:sz w:val="20"/>
                <w:szCs w:val="20"/>
                <w:color w:val="auto"/>
              </w:rPr>
            </w:pPr>
            <w:r>
              <w:rPr>
                <w:rFonts w:ascii="Arial" w:cs="Arial" w:eastAsia="Arial" w:hAnsi="Arial"/>
                <w:sz w:val="16"/>
                <w:szCs w:val="16"/>
                <w:color w:val="auto"/>
              </w:rPr>
              <w:t>Change in fair value of convertible notes and warrant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180" w:type="dxa"/>
            <w:vAlign w:val="bottom"/>
          </w:tcPr>
          <w:p>
            <w:pPr>
              <w:ind w:left="20"/>
              <w:spacing w:after="0" w:line="201" w:lineRule="exact"/>
              <w:rPr>
                <w:sz w:val="20"/>
                <w:szCs w:val="20"/>
                <w:color w:val="auto"/>
              </w:rPr>
            </w:pPr>
            <w:r>
              <w:rPr>
                <w:rFonts w:ascii="Arial" w:cs="Arial" w:eastAsia="Arial" w:hAnsi="Arial"/>
                <w:sz w:val="16"/>
                <w:szCs w:val="16"/>
                <w:color w:val="auto"/>
              </w:rPr>
              <w:t>liability</w:t>
            </w:r>
            <w:r>
              <w:rPr>
                <w:rFonts w:ascii="Arial" w:cs="Arial" w:eastAsia="Arial" w:hAnsi="Arial"/>
                <w:sz w:val="20"/>
                <w:szCs w:val="20"/>
                <w:color w:val="auto"/>
                <w:vertAlign w:val="superscript"/>
              </w:rPr>
              <w:t>(1)</w:t>
            </w:r>
          </w:p>
        </w:tc>
        <w:tc>
          <w:tcPr>
            <w:tcW w:w="3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1,492,269</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Certain legal and tax settlements, reserves and</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180" w:type="dxa"/>
            <w:vAlign w:val="bottom"/>
            <w:shd w:val="clear" w:color="auto" w:fill="CCEEFF"/>
          </w:tcPr>
          <w:p>
            <w:pPr>
              <w:ind w:left="240"/>
              <w:spacing w:after="0" w:line="201" w:lineRule="exact"/>
              <w:rPr>
                <w:sz w:val="20"/>
                <w:szCs w:val="20"/>
                <w:color w:val="auto"/>
              </w:rPr>
            </w:pPr>
            <w:r>
              <w:rPr>
                <w:rFonts w:ascii="Arial" w:cs="Arial" w:eastAsia="Arial" w:hAnsi="Arial"/>
                <w:sz w:val="16"/>
                <w:szCs w:val="16"/>
                <w:color w:val="auto"/>
              </w:rPr>
              <w:t>expenses</w:t>
            </w:r>
            <w:r>
              <w:rPr>
                <w:rFonts w:ascii="Arial" w:cs="Arial" w:eastAsia="Arial" w:hAnsi="Arial"/>
                <w:sz w:val="20"/>
                <w:szCs w:val="20"/>
                <w:color w:val="auto"/>
                <w:vertAlign w:val="superscript"/>
              </w:rPr>
              <w:t>(2)</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101,600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39,910</w:t>
            </w: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Arial" w:cs="Arial" w:eastAsia="Arial" w:hAnsi="Arial"/>
                <w:sz w:val="16"/>
                <w:szCs w:val="16"/>
                <w:color w:val="auto"/>
              </w:rPr>
              <w:t>Adjusted EBITDA (non-GAAP)</w:t>
            </w: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(74,485)</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154,580</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(46,944)</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114,771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jc w:val="both"/>
        <w:ind w:left="300" w:hanging="295"/>
        <w:spacing w:after="0" w:line="230" w:lineRule="auto"/>
        <w:tabs>
          <w:tab w:leader="none" w:pos="288" w:val="left"/>
        </w:tabs>
        <w:numPr>
          <w:ilvl w:val="0"/>
          <w:numId w:val="29"/>
        </w:numPr>
        <w:rPr>
          <w:rFonts w:ascii="Arial" w:cs="Arial" w:eastAsia="Arial" w:hAnsi="Arial"/>
          <w:sz w:val="13"/>
          <w:szCs w:val="13"/>
          <w:color w:val="auto"/>
        </w:rPr>
      </w:pPr>
      <w:r>
        <w:rPr>
          <w:rFonts w:ascii="Arial" w:cs="Arial" w:eastAsia="Arial" w:hAnsi="Arial"/>
          <w:sz w:val="13"/>
          <w:szCs w:val="13"/>
          <w:color w:val="auto"/>
        </w:rPr>
        <w:t>Change in fair value of convertible notes and warrant liability is the adjustment necessary to mark our convertible notes and warrants to fair market value. Please see "Note 5 - Fair Value of Financial Instruments" in our unaudited condensed consolidated financial statements and “Management’s Discussion and Analysis of Financial Condition and Results of Operations—Comparison of the Three Months Ended March 31, 2020 and 2021—Change in Fair Value of Convertible Notes and Warrant Liability” for more information.</w:t>
      </w:r>
    </w:p>
    <w:p>
      <w:pPr>
        <w:jc w:val="both"/>
        <w:ind w:left="300" w:hanging="295"/>
        <w:spacing w:after="0" w:line="232" w:lineRule="auto"/>
        <w:tabs>
          <w:tab w:leader="none" w:pos="288" w:val="left"/>
        </w:tabs>
        <w:numPr>
          <w:ilvl w:val="0"/>
          <w:numId w:val="29"/>
        </w:numPr>
        <w:rPr>
          <w:rFonts w:ascii="Arial" w:cs="Arial" w:eastAsia="Arial" w:hAnsi="Arial"/>
          <w:sz w:val="13"/>
          <w:szCs w:val="13"/>
          <w:color w:val="auto"/>
        </w:rPr>
      </w:pPr>
      <w:r>
        <w:rPr>
          <w:rFonts w:ascii="Arial" w:cs="Arial" w:eastAsia="Arial" w:hAnsi="Arial"/>
          <w:sz w:val="13"/>
          <w:szCs w:val="13"/>
          <w:color w:val="auto"/>
        </w:rPr>
        <w:t>Certain legal and tax settlements, reserves and expenses for the year ended December 31, 2020 includes (i) the payment of $65 million made by RHF to the SEC in connection with the settlement we entered into with the SEC, on a neither admit nor deny basis, following the investigation by the SEC’s Division of Enforcement into RHF’s best execution and PFOF practices, as well as statements concerning its source of revenue, (ii) the charge of $26.6 million for potential resolution of certain FINRA matters, including the March 2020 Outages and options trading and related customer communications and displays (the “FINRA Matters”), and (iii) the charge of $10 million for potential resolution of a New York State Department of Financial Services (“NYDFS”) matter focused primarily on anti-money laundering and cybersecurity-related issues (the “NYDFS Matter”).</w:t>
      </w:r>
    </w:p>
    <w:p>
      <w:pPr>
        <w:spacing w:after="0" w:line="136" w:lineRule="exact"/>
        <w:rPr>
          <w:rFonts w:ascii="Arial" w:cs="Arial" w:eastAsia="Arial" w:hAnsi="Arial"/>
          <w:sz w:val="13"/>
          <w:szCs w:val="13"/>
          <w:color w:val="auto"/>
        </w:rPr>
      </w:pPr>
    </w:p>
    <w:p>
      <w:pPr>
        <w:jc w:val="both"/>
        <w:ind w:left="300"/>
        <w:spacing w:after="0" w:line="232" w:lineRule="auto"/>
        <w:rPr>
          <w:rFonts w:ascii="Arial" w:cs="Arial" w:eastAsia="Arial" w:hAnsi="Arial"/>
          <w:sz w:val="13"/>
          <w:szCs w:val="13"/>
          <w:color w:val="auto"/>
        </w:rPr>
      </w:pPr>
      <w:r>
        <w:rPr>
          <w:rFonts w:ascii="Arial" w:cs="Arial" w:eastAsia="Arial" w:hAnsi="Arial"/>
          <w:sz w:val="13"/>
          <w:szCs w:val="13"/>
          <w:color w:val="auto"/>
        </w:rPr>
        <w:t>Certain legal and tax settlements, reserves and expenses for the three months ended March 31, 2021 includes additional charges of (i) $34.9 million in connection with the agreement-in-principle RHF had reached with FINRA to resolve, on an no admit, no deny basis, the FINRA Matters, and (ii) $5 million for the potential resolution of the NYDFS Matter. With respect to the FINRA Matters, the parties have since reached a resolution, in connection with which, among other things, RHF will pay a fine and customer restitution and engage an independent consultant. With respect to the NYDFS Matter, the parties have since reached a settlement in principle, subject to final documentation, in connection with which, among other things, RHC will pay a monetary penalty and engage a monitor. For more information about these matters, see “Business—Legal Proceedings.”</w:t>
      </w:r>
    </w:p>
    <w:p>
      <w:pPr>
        <w:spacing w:after="0" w:line="132" w:lineRule="exact"/>
        <w:rPr>
          <w:sz w:val="20"/>
          <w:szCs w:val="20"/>
          <w:color w:val="auto"/>
        </w:rPr>
      </w:pPr>
    </w:p>
    <w:p>
      <w:pPr>
        <w:ind w:firstLine="287"/>
        <w:spacing w:after="0" w:line="260" w:lineRule="auto"/>
        <w:rPr>
          <w:sz w:val="20"/>
          <w:szCs w:val="20"/>
          <w:color w:val="auto"/>
        </w:rPr>
      </w:pPr>
      <w:r>
        <w:rPr>
          <w:rFonts w:ascii="Arial" w:cs="Arial" w:eastAsia="Arial" w:hAnsi="Arial"/>
          <w:sz w:val="16"/>
          <w:szCs w:val="16"/>
          <w:color w:val="auto"/>
        </w:rPr>
        <w:t>See “—Key Performance Metrics” and “—Non-GAAP Financial Measures” under the section titled “Management’s Discussion and Analysis of Financial Condition and Results of Operations”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080"/>
          </w:cols>
          <w:pgMar w:left="900" w:top="1440" w:right="91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62045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Estimated Preliminary Results</w:t>
      </w:r>
    </w:p>
    <w:p>
      <w:pPr>
        <w:spacing w:after="0" w:line="16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Set forth below are certain estimated preliminary results as of and for the three months ended June 30, 2021, based solely on preliminary information currently available to management. We have provided ranges, rather than specific amounts, because these results are preliminary and subject to change. These ranges are based on the information currently available to us as of the date of this prospectus. Our actual unaudited financial results as of and for the three months ended June 30, 2021 are not yet available and our closing procedures for the three months ended June 30, 2021 are not yet completed. As such, our actual results for such period may vary from the estimated preliminary results set forth below and will not be finalized until after the completion of this offering.</w:t>
      </w:r>
    </w:p>
    <w:p>
      <w:pPr>
        <w:spacing w:after="0" w:line="160"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addition, the estimated preliminary results set forth below are forward-looking statements and are not guarantees of future performance and may differ from actual results. These estimates should not be viewed as a substitute for our full fiscal year or interim period financial statements prepared in accordance with GAAP. There can be no assurance that these estimates will be realized, and estimates are subject to risks and uncertainties. See “Risk Factors” and “Special Note Regarding Forward-Looking Statements” for additional information regarding factors that could result in differences between the preliminary estimated ranges of certain of our financial results that are presented below and the actual financial results we will report. These estimated preliminary results should be read in conjunction with “Management’s Discussion and Analysis of Financial Condition and Results of Operations” and the consolidated financial statements and related notes thereto for prior periods included elsewhere in this prospectus.</w:t>
      </w:r>
    </w:p>
    <w:p>
      <w:pPr>
        <w:spacing w:after="0" w:line="152"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The following estimated preliminary results have been prepared by, and are the responsibility of, management. Our independent registered public accounting firm, Ernst &amp; Young LLP, has not audited, reviewed or performed any procedures with respect to the preliminary financial results. Accordingly, Ernst &amp; Young LLP does not express an opinion or any other form of assurance with respect thereto.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center"/>
              <w:ind w:left="967"/>
              <w:spacing w:after="0"/>
              <w:rPr>
                <w:sz w:val="20"/>
                <w:szCs w:val="20"/>
                <w:color w:val="auto"/>
              </w:rPr>
            </w:pPr>
            <w:r>
              <w:rPr>
                <w:rFonts w:ascii="Arial" w:cs="Arial" w:eastAsia="Arial" w:hAnsi="Arial"/>
                <w:sz w:val="13"/>
                <w:szCs w:val="13"/>
                <w:b w:val="1"/>
                <w:bCs w:val="1"/>
                <w:color w:val="auto"/>
                <w:w w:val="97"/>
              </w:rPr>
              <w:t>Three Months or Month Ended</w:t>
            </w:r>
          </w:p>
        </w:tc>
        <w:tc>
          <w:tcPr>
            <w:tcW w:w="1260" w:type="dxa"/>
            <w:vAlign w:val="bottom"/>
            <w:tcBorders>
              <w:bottom w:val="single" w:sz="8" w:color="auto"/>
            </w:tcBorders>
          </w:tcPr>
          <w:p>
            <w:pPr>
              <w:spacing w:after="0"/>
              <w:rPr>
                <w:sz w:val="14"/>
                <w:szCs w:val="14"/>
                <w:color w:val="auto"/>
              </w:rPr>
            </w:pPr>
          </w:p>
        </w:tc>
      </w:tr>
      <w:tr>
        <w:trPr>
          <w:trHeight w:val="159"/>
        </w:trPr>
        <w:tc>
          <w:tcPr>
            <w:tcW w:w="5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9"/>
              </w:rPr>
              <w:t>June 30, 2020</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tcPr>
          <w:p>
            <w:pPr>
              <w:jc w:val="right"/>
              <w:ind w:right="985"/>
              <w:spacing w:after="0"/>
              <w:rPr>
                <w:sz w:val="20"/>
                <w:szCs w:val="20"/>
                <w:color w:val="auto"/>
              </w:rPr>
            </w:pPr>
            <w:r>
              <w:rPr>
                <w:rFonts w:ascii="Arial" w:cs="Arial" w:eastAsia="Arial" w:hAnsi="Arial"/>
                <w:sz w:val="13"/>
                <w:szCs w:val="13"/>
                <w:b w:val="1"/>
                <w:bCs w:val="1"/>
                <w:color w:val="auto"/>
              </w:rPr>
              <w:t>June 30, 2021</w:t>
            </w:r>
          </w:p>
        </w:tc>
      </w:tr>
      <w:tr>
        <w:trPr>
          <w:trHeight w:val="159"/>
        </w:trPr>
        <w:tc>
          <w:tcPr>
            <w:tcW w:w="5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rPr>
              <w:t>Actual</w:t>
            </w: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6"/>
              </w:rPr>
              <w:t>Low (estimated)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05"/>
              <w:spacing w:after="0"/>
              <w:rPr>
                <w:sz w:val="20"/>
                <w:szCs w:val="20"/>
                <w:color w:val="auto"/>
              </w:rPr>
            </w:pPr>
            <w:r>
              <w:rPr>
                <w:rFonts w:ascii="Arial" w:cs="Arial" w:eastAsia="Arial" w:hAnsi="Arial"/>
                <w:sz w:val="13"/>
                <w:szCs w:val="13"/>
                <w:b w:val="1"/>
                <w:bCs w:val="1"/>
                <w:color w:val="auto"/>
                <w:w w:val="98"/>
              </w:rPr>
              <w:t>High (estimated)</w:t>
            </w:r>
          </w:p>
        </w:tc>
      </w:tr>
      <w:tr>
        <w:trPr>
          <w:trHeight w:val="159"/>
        </w:trPr>
        <w:tc>
          <w:tcPr>
            <w:tcW w:w="5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3"/>
          </w:tcPr>
          <w:p>
            <w:pPr>
              <w:ind w:left="40"/>
              <w:spacing w:after="0"/>
              <w:rPr>
                <w:sz w:val="20"/>
                <w:szCs w:val="20"/>
                <w:color w:val="auto"/>
              </w:rPr>
            </w:pPr>
            <w:r>
              <w:rPr>
                <w:rFonts w:ascii="Arial" w:cs="Arial" w:eastAsia="Arial" w:hAnsi="Arial"/>
                <w:sz w:val="13"/>
                <w:szCs w:val="13"/>
                <w:b w:val="1"/>
                <w:bCs w:val="1"/>
                <w:color w:val="auto"/>
              </w:rPr>
              <w:t>(unaudited, in millions)</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Selected Financial Data</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5660" w:type="dxa"/>
            <w:vAlign w:val="bottom"/>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244</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574</w:t>
            </w: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r>
      <w:tr>
        <w:trPr>
          <w:trHeight w:val="203"/>
        </w:trPr>
        <w:tc>
          <w:tcPr>
            <w:tcW w:w="56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78"/>
        </w:trPr>
        <w:tc>
          <w:tcPr>
            <w:tcW w:w="5660" w:type="dxa"/>
            <w:vAlign w:val="bottom"/>
          </w:tcPr>
          <w:p>
            <w:pPr>
              <w:ind w:left="20"/>
              <w:spacing w:after="0"/>
              <w:rPr>
                <w:sz w:val="20"/>
                <w:szCs w:val="20"/>
                <w:color w:val="auto"/>
              </w:rPr>
            </w:pPr>
            <w:r>
              <w:rPr>
                <w:rFonts w:ascii="Arial" w:cs="Arial" w:eastAsia="Arial" w:hAnsi="Arial"/>
                <w:sz w:val="16"/>
                <w:szCs w:val="16"/>
                <w:color w:val="auto"/>
              </w:rPr>
              <w:t>Adjusted EBITDA (non-GAAP)</w:t>
            </w:r>
            <w:r>
              <w:rPr>
                <w:rFonts w:ascii="Arial" w:cs="Arial" w:eastAsia="Arial" w:hAnsi="Arial"/>
                <w:sz w:val="20"/>
                <w:szCs w:val="20"/>
                <w:color w:val="auto"/>
                <w:vertAlign w:val="superscript"/>
              </w:rPr>
              <w:t>(1)</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00"/>
        </w:trPr>
        <w:tc>
          <w:tcPr>
            <w:tcW w:w="5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3"/>
                <w:szCs w:val="13"/>
                <w:b w:val="1"/>
                <w:bCs w:val="1"/>
                <w:color w:val="auto"/>
              </w:rPr>
              <w:t>Three Months or Month Ended</w:t>
            </w:r>
          </w:p>
        </w:tc>
      </w:tr>
      <w:tr>
        <w:trPr>
          <w:trHeight w:val="159"/>
        </w:trPr>
        <w:tc>
          <w:tcPr>
            <w:tcW w:w="5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99"/>
              </w:rPr>
              <w:t>June 30, 2020</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96"/>
              </w:rPr>
              <w:t>June 30, 2021</w:t>
            </w:r>
          </w:p>
        </w:tc>
      </w:tr>
      <w:tr>
        <w:trPr>
          <w:trHeight w:val="159"/>
        </w:trPr>
        <w:tc>
          <w:tcPr>
            <w:tcW w:w="5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Actual</w:t>
            </w:r>
          </w:p>
        </w:tc>
        <w:tc>
          <w:tcPr>
            <w:tcW w:w="160" w:type="dxa"/>
            <w:vAlign w:val="bottom"/>
          </w:tcPr>
          <w:p>
            <w:pPr>
              <w:spacing w:after="0"/>
              <w:rPr>
                <w:sz w:val="13"/>
                <w:szCs w:val="13"/>
                <w:color w:val="auto"/>
              </w:rPr>
            </w:pPr>
          </w:p>
        </w:tc>
        <w:tc>
          <w:tcPr>
            <w:tcW w:w="1260" w:type="dxa"/>
            <w:vAlign w:val="bottom"/>
          </w:tcPr>
          <w:p>
            <w:pPr>
              <w:jc w:val="center"/>
              <w:ind w:right="85"/>
              <w:spacing w:after="0"/>
              <w:rPr>
                <w:sz w:val="20"/>
                <w:szCs w:val="20"/>
                <w:color w:val="auto"/>
              </w:rPr>
            </w:pPr>
            <w:r>
              <w:rPr>
                <w:rFonts w:ascii="Arial" w:cs="Arial" w:eastAsia="Arial" w:hAnsi="Arial"/>
                <w:sz w:val="13"/>
                <w:szCs w:val="13"/>
                <w:b w:val="1"/>
                <w:bCs w:val="1"/>
                <w:color w:val="auto"/>
                <w:w w:val="99"/>
              </w:rPr>
              <w:t>Estimate</w:t>
            </w:r>
          </w:p>
        </w:tc>
      </w:tr>
      <w:tr>
        <w:trPr>
          <w:trHeight w:val="18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Key Performance Metrics</w:t>
            </w:r>
          </w:p>
        </w:tc>
        <w:tc>
          <w:tcPr>
            <w:tcW w:w="2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r>
      <w:tr>
        <w:trPr>
          <w:trHeight w:val="203"/>
        </w:trPr>
        <w:tc>
          <w:tcPr>
            <w:tcW w:w="5660" w:type="dxa"/>
            <w:vAlign w:val="bottom"/>
          </w:tcPr>
          <w:p>
            <w:pPr>
              <w:ind w:left="20"/>
              <w:spacing w:after="0" w:line="204" w:lineRule="exact"/>
              <w:rPr>
                <w:sz w:val="20"/>
                <w:szCs w:val="20"/>
                <w:color w:val="auto"/>
              </w:rPr>
            </w:pPr>
            <w:r>
              <w:rPr>
                <w:rFonts w:ascii="Arial" w:cs="Arial" w:eastAsia="Arial" w:hAnsi="Arial"/>
                <w:sz w:val="16"/>
                <w:szCs w:val="16"/>
                <w:color w:val="auto"/>
              </w:rPr>
              <w:t>Net Cumulative Funded Accounts</w:t>
            </w:r>
            <w:r>
              <w:rPr>
                <w:rFonts w:ascii="Arial" w:cs="Arial" w:eastAsia="Arial" w:hAnsi="Arial"/>
                <w:sz w:val="20"/>
                <w:szCs w:val="20"/>
                <w:color w:val="auto"/>
                <w:vertAlign w:val="superscript"/>
              </w:rPr>
              <w:t>(2)</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03"/>
        </w:trPr>
        <w:tc>
          <w:tcPr>
            <w:tcW w:w="566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Monthly Active Users (MAU)</w:t>
            </w:r>
            <w:r>
              <w:rPr>
                <w:rFonts w:ascii="Arial" w:cs="Arial" w:eastAsia="Arial" w:hAnsi="Arial"/>
                <w:sz w:val="20"/>
                <w:szCs w:val="20"/>
                <w:color w:val="auto"/>
                <w:vertAlign w:val="superscript"/>
              </w:rPr>
              <w:t>(3)</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66"/>
        </w:trPr>
        <w:tc>
          <w:tcPr>
            <w:tcW w:w="5660" w:type="dxa"/>
            <w:vAlign w:val="bottom"/>
          </w:tcPr>
          <w:p>
            <w:pPr>
              <w:ind w:left="20"/>
              <w:spacing w:after="0"/>
              <w:rPr>
                <w:sz w:val="20"/>
                <w:szCs w:val="20"/>
                <w:color w:val="auto"/>
              </w:rPr>
            </w:pPr>
            <w:r>
              <w:rPr>
                <w:rFonts w:ascii="Arial" w:cs="Arial" w:eastAsia="Arial" w:hAnsi="Arial"/>
                <w:sz w:val="16"/>
                <w:szCs w:val="16"/>
                <w:color w:val="auto"/>
              </w:rPr>
              <w:t>Assets Under Custody (AUC)</w:t>
            </w:r>
            <w:r>
              <w:rPr>
                <w:rFonts w:ascii="Arial" w:cs="Arial" w:eastAsia="Arial" w:hAnsi="Arial"/>
                <w:sz w:val="20"/>
                <w:szCs w:val="20"/>
                <w:color w:val="auto"/>
                <w:vertAlign w:val="superscript"/>
              </w:rPr>
              <w:t>(4)</w:t>
            </w: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33,422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102,035</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jc w:val="both"/>
        <w:ind w:left="300" w:hanging="295"/>
        <w:spacing w:after="0" w:line="235" w:lineRule="auto"/>
        <w:tabs>
          <w:tab w:leader="none" w:pos="288" w:val="left"/>
        </w:tabs>
        <w:numPr>
          <w:ilvl w:val="0"/>
          <w:numId w:val="30"/>
        </w:numPr>
        <w:rPr>
          <w:rFonts w:ascii="Arial" w:cs="Arial" w:eastAsia="Arial" w:hAnsi="Arial"/>
          <w:sz w:val="13"/>
          <w:szCs w:val="13"/>
          <w:color w:val="auto"/>
        </w:rPr>
      </w:pPr>
      <w:r>
        <w:rPr>
          <w:rFonts w:ascii="Arial" w:cs="Arial" w:eastAsia="Arial" w:hAnsi="Arial"/>
          <w:sz w:val="13"/>
          <w:szCs w:val="13"/>
          <w:color w:val="auto"/>
        </w:rPr>
        <w:t>Adjusted EBITDA is a non-GAAP financial measure. For more information about Adjusted EBITDA, including the definition and limitations of such measure, please see “Management’s Discussion and Analysis of Financial Condition and Results of Operations—Non-GAAP Financial Measures,” and for a reconciliation of net income (loss) to Adjusted EBITDA, please see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080"/>
          </w:cols>
          <w:pgMar w:left="900" w:top="1440" w:right="91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913765</wp:posOffset>
            </wp:positionV>
            <wp:extent cx="7153275" cy="6090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60909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00" w:hanging="295"/>
        <w:spacing w:after="0" w:line="230" w:lineRule="auto"/>
        <w:tabs>
          <w:tab w:leader="none" w:pos="288" w:val="left"/>
        </w:tabs>
        <w:numPr>
          <w:ilvl w:val="0"/>
          <w:numId w:val="31"/>
        </w:numPr>
        <w:rPr>
          <w:rFonts w:ascii="Arial" w:cs="Arial" w:eastAsia="Arial" w:hAnsi="Arial"/>
          <w:sz w:val="13"/>
          <w:szCs w:val="13"/>
          <w:color w:val="auto"/>
        </w:rPr>
      </w:pPr>
      <w:r>
        <w:rPr>
          <w:rFonts w:ascii="Arial" w:cs="Arial" w:eastAsia="Arial" w:hAnsi="Arial"/>
          <w:sz w:val="13"/>
          <w:szCs w:val="13"/>
          <w:color w:val="auto"/>
        </w:rPr>
        <w:t>See “Management’s Discussion and Analysis of Financial Condition and Results of Operations—Key Performance Metrics” for a definition of “Net Cumulative Funded Accounts.”</w:t>
      </w:r>
    </w:p>
    <w:p>
      <w:pPr>
        <w:ind w:left="300" w:hanging="295"/>
        <w:spacing w:after="0" w:line="230" w:lineRule="auto"/>
        <w:tabs>
          <w:tab w:leader="none" w:pos="288"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Reflects MAU for June of each period presented. See “Management’s Discussion and Analysis of Financial Condition and Results of Operations—Key Performance Metrics” for a definition of “MAU.”</w:t>
      </w:r>
    </w:p>
    <w:p>
      <w:pPr>
        <w:ind w:left="280" w:hanging="275"/>
        <w:spacing w:after="0"/>
        <w:tabs>
          <w:tab w:leader="none" w:pos="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See “Management’s Discussion and Analysis of Financial Condition and Results of Operations—Key Performance Metrics” for a definition of “AUC.”</w:t>
      </w:r>
    </w:p>
    <w:p>
      <w:pPr>
        <w:spacing w:after="0" w:line="180"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For the three months ended June 30, 2021, we expect to report revenue of between $546 million and $574 million, as compared to $244 million for the three months ended June 30, 2020, representing an increase of 129% at the midpoint of this range. The expected increase in revenue is primarily driven by a 130% increase in Net Cumulative Funded Accounts and increased trading activity related to options and cryptocurrencies, offset by a decrease in equities trading, relative to the three months ended June 30, 2020. We also saw increases in the 2021 period in margin and stock lending activity as well as an increase in Robinhood Gold subscribers. Trading activity was particularly high during the first two months of the 2021 period, returning to levels more in line with prior periods during the last few weeks of the quarter ended June 30, 2021, and remained at similar levels into the early part of the third quarter. We expect our revenue for the three months ending September 30, 2021 to be lower, as compared to the three months ended June 30, 2021, as a result of decreased levels of trading activity relative to the record highs in trading activity, particularly in cryptocurrencies, during the three months ended June 30, 2021, and expected seasonality.</w:t>
      </w:r>
    </w:p>
    <w:p>
      <w:pPr>
        <w:spacing w:after="0" w:line="15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highlight w:val="white"/>
        </w:rPr>
        <w:t xml:space="preserve">For the three months ended June 30, 2021, we expect to report operating expenses of between </w:t>
      </w:r>
      <w:r>
        <w:rPr>
          <w:rFonts w:ascii="Arial" w:cs="Arial" w:eastAsia="Arial" w:hAnsi="Arial"/>
          <w:sz w:val="16"/>
          <w:szCs w:val="16"/>
          <w:color w:val="auto"/>
        </w:rPr>
        <w:t>$486 million and $536 million, as</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compared to $186 million for the three months ended June 30, 2020, representing an increase of 174% at the midpoint of this range. The expected increase in operating expenses is primarily driven by an increase in total headcount of approximately 190%, as well as an increase in cloud infrastructure to support increased activity on the platform and an increase in the Robinhood Referral Program as a result of significant user growth. We also saw an increase in legal settlements and reserves related to the settlement of the NYDFS Matter, an increase in Fraudulent Deposit Transactions, and chargebacks related to our cash management offering for the three months ended June 30, 2021. Upon effectiveness of our IPO, we expect to recognize a one-time cumulative share-based compensation expense of approximately </w:t>
      </w:r>
      <w:r>
        <w:rPr>
          <w:rFonts w:ascii="Arial" w:cs="Arial" w:eastAsia="Arial" w:hAnsi="Arial"/>
          <w:sz w:val="16"/>
          <w:szCs w:val="16"/>
          <w:color w:val="auto"/>
          <w:highlight w:val="white"/>
        </w:rPr>
        <w:t>$1 billion</w:t>
      </w:r>
      <w:r>
        <w:rPr>
          <w:rFonts w:ascii="Arial" w:cs="Arial" w:eastAsia="Arial" w:hAnsi="Arial"/>
          <w:sz w:val="16"/>
          <w:szCs w:val="16"/>
          <w:color w:val="auto"/>
        </w:rPr>
        <w:t xml:space="preserve"> related to RSUs for which the time-based vesting condition was satisfied or partially satisfied as the performance condition was satisfied in this offering, which expense we expect to incur during the quarter in which the offering occurs.</w:t>
      </w:r>
    </w:p>
    <w:p>
      <w:pPr>
        <w:spacing w:after="0" w:line="15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For the three months ended June 30, 2021, we expect to report net loss of between $487 million and $ 537 million, as compared to net income of $58 million for the three months ended June 30, 2020. The net loss is primarily driven by the factors mentioned above as well as the change in fair value of convertible notes and warrant liability of $528 million (assuming an initial public offering price of $ 40.00, which is the mid-point of the estimated offering price range set forth on the cover page of this prospectus), which was marked-to-market as of the end of the three months ended June 30, 2021.</w:t>
      </w:r>
    </w:p>
    <w:p>
      <w:pPr>
        <w:spacing w:after="0" w:line="15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For the three months ended June 30, 2021, we expect to report Net Cumulative Funded Accounts of 22.5 million, as compared to 9.8 million for the three months ended June 30, 2020, representing an increase of 130%. For the month ended June 30, 2021, we expect to report MAU of 21.3 million, as compared to 10.2 million for the month ended June 30, 2020, representing an increase of 109%. As of June 30, 2021, we expect to report AUC of $102 billion, as compared to $33 billion as of June 30, 2020, representing an increase of 205%. The increase in these Key Performance Metrics resulted primarily from an increase in new users joining our platform, driven by general market interest trading. We anticipate the rate of growth in these Key Performance Metrics will be lower for the period ended September 30, 2021, as compared to the three months ended June 30, 2021, due to the exceptionally strong interest in trading, particularly in cryptocurrencies, we experienced in the three months ended June 30, 2021 and seasonality in overall trading activities.</w:t>
      </w:r>
    </w:p>
    <w:p>
      <w:pPr>
        <w:spacing w:after="0" w:line="152"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We experienced strong growth in new customers during the first six months of 2021. We do not know whether, over the long term, cohorts comprised of these new customers will have the same characteristics as our prior cohorts. To the extent these new customers do not grow their cumulative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080"/>
          </w:cols>
          <w:pgMar w:left="900" w:top="1440" w:right="91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1811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1811020"/>
                    </a:xfrm>
                    <a:prstGeom prst="rect">
                      <a:avLst/>
                    </a:prstGeom>
                    <a:noFill/>
                  </pic:spPr>
                </pic:pic>
              </a:graphicData>
            </a:graphic>
          </wp:anchor>
        </w:drawing>
      </w:r>
    </w:p>
    <w:p>
      <w:pPr>
        <w:spacing w:after="0" w:line="3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deposits or trading frequency on our platform to the same extent as new customers that joined in prior periods, our ability to expand and grow our relationship with these customers will be impacted.</w:t>
      </w:r>
    </w:p>
    <w:p>
      <w:pPr>
        <w:spacing w:after="0" w:line="13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For the three months ended June 30, 2021, we expect to report Adjusted EBITDA of between $59 million and $103 million, as compared to $63 million for the three months ended June 30, 2020, representing an increase of approximately 29% at the midpoint of this range. The expected increase in Adjusted EBITDA was primarily due to revenue increases outpacing increases in operating expenses for the three months ended June 30, 2021. See below for a reconciliation of net income (loss), the most directly comparable financial measure calculated and presented in accordance with GAAP,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080"/>
          </w:cols>
          <w:pgMar w:left="900" w:top="1440" w:right="91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913130</wp:posOffset>
            </wp:positionV>
            <wp:extent cx="7153275" cy="29190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291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97"/>
              </w:rPr>
              <w:t>Three Months Ended</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59"/>
        </w:trPr>
        <w:tc>
          <w:tcPr>
            <w:tcW w:w="5660" w:type="dxa"/>
            <w:vAlign w:val="bottom"/>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30, 2020</w:t>
            </w: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tcPr>
          <w:p>
            <w:pPr>
              <w:jc w:val="right"/>
              <w:ind w:right="982"/>
              <w:spacing w:after="0"/>
              <w:rPr>
                <w:sz w:val="20"/>
                <w:szCs w:val="20"/>
                <w:color w:val="auto"/>
              </w:rPr>
            </w:pPr>
            <w:r>
              <w:rPr>
                <w:rFonts w:ascii="Arial" w:cs="Arial" w:eastAsia="Arial" w:hAnsi="Arial"/>
                <w:sz w:val="13"/>
                <w:szCs w:val="13"/>
                <w:b w:val="1"/>
                <w:bCs w:val="1"/>
                <w:color w:val="auto"/>
              </w:rPr>
              <w:t>June 30, 2021</w:t>
            </w:r>
          </w:p>
        </w:tc>
      </w:tr>
      <w:tr>
        <w:trPr>
          <w:trHeight w:val="159"/>
        </w:trPr>
        <w:tc>
          <w:tcPr>
            <w:tcW w:w="5660" w:type="dxa"/>
            <w:vAlign w:val="bottom"/>
          </w:tcPr>
          <w:p>
            <w:pPr>
              <w:ind w:left="20"/>
              <w:spacing w:after="0"/>
              <w:rPr>
                <w:sz w:val="20"/>
                <w:szCs w:val="20"/>
                <w:color w:val="auto"/>
              </w:rPr>
            </w:pPr>
            <w:r>
              <w:rPr>
                <w:rFonts w:ascii="Arial" w:cs="Arial" w:eastAsia="Arial" w:hAnsi="Arial"/>
                <w:sz w:val="13"/>
                <w:szCs w:val="13"/>
                <w:i w:val="1"/>
                <w:iCs w:val="1"/>
                <w:color w:val="auto"/>
              </w:rPr>
              <w:t>(in millions)</w:t>
            </w:r>
          </w:p>
        </w:tc>
        <w:tc>
          <w:tcPr>
            <w:tcW w:w="1140" w:type="dxa"/>
            <w:vAlign w:val="bottom"/>
          </w:tcPr>
          <w:p>
            <w:pPr>
              <w:jc w:val="right"/>
              <w:ind w:right="168"/>
              <w:spacing w:after="0"/>
              <w:rPr>
                <w:sz w:val="20"/>
                <w:szCs w:val="20"/>
                <w:color w:val="auto"/>
              </w:rPr>
            </w:pPr>
            <w:r>
              <w:rPr>
                <w:rFonts w:ascii="Arial" w:cs="Arial" w:eastAsia="Arial" w:hAnsi="Arial"/>
                <w:sz w:val="13"/>
                <w:szCs w:val="13"/>
                <w:b w:val="1"/>
                <w:bCs w:val="1"/>
                <w:color w:val="auto"/>
              </w:rPr>
              <w:t>Actual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Low (Estimated)</w:t>
            </w:r>
          </w:p>
        </w:tc>
        <w:tc>
          <w:tcPr>
            <w:tcW w:w="160" w:type="dxa"/>
            <w:vAlign w:val="bottom"/>
          </w:tcPr>
          <w:p>
            <w:pPr>
              <w:spacing w:after="0"/>
              <w:rPr>
                <w:sz w:val="13"/>
                <w:szCs w:val="13"/>
                <w:color w:val="auto"/>
              </w:rPr>
            </w:pPr>
          </w:p>
        </w:tc>
        <w:tc>
          <w:tcPr>
            <w:tcW w:w="1260" w:type="dxa"/>
            <w:vAlign w:val="bottom"/>
          </w:tcPr>
          <w:p>
            <w:pPr>
              <w:jc w:val="right"/>
              <w:ind w:right="122"/>
              <w:spacing w:after="0"/>
              <w:rPr>
                <w:sz w:val="20"/>
                <w:szCs w:val="20"/>
                <w:color w:val="auto"/>
              </w:rPr>
            </w:pPr>
            <w:r>
              <w:rPr>
                <w:rFonts w:ascii="Arial" w:cs="Arial" w:eastAsia="Arial" w:hAnsi="Arial"/>
                <w:sz w:val="13"/>
                <w:szCs w:val="13"/>
                <w:b w:val="1"/>
                <w:bCs w:val="1"/>
                <w:color w:val="auto"/>
              </w:rPr>
              <w:t>High (Estimated)</w:t>
            </w:r>
          </w:p>
        </w:tc>
      </w:tr>
      <w:tr>
        <w:trPr>
          <w:trHeight w:val="195"/>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140" w:type="dxa"/>
            <w:vAlign w:val="bottom"/>
            <w:tcBorders>
              <w:top w:val="single" w:sz="8" w:color="auto"/>
            </w:tcBorders>
            <w:shd w:val="clear" w:color="auto" w:fill="CCEEFF"/>
          </w:tcPr>
          <w:p>
            <w:pPr>
              <w:jc w:val="right"/>
              <w:ind w:right="968"/>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r>
      <w:tr>
        <w:trPr>
          <w:trHeight w:val="203"/>
        </w:trPr>
        <w:tc>
          <w:tcPr>
            <w:tcW w:w="5660" w:type="dxa"/>
            <w:vAlign w:val="bottom"/>
          </w:tcPr>
          <w:p>
            <w:pPr>
              <w:ind w:left="20"/>
              <w:spacing w:after="0"/>
              <w:rPr>
                <w:sz w:val="20"/>
                <w:szCs w:val="20"/>
                <w:color w:val="auto"/>
              </w:rPr>
            </w:pPr>
            <w:r>
              <w:rPr>
                <w:rFonts w:ascii="Arial" w:cs="Arial" w:eastAsia="Arial" w:hAnsi="Arial"/>
                <w:sz w:val="16"/>
                <w:szCs w:val="16"/>
                <w:color w:val="auto"/>
              </w:rPr>
              <w:t>Add:</w:t>
            </w:r>
          </w:p>
        </w:tc>
        <w:tc>
          <w:tcPr>
            <w:tcW w:w="114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expenses related to credit facilities</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5660" w:type="dxa"/>
            <w:vAlign w:val="bottom"/>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1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195"/>
        </w:trPr>
        <w:tc>
          <w:tcPr>
            <w:tcW w:w="5660" w:type="dxa"/>
            <w:vAlign w:val="bottom"/>
          </w:tcPr>
          <w:p>
            <w:pPr>
              <w:ind w:left="20"/>
              <w:spacing w:after="0"/>
              <w:rPr>
                <w:sz w:val="20"/>
                <w:szCs w:val="20"/>
                <w:color w:val="auto"/>
              </w:rPr>
            </w:pPr>
            <w:r>
              <w:rPr>
                <w:rFonts w:ascii="Arial" w:cs="Arial" w:eastAsia="Arial" w:hAnsi="Arial"/>
                <w:sz w:val="16"/>
                <w:szCs w:val="16"/>
                <w:color w:val="auto"/>
              </w:rPr>
              <w:t>EBITDA (non-GAAP)</w:t>
            </w:r>
          </w:p>
        </w:tc>
        <w:tc>
          <w:tcPr>
            <w:tcW w:w="11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5660" w:type="dxa"/>
            <w:vAlign w:val="bottom"/>
          </w:tcPr>
          <w:p>
            <w:pPr>
              <w:ind w:left="20"/>
              <w:spacing w:after="0" w:line="204" w:lineRule="exact"/>
              <w:rPr>
                <w:sz w:val="20"/>
                <w:szCs w:val="20"/>
                <w:color w:val="auto"/>
              </w:rPr>
            </w:pPr>
            <w:r>
              <w:rPr>
                <w:rFonts w:ascii="Arial" w:cs="Arial" w:eastAsia="Arial" w:hAnsi="Arial"/>
                <w:sz w:val="16"/>
                <w:szCs w:val="16"/>
                <w:color w:val="auto"/>
              </w:rPr>
              <w:t xml:space="preserve">Change in fair value of convertible notes and warrant liability </w:t>
            </w:r>
            <w:r>
              <w:rPr>
                <w:rFonts w:ascii="Arial" w:cs="Arial" w:eastAsia="Arial" w:hAnsi="Arial"/>
                <w:sz w:val="20"/>
                <w:szCs w:val="20"/>
                <w:color w:val="auto"/>
                <w:vertAlign w:val="superscript"/>
              </w:rPr>
              <w:t>(1)</w:t>
            </w:r>
          </w:p>
        </w:tc>
        <w:tc>
          <w:tcPr>
            <w:tcW w:w="114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528</w:t>
            </w: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Certain legal and tax settlements, reserves and expenses</w:t>
            </w:r>
          </w:p>
        </w:tc>
        <w:tc>
          <w:tcPr>
            <w:tcW w:w="1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195"/>
        </w:trPr>
        <w:tc>
          <w:tcPr>
            <w:tcW w:w="5660" w:type="dxa"/>
            <w:vAlign w:val="bottom"/>
          </w:tcPr>
          <w:p>
            <w:pPr>
              <w:ind w:left="20"/>
              <w:spacing w:after="0"/>
              <w:rPr>
                <w:sz w:val="20"/>
                <w:szCs w:val="20"/>
                <w:color w:val="auto"/>
              </w:rPr>
            </w:pPr>
            <w:r>
              <w:rPr>
                <w:rFonts w:ascii="Arial" w:cs="Arial" w:eastAsia="Arial" w:hAnsi="Arial"/>
                <w:sz w:val="16"/>
                <w:szCs w:val="16"/>
                <w:color w:val="auto"/>
              </w:rPr>
              <w:t>Adjusted EBITDA (non-GAAP)</w:t>
            </w:r>
          </w:p>
        </w:tc>
        <w:tc>
          <w:tcPr>
            <w:tcW w:w="1140" w:type="dxa"/>
            <w:vAlign w:val="bottom"/>
            <w:tcBorders>
              <w:top w:val="single" w:sz="8" w:color="auto"/>
              <w:bottom w:val="single" w:sz="8" w:color="auto"/>
            </w:tcBorders>
          </w:tcPr>
          <w:p>
            <w:pPr>
              <w:jc w:val="right"/>
              <w:ind w:right="968"/>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0"/>
        </w:trPr>
        <w:tc>
          <w:tcPr>
            <w:tcW w:w="5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Assumes an initial public offering price of $40.00, which is the mid-point of the estimated offering price range set forth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080"/>
          </w:cols>
          <w:pgMar w:left="900" w:top="1440" w:right="91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019"/>
          </w:cols>
          <w:pgMar w:left="1440" w:top="1440" w:right="1440" w:bottom="1440"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RISK FACTORS</w:t>
      </w:r>
    </w:p>
    <w:p>
      <w:pPr>
        <w:spacing w:after="0" w:line="166"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i w:val="1"/>
          <w:iCs w:val="1"/>
          <w:color w:val="auto"/>
        </w:rPr>
        <w:t>Investing in our Class A common stock involves risks. You should carefully consider the risks and uncertainties described below, together with all of the other information included in this prospectus, including our consolidated financial statements and the related notes appearing at the end of this prospectus, before deciding to invest in our Class A common stock.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may also adversely affect our business. Some statements in this prospectus, including statements in the following risk factors, constitute forward-looking statements. Please refer to “Special Note Regarding Forward-Looking Statements.”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Business</w:t>
      </w:r>
    </w:p>
    <w:p>
      <w:pPr>
        <w:spacing w:after="0" w:line="15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have a limited operating history, which makes it difficult to evaluate our business and prospects and increases the risks associated with an investment in our Class A common stock.</w:t>
      </w:r>
    </w:p>
    <w:p>
      <w:pPr>
        <w:spacing w:after="0" w:line="122" w:lineRule="exact"/>
        <w:rPr>
          <w:sz w:val="20"/>
          <w:szCs w:val="20"/>
          <w:color w:val="auto"/>
        </w:rPr>
      </w:pPr>
    </w:p>
    <w:p>
      <w:pPr>
        <w:jc w:val="both"/>
        <w:ind w:firstLine="287"/>
        <w:spacing w:after="0" w:line="268" w:lineRule="auto"/>
        <w:rPr>
          <w:sz w:val="20"/>
          <w:szCs w:val="20"/>
          <w:color w:val="auto"/>
        </w:rPr>
      </w:pPr>
      <w:r>
        <w:rPr>
          <w:rFonts w:ascii="Arial" w:cs="Arial" w:eastAsia="Arial" w:hAnsi="Arial"/>
          <w:sz w:val="15"/>
          <w:szCs w:val="15"/>
          <w:color w:val="auto"/>
        </w:rPr>
        <w:t>We began operations in 2013, publicly launched our first product in 2015, and have since continued to introduce new products and services to our platform, such as buying and selling of select cryptocurrencies in 2018, our cash management services (which we refer to as our “Cash Management” product) in 2019 and our fractional shares program in 2019. As a result, our business model has not been fully proven and we have limited financial data that can be used to evaluate our current business and future prospects, which subjects us to a number of uncertainties, including our ability to plan for, model and manage future growth and risks. Our historical revenue growth should not be considered indicative of our future performance. For example, our operating history has coincided with an eight-year period of general macroeconomic growth in the United States, particularly in U.S. equity markets, as well as growth in the financial services and technology industries in which we operate. We therefore have not experienced any prolonged downturn or slowdown in macroeconomic or industry growth or any significant downturn in U.S. equity markets and cannot assure that we will be able to respond effectively to any such downturn or slowdown in the future. We have also encountered, and will continue to encounter, risks and difficulties frequently experienced by growing companies in rapidly changing and heavily regulated industries, including achieving market acceptance of our products and services, attracting and retaining customers, complying with laws and regulations that are subject to evolving interpretations and application and increasing competition and expenses as we expand our business. We cannot be sure that we will be successful in addressing these and other challenges we may face, and our business may be adversely affected if we do not manage these risks successfully. In addition, we may not achieve sufficient revenue to maintain positive cash flows from operations or profitability in any given period, or at all.</w:t>
      </w:r>
    </w:p>
    <w:p>
      <w:pPr>
        <w:spacing w:after="0" w:line="119"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have grown rapidly in recent years and we have limited operating experience at our current scale of operations. If we are unable to manage our growth effectively, our financial performance may suffer and our brand and company culture may be harmed.</w:t>
      </w:r>
    </w:p>
    <w:p>
      <w:pPr>
        <w:spacing w:after="0" w:line="134"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have expanded our operations rapidly and have limited operating experience at our current size and scale. Between December 31, 2018 and March 31, 2021, our employee headcount increased from 289 to approximately 2,100, and we expect rapid headcount growth to continue for the foreseeable future. Further, our continued growth could strain our existing resources, and we could experience ongoing operating difficulties in managing our business across numerous jurisdictions, including difficulties in hiring, training and managing a dispersed and growing employee base. Competition for skilled personnel in our industry is intense, especially in the San Francisco Bay Area, where our headquarters is located and where we have a substantial presence and need for highly skilled personnel, and if we are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60"/>
          </w:cols>
          <w:pgMar w:left="320" w:top="1440" w:right="319" w:bottom="1440" w:gutter="0" w:footer="0" w:header="0"/>
        </w:sectPr>
      </w:pPr>
    </w:p>
    <w:bookmarkStart w:id="58" w:name="page59"/>
    <w:bookmarkEnd w:id="58"/>
    <w:p>
      <w:pPr>
        <w:spacing w:after="0" w:line="2" w:lineRule="exact"/>
        <w:rPr>
          <w:sz w:val="20"/>
          <w:szCs w:val="20"/>
          <w:color w:val="auto"/>
        </w:rPr>
      </w:pPr>
    </w:p>
    <w:p>
      <w:pPr>
        <w:jc w:val="both"/>
        <w:ind w:left="4" w:right="20"/>
        <w:spacing w:after="0" w:line="260" w:lineRule="auto"/>
        <w:rPr>
          <w:sz w:val="20"/>
          <w:szCs w:val="20"/>
          <w:color w:val="auto"/>
        </w:rPr>
      </w:pPr>
      <w:r>
        <w:rPr>
          <w:rFonts w:ascii="Arial" w:cs="Arial" w:eastAsia="Arial" w:hAnsi="Arial"/>
          <w:sz w:val="16"/>
          <w:szCs w:val="16"/>
          <w:color w:val="auto"/>
        </w:rPr>
        <w:t>recruit and retain enough suitable personnel to support our growth as we seek to expand our operations, we may be unable to successfully expand or maintain our operations or achieve our corporate objectives.</w:t>
      </w:r>
    </w:p>
    <w:p>
      <w:pPr>
        <w:spacing w:after="0" w:line="151" w:lineRule="exact"/>
        <w:rPr>
          <w:sz w:val="20"/>
          <w:szCs w:val="20"/>
          <w:color w:val="auto"/>
        </w:rPr>
      </w:pPr>
    </w:p>
    <w:p>
      <w:pPr>
        <w:jc w:val="both"/>
        <w:ind w:left="4" w:right="20" w:firstLine="287"/>
        <w:spacing w:after="0" w:line="251" w:lineRule="auto"/>
        <w:rPr>
          <w:sz w:val="20"/>
          <w:szCs w:val="20"/>
          <w:color w:val="auto"/>
        </w:rPr>
      </w:pPr>
      <w:r>
        <w:rPr>
          <w:rFonts w:ascii="Arial" w:cs="Arial" w:eastAsia="Arial" w:hAnsi="Arial"/>
          <w:sz w:val="16"/>
          <w:szCs w:val="16"/>
          <w:color w:val="auto"/>
        </w:rPr>
        <w:t>We believe that a critical component of our success has been our corporate culture. We have invested substantial time and resources in building our team. As we continue to grow, including geographically expanding our presence, expanding through acquisitions of other businesses or talent and through developing our infrastructure, we will need to maintain our corporate culture among a larger number of employees dispersed in various geographic regions. Failure to scale and preserve our company culture as we grow could also harm our future success, including our ability to retain and recruit personnel and to effectively focus on and pursue our corporate objectives. The ongoing effects of the COVID-19 pandemic, including our transition to having a more dispersed, remote-working employee base, may exacerbate these challenges. Any failure to preserve our culture could negatively affect our future success, including our ability to retain, integrate and recruit personnel and to effectively focus on and pursue our corporate objectives.</w:t>
      </w:r>
    </w:p>
    <w:p>
      <w:pPr>
        <w:spacing w:after="0" w:line="147" w:lineRule="exact"/>
        <w:rPr>
          <w:sz w:val="20"/>
          <w:szCs w:val="20"/>
          <w:color w:val="auto"/>
        </w:rPr>
      </w:pPr>
    </w:p>
    <w:p>
      <w:pPr>
        <w:jc w:val="both"/>
        <w:ind w:left="4" w:firstLine="287"/>
        <w:spacing w:after="0" w:line="249" w:lineRule="auto"/>
        <w:rPr>
          <w:sz w:val="20"/>
          <w:szCs w:val="20"/>
          <w:color w:val="auto"/>
        </w:rPr>
      </w:pPr>
      <w:r>
        <w:rPr>
          <w:rFonts w:ascii="Arial" w:cs="Arial" w:eastAsia="Arial" w:hAnsi="Arial"/>
          <w:sz w:val="16"/>
          <w:szCs w:val="16"/>
          <w:color w:val="auto"/>
        </w:rPr>
        <w:t>Our growth strategy contemplates significant expenditures for marketing, investing in customer support, expansion into new countries and markets, enhancements to our current offerings and development of new products and services, and we cannot guarantee that we will be successful in these efforts. In addition, our business is highly dependent on our technology platform, and we also rely on certain third-party service providers and computer systems. Any failure to maintain or upgrade our technology or network infrastructure effectively to support our growth, particularly as our customer base grows and we experience any corresponding surges in trading volume, or any interruption in the third-party services or deterioration in the quality of their service or performance, could result in unanticipated system disruptions, platform outages or other performance problems which have in the past and may in the future result in degraded service, or partial or full service outages on our platforms, costly litigation, regulatory and U.S. Congressional inquiries, examinations and investigations, customer dissatisfaction, arbitration and complaints and reputational harm and may have an adverse effect on our business. For example, we experienced (i) a service outage on our stock trading platform from March 2-3, 2020 caused by stress placed on our infrastructure due to highly volatile and historic market conditions, record trading volume and record account sign-ups and another service outage on March 9, 2020 (the “March 2020 Outages”) and</w:t>
      </w:r>
    </w:p>
    <w:p>
      <w:pPr>
        <w:spacing w:after="0" w:line="3" w:lineRule="exact"/>
        <w:rPr>
          <w:sz w:val="20"/>
          <w:szCs w:val="20"/>
          <w:color w:val="auto"/>
        </w:rPr>
      </w:pPr>
    </w:p>
    <w:p>
      <w:pPr>
        <w:jc w:val="both"/>
        <w:ind w:left="4" w:hanging="4"/>
        <w:spacing w:after="0" w:line="250" w:lineRule="auto"/>
        <w:tabs>
          <w:tab w:leader="none" w:pos="271"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partial service outages and degraded service on our cryptocurrency platform in mid-April and early May 2021, caused by a surging demand for cryptocurrency trading (the “April-May 2021 Outages”). See “Risks Related to Our Platform, Systems and Technology—</w:t>
      </w:r>
      <w:r>
        <w:rPr>
          <w:rFonts w:ascii="Arial" w:cs="Arial" w:eastAsia="Arial" w:hAnsi="Arial"/>
          <w:sz w:val="16"/>
          <w:szCs w:val="16"/>
          <w:i w:val="1"/>
          <w:iCs w:val="1"/>
          <w:color w:val="auto"/>
        </w:rPr>
        <w:t>Our platform has been, and may in the</w:t>
      </w:r>
      <w:r>
        <w:rPr>
          <w:rFonts w:ascii="Arial" w:cs="Arial" w:eastAsia="Arial" w:hAnsi="Arial"/>
          <w:sz w:val="16"/>
          <w:szCs w:val="16"/>
          <w:color w:val="auto"/>
        </w:rPr>
        <w:t xml:space="preserve"> </w:t>
      </w:r>
      <w:r>
        <w:rPr>
          <w:rFonts w:ascii="Arial" w:cs="Arial" w:eastAsia="Arial" w:hAnsi="Arial"/>
          <w:sz w:val="16"/>
          <w:szCs w:val="16"/>
          <w:i w:val="1"/>
          <w:iCs w:val="1"/>
          <w:color w:val="auto"/>
        </w:rPr>
        <w:t>future be, subject to interruption and instability due to operational and technological failures, whether internal or external</w:t>
      </w:r>
      <w:r>
        <w:rPr>
          <w:rFonts w:ascii="Arial" w:cs="Arial" w:eastAsia="Arial" w:hAnsi="Arial"/>
          <w:sz w:val="16"/>
          <w:szCs w:val="16"/>
          <w:color w:val="auto"/>
        </w:rPr>
        <w:t>” and “Risks Related to Our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and Technology—</w:t>
      </w:r>
      <w:r>
        <w:rPr>
          <w:rFonts w:ascii="Arial" w:cs="Arial" w:eastAsia="Arial" w:hAnsi="Arial"/>
          <w:sz w:val="16"/>
          <w:szCs w:val="16"/>
          <w:i w:val="1"/>
          <w:iCs w:val="1"/>
          <w:color w:val="auto"/>
        </w:rPr>
        <w:t>We rely on third parties to perform certain key functions, and their failure to perform those functions could adversely affect our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financial condition and results of operations</w:t>
      </w:r>
      <w:r>
        <w:rPr>
          <w:rFonts w:ascii="Arial" w:cs="Arial" w:eastAsia="Arial" w:hAnsi="Arial"/>
          <w:sz w:val="16"/>
          <w:szCs w:val="16"/>
          <w:color w:val="auto"/>
        </w:rPr>
        <w:t>.” In addition, our customer service team has historically experienced and continues to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backlogs responding to customer support requests, including in connection with the April-May 2021 Outages, and reviewing new account applications, due to significant spikes in volumes. Further, any growth must be accomplished in a manner that is consistent with regulatory requirements that apply to our business. If we do not adapt to meet these evolving challenges and requirements, or if our management team does not effectively scale with our growth, we may experience erosion to our brand, the quality of our products and services may suffer, we may face regulatory obstacles, including adverse enforcement actions, other regulatory restrictions or limitations or failure to obtain regulatory approvals required for certain types of growth, and our company culture may be harmed. We may also experience difficulties in providing adequate customer support to our growing customer base. Failure to improve, maintain or increase customer support now or in the future may inhibit our growth.</w:t>
      </w:r>
    </w:p>
    <w:p>
      <w:pPr>
        <w:spacing w:after="0" w:line="150" w:lineRule="exact"/>
        <w:rPr>
          <w:sz w:val="20"/>
          <w:szCs w:val="20"/>
          <w:color w:val="auto"/>
        </w:rPr>
      </w:pPr>
    </w:p>
    <w:p>
      <w:pPr>
        <w:jc w:val="both"/>
        <w:ind w:left="4" w:right="20" w:firstLine="287"/>
        <w:spacing w:after="0" w:line="252" w:lineRule="auto"/>
        <w:rPr>
          <w:sz w:val="20"/>
          <w:szCs w:val="20"/>
          <w:color w:val="auto"/>
        </w:rPr>
      </w:pPr>
      <w:r>
        <w:rPr>
          <w:rFonts w:ascii="Arial" w:cs="Arial" w:eastAsia="Arial" w:hAnsi="Arial"/>
          <w:sz w:val="16"/>
          <w:szCs w:val="16"/>
          <w:color w:val="auto"/>
        </w:rPr>
        <w:t>Because we have limited experience operating our business at its current scale, it is difficult to evaluate our current business and future prospects, including our ability to plan for and model future growth. Our limited operating experience at this scale, combined with the rapidly evolving nature of the market for our products and services, substantial uncertainty concerning how these markets may develop, the complex regulatory regimes applicable to different aspects of our business and other factors beyond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64"/>
          </w:cols>
          <w:pgMar w:left="316" w:top="1440" w:right="319" w:bottom="1440" w:gutter="0" w:footer="0" w:header="0"/>
        </w:sectPr>
      </w:pPr>
    </w:p>
    <w:bookmarkStart w:id="59" w:name="page60"/>
    <w:bookmarkEnd w:id="59"/>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control, reduces our ability to accurately forecast quarterly or annual revenue and to predict the risks and challenges we may encounter. Failure to manage our future growth effectively could have an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continue to grow on pace with historical rates.</w:t>
      </w:r>
    </w:p>
    <w:p>
      <w:pPr>
        <w:spacing w:after="0" w:line="18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have grown rapidly over the last few years, and therefore our recent revenue growth rate and financial performance should not be considered indicative of our future performance. In particular, since March 2020, we have experienced a significant increase in revenue, MAU, AUC and Net Cumulative Funded Accounts. For example, for the years ended 2019 and 2020, our revenue was $277.5 million and $958.8 million, respectively, representing annual growth of 245%. In addition, for the three months ended March 31, 2021, during which we experienced high trading volume and account sign-ups as well as high market volatility, particularly in certain market sectors, our revenue was $ 522.2 million, as compared to $127.6 million for the three months ended March 31, 2020, and, on March 31, 2021, we had Net Cumulative Funded Accounts of 18.0 million, as compared to 7.2 million on March 31, 2020, representing growth of 309% and 151%, respectively. The circumstances that have accelerated the growth of our business may not continue in the future, and we expect the growth rates in revenue, MAU, AUC and Net Cumulative Funded Accounts to decline in future periods, and such declines could be significant. You should not rely on our revenue or key business metrics for any previous quarterly or annual period as any indication of our revenue, revenue growth, key business metrics or key business metrics growth in future periods. In particular, our revenue growth rate has fluctuated in prior periods. Our revenue growth rate is likely to decline in future periods as the size of our business grows and as we achieve higher market adoption rates. We may also experience declines in our revenue growth rate as a result of a number of factors, including slowing demand for our platform, insufficient growth in the number of customers that utilize our platform, increasing competition, a decrease in the growth of our overall market, our failure to continue to capitalize on growth opportunities, including as a result of our inability to scale to meet such growth, an insufficient number of market makers or the unwillingness or inability of our existing market makers to execute our customers’ trade orders as order volumes increase, increasing regulatory costs, increasing capital requirements imposed by regulators and SROs, as well as cash deposit and collateral requirements under the rules of the DTC, NSCC and OCC, economic conditions that reduce financial activity and the maturation of our business, among others. If our revenue growth rate declines, investors’ perceptions of our business and the trading price of our Class A common stock could be adversely affected. For more information about MAU, AUC and Net Cumulative Funded Accounts, see “Management’s Discussion and Analysis of Financial Condition and Results of Operations—Key Performance Metrics.”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and other operating metrics may fluctuate from quarter to quarter, which makes these metrics difficult to predict.</w:t>
      </w:r>
    </w:p>
    <w:p>
      <w:pPr>
        <w:spacing w:after="0" w:line="19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results of operations are heavily reliant on the level of trading activity on our platform and net deposits. In the past, our results of operations and other operating metrics have fluctuated from quarter to quarter, including due to movements and trends in the underlying markets, changes in general economic conditions and fluctuations in trading levels, each of which is outside our control and will continue to be outside of our control. Additionally, our limited operating history makes it difficult to forecast our future results. As a result, period-to-period comparisons of our results of operations may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many of which we are unable to predict or are outside of our control, which could include:</w:t>
      </w:r>
    </w:p>
    <w:p>
      <w:pPr>
        <w:spacing w:after="0" w:line="147" w:lineRule="exact"/>
        <w:rPr>
          <w:sz w:val="20"/>
          <w:szCs w:val="20"/>
          <w:color w:val="auto"/>
        </w:rPr>
      </w:pPr>
    </w:p>
    <w:p>
      <w:pPr>
        <w:ind w:left="560" w:hanging="278"/>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continued market acceptance of our products and services;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retain existing customers and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60"/>
          </w:cols>
          <w:pgMar w:left="320" w:top="1440" w:right="319" w:bottom="1440" w:gutter="0" w:footer="0" w:header="0"/>
        </w:sectPr>
      </w:pPr>
    </w:p>
    <w:bookmarkStart w:id="60" w:name="page61"/>
    <w:bookmarkEnd w:id="60"/>
    <w:p>
      <w:pPr>
        <w:spacing w:after="0" w:line="2" w:lineRule="exact"/>
        <w:rPr>
          <w:sz w:val="20"/>
          <w:szCs w:val="20"/>
          <w:color w:val="auto"/>
        </w:rPr>
      </w:pPr>
    </w:p>
    <w:p>
      <w:pPr>
        <w:ind w:left="280" w:right="20" w:hanging="278"/>
        <w:spacing w:after="0" w:line="260" w:lineRule="auto"/>
        <w:tabs>
          <w:tab w:leader="none" w:pos="2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continued development and improvement of our products and services, including our intellectual property, proprietary technology and customer support functions;</w:t>
      </w:r>
    </w:p>
    <w:p>
      <w:pPr>
        <w:spacing w:after="0" w:line="151" w:lineRule="exact"/>
        <w:rPr>
          <w:rFonts w:ascii="Arial" w:cs="Arial" w:eastAsia="Arial" w:hAnsi="Arial"/>
          <w:sz w:val="16"/>
          <w:szCs w:val="16"/>
          <w:color w:val="auto"/>
        </w:rPr>
      </w:pPr>
    </w:p>
    <w:p>
      <w:pPr>
        <w:ind w:left="280" w:hanging="278"/>
        <w:spacing w:after="0"/>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timing and success of new product and service introductions by us or our competitors, or other changes in the competitive landscape of our market;</w:t>
      </w:r>
    </w:p>
    <w:p>
      <w:pPr>
        <w:spacing w:after="0" w:line="162" w:lineRule="exact"/>
        <w:rPr>
          <w:rFonts w:ascii="Arial" w:cs="Arial" w:eastAsia="Arial" w:hAnsi="Arial"/>
          <w:sz w:val="16"/>
          <w:szCs w:val="16"/>
          <w:color w:val="auto"/>
        </w:rPr>
      </w:pPr>
    </w:p>
    <w:p>
      <w:pPr>
        <w:ind w:left="280" w:hanging="278"/>
        <w:spacing w:after="0"/>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increases in marketing, sales and other operating expenses that we may incur to grow and expand our operations and to remain competitive;</w:t>
      </w:r>
    </w:p>
    <w:p>
      <w:pPr>
        <w:spacing w:after="0" w:line="162" w:lineRule="exact"/>
        <w:rPr>
          <w:rFonts w:ascii="Arial" w:cs="Arial" w:eastAsia="Arial" w:hAnsi="Arial"/>
          <w:sz w:val="16"/>
          <w:szCs w:val="16"/>
          <w:color w:val="auto"/>
        </w:rPr>
      </w:pPr>
    </w:p>
    <w:p>
      <w:pPr>
        <w:ind w:left="280" w:hanging="278"/>
        <w:spacing w:after="0"/>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timing and amount of non-cash expenses, such as stock-based compensation and asset impairment;</w:t>
      </w:r>
    </w:p>
    <w:p>
      <w:pPr>
        <w:spacing w:after="0" w:line="174" w:lineRule="exact"/>
        <w:rPr>
          <w:rFonts w:ascii="Arial" w:cs="Arial" w:eastAsia="Arial" w:hAnsi="Arial"/>
          <w:sz w:val="16"/>
          <w:szCs w:val="16"/>
          <w:color w:val="auto"/>
        </w:rPr>
      </w:pPr>
    </w:p>
    <w:p>
      <w:pPr>
        <w:ind w:left="280" w:right="20" w:hanging="278"/>
        <w:spacing w:after="0" w:line="260" w:lineRule="auto"/>
        <w:tabs>
          <w:tab w:leader="none" w:pos="2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success of our expansion into new markets, products and services, such as cryptocurrency trading, fractional shares trading or our Cash Management product;</w:t>
      </w:r>
    </w:p>
    <w:p>
      <w:pPr>
        <w:spacing w:after="0" w:line="139" w:lineRule="exact"/>
        <w:rPr>
          <w:rFonts w:ascii="Arial" w:cs="Arial" w:eastAsia="Arial" w:hAnsi="Arial"/>
          <w:sz w:val="16"/>
          <w:szCs w:val="16"/>
          <w:color w:val="auto"/>
        </w:rPr>
      </w:pPr>
    </w:p>
    <w:p>
      <w:pPr>
        <w:ind w:left="280" w:hanging="278"/>
        <w:spacing w:after="0"/>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decreased trading in global markets or decreased demand for financial services products generally;</w:t>
      </w:r>
    </w:p>
    <w:p>
      <w:pPr>
        <w:spacing w:after="0" w:line="162" w:lineRule="exact"/>
        <w:rPr>
          <w:rFonts w:ascii="Arial" w:cs="Arial" w:eastAsia="Arial" w:hAnsi="Arial"/>
          <w:sz w:val="16"/>
          <w:szCs w:val="16"/>
          <w:color w:val="auto"/>
        </w:rPr>
      </w:pPr>
    </w:p>
    <w:p>
      <w:pPr>
        <w:ind w:left="280" w:hanging="278"/>
        <w:spacing w:after="0"/>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continued growth in the adoption and use of cryptocurrencies and the public perception thereof;</w:t>
      </w:r>
    </w:p>
    <w:p>
      <w:pPr>
        <w:spacing w:after="0" w:line="174" w:lineRule="exact"/>
        <w:rPr>
          <w:rFonts w:ascii="Arial" w:cs="Arial" w:eastAsia="Arial" w:hAnsi="Arial"/>
          <w:sz w:val="16"/>
          <w:szCs w:val="16"/>
          <w:color w:val="auto"/>
        </w:rPr>
      </w:pPr>
    </w:p>
    <w:p>
      <w:pPr>
        <w:ind w:left="280" w:hanging="278"/>
        <w:spacing w:after="0"/>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system disruptions, outages and other performance problems or interruptions on our platform, or breaches of security or privacy;</w:t>
      </w:r>
    </w:p>
    <w:p>
      <w:pPr>
        <w:spacing w:after="0" w:line="162" w:lineRule="exact"/>
        <w:rPr>
          <w:rFonts w:ascii="Arial" w:cs="Arial" w:eastAsia="Arial" w:hAnsi="Arial"/>
          <w:sz w:val="16"/>
          <w:szCs w:val="16"/>
          <w:color w:val="auto"/>
        </w:rPr>
      </w:pPr>
    </w:p>
    <w:p>
      <w:pPr>
        <w:ind w:left="280" w:hanging="278"/>
        <w:spacing w:after="0" w:line="260" w:lineRule="auto"/>
        <w:tabs>
          <w:tab w:leader="none" w:pos="2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disputes with our customers, adverse litigation and regulatory judgments, enforcement actions, settlements or other related costs and the public perception thereof;</w:t>
      </w:r>
    </w:p>
    <w:p>
      <w:pPr>
        <w:spacing w:after="0" w:line="139" w:lineRule="exact"/>
        <w:rPr>
          <w:rFonts w:ascii="Arial" w:cs="Arial" w:eastAsia="Arial" w:hAnsi="Arial"/>
          <w:sz w:val="16"/>
          <w:szCs w:val="16"/>
          <w:color w:val="auto"/>
        </w:rPr>
      </w:pPr>
    </w:p>
    <w:p>
      <w:pPr>
        <w:jc w:val="both"/>
        <w:ind w:left="280" w:right="20" w:hanging="278"/>
        <w:spacing w:after="0" w:line="254" w:lineRule="auto"/>
        <w:tabs>
          <w:tab w:leader="none" w:pos="2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fraudulent, unlawful or otherwise inappropriate customer behavior, such as when customers initiate deposits into their accounts, make trades on our platform using a short-term extension of credit from us, and then repatriate or reverse the deposits, resulting in a loss to us of the credited amount (which we refer to as “Fraudulent Deposit Transactions”);</w:t>
      </w:r>
    </w:p>
    <w:p>
      <w:pPr>
        <w:spacing w:after="0" w:line="156" w:lineRule="exact"/>
        <w:rPr>
          <w:rFonts w:ascii="Arial" w:cs="Arial" w:eastAsia="Arial" w:hAnsi="Arial"/>
          <w:sz w:val="16"/>
          <w:szCs w:val="16"/>
          <w:color w:val="auto"/>
        </w:rPr>
      </w:pPr>
    </w:p>
    <w:p>
      <w:pPr>
        <w:ind w:left="280" w:hanging="278"/>
        <w:spacing w:after="0" w:line="260" w:lineRule="auto"/>
        <w:tabs>
          <w:tab w:leader="none" w:pos="2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the legislative or regulatory environment, scope or focus of regulatory investigations and inquiries, or interpretations of regulatory requirements;</w:t>
      </w:r>
    </w:p>
    <w:p>
      <w:pPr>
        <w:spacing w:after="0" w:line="139" w:lineRule="exact"/>
        <w:rPr>
          <w:rFonts w:ascii="Arial" w:cs="Arial" w:eastAsia="Arial" w:hAnsi="Arial"/>
          <w:sz w:val="16"/>
          <w:szCs w:val="16"/>
          <w:color w:val="auto"/>
        </w:rPr>
      </w:pPr>
    </w:p>
    <w:p>
      <w:pPr>
        <w:ind w:left="280" w:right="20" w:hanging="278"/>
        <w:spacing w:after="0" w:line="260" w:lineRule="auto"/>
        <w:tabs>
          <w:tab w:leader="none" w:pos="2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development of any unique features or services that may be the subject of regulatory criticism or form the basis for regulatory enforcement action, including regulatory actions to prohibit certain practices or features;</w:t>
      </w:r>
    </w:p>
    <w:p>
      <w:pPr>
        <w:spacing w:after="0" w:line="139" w:lineRule="exact"/>
        <w:rPr>
          <w:rFonts w:ascii="Arial" w:cs="Arial" w:eastAsia="Arial" w:hAnsi="Arial"/>
          <w:sz w:val="16"/>
          <w:szCs w:val="16"/>
          <w:color w:val="auto"/>
        </w:rPr>
      </w:pPr>
    </w:p>
    <w:p>
      <w:pPr>
        <w:ind w:left="280" w:right="20" w:hanging="278"/>
        <w:spacing w:after="0" w:line="260" w:lineRule="auto"/>
        <w:tabs>
          <w:tab w:leader="none" w:pos="2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overall tax rate for our business, which may be affected by any changes to our valuation allowance, domestic deferred tax assets, and the effects of changes in our business;</w:t>
      </w:r>
    </w:p>
    <w:p>
      <w:pPr>
        <w:spacing w:after="0" w:line="151" w:lineRule="exact"/>
        <w:rPr>
          <w:rFonts w:ascii="Arial" w:cs="Arial" w:eastAsia="Arial" w:hAnsi="Arial"/>
          <w:sz w:val="16"/>
          <w:szCs w:val="16"/>
          <w:color w:val="auto"/>
        </w:rPr>
      </w:pPr>
    </w:p>
    <w:p>
      <w:pPr>
        <w:ind w:left="280" w:right="20" w:hanging="278"/>
        <w:spacing w:after="0" w:line="260" w:lineRule="auto"/>
        <w:tabs>
          <w:tab w:leader="none" w:pos="2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tax laws or judicial or regulatory interpretations of tax laws, which are recorded in the period such laws are enacted or interpretations are issued, and may significantly affect the effective tax rate of that period;</w:t>
      </w:r>
    </w:p>
    <w:p>
      <w:pPr>
        <w:spacing w:after="0" w:line="139" w:lineRule="exact"/>
        <w:rPr>
          <w:rFonts w:ascii="Arial" w:cs="Arial" w:eastAsia="Arial" w:hAnsi="Arial"/>
          <w:sz w:val="16"/>
          <w:szCs w:val="16"/>
          <w:color w:val="auto"/>
        </w:rPr>
      </w:pPr>
    </w:p>
    <w:p>
      <w:pPr>
        <w:ind w:left="280" w:hanging="278"/>
        <w:spacing w:after="0"/>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162" w:lineRule="exact"/>
        <w:rPr>
          <w:rFonts w:ascii="Arial" w:cs="Arial" w:eastAsia="Arial" w:hAnsi="Arial"/>
          <w:sz w:val="16"/>
          <w:szCs w:val="16"/>
          <w:color w:val="auto"/>
        </w:rPr>
      </w:pPr>
    </w:p>
    <w:p>
      <w:pPr>
        <w:ind w:left="280" w:hanging="278"/>
        <w:spacing w:after="0" w:line="260" w:lineRule="auto"/>
        <w:tabs>
          <w:tab w:leader="none" w:pos="2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requirements imposed on us by regulators or by our counterparties, including net capital requirements imposed by the SEC and FINRA and cash deposit and collateral requirements imposed by the DTC, NSCC and OCC;</w:t>
      </w:r>
    </w:p>
    <w:p>
      <w:pPr>
        <w:spacing w:after="0" w:line="151" w:lineRule="exact"/>
        <w:rPr>
          <w:rFonts w:ascii="Arial" w:cs="Arial" w:eastAsia="Arial" w:hAnsi="Arial"/>
          <w:sz w:val="16"/>
          <w:szCs w:val="16"/>
          <w:color w:val="auto"/>
        </w:rPr>
      </w:pPr>
    </w:p>
    <w:p>
      <w:pPr>
        <w:ind w:left="280" w:right="20" w:hanging="278"/>
        <w:spacing w:after="0" w:line="260" w:lineRule="auto"/>
        <w:tabs>
          <w:tab w:leader="none" w:pos="2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volatility in the overall market which could, among other things, impact demand for our services, the magnitude of our cash deposit and collateral requirements and our growth strategy and business more generally; and</w:t>
      </w:r>
    </w:p>
    <w:p>
      <w:pPr>
        <w:spacing w:after="0" w:line="139" w:lineRule="exact"/>
        <w:rPr>
          <w:rFonts w:ascii="Arial" w:cs="Arial" w:eastAsia="Arial" w:hAnsi="Arial"/>
          <w:sz w:val="16"/>
          <w:szCs w:val="16"/>
          <w:color w:val="auto"/>
        </w:rPr>
      </w:pPr>
    </w:p>
    <w:p>
      <w:pPr>
        <w:ind w:left="280" w:hanging="278"/>
        <w:spacing w:after="0"/>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general economic conditions in either domestic or international markets, including the impact of the ongoing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980"/>
          </w:cols>
          <w:pgMar w:left="600" w:top="1440" w:right="319" w:bottom="1440" w:gutter="0" w:footer="0" w:header="0"/>
        </w:sectPr>
      </w:pPr>
    </w:p>
    <w:bookmarkStart w:id="61" w:name="page62"/>
    <w:bookmarkEnd w:id="61"/>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Any one of the factors above or the cumulative effect of some of the factors above may result in significant fluctuations in our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operating losses in the past and may not maintain profitability in the future.</w:t>
      </w:r>
    </w:p>
    <w:p>
      <w:pPr>
        <w:spacing w:after="0" w:line="18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incurred operating losses each year since our inception in 2013 through 2019, including net losses of $6.1 million, $57.5 million and $106.6 million for fiscal 2017, 2018 and 2019, respectively. We expect our operating expenses to continue to increase in the future as we increase our sales and marketing efforts, continue to invest in research and development, further develop our products and services, improve and expand our customer support functions and expand into new geographies. These efforts and additional expenses may be more costly than we expect, and we cannot guarantee that we will be able to increase our revenue by an amount sufficient to offset our increased operating expenses or to become profitable. Our revenue growth may slow or our revenue may decline for a number of other reasons, which could include slowing demand for our platform, insufficient growth in the number of customers that utilize our platform, increasing competition, a decrease in the growth of our overall market, our failure to continue to capitalize on growth opportunities, including as a result of our inability to scale to meet such growth, an insufficient number of market makers or the unwillingness or inability of our existing market makers to execute our customers’ trade orders as order volumes increase, increasing regulatory costs, increasing capital requirements imposed by regulators and SROs, as well as cash deposit and collateral requirements under the rules of the DTC, NSCC and OCC, economic conditions that reduce financial activity and the maturation of our business, among others. If we are unable to successfully address these risks and challenges as we encounter them, our business, financial condition and results of operations could be adversely affected. If we are unable to generate adequate revenue growth and offset our operating expenses, we may continue to incur significant losses and may not be able to maintain profitability in the future.</w:t>
      </w:r>
    </w:p>
    <w:p>
      <w:pPr>
        <w:spacing w:after="0" w:line="13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Because a majority of our revenue is transaction-based (including 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 majority of our revenue is transaction-based, in that we receive consideration in exchange for routing our users’ equity, option and cryptocurrency trade orders to market makers for execution. With respect to equities and options trading, such fees are known as PFOF. With respect to cryptocurrency trading, we receive “Transaction Rebates.” In the case of equities, the fees we receive are typically based on the size of the publicly quoted bid-ask spread for the security being traded; that is, we receive a fixed percentage of the difference between the publicly quoted bid and ask at the time the trade is executed. For options, our fee is on a per contract basis based on the underlying security. In the case of cryptocurrencies, our rebate is a fixed percentage of the notional order value. Within each asset class, whether equities, options or cryptocurrencies, the transaction-based revenue we earn is calculated in an identical manner among all participating market makers. We route equity and option orders in priority to participating market makers that we believe are most likely to give our customers the best execution, based on historical performance, and we do not consider transaction fees when routing orders. For cryptocurrency orders, we route to various market makers that we believe offer competitive pricing, and we do not consider Transaction Rebates when routing cryptocurrency orders.</w:t>
      </w:r>
    </w:p>
    <w:p>
      <w:pPr>
        <w:spacing w:after="0" w:line="15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For the year ended December 31, 2020, revenue derived from PFOF and Transaction Rebates represented 75% of our total revenues, and for the three months ended March 31, 2021, represented 81% of our total revenues. Computer-generated buy/sell programs and other technological advances and regulatory changes in the marketplace may continue to tighten spreads on transactions, which could lead to a decrease in our PFOF earned from market makers. Our transaction-based revenue could also be harmed by decreased levels of trading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60"/>
          </w:cols>
          <w:pgMar w:left="320" w:top="1440" w:right="319" w:bottom="1440" w:gutter="0" w:footer="0" w:header="0"/>
        </w:sectPr>
      </w:pPr>
    </w:p>
    <w:bookmarkStart w:id="62" w:name="page63"/>
    <w:bookmarkEnd w:id="62"/>
    <w:p>
      <w:pPr>
        <w:spacing w:after="0"/>
        <w:rPr>
          <w:sz w:val="20"/>
          <w:szCs w:val="20"/>
          <w:color w:val="auto"/>
        </w:rPr>
      </w:pPr>
      <w:r>
        <w:rPr>
          <w:rFonts w:ascii="Arial" w:cs="Arial" w:eastAsia="Arial" w:hAnsi="Arial"/>
          <w:sz w:val="16"/>
          <w:szCs w:val="16"/>
          <w:i w:val="1"/>
          <w:iCs w:val="1"/>
          <w:color w:val="auto"/>
        </w:rPr>
        <w:t>Risks Related to our Business Relationships with Market Makers</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PFOF and Transaction Rebate arrangements with market makers are a matter of practice and business understanding and not documented under binding contracts. For the three months ended March 31, 2021, 59% of our total revenues came from four market makers. If any of these market makers, or any other market makers with whom we do business, were unwilling to continue to receive orders from us or to pay us for those orders (including, for example, as a result of unusually high volatility), we may have little to no recourse and, if there are no other market makers that are willing to receive such orders from us or to pay us for such orders, or if we are unable to find replacement market-makers in a timely manner, our transaction-based revenue would be impacted negatively. This risk is particularly heightened for RHC as there are very few market makers that are currently able to execute cryptocurrency trades. Furthermore, if market makers decide to alter our fee structure or to enter into more favorable fee structures with our competitors, our transaction-based revenue could be impacted negatively. Any decrease in transaction-based revenue from market makers could have an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Regulation of PFOF</w:t>
      </w:r>
    </w:p>
    <w:p>
      <w:pPr>
        <w:spacing w:after="0" w:line="179" w:lineRule="exact"/>
        <w:rPr>
          <w:sz w:val="20"/>
          <w:szCs w:val="20"/>
          <w:color w:val="auto"/>
        </w:rPr>
      </w:pPr>
    </w:p>
    <w:p>
      <w:pPr>
        <w:jc w:val="both"/>
        <w:ind w:firstLine="287"/>
        <w:spacing w:after="0" w:line="249" w:lineRule="auto"/>
        <w:rPr>
          <w:sz w:val="20"/>
          <w:szCs w:val="20"/>
          <w:color w:val="auto"/>
        </w:rPr>
      </w:pPr>
      <w:r>
        <w:rPr>
          <w:rFonts w:ascii="Arial" w:cs="Arial" w:eastAsia="Arial" w:hAnsi="Arial"/>
          <w:sz w:val="16"/>
          <w:szCs w:val="16"/>
          <w:color w:val="auto"/>
        </w:rPr>
        <w:t>PFOF practices have drawn heightened scrutiny from the U.S. Congress, the SEC, state regulators, and other regulatory and legislative authorities. For example, in November 2018, the SEC amended its rules relating to broker-dealer disclosure of order handling and routing to require that, among other things, such public disclosures must now describe additional detail regarding terms of PFOF arrangements and profit-sharing relationships that may influence a broker-dealer’s routing decision, including information about average rebates the broker received from, and fees the broker paid to, trading venues. Additionally, our PFOF practices were the subject of a line of critical questioning during a February 18, 2021 U.S. Congressional hearing related to the Early 2021 Trading Restrictions (defined below under “—</w:t>
      </w:r>
      <w:r>
        <w:rPr>
          <w:rFonts w:ascii="Arial" w:cs="Arial" w:eastAsia="Arial" w:hAnsi="Arial"/>
          <w:sz w:val="16"/>
          <w:szCs w:val="16"/>
          <w:i w:val="1"/>
          <w:iCs w:val="1"/>
          <w:color w:val="auto"/>
        </w:rPr>
        <w:t>We may require additional capital to satisfy our liquidity needs and support business growth and objectives, and this</w:t>
      </w:r>
      <w:r>
        <w:rPr>
          <w:rFonts w:ascii="Arial" w:cs="Arial" w:eastAsia="Arial" w:hAnsi="Arial"/>
          <w:sz w:val="16"/>
          <w:szCs w:val="16"/>
          <w:color w:val="auto"/>
        </w:rPr>
        <w:t xml:space="preserve"> </w:t>
      </w:r>
      <w:r>
        <w:rPr>
          <w:rFonts w:ascii="Arial" w:cs="Arial" w:eastAsia="Arial" w:hAnsi="Arial"/>
          <w:sz w:val="16"/>
          <w:szCs w:val="16"/>
          <w:i w:val="1"/>
          <w:iCs w:val="1"/>
          <w:color w:val="auto"/>
        </w:rPr>
        <w:t>capital might not be available to use on reasonable terms, if at all, may result in stockholder dilution, and may be delayed or prohibited by applicable regulations”</w:t>
      </w:r>
      <w:r>
        <w:rPr>
          <w:rFonts w:ascii="Arial" w:cs="Arial" w:eastAsia="Arial" w:hAnsi="Arial"/>
          <w:sz w:val="16"/>
          <w:szCs w:val="16"/>
          <w:color w:val="auto"/>
        </w:rPr>
        <w:t>), in which our Co-Founder and CEO, Vladimir Tenev, provided testimony</w:t>
      </w:r>
      <w:r>
        <w:rPr>
          <w:rFonts w:ascii="Arial" w:cs="Arial" w:eastAsia="Arial" w:hAnsi="Arial"/>
          <w:sz w:val="16"/>
          <w:szCs w:val="16"/>
          <w:i w:val="1"/>
          <w:iCs w:val="1"/>
          <w:color w:val="auto"/>
        </w:rPr>
        <w:t xml:space="preserve">. </w:t>
      </w:r>
      <w:r>
        <w:rPr>
          <w:rFonts w:ascii="Arial" w:cs="Arial" w:eastAsia="Arial" w:hAnsi="Arial"/>
          <w:sz w:val="16"/>
          <w:szCs w:val="16"/>
          <w:color w:val="auto"/>
        </w:rPr>
        <w:t>There is no guarantee that the SEC, other regulatory authorities or</w:t>
      </w:r>
      <w:r>
        <w:rPr>
          <w:rFonts w:ascii="Arial" w:cs="Arial" w:eastAsia="Arial" w:hAnsi="Arial"/>
          <w:sz w:val="16"/>
          <w:szCs w:val="16"/>
          <w:i w:val="1"/>
          <w:iCs w:val="1"/>
          <w:color w:val="auto"/>
        </w:rPr>
        <w:t xml:space="preserve"> </w:t>
      </w:r>
      <w:r>
        <w:rPr>
          <w:rFonts w:ascii="Arial" w:cs="Arial" w:eastAsia="Arial" w:hAnsi="Arial"/>
          <w:sz w:val="16"/>
          <w:szCs w:val="16"/>
          <w:color w:val="auto"/>
        </w:rPr>
        <w:t>legislative bodies will not adopt additional regulation or legislation relating to PFOF practices as a result of such heightened scrutiny or otherwise, including regulation that could substantially limit or ban such practices, or pursue additional inquiries or investigations relating to PFOF practices. For example, in May 2019, the SEC’s Division of Enforcement commenced an investigation into our best execution and PFOF practices, alleging that we did not conduct a regular and rigorous review of our execution quality, resulting in certain customers experiencing lower execution quality, and that we made certain materially misleading statements regarding our sources of revenue, which may have misled investors about the extent of our PFOF practices. The investigation resulted in a settlement (in connection with which we neither admitted nor denied those allegations) and payment by our subsidiary, Robinhood Financial LLC (“RHF”), of a $65 million fine in December 2020 and a requirement to retain an independent consultant. Also in December 2020 and in January 2021, putative class actions were filed against us in a federal district court generally relating to the same factual allegations as the SEC matter that settled in December 2020, as described under “Risks Related to Regulation and Litigation—</w:t>
      </w:r>
      <w:r>
        <w:rPr>
          <w:rFonts w:ascii="Arial" w:cs="Arial" w:eastAsia="Arial" w:hAnsi="Arial"/>
          <w:sz w:val="16"/>
          <w:szCs w:val="16"/>
          <w:i w:val="1"/>
          <w:iCs w:val="1"/>
          <w:color w:val="auto"/>
        </w:rPr>
        <w:t>We have been subject to regulatory investigations, actions and settlements and we expect to continue to be</w:t>
      </w:r>
      <w:r>
        <w:rPr>
          <w:rFonts w:ascii="Arial" w:cs="Arial" w:eastAsia="Arial" w:hAnsi="Arial"/>
          <w:sz w:val="16"/>
          <w:szCs w:val="16"/>
          <w:color w:val="auto"/>
        </w:rPr>
        <w:t xml:space="preserve"> </w:t>
      </w:r>
      <w:r>
        <w:rPr>
          <w:rFonts w:ascii="Arial" w:cs="Arial" w:eastAsia="Arial" w:hAnsi="Arial"/>
          <w:sz w:val="16"/>
          <w:szCs w:val="16"/>
          <w:i w:val="1"/>
          <w:iCs w:val="1"/>
          <w:color w:val="auto"/>
        </w:rPr>
        <w:t>subject to such proceedings in the future, which could cause us to incur substantial costs or require us to change our business practices in a manner materially adverse to our business</w:t>
      </w:r>
      <w:r>
        <w:rPr>
          <w:rFonts w:ascii="Arial" w:cs="Arial" w:eastAsia="Arial" w:hAnsi="Arial"/>
          <w:sz w:val="16"/>
          <w:szCs w:val="16"/>
          <w:color w:val="auto"/>
        </w:rPr>
        <w:t>.” See “Business—Legal Proceedings.” Any new or heightened PFOF regulation may result in increased compliance costs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may materially decrease our transaction-based revenue, and may also make it more difficult for us to expand our platform in certain jurisdictions. Because certain of our competitors either do not engage in PFOF or derive a lower percentage of their revenues from PFOF than we do, any such heightened regulation or ban of PFOF could have an outsize impact on our results of operations. Additionally, if our customers or potential customers believe that they may get better execution quality (including better price improvement) directly from stock exchanges or from our competitors that have different execution arrangements, or if they perceive our PFOF practices to create a 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60"/>
          </w:cols>
          <w:pgMar w:left="320" w:top="1425" w:right="319" w:bottom="1440" w:gutter="0" w:footer="0" w:header="0"/>
        </w:sectPr>
      </w:pPr>
    </w:p>
    <w:bookmarkStart w:id="63" w:name="page64"/>
    <w:bookmarkEnd w:id="63"/>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between us and them, they may favor our competitors. Furthermore, depending on the nature of any new requirements, heightened regulation could also increase our risk of potential regulatory violations and civil litigation, which could result in fines or other penalties, as well as negative publicity, which could have an adverse effect on our business, financial condition and results of operations. For more information about the regulation of our PFOF practices, see “Business —Regulation—Best Execution.”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Negative Publicity Associated with PFOF or our Market Makers</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Additionally, any negative publicity surrounding PFOF or Transaction Rebate practices generally, or our implementation of these practices, could harm our brand and reputation. For example, as a result of the January 2021 Trading Restrictions, we faced allegations that our decision to temporarily prevent our customers from purchasing certain specified securities was influenced by our relationship with certain market makers. Furthermore, as registered broker-dealers, market makers must comply with rules and regulations that are generally intended to prohibit them from taking advantage of information they obtain while executing orders (e.g., through the prohibition on “front running”). Market makers also have a duty 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w:t>
      </w:r>
    </w:p>
    <w:p>
      <w:pPr>
        <w:spacing w:after="0" w:line="14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If our customers begin to disfavor PFOF and Transaction Rebate practices generally or the specific market markers with whom we do business due to any negative media attention, they may have an adverse view of our business model and decide to limit or cease the use of our platform. Additionally, some customers may prefer to invest through our competitors that do not engage in PFOF or Transaction Rebate practices or engage in them differently than do we. Any such loss of customer engagement as a result of any negative publicity associated with PFOF and Transaction Rebate practices could have an adverse effect on our business, financial condition and results of operations.</w:t>
      </w:r>
    </w:p>
    <w:p>
      <w:pPr>
        <w:spacing w:after="0" w:line="139"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Proposed legislation that would impose taxes on certain financial transactions could have a material adverse effect on our business, financial condition and results of operations.</w:t>
      </w:r>
    </w:p>
    <w:p>
      <w:pPr>
        <w:spacing w:after="0" w:line="122"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Certain members of the U.S. Congress and individual state legislatures have proposed the imposition of new taxes on a broad range of financial transactions, including transactions that occur on our platform, such as the buying and selling of stocks and derivative transactions. For example, the Wall Street Tax Act of 2021, H.R. 328, which was introduced into the U.S. Congress in January 2021, would impose a 0.1% excise tax on certain covered transactions. If enacted, such financial transaction taxes could increase the cost to customers of investing or trading on our platform and reduce or adversely affect U.S. market conditions and liquidity, general levels of interest in investing and the volume of trades and other transactions from which we derive transaction revenues. While it is difficult to assess the impact the proposed taxes could have on us, if a financial transaction tax is implemented in any jurisdiction in which we operate, our business, financial condition or results of operations could suffer a material adverse effect, and we could be impacted to a greater degree than other market participants.</w:t>
      </w:r>
    </w:p>
    <w:p>
      <w:pPr>
        <w:spacing w:after="0" w:line="134"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may require additional capital to satisfy our liquidity needs and support business growth and objectives, and this capital might not be available to use on reasonable terms, if at all, may result in stockholder dilution, and may be delayed or prohibited by applicable regulations.</w:t>
      </w:r>
    </w:p>
    <w:p>
      <w:pPr>
        <w:spacing w:after="0" w:line="134"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Maintaining adequate liquidity is crucial to our securities brokerage and our money services business operations, including key functions such as transaction settlement, custody requirements and margin lending. We meet our liquidity needs primarily from working capital and cash generated by customer activity, as well as from external debt and equity financing. Increases in the number of customers, fluctuations in customer cash or deposit balances, as well as market conditions or changes in regulatory treatment of customer deposits, may affect our ability to meet our liquidity needs. Our broker-dealer subsidiaries, RHF and Robinhood Securities, LLC (“RHS”), are each subject to Rule 15c3-1 under the Exchange Act (the “Uniform Net Capital Rule”), which specifies minimum capital requirements intended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60"/>
          </w:cols>
          <w:pgMar w:left="320" w:top="1440" w:right="319" w:bottom="1440" w:gutter="0" w:footer="0" w:header="0"/>
        </w:sectPr>
      </w:pPr>
    </w:p>
    <w:bookmarkStart w:id="64" w:name="page65"/>
    <w:bookmarkEnd w:id="64"/>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ensure the general financial soundness and liquidity of broker-dealers, and RHS is subject to Rule 15c3-3 under the Exchange Act, which requires broker-dealers to maintain certain liquidity reserves. In addition, as a clearing and carrying broker-dealer, RHS is subject to cash deposit and collateral requirements under the rules of the DTC, NSCC and OCC, which may fluctuate significantly from time to time based upon the nature and volume of customers’ trading activity and volatility in the market or individual securities. Because stock trades generally settle at the clearinghouse two days after execution (a settlement cycle referred to as “T+2”), clearinghouses require RHS to deposit funds to ensure that RHS can meet its settlement obligations. These deposit requirements are designed to mitigate risk to the clearinghouse and its participants and can be large, especially if positions are concentrated in particular stocks, are predominantly in the same direction (i.e., predominantly buys or predominantly sells) or if the stock market is volatile. The funds deposited are RHS funds and, under SEC rules, customer funds are not available to be used to satisfy clearinghouse deposit requirements. If we fail to meet any such deposit requirements, our ability to settle trades through the clearinghouse may be suspended or we may be forced to restrict trading in certain stocks in order to limit clearinghouse deposit requirements. For example, from January 28 to February 5, 2021, due to increased deposit requirements imposed on RHS by NSCC in response to unprecedented market volatility, particularly in certain securities, we temporarily prevented our customers from purchasing certain specified securities, including GameStop Corp. and AMC Entertainment Holdings, Inc., on our trading platform (the “Early 2021 Trading Restrictions”). This resulted in negative media attention, customer dissatisfaction, litigation and regulatory and U.S. Congressional inquiries and investigations, capital raising by us in order to lift the trading restrictions while remaining in compliance with our net capital and deposit requirements and reputational harm. We cannot assure that similar events will not occur in the future. See “Business—Legal Proceedings—Early 2021 Trading Restrictions Matters” and “—Risks Related to Regulation and Litigation—</w:t>
      </w:r>
      <w:r>
        <w:rPr>
          <w:rFonts w:ascii="Arial" w:cs="Arial" w:eastAsia="Arial" w:hAnsi="Arial"/>
          <w:sz w:val="16"/>
          <w:szCs w:val="16"/>
          <w:i w:val="1"/>
          <w:iCs w:val="1"/>
          <w:color w:val="auto"/>
        </w:rPr>
        <w:t>We are</w:t>
      </w:r>
      <w:r>
        <w:rPr>
          <w:rFonts w:ascii="Arial" w:cs="Arial" w:eastAsia="Arial" w:hAnsi="Arial"/>
          <w:sz w:val="16"/>
          <w:szCs w:val="16"/>
          <w:color w:val="auto"/>
        </w:rPr>
        <w:t xml:space="preserve"> </w:t>
      </w:r>
      <w:r>
        <w:rPr>
          <w:rFonts w:ascii="Arial" w:cs="Arial" w:eastAsia="Arial" w:hAnsi="Arial"/>
          <w:sz w:val="16"/>
          <w:szCs w:val="16"/>
          <w:i w:val="1"/>
          <w:iCs w:val="1"/>
          <w:color w:val="auto"/>
        </w:rPr>
        <w:t>involved in numerous litigation matters that are expensive and time consuming, and, if resolved adversely, could harm our reputation, business, financial condition or results of operations</w:t>
      </w:r>
      <w:r>
        <w:rPr>
          <w:rFonts w:ascii="Arial" w:cs="Arial" w:eastAsia="Arial" w:hAnsi="Arial"/>
          <w:sz w:val="16"/>
          <w:szCs w:val="16"/>
          <w:color w:val="auto"/>
        </w:rPr>
        <w:t>” for more information about the Early 2021 Trading Restrictions, and see “Business—Regulation—Brokerage Regulation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Capital and Deposit Requirements” for more information about the regulation of our broker-dealer entities, as well as our net capital and deposit requirements.</w:t>
      </w:r>
    </w:p>
    <w:p>
      <w:pPr>
        <w:spacing w:after="0" w:line="15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SROs or state regulators, and could ultimately lead to the liquidation of our broker-dealers or other regulated entities. Factors which may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market makers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withdrawals of customer assets. See “—Risks Related to Our Brokerage Products and Services—</w:t>
      </w:r>
      <w:r>
        <w:rPr>
          <w:rFonts w:ascii="Arial" w:cs="Arial" w:eastAsia="Arial" w:hAnsi="Arial"/>
          <w:sz w:val="16"/>
          <w:szCs w:val="16"/>
          <w:i w:val="1"/>
          <w:iCs w:val="1"/>
          <w:color w:val="auto"/>
        </w:rPr>
        <w:t>Any inability to maintain adequate banking relationships with respect to our Cash Management product may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affect our business</w:t>
      </w:r>
      <w:r>
        <w:rPr>
          <w:rFonts w:ascii="Arial" w:cs="Arial" w:eastAsia="Arial" w:hAnsi="Arial"/>
          <w:sz w:val="16"/>
          <w:szCs w:val="16"/>
          <w:color w:val="auto"/>
        </w:rPr>
        <w:t>” for more information.</w:t>
      </w:r>
    </w:p>
    <w:p>
      <w:pPr>
        <w:spacing w:after="0" w:line="150"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addition to requiring liquidity for our securities brokerage business, cryptocurrency business and our other regulated businesses, we may also require additional capital to continue to support the growth of our business and respond to competitive challenges, including the need to promote our products and services, develop new products and services, enhance our existing products, services and operating infrastructure, and acquire and invest in complementary businesses and technologies.</w:t>
      </w:r>
    </w:p>
    <w:p>
      <w:pPr>
        <w:spacing w:after="0" w:line="147"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When available cash is not sufficient for our liquidity and growth needs, we may need to engage in equity or debt financings to secure additional funds. There can be no assurance that such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60"/>
          </w:cols>
          <w:pgMar w:left="320" w:top="1440" w:right="319" w:bottom="1440" w:gutter="0" w:footer="0" w:header="0"/>
        </w:sectPr>
      </w:pPr>
    </w:p>
    <w:bookmarkStart w:id="65" w:name="page66"/>
    <w:bookmarkEnd w:id="65"/>
    <w:p>
      <w:pPr>
        <w:spacing w:after="0" w:line="2"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funding will be available on terms attractive to us, or at all, and our inability to obtain additional funding when needed could have an adverse effect on our business, financial condition and results of operations. If additional funds are raised through the issuance of equity or convertible debt securities, our stockholders could suffer significant dilution, and any new shares we issue in connection therewith could have rights, preferences and privileges superior to those of our current stockholders. Any debt financing secured by us in the future could involve restrictive covenants relating to our capital-raising activities and other financial and operational matters, which may make it more difficult for us to obtain additional capital and to pursue future business opportunities.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clearing operations expose us to liability for errors in clearing functions.</w:t>
      </w:r>
    </w:p>
    <w:p>
      <w:pPr>
        <w:spacing w:after="0" w:line="18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Our broker-dealer subsidiary, RHS, provides clearing and execution services, which include the confirmation, receipt, settlement and delivery functions involved in securities transactions. Clearing brokers also assume direct responsibility for the possession and control of customer securities and other assets and the clearance of customer securities transactions. Self-clearing securities firms are subject to substantially more regulatory control and examination than introducing brokers that rely on others to perform clearing functions. Errors in performing clearing functions, including clerical and other errors related to the handling of funds and securities held by us on behalf of customers, could lead to (i) civil penalties, as well as losses and liability as a result of related lawsuits brought by customers and others and any out-of-pocket costs associated with remediating customers for any losses incurred in connection therewith, and (ii) the risk of fines or other regulatory actions by regulators.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Harm to our brand and reputation could adversely affect our business.</w:t>
      </w:r>
    </w:p>
    <w:p>
      <w:pPr>
        <w:spacing w:after="0" w:line="193"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Our brand and our reputation are two of our most important assets. Our reputation, brand and ability to build trust with existing and new customers may be adversely affected by complaints and negative publicity about us, our platform and customers that utilize our platform or our competitors’ platforms, even if factually incorrect or based on isolated incidents. Our ability to attract and retain customers is highly dependent upon external perceptions of our company, and damage to our brand and reputation may be caused by:</w:t>
      </w:r>
    </w:p>
    <w:p>
      <w:pPr>
        <w:spacing w:after="0" w:line="147" w:lineRule="exact"/>
        <w:rPr>
          <w:sz w:val="20"/>
          <w:szCs w:val="20"/>
          <w:color w:val="auto"/>
        </w:rPr>
      </w:pPr>
    </w:p>
    <w:p>
      <w:pPr>
        <w:ind w:left="560" w:hanging="278"/>
        <w:spacing w:after="0" w:line="260" w:lineRule="auto"/>
        <w:tabs>
          <w:tab w:leader="none" w:pos="5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actual or perceived system disruptions, outages, interruptions or other performance problems of our platform or similar incidents, cybersecurity attacks, privacy or data security breaches, or other security incidents, payment disruptions or other incidents that impact the reliability of our platform;</w:t>
      </w:r>
    </w:p>
    <w:p>
      <w:pPr>
        <w:spacing w:after="0" w:line="139"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complaints or negative publicity about us, our platform, our management team, our other employees or contractors, our customers or third-party service providers;</w:t>
      </w:r>
    </w:p>
    <w:p>
      <w:pPr>
        <w:spacing w:after="0" w:line="151"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actual or alleged illegal, negligent, reckless, fraudulent or otherwise inappropriate behavior by our management team, our other employees or contractors, our customers or third-party service providers;</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litigation involving, or regulatory actions or investigations into, our platform or our business, including litigation or arbitration and regulatory and U.S. Congressional inquiries related to the Early 2021 Trading Restrictions;</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failure to comply with legal, tax and regulatory requirements;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perceived or actual weakness in our financial strength or liquidity;</w:t>
      </w:r>
    </w:p>
    <w:p>
      <w:pPr>
        <w:spacing w:after="0" w:line="162" w:lineRule="exact"/>
        <w:rPr>
          <w:rFonts w:ascii="Arial" w:cs="Arial" w:eastAsia="Arial" w:hAnsi="Arial"/>
          <w:sz w:val="16"/>
          <w:szCs w:val="16"/>
          <w:color w:val="auto"/>
        </w:rPr>
      </w:pPr>
    </w:p>
    <w:p>
      <w:pPr>
        <w:jc w:val="both"/>
        <w:ind w:left="560" w:hanging="278"/>
        <w:spacing w:after="0" w:line="252" w:lineRule="auto"/>
        <w:tabs>
          <w:tab w:leader="none" w:pos="5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failure by RHS to meet any capital requirements imposed by regulators and SROs, such as the SEC and FINRA, or any cash deposit and collateral requirements imposed by certain other SROs such as the DTC, NSCC and OCC, especially in the event of high volatility in market conditions or individual securities, unusually high trading volume or account sign-ups or a high concentration of net buying in a particular stock, which could lead to our temporarily restricting trading in stocks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60"/>
          </w:cols>
          <w:pgMar w:left="320" w:top="1440" w:right="319" w:bottom="1440" w:gutter="0" w:footer="0" w:header="0"/>
        </w:sectPr>
      </w:pPr>
    </w:p>
    <w:bookmarkStart w:id="66" w:name="page67"/>
    <w:bookmarkEnd w:id="66"/>
    <w:p>
      <w:pPr>
        <w:spacing w:after="0" w:line="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order to limit clearinghouse deposit requirements (as in the case of the Early 2021 Trading Restrictions);</w:t>
      </w:r>
    </w:p>
    <w:p>
      <w:pPr>
        <w:spacing w:after="0" w:line="175" w:lineRule="exact"/>
        <w:rPr>
          <w:sz w:val="20"/>
          <w:szCs w:val="20"/>
          <w:color w:val="auto"/>
        </w:rPr>
      </w:pPr>
    </w:p>
    <w:p>
      <w:pPr>
        <w:ind w:left="560" w:hanging="278"/>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regulatory action that results in changes to, or prohibits us from offering, certain features or services;</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to our policies, features or services that customers or others perceive as overly restrictive, unclear, inconsistent with our values or mission, or not clearly articulated;</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failure to operate our business in a way that is consistent with our values and mission;</w:t>
      </w:r>
    </w:p>
    <w:p>
      <w:pPr>
        <w:spacing w:after="0" w:line="174" w:lineRule="exact"/>
        <w:rPr>
          <w:rFonts w:ascii="Arial" w:cs="Arial" w:eastAsia="Arial" w:hAnsi="Arial"/>
          <w:sz w:val="16"/>
          <w:szCs w:val="16"/>
          <w:color w:val="auto"/>
        </w:rPr>
      </w:pPr>
    </w:p>
    <w:p>
      <w:pPr>
        <w:jc w:val="both"/>
        <w:ind w:left="560" w:right="20" w:hanging="278"/>
        <w:spacing w:after="0" w:line="252" w:lineRule="auto"/>
        <w:tabs>
          <w:tab w:leader="none" w:pos="556"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inadequate or unsatisfactory customer support experiences, including as a result of our inability to successfully and timely improve, maintain or increase our customer support capabilities. For example, we do not currently provide general customer support by telephone, which may limit potential or existing customers’ access to support; we currently offer callback phone support (which customers can request in-app) only for certain use cases, such as options trading, account security, selling issues and assistance with transfers and withdrawals;</w:t>
      </w:r>
    </w:p>
    <w:p>
      <w:pPr>
        <w:spacing w:after="0" w:line="147" w:lineRule="exact"/>
        <w:rPr>
          <w:rFonts w:ascii="Arial" w:cs="Arial" w:eastAsia="Arial" w:hAnsi="Arial"/>
          <w:sz w:val="16"/>
          <w:szCs w:val="16"/>
          <w:color w:val="auto"/>
        </w:rPr>
      </w:pPr>
    </w:p>
    <w:p>
      <w:pPr>
        <w:ind w:left="560" w:hanging="278"/>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negative responses by customers or regulators to our business model;</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negative responses by customers or regulators to new features or services, or changes to existing features or services, on our platform;</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failure to adapt to new or changing customer preferences;</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sustained downturn in U.S. equity markets or in general economic conditions, which could cause our existing customers to incur losses and, as a result, affect our existing and potential new customers’ interest in our products and services; and</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of the foregoing with respect to our competitors, to the extent the resulting negative perception affects the public’s perception of us or our industry as a whole.</w:t>
      </w:r>
    </w:p>
    <w:p>
      <w:pPr>
        <w:spacing w:after="0" w:line="15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These and other events that may harm our brand and reputation could diminish customer confidence in, and use of, our products and services and could have an adverse effect on our business, financial condition and results of operations. Such events could also cause our stockholders to sell or otherwise dispose of a significant number of shares of our Class A common stock, which may have a significant adverse effect on the trading price of our Class A common stock.</w:t>
      </w:r>
    </w:p>
    <w:p>
      <w:pPr>
        <w:spacing w:after="0" w:line="129"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Our business and reputation may be harmed by changes in business, economic or political conditions that impact global financial markets, or by a systemic market event.</w:t>
      </w:r>
    </w:p>
    <w:p>
      <w:pPr>
        <w:spacing w:after="0" w:line="12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As a financial services company, our business, results of operations and reputation are directly affected by elements beyond our control, such as economic and political conditions, changes in the volatility in financial markets (including volatility as a result of the COVID-19 pandemic), significant increases in the volatility or trading volume of particular securities or cryptocurrencies, broad trends in business and finance, changes in volume of securities or cryptocurrencies trading generally, changes in the markets in which such transactions occur and changes in how such transactions are processed. These elements can arise suddenly and the full impact of such conditions can remain uncertain. A prolonged weakness in equity markets, such as a slowdown causing reduction in trading volume in securities, derivatives or cryptocurrency markets, may result in reduced revenues and would have an adverse effect on our business, financial condition and results of operations. Significant downturns in the securities markets, cryptocurrencies or in general economic and political conditions may also cause individuals to be reluctant to make their own investment decisions and thus decrease the demand for our products and services and could also result in our customers reducing their engagement with our platform. Conversely, significant upturns in the securities markets, cryptocurrencies or in general economic and political conditions may cause individuals to be less proactive in seeking ways to improve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60"/>
          </w:cols>
          <w:pgMar w:left="320" w:top="1440" w:right="319" w:bottom="1440" w:gutter="0" w:footer="0" w:header="0"/>
        </w:sectPr>
      </w:pPr>
    </w:p>
    <w:bookmarkStart w:id="67" w:name="page68"/>
    <w:bookmarkEnd w:id="67"/>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returns on their trading or investment decisions and, thus, decrease the demand for our products and services. Any of these changes could cause our future performance to be uncertain or unpredictable, and could have an adverse effect on our business, financial condition and results of operations.</w:t>
      </w:r>
    </w:p>
    <w:p>
      <w:pPr>
        <w:spacing w:after="0" w:line="15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In addition, some market participants could be overleveraged. In case of sudden, large price movements, such market participants may not be able to meet their obligations to their respective brokers who, in turn, may not be able to meet their obligations to their counterparties. As a result, the financial system or a portion thereof could suffer, and the impact of such an event could have an adverse effect on our business, financial condition and results of operations.</w:t>
      </w:r>
    </w:p>
    <w:p>
      <w:pPr>
        <w:spacing w:after="0" w:line="14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addition, a prolonged weakness in the U.S. equity markets or in specific cryptocurrencies or equity securities or a general economic downturn could cause our customers to incur losses, which in turn could cause our brand and reputation to suffer. If our reputation is harmed, the willingness of our existing customers, and potential new customers, to do business with us could be negatively impacted, which would adversely affect our business, financial condition and results of operations.</w:t>
      </w:r>
    </w:p>
    <w:p>
      <w:pPr>
        <w:spacing w:after="0" w:line="14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are also monitoring developments related to the decision by the U.K. to leave the European Union (EU) on January 31, 2020 (“Brexit”) following the end of the transition period on December 31, 2020. On December 24, 2020, the U.K. and the EU agreed to enter into the EU-U.K. Trade and Cooperation Agreement, which negotiated some of the key aspects of the U.K. and EU post-Brexit relationship. Brexit and the EU-U.K. Trade and Cooperation Agreement could have implications for our U.K. subsidiary and could lead to economic and legal uncertainty, including significant volatility in global stock markets and currency exchange rates, and increasingly divergent laws, regulations and licensing requirements for any operations we conduct or may conduct in the U.K. or EU in the future as the U.K. determines which EU laws to replace or replicate. Any of these effects of Brexit, among others, could adversely affect our operations and financial results.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long-term impact of the COVID-19 pandemic on our business, financial condition and results of operations is uncertain.</w:t>
      </w:r>
    </w:p>
    <w:p>
      <w:pPr>
        <w:spacing w:after="0" w:line="181" w:lineRule="exact"/>
        <w:rPr>
          <w:sz w:val="20"/>
          <w:szCs w:val="20"/>
          <w:color w:val="auto"/>
        </w:rPr>
      </w:pPr>
    </w:p>
    <w:p>
      <w:pPr>
        <w:jc w:val="both"/>
        <w:ind w:firstLine="287"/>
        <w:spacing w:after="0" w:line="268" w:lineRule="auto"/>
        <w:rPr>
          <w:sz w:val="20"/>
          <w:szCs w:val="20"/>
          <w:color w:val="auto"/>
        </w:rPr>
      </w:pPr>
      <w:r>
        <w:rPr>
          <w:rFonts w:ascii="Arial" w:cs="Arial" w:eastAsia="Arial" w:hAnsi="Arial"/>
          <w:sz w:val="15"/>
          <w:szCs w:val="15"/>
          <w:color w:val="auto"/>
        </w:rPr>
        <w:t>Since the onset of the COVID-19 pandemic in March 2020, we have seen substantial growth in our customer base, retention, engagement and trading activity metrics, as well as continued gains and periodic all-time highs achieved by the equity markets generally. During this period, market volatility, stay-at-home orders and increased interest in investing and personal finance helped foster an environment that encouraged an unprecedented number of first-time retail investors to become Robinhood customers and begin trading on the Robinhood platform. It is uncertain whether these trends and behavioral shifts will continue as reopening measures continue, and we may not be able to maintain the customer base we gained, or the rate of growth in our customer base that we experienced, throughout the COVID-19 pandemic. Additionally, to the extent that government stimulus measures enacted in response to the pandemic have contributed to this increase in customer engagement, there could be a negative impact on future customer engagement if no additional stimulus measures are taken. Further, if the financial markets experience a downturn, we may have difficulty retaining customers, particularly any first-time retail investors, who elect not to continue to invest in the financial markets by trading on our platform or at all as a result of any such downturn, a lack of access to additional stimulus funds, the ability to resume pre-COVID-19 activities or otherwise. To the extent that customer preferences revert to pre-COVID-19 behaviors and these metrics do not continue to improve, or if their growth is slowed as mitigation measures to limit the spread of COVID-19 are lifted or the financial markets experience additional or reduced volatility or decline, there could be an adverse effect on our business, financial condition and results of operations.</w:t>
      </w:r>
    </w:p>
    <w:p>
      <w:pPr>
        <w:spacing w:after="0" w:line="138"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Notwithstanding the foregoing, the COVID-19 pandemic and the various measures instituted by governments and businesses to mitigate its spread, including travel restrictions, stay-at-home orders and quarantine restrictions, could adversely impact our customers, employees and business partners, and continue to disrupt our operations, including as the pandemic contributes to a general slowdown in the global economy. The COVID-19 pandemic has resulted, in part, in inefficiencies or delays 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60"/>
          </w:cols>
          <w:pgMar w:left="320" w:top="1440" w:right="319" w:bottom="1440" w:gutter="0" w:footer="0" w:header="0"/>
        </w:sectPr>
      </w:pPr>
    </w:p>
    <w:bookmarkStart w:id="68" w:name="page69"/>
    <w:bookmarkEnd w:id="68"/>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operational challenges, additional costs related to business continuity initiatives as our workforce has fully transitioned to remote working and increased vulnerability to cybersecurity attacks or other privacy or data security incidents. The extent of the impact of COVID-19 on our business, financial condition and results of operations will depend largely on future developments, including the duration of the pandemic, actions taken to contain COVID-19 or address its impact, the ability to reintegrate our workforce or of our workforce to adapt to the long-term distributed workforce model (with some employees part- or full-time remote, and others not) we expect to adopt, the impact on capital and financial markets and the related impact on the financial circumstances of our customers, all of which are highly uncertain and cannot be predicted. Even after the COVID-19 outbreak has subsided, we may continue to experience adverse impacts to our business as a result of the global economic impact, including the availability of credit, adverse impacts on our liquidity and any recession that has occurred or may occur in the future. A sustained or prolonged COVID-19 pandemic or a resurgence could exacerbate the factors described above and intensify the impact on our business, financial condition and results of operations.</w:t>
      </w:r>
    </w:p>
    <w:p>
      <w:pPr>
        <w:spacing w:after="0" w:line="14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Our future success depends on the continuing efforts of our key employees and our ability to attract and retain highly skilled personnel and senior management.</w:t>
      </w:r>
    </w:p>
    <w:p>
      <w:pPr>
        <w:spacing w:after="0" w:line="12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future success depends, in part, on our ability to continue to identify, attract, develop, integrate and retain qualified and highly skilled personnel. In particular, our Co-Founder and Chief Executive Officer (“CEO”), Vladimir Tenev, and our Co-Founder and Chief Creative Officer, Baiju Bhatt, have been critical to the development of our business, vision and strategic direction. In addition, we have heavily relied, and expect we will continue to heavily rely, on the services and performance of Mr. Tenev and our senior management team, which provides leadership, contributes to the core areas of our business and helps us to efficiently execute our business. If the senior management team, including any new hires that we make, fails to work together effectively and to execute our plans and strategies on a timely basis then our business and future growth prospects could be harmed.</w:t>
      </w:r>
    </w:p>
    <w:p>
      <w:pPr>
        <w:spacing w:after="0" w:line="148"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Additionally, the loss of any key personnel could make it more difficult to manage our operations and research and development activities, reduce our employee retention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15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Competition for highly skilled personnel is often intense, especially in the San Francisco Bay Area, where our headquarters is located and where we have a substantial presence and need for highly skilled personnel, and where there is particularly high competition for software engineers, computer scientists and other technical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If we are unable to attract and retain qualified personnel to fulfill our needs as we expand our operations, our business and growth prospects could be harmed.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Further, we may periodically change our equity compensation practices, which may include reducing the number of employees eligible for equity awards or reducing the size of equity awards granted per employee. The future of remote work and our physical office build-out strategy have been challenged by the COVID-19 pandemic and may be further impacted by local gathering and safety laws and regulations, which may adversely affect successful cross-functional collaboration, product development velocity and our company culture. If we are unable to attract, integrate or retain the qualified and highly skilled personnel required to fulfill our current or future needs, our business and future growth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60"/>
          </w:cols>
          <w:pgMar w:left="320" w:top="1440" w:right="319" w:bottom="1440" w:gutter="0" w:footer="0" w:header="0"/>
        </w:sectPr>
      </w:pPr>
    </w:p>
    <w:bookmarkStart w:id="69" w:name="page70"/>
    <w:bookmarkEnd w:id="69"/>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conduct our brokerage and other business operations through subsidiaries and may in the future rely on dividends from our subsidiaries for a substantial amount of our cash flows.</w:t>
      </w:r>
    </w:p>
    <w:p>
      <w:pPr>
        <w:spacing w:after="0" w:line="134"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may in the future depend on dividends, distributions and other payments from our subsidiaries to fund payments on our obligations, including any debt obligations we may incur. Regulatory and other legal restrictions may limit our ability to transfer funds to or from certain subsidiaries, including RHF, RHC and RHS. In addition, certain of our subsidiaries are subject to laws and regulations that authorize regulatory bodies to block or reduce the flow of funds to us, or that prohibit such transfers altogether in certain circumstances. These laws and regulations may hinder our ability to access funds that we may need to make payments on our obligations, including any debt obligations we may incur and otherwise conduct our business by, among other things, reducing our liquidity in the form of corporate cash. In addition to negatively affecting our business, a significant decrease in our liquidity could also reduce investor confidence in us. Certain rules and regulations of the SEC and FINRA may limit the extent to which our broker-dealer subsidiaries may distribute capital to us. For example, under FINRA rules applicable to RHS, a dividend in excess of 10% of a member firm’s excess net capital may not be paid without FINRA’s prior written approval. Compliance with these rules may impede our ability to receive dividends, distributions and other payments from RHF, RHC and RHS. See also “Business—Regulation.”</w:t>
      </w:r>
    </w:p>
    <w:p>
      <w:pPr>
        <w:spacing w:after="0" w:line="133"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Future acquisitions of, or investments in, as applicable, other companies, products, technologies or specialized employees could require significant management attention, disrupt our business, dilute stockholder value and adversely affect our results of operations.</w:t>
      </w:r>
    </w:p>
    <w:p>
      <w:pPr>
        <w:spacing w:after="0" w:line="122"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As part of our business strategy, we may make acquisitions of, or investments in, as applicable, specialized employees or other compatible companies, products or technologies. We also may enter into relationships with other businesses in order to expand our products and services. Negotiating these transactions can be time-consuming, difficult and expensive and our ability to close these transactions may be subject to third-party approvals, such as government and other regulatory approvals, which are beyond our control. Further, we may not be able to find suitable acquisition or investment candidates and we may not be able to complete acquisitions on favorable terms, if at all. Moreover, these kinds of acquisitions or investments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results of operations. If we acquire businesses or technologies, we may not be able to integrate the acquired personnel, operations and technologies successfully, or effectively manage the combined business following the acquisition. Moreover, we cannot assure that the anticipated benefits of any acquisition or investment would be realized or that we would not be exposed to unknown liabilities.</w:t>
      </w:r>
    </w:p>
    <w:p>
      <w:pPr>
        <w:spacing w:after="0" w:line="163"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connection with these types of transactions, we may issue additional equity securities that would dilute our stockholders,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have an adverse effect on our business, financial condition and results of operations.</w:t>
      </w:r>
    </w:p>
    <w:p>
      <w:pPr>
        <w:spacing w:after="0" w:line="129"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may expand into international markets, which will expose us to significant new risks, and our international expansion efforts may not be successful.</w:t>
      </w:r>
    </w:p>
    <w:p>
      <w:pPr>
        <w:spacing w:after="0" w:line="122"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Although we have some employees and contractors in the U.K. and the Netherlands, we currently do not offer services to the public outside the United States. We may further expand our operations to other countries outside of the United States, which will require significant resources and management attention and will subject us to regulatory, economic and political risks in addition to those we already face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60"/>
          </w:cols>
          <w:pgMar w:left="320" w:top="1423" w:right="319" w:bottom="1440" w:gutter="0" w:footer="0" w:header="0"/>
        </w:sectPr>
      </w:pPr>
    </w:p>
    <w:bookmarkStart w:id="70" w:name="page71"/>
    <w:bookmarkEnd w:id="70"/>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There are significant risks and costs inherent in doing business in international markets, including:</w:t>
      </w:r>
    </w:p>
    <w:p>
      <w:pPr>
        <w:spacing w:after="0" w:line="175" w:lineRule="exact"/>
        <w:rPr>
          <w:sz w:val="20"/>
          <w:szCs w:val="20"/>
          <w:color w:val="auto"/>
        </w:rPr>
      </w:pPr>
    </w:p>
    <w:p>
      <w:pPr>
        <w:ind w:left="560" w:right="20" w:hanging="278"/>
        <w:spacing w:after="0" w:line="260" w:lineRule="auto"/>
        <w:tabs>
          <w:tab w:leader="none" w:pos="5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difficulty establishing and managing international operations and the increased operations, travel, infrastructure and legal and compliance costs associated with locations in different countries or regions;</w:t>
      </w:r>
    </w:p>
    <w:p>
      <w:pPr>
        <w:spacing w:after="0" w:line="139" w:lineRule="exact"/>
        <w:rPr>
          <w:rFonts w:ascii="Arial" w:cs="Arial" w:eastAsia="Arial" w:hAnsi="Arial"/>
          <w:sz w:val="16"/>
          <w:szCs w:val="16"/>
          <w:color w:val="auto"/>
        </w:rPr>
      </w:pPr>
    </w:p>
    <w:p>
      <w:pPr>
        <w:jc w:val="both"/>
        <w:ind w:left="560" w:hanging="278"/>
        <w:spacing w:after="0" w:line="254" w:lineRule="auto"/>
        <w:tabs>
          <w:tab w:leader="none" w:pos="5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need to understand and comply with local laws, regulations and customs in multiple jurisdictions, including laws and regulations governing broker-dealer practices, some of which may be different from, or conflict with, those of other jurisdictions, and which might not permit us to operate our business or collect revenues in the same manner as we do in such other jurisdictions;</w:t>
      </w:r>
    </w:p>
    <w:p>
      <w:pPr>
        <w:spacing w:after="0" w:line="144" w:lineRule="exact"/>
        <w:rPr>
          <w:rFonts w:ascii="Arial" w:cs="Arial" w:eastAsia="Arial" w:hAnsi="Arial"/>
          <w:sz w:val="16"/>
          <w:szCs w:val="16"/>
          <w:color w:val="auto"/>
        </w:rPr>
      </w:pPr>
    </w:p>
    <w:p>
      <w:pPr>
        <w:ind w:left="560" w:hanging="278"/>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interpretations of local laws and regulations, which may be subject to challenge by local regulators;</w:t>
      </w:r>
    </w:p>
    <w:p>
      <w:pPr>
        <w:spacing w:after="0" w:line="174"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difficulties or delays in obtaining and/or maintaining the regulatory permissions, authorizations, licenses or consents that may be required to offer certain products in one or more international markets;</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difficulties in managing multiple regulatory relationships across different jurisdictions on complex legal and regulatory matters;</w:t>
      </w:r>
    </w:p>
    <w:p>
      <w:pPr>
        <w:spacing w:after="0" w:line="162"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we were to engage in any merger or acquisition activity internationally, this is complex and would be new for us and subject to additional regulatory scrutiny;</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need to vary products, pricing and margins to effectively compete in international markets;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need to adapt and localize products for specific countries, including obtaining rights to third-party intellectual property used in each country;</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increased competition from local providers of similar products and services;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challenge of positioning our products and services to meet a demand in the local market (also known as “product-market fit”);</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ability to obtain, maintain, protect, defend and enforce intellectual property rights abroad;</w:t>
      </w:r>
    </w:p>
    <w:p>
      <w:pPr>
        <w:spacing w:after="0" w:line="162"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need to offer customer support and other aspects of our offering (including websites, articles, blog posts and customer support documentation) in various languages;</w:t>
      </w:r>
    </w:p>
    <w:p>
      <w:pPr>
        <w:spacing w:after="0" w:line="151" w:lineRule="exact"/>
        <w:rPr>
          <w:rFonts w:ascii="Arial" w:cs="Arial" w:eastAsia="Arial" w:hAnsi="Arial"/>
          <w:sz w:val="16"/>
          <w:szCs w:val="16"/>
          <w:color w:val="auto"/>
        </w:rPr>
      </w:pPr>
    </w:p>
    <w:p>
      <w:pPr>
        <w:jc w:val="both"/>
        <w:ind w:left="560" w:right="20" w:hanging="278"/>
        <w:spacing w:after="0" w:line="254" w:lineRule="auto"/>
        <w:tabs>
          <w:tab w:leader="none" w:pos="5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compliance with anti-bribery laws, such as the Foreign Corrupt Practices Act (the “FCPA”) and equivalent anti-bribery and anti-corruption requirements in local markets, by us, our employees and our business partners, and the potential for increased complexity due to the requirements on us as a group to follow multiple rule sets;</w:t>
      </w:r>
    </w:p>
    <w:p>
      <w:pPr>
        <w:spacing w:after="0" w:line="144"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complexity and other risks associated with current and future legal requirements in other countries, including laws, rules, regulations and other legal requirements related to cybersecurity and data privacy frameworks and labor and employment laws;</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need to enter into new business partnerships with third-party service providers in order to provide products and services in the local market, which we may rely upon to be able to provide such products and services or to meet certain regulatory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60"/>
          </w:cols>
          <w:pgMar w:left="320" w:top="1440" w:right="319" w:bottom="1440" w:gutter="0" w:footer="0" w:header="0"/>
        </w:sectPr>
      </w:pPr>
    </w:p>
    <w:bookmarkStart w:id="71" w:name="page72"/>
    <w:bookmarkEnd w:id="71"/>
    <w:p>
      <w:pPr>
        <w:spacing w:after="0" w:line="2" w:lineRule="exact"/>
        <w:rPr>
          <w:sz w:val="20"/>
          <w:szCs w:val="20"/>
          <w:color w:val="auto"/>
        </w:rPr>
      </w:pPr>
    </w:p>
    <w:p>
      <w:pPr>
        <w:ind w:left="560" w:right="20" w:hanging="278"/>
        <w:spacing w:after="0" w:line="260" w:lineRule="auto"/>
        <w:tabs>
          <w:tab w:leader="none" w:pos="556" w:val="left"/>
        </w:tabs>
        <w:numPr>
          <w:ilvl w:val="0"/>
          <w:numId w:val="38"/>
        </w:numPr>
        <w:rPr>
          <w:rFonts w:ascii="Arial" w:cs="Arial" w:eastAsia="Arial" w:hAnsi="Arial"/>
          <w:sz w:val="16"/>
          <w:szCs w:val="16"/>
          <w:color w:val="auto"/>
        </w:rPr>
      </w:pPr>
      <w:r>
        <w:rPr>
          <w:rFonts w:ascii="Arial" w:cs="Arial" w:eastAsia="Arial" w:hAnsi="Arial"/>
          <w:sz w:val="16"/>
          <w:szCs w:val="16"/>
          <w:color w:val="auto"/>
        </w:rPr>
        <w:t>varying levels of internet technology adoption and infrastructure, and increased or varying network and hosting service provider costs and differences in technology service delivery in different countries;</w:t>
      </w:r>
    </w:p>
    <w:p>
      <w:pPr>
        <w:spacing w:after="0" w:line="151"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38"/>
        </w:numPr>
        <w:rPr>
          <w:rFonts w:ascii="Arial" w:cs="Arial" w:eastAsia="Arial" w:hAnsi="Arial"/>
          <w:sz w:val="16"/>
          <w:szCs w:val="16"/>
          <w:color w:val="auto"/>
        </w:rPr>
      </w:pPr>
      <w:r>
        <w:rPr>
          <w:rFonts w:ascii="Arial" w:cs="Arial" w:eastAsia="Arial" w:hAnsi="Arial"/>
          <w:sz w:val="16"/>
          <w:szCs w:val="16"/>
          <w:color w:val="auto"/>
        </w:rPr>
        <w:t>fluctuations in currency exchange rates and the requirements of currency control regulations, which might restrict or prohibit conversion of other currencies into U.S. dollars;</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taxation of our international earnings and potentially adverse tax consequences due to requirements of or changes in the income and other tax laws of the United States or the international jurisdictions in which we operate; and</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political or social unrest or economic instability in a specific country or region in which we operate.</w:t>
      </w:r>
    </w:p>
    <w:p>
      <w:pPr>
        <w:spacing w:after="0" w:line="17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have limited experience with international regulatory environments and market practices, and we may not be able to penetrate or successfully operate in the markets we choose to enter. In addition, we may incur significant expenses as a result of our international expansion, and we may not be successful. We may launch products that lack local product-market fit, face local competition from pre-existing companies offering similar products and/or face limited brand recognition in certain parts of the world, any of which could lead to non-acceptance or delayed acceptance of our products and services by customers in new markets. Product adoption and growth rates may vary significantly across different markets. We are subject to income taxes and other taxes in the United States and other countries in which we transact or conduct business, and such laws and tax rates vary by jurisdiction. We are subject to review and audit by U.S. federal, state, local and foreign tax authorities. Such tax authorities may disagree with tax positions we take, and if any such tax authority were to successfully challenge any such position, our financial condition or results of operations could be materially and adversely affected. Our failure to successfully manage these risks could harm our international operations in the markets we choose to enter and have an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media coverage could harm our business, financial condition and results of operations.</w:t>
      </w:r>
    </w:p>
    <w:p>
      <w:pPr>
        <w:spacing w:after="0" w:line="181" w:lineRule="exact"/>
        <w:rPr>
          <w:sz w:val="20"/>
          <w:szCs w:val="20"/>
          <w:color w:val="auto"/>
        </w:rPr>
      </w:pPr>
    </w:p>
    <w:p>
      <w:pPr>
        <w:jc w:val="both"/>
        <w:ind w:firstLine="287"/>
        <w:spacing w:after="0" w:line="269" w:lineRule="auto"/>
        <w:rPr>
          <w:sz w:val="20"/>
          <w:szCs w:val="20"/>
          <w:color w:val="auto"/>
        </w:rPr>
      </w:pPr>
      <w:r>
        <w:rPr>
          <w:rFonts w:ascii="Arial" w:cs="Arial" w:eastAsia="Arial" w:hAnsi="Arial"/>
          <w:sz w:val="15"/>
          <w:szCs w:val="15"/>
          <w:color w:val="auto"/>
        </w:rPr>
        <w:t>We receive a high volume of media coverage, which has increased as our company has grown. We have also received and may continue to receive negative media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 such as the March 2020 Outages and the April-May 2021 Outages, are likely to receive extensive media attention. Furthermore, any negative experiences our customers have in connection with their use of our products and services, including as a result of any such performance problems, could diminish customer confidence in us and our products and services, which could result in unfavorable media coverage or publicity. For example, we received customer complaints and significant media attention as a result of the Early 2021 Trading Restrictions. See “Business—Legal Proceedings—Early 2021 Trading Restrictions Matters” and “Risk Factors—Risks Related to Regulation and Litigation—</w:t>
      </w:r>
      <w:r>
        <w:rPr>
          <w:rFonts w:ascii="Arial" w:cs="Arial" w:eastAsia="Arial" w:hAnsi="Arial"/>
          <w:sz w:val="15"/>
          <w:szCs w:val="15"/>
          <w:i w:val="1"/>
          <w:iCs w:val="1"/>
          <w:color w:val="auto"/>
        </w:rPr>
        <w:t>We are involved in numerous litigation matters that are expensive and time consuming, and, if resolved adversely, could harm our</w:t>
      </w:r>
      <w:r>
        <w:rPr>
          <w:rFonts w:ascii="Arial" w:cs="Arial" w:eastAsia="Arial" w:hAnsi="Arial"/>
          <w:sz w:val="15"/>
          <w:szCs w:val="15"/>
          <w:color w:val="auto"/>
        </w:rPr>
        <w:t xml:space="preserve"> </w:t>
      </w:r>
      <w:r>
        <w:rPr>
          <w:rFonts w:ascii="Arial" w:cs="Arial" w:eastAsia="Arial" w:hAnsi="Arial"/>
          <w:sz w:val="15"/>
          <w:szCs w:val="15"/>
          <w:i w:val="1"/>
          <w:iCs w:val="1"/>
          <w:color w:val="auto"/>
        </w:rPr>
        <w:t>reputation, business, financial condition or results of operations</w:t>
      </w:r>
      <w:r>
        <w:rPr>
          <w:rFonts w:ascii="Arial" w:cs="Arial" w:eastAsia="Arial" w:hAnsi="Arial"/>
          <w:sz w:val="15"/>
          <w:szCs w:val="15"/>
          <w:color w:val="auto"/>
        </w:rPr>
        <w:t>” for more information about the Early 2021 Trading Restrictions and the March 2020 Outages.</w:t>
      </w:r>
    </w:p>
    <w:p>
      <w:pPr>
        <w:spacing w:after="0" w:line="146"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Unfavorable publicity has in the past adversely affected, and could in the future adversely affect, our reputation. As our platform continues to scale and public awareness of our brand increases, any future issues that draw adverse media coverage could have an amplified negative effect on our reputation and brand. Any such negative publicity could have an adverse effect on our growth rate or the size, engagement and loyalty of our customer base, as well as on our ability to recruit and retain personnel, and result in decreased revenue or revenue growth rates, which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60"/>
          </w:cols>
          <w:pgMar w:left="320" w:top="1440" w:right="319" w:bottom="1440" w:gutter="0" w:footer="0" w:header="0"/>
        </w:sectPr>
      </w:pPr>
    </w:p>
    <w:bookmarkStart w:id="72" w:name="page73"/>
    <w:bookmarkEnd w:id="72"/>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Regulation and Litigation</w:t>
      </w:r>
    </w:p>
    <w:p>
      <w:pPr>
        <w:spacing w:after="0" w:line="15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2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securities industry is subject to extensive regulation by federal, state and non-U.S. regulators and SROs, and broker-dealers and financial services companies are subject to laws and regulations covering all aspects of the securities industry. The substantial costs and uncertainties related to complying with these regulations continue to increase, and our introduction of new products or services, expansion of our business in certain jurisdictions or subindustries, acquisitions of other businesses that operate in similar regulated spaces or other actions that we may take may subject us to additional laws, regulations or other government or regulatory scrutiny. Regulations are intended to ensure the integrity of financial markets, appropriate capitalization of broker-dealers and other financial services companies and the protection of customers and their assets. These regulations may serve to limit our business activities through capital, customer protection and market conduct requirements, as well as restrictions on the activities that we are authorized to conduct.</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Federal, state and non-U.S. regulators and SROs, including the SEC and FINRA, among other things, can investigate, censure or fine us, issue cease-and-desist orders or otherwise restrict our operations, require changes to our business practices, products or services, limit our acquisition activities or suspend or expel a broker-dealer or any of its officers or employees.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U.S. Department of Justice may institute civil or criminal proceedings against us for violating applicable laws, rules, or regulations. We operate in a highly regulated industry and, despite our efforts to comply with applicable legal requirements,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may fail to establish and enforce procedures that comply with applicable legal requirements and regulations. We may be adversely affected by new laws or regulations, changes in the interpretation of existing laws or regulations or more rigorous enforcement. For example, the practice of PFOF may be limited substantially by new or revised laws or regulations, which would materially decrease our transaction-based revenue, or banned entirely, which could require us to make significant changes to our revenue model, and such changes may not be successful. A discussion draft of a bill that would prohibit PFOF was introduced on May 3, 2021, in the House of Representatives, Committee on Financial Services. We also may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w:t>
      </w:r>
    </w:p>
    <w:p>
      <w:pPr>
        <w:spacing w:after="0" w:line="160"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We are also subject to laws, rules, regulations, policies, industry standards and contractual obligations regarding data privacy and security, and we may be subject to litigation, regulatory proceedings or other investigations regarding any actual or perceived non-compliance with such obligations. For more information, see “—Risks Related to Cybersecurity and Data Privacy</w:t>
      </w:r>
      <w:r>
        <w:rPr>
          <w:rFonts w:ascii="Arial" w:cs="Arial" w:eastAsia="Arial" w:hAnsi="Arial"/>
          <w:sz w:val="16"/>
          <w:szCs w:val="16"/>
          <w:i w:val="1"/>
          <w:iCs w:val="1"/>
          <w:color w:val="auto"/>
        </w:rPr>
        <w:t>—We are subject to stringent laws, rules, regulations, policies, industry standards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60"/>
          </w:cols>
          <w:pgMar w:left="320" w:top="1440" w:right="319" w:bottom="1440" w:gutter="0" w:footer="0" w:header="0"/>
        </w:sectPr>
      </w:pPr>
    </w:p>
    <w:bookmarkStart w:id="73" w:name="page74"/>
    <w:bookmarkEnd w:id="73"/>
    <w:p>
      <w:pPr>
        <w:jc w:val="both"/>
        <w:ind w:left="4" w:right="20"/>
        <w:spacing w:after="0" w:line="266" w:lineRule="auto"/>
        <w:rPr>
          <w:sz w:val="20"/>
          <w:szCs w:val="20"/>
          <w:color w:val="auto"/>
        </w:rPr>
      </w:pPr>
      <w:r>
        <w:rPr>
          <w:rFonts w:ascii="Arial" w:cs="Arial" w:eastAsia="Arial" w:hAnsi="Arial"/>
          <w:sz w:val="16"/>
          <w:szCs w:val="16"/>
          <w:b w:val="1"/>
          <w:bCs w:val="1"/>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manner materially adverse to our business.</w:t>
      </w:r>
    </w:p>
    <w:p>
      <w:pPr>
        <w:spacing w:after="0" w:line="147" w:lineRule="exact"/>
        <w:rPr>
          <w:sz w:val="20"/>
          <w:szCs w:val="20"/>
          <w:color w:val="auto"/>
        </w:rPr>
      </w:pPr>
    </w:p>
    <w:p>
      <w:pPr>
        <w:jc w:val="both"/>
        <w:ind w:left="4" w:firstLine="287"/>
        <w:spacing w:after="0" w:line="249" w:lineRule="auto"/>
        <w:rPr>
          <w:sz w:val="20"/>
          <w:szCs w:val="20"/>
          <w:color w:val="auto"/>
        </w:rPr>
      </w:pPr>
      <w:r>
        <w:rPr>
          <w:rFonts w:ascii="Arial" w:cs="Arial" w:eastAsia="Arial" w:hAnsi="Arial"/>
          <w:sz w:val="16"/>
          <w:szCs w:val="16"/>
          <w:color w:val="auto"/>
        </w:rPr>
        <w:t>From time to time, we have been, and expect to continue to be, subject to legal and regulatory proceedings arising out of our business practices and operations, including lawsuits, arbitration claims, governmental subpoenas, and regulatory, governmental and SRO inquiries, examinations, investigations and enforcement proceedings, as well as other actions and claims. For example, in May 2019, the SEC’s Division of Enforcement commenced an investigation into best execution and PFOF practices of our subsidiary, RHF, as well as statements concerning its sources of revenue. On December 17, 2020, RHF, on a neither admit nor deny basis, consented to the entry of an SEC order (i) requiring RHF to cease and desist from committing or causing any violations and any future violations of Sections 17(a)(2) and 17(a)(3) of the Securities Act and Section 17(a) of the Exchange Act and Rule 17a-4 thereunder; (ii) censuring RHF; and (iii) requiring RHF to pay a $65 million civil penalty in December 2020. RHF paid the $65 million penalty in cash and also agreed to engage an independent compliance consultant to, among other things, perform a comprehensive review of RHF’s supervisory, compliance and other policies and procedures related to its retail communications and PFOF and make recommendations for improvements. As a result of the cease-and-desist order, we are now considered an “ineligible issuer” as defined under Rule 405 of the Securities Act. See also “—</w:t>
      </w:r>
      <w:r>
        <w:rPr>
          <w:rFonts w:ascii="Arial" w:cs="Arial" w:eastAsia="Arial" w:hAnsi="Arial"/>
          <w:sz w:val="16"/>
          <w:szCs w:val="16"/>
          <w:i w:val="1"/>
          <w:iCs w:val="1"/>
          <w:color w:val="auto"/>
        </w:rPr>
        <w:t>As a result of our recent settlement with the SEC, we are currently considered an</w:t>
      </w:r>
      <w:r>
        <w:rPr>
          <w:rFonts w:ascii="Arial" w:cs="Arial" w:eastAsia="Arial" w:hAnsi="Arial"/>
          <w:sz w:val="16"/>
          <w:szCs w:val="16"/>
          <w:color w:val="auto"/>
        </w:rPr>
        <w:t xml:space="preserve"> </w:t>
      </w:r>
      <w:r>
        <w:rPr>
          <w:rFonts w:ascii="Arial" w:cs="Arial" w:eastAsia="Arial" w:hAnsi="Arial"/>
          <w:sz w:val="16"/>
          <w:szCs w:val="16"/>
          <w:i w:val="1"/>
          <w:iCs w:val="1"/>
          <w:color w:val="auto"/>
        </w:rPr>
        <w:t>‘ineligible issuer,’ which limits our ability to use certain free writing prospectuses in securities offerings and will delay our ability to qualify as a ‘well-known seasoned issuer’ in the future</w:t>
      </w:r>
      <w:r>
        <w:rPr>
          <w:rFonts w:ascii="Arial" w:cs="Arial" w:eastAsia="Arial" w:hAnsi="Arial"/>
          <w:sz w:val="16"/>
          <w:szCs w:val="16"/>
          <w:color w:val="auto"/>
        </w:rPr>
        <w:t>” below. Additionally, in December 2019, FINRA brought a disciplinary action against RHF in connection with alleged</w:t>
      </w:r>
      <w:r>
        <w:rPr>
          <w:rFonts w:ascii="Arial" w:cs="Arial" w:eastAsia="Arial" w:hAnsi="Arial"/>
          <w:sz w:val="16"/>
          <w:szCs w:val="16"/>
          <w:i w:val="1"/>
          <w:iCs w:val="1"/>
          <w:color w:val="auto"/>
        </w:rPr>
        <w:t xml:space="preserve"> </w:t>
      </w:r>
      <w:r>
        <w:rPr>
          <w:rFonts w:ascii="Arial" w:cs="Arial" w:eastAsia="Arial" w:hAnsi="Arial"/>
          <w:sz w:val="16"/>
          <w:szCs w:val="16"/>
          <w:color w:val="auto"/>
        </w:rPr>
        <w:t>noncompliance with best execution rules during the 2016 to 2017 timeframe, which resulted in a settlement and payment by RHF of a $1.25 million fine. We have also accrued as accounts payable and accrued expenses on the condensed consolidated balance sheets for the three months ended March 31, 2021 of</w:t>
      </w:r>
    </w:p>
    <w:p>
      <w:pPr>
        <w:spacing w:after="0" w:line="4" w:lineRule="exact"/>
        <w:rPr>
          <w:sz w:val="20"/>
          <w:szCs w:val="20"/>
          <w:color w:val="auto"/>
        </w:rPr>
      </w:pPr>
    </w:p>
    <w:p>
      <w:pPr>
        <w:jc w:val="both"/>
        <w:ind w:left="4" w:hanging="4"/>
        <w:spacing w:after="0" w:line="250" w:lineRule="auto"/>
        <w:tabs>
          <w:tab w:leader="none" w:pos="197"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$57.0 million fine and a $4.5 million customer restitution to be paid in connection with an agreement-in-principle RHF had reached with FINRA to resolve, on a no admit, no deny basis, certain of FINRA’s investigations and examinations, including investigations into systems outages, RHF’s options product offering, and margin-related communications with customers, among others (the “FINRA Matters”), and (ii) $15 million representing our best estimate at the time of our probable losses in connection with the resolution of an NYDFS matter focused primarily on anti-money laundering and cybersecurity-related issues (the “NYDFS Matter”). With respect to the FINRA Matters, the parties have since reached a resolution, in connection with which, among other things, RHF will pay a fine and customer restitution and engage an independent consultant. With respect to the NYDFS Matter, the parties have since reached a settlement in principle, subject to final documentation, in connection with which, among other things, RHC will pay a monetary penalty and engage a monitor. See “Business —Legal Proceedings” and Note 13 to our unaudited condensed consolidated financial statements for the three months ended March 31, 2021, included elsewhere in this prospectus for more information about these matters. See also Note 13 to our consolidated financial statements for the year ended December 31, 2020, included elsewhere in this prospectus.</w:t>
      </w:r>
    </w:p>
    <w:p>
      <w:pPr>
        <w:spacing w:after="0" w:line="151" w:lineRule="exact"/>
        <w:rPr>
          <w:sz w:val="20"/>
          <w:szCs w:val="20"/>
          <w:color w:val="auto"/>
        </w:rPr>
      </w:pPr>
    </w:p>
    <w:p>
      <w:pPr>
        <w:jc w:val="both"/>
        <w:ind w:left="4" w:firstLine="287"/>
        <w:spacing w:after="0" w:line="251" w:lineRule="auto"/>
        <w:rPr>
          <w:sz w:val="20"/>
          <w:szCs w:val="20"/>
          <w:color w:val="auto"/>
        </w:rPr>
      </w:pPr>
      <w:r>
        <w:rPr>
          <w:rFonts w:ascii="Arial" w:cs="Arial" w:eastAsia="Arial" w:hAnsi="Arial"/>
          <w:sz w:val="16"/>
          <w:szCs w:val="16"/>
          <w:color w:val="auto"/>
        </w:rPr>
        <w:t>In addition, we have been subject, and, given the highly regulated nature of the industries in which we operate, expect that we will be subject in the future, to a number of SEC and FINRA examinations and investigations, including examinations and investigations related to broker-dealer and financial services rules and regulations, including our trading and supervisory policies and procedures, our clearing practices, our public communications, our compliance with anti-money laundering and other financial crimes regulations, cybersecurity matters and our business continuity plans. We have also been subject, and may be subject in the future, to inquiries, investigations and examinations by other federal agencies such as the U.S. Department of Treasury’s Office of Foreign Assets Control (“OFAC”) and state regulatory agencies, such as the Massachusetts Securities Division (the “MSD”) and the NYDFS.</w:t>
      </w:r>
    </w:p>
    <w:p>
      <w:pPr>
        <w:spacing w:after="0" w:line="148" w:lineRule="exact"/>
        <w:rPr>
          <w:sz w:val="20"/>
          <w:szCs w:val="20"/>
          <w:color w:val="auto"/>
        </w:rPr>
      </w:pPr>
    </w:p>
    <w:p>
      <w:pPr>
        <w:jc w:val="both"/>
        <w:ind w:left="4" w:firstLine="287"/>
        <w:spacing w:after="0" w:line="260" w:lineRule="auto"/>
        <w:rPr>
          <w:sz w:val="20"/>
          <w:szCs w:val="20"/>
          <w:color w:val="auto"/>
        </w:rPr>
      </w:pPr>
      <w:r>
        <w:rPr>
          <w:rFonts w:ascii="Arial" w:cs="Arial" w:eastAsia="Arial" w:hAnsi="Arial"/>
          <w:sz w:val="16"/>
          <w:szCs w:val="16"/>
          <w:color w:val="auto"/>
        </w:rPr>
        <w:t>For example, in December 2020, the Enforcement Section of the MSD filed a complaint against us, alleging three counts of Massachusetts state securities law violations regarding unethical and dishonest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64"/>
          </w:cols>
          <w:pgMar w:left="316" w:top="1423" w:right="319" w:bottom="1440" w:gutter="0" w:footer="0" w:header="0"/>
        </w:sectPr>
      </w:pPr>
    </w:p>
    <w:bookmarkStart w:id="74" w:name="page75"/>
    <w:bookmarkEnd w:id="74"/>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conduct or practices, failure to supervise, and failure to act in accordance with the fiduciary duty standard required by Massachusetts, which became effective on March 6, 2020 and had an effective enforcement date beginning September 1, 2020. Among other things, the MSD alleges that our product features and marketing strategies, outages, and options trading approval process constitute violations of Massachusetts securities laws. The MSD’s initial complaint seeks, among other things, injunctive relief (seeking a permanent cease and desist order), censure, unspecified restitution, unspecified disgorgement, the appointment of an independent consultant and an unspecified administrative fine. The proposed amended complaint also seeks revocation of RHF's license to operate in Massachusetts. If RHF were to lose its license to operate in Massachusetts, we would not be able to acquire any new customers in Massachusetts, and expect that our current customers in Massachusetts would be unable to continue utilizing any of the services or products offered on our platform (other than closing their positions) and that we may be forced to transfer such customers’ accounts to other broker-dealers. Additionally, revocation of RHF’s Massachusetts license could trigger similar disqualification or proceedings to restrict or condition RHF’s registration by other state regulators. A revocation of RHF’s license to operate in Massachusetts would result in RHF and RHS being subject to statutory disqualification by FINRA and the SEC, which would then result in RHF needing to obtain relief from FINRA subject to SEC review in order to remain a FINRA member and RHS possibly needing relief from FINRA or other SROs. RHF has engaged in settlement discussions with the MSD at certain times since the MSD filed its initial complaint, however, such negotiations have not been successful and RHF is currently not engaged in any such settlement discussions with the MSD.</w:t>
      </w:r>
    </w:p>
    <w:p>
      <w:pPr>
        <w:spacing w:after="0" w:line="16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Additionally, on April 14, 2021, the California Attorney General’s Office issued an investigative subpoena to RHC, seeking documents and answers to interrogatories about RHC’s trading platform, business and operations, application of California’s commodities regulations to RHC and other matters. RHC is cooperating with this investigation. We cannot predict the outcome of the investigation or any consequences that might result from it.</w:t>
      </w:r>
    </w:p>
    <w:p>
      <w:pPr>
        <w:spacing w:after="0" w:line="145"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Antitrust Division, the SEC staff, FINRA, the New York Attorney General’s Office, other state attorneys general offices and a number of state securities regulators. Also, a related search warrant was executed by the USAO to obtain Mr. Tenev’s cell phone. There have been several inquiries based on specific customer complaints. We have also received inquiries related to employee trading. In addition, we have received information and testimony requests from certain committees and members of the U.S. Congress and Mr. Tenev, among others, has provided or will provide testimony with respect to the Early 2021 Trading Restrictions. See “Business—Legal Proceedings” and “Business—Regulation.”</w:t>
      </w:r>
    </w:p>
    <w:p>
      <w:pPr>
        <w:spacing w:after="0" w:line="14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These proceedings, inquiries, examinations, investigations and other regulatory matters may subject us to fines, penalties and monetary settlements, result in additional compliance requirements, result in certain of our subsidiaries, including RHC, losing their regulatory licenses or ability to conduct business in certain jurisdictions,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broker-dealer or other regulated subsidiaries or their officers or employees. Any of the foregoing could, individually or in the aggregate, harm our reputation and brand, require substantial management attention and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60"/>
          </w:cols>
          <w:pgMar w:left="320" w:top="1440" w:right="319" w:bottom="1440" w:gutter="0" w:footer="0" w:header="0"/>
        </w:sectPr>
      </w:pPr>
    </w:p>
    <w:bookmarkStart w:id="75" w:name="page76"/>
    <w:bookmarkEnd w:id="75"/>
    <w:p>
      <w:pPr>
        <w:jc w:val="both"/>
        <w:spacing w:after="0" w:line="283" w:lineRule="auto"/>
        <w:rPr>
          <w:sz w:val="20"/>
          <w:szCs w:val="20"/>
          <w:color w:val="auto"/>
        </w:rPr>
      </w:pPr>
      <w:r>
        <w:rPr>
          <w:rFonts w:ascii="Arial" w:cs="Arial" w:eastAsia="Arial" w:hAnsi="Arial"/>
          <w:sz w:val="16"/>
          <w:szCs w:val="16"/>
          <w:b w:val="1"/>
          <w:bCs w:val="1"/>
          <w:i w:val="1"/>
          <w:iCs w:val="1"/>
          <w:color w:val="auto"/>
        </w:rPr>
        <w:t>Recent statements by lawmakers, regulators and other public officials have signaled an increased focus on new or additional regulations that could impact our business and require us to make significant changes to our business model and practices.</w:t>
      </w:r>
    </w:p>
    <w:p>
      <w:pPr>
        <w:spacing w:after="0" w:line="134"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Various lawmakers, regulators and other public officials have recently made statements about our business and that of other broker-dealers and signaled an increased focus on new or additional laws or regulations that, if acted upon, could impact our business. Over three days in the spring of 2021, the Committee on Financial Services of the U.S. House of Representatives held hearings on the events surrounding the January 2021 market volatility and disruptions surrounding Gamestop and other “meme” stocks at which various members of Congress expressed their concerns about various market practices, including PFOF and options trading. Gary Gensler, who became chair of the SEC in April 2021, was one of the witnesses at the third hearing, held on May 6, 2021, and in his testimony he indicated that he had instructed the staff of the SEC to study, and in some cases make rulemaking recommendations to the SEC regarding, a variety of market issues and practices, including PFOF, so-called gamification, and whether broker-dealers are adequately disclosing their policies and procedures around potential trading restrictions; whether margin requirements and other payment requirements are sufficient; and whether broker-dealers have appropriate tools to manage their liquidity and risk. Chair Gensler also discussed the use of mobile app features such as rewards, bonuses, push notifications and other prompts. Chair Gensler suggested that such prompts could promote behavior that is not in the interest of the customer, such as excessive trading. Chair Gensler also advised that he had directed the SEC staff to consider whether expanded enforcement mechanisms are necessary. Additionally, on June 9, 2021, Chair Gensler remarked at a public conference that he had instructed the SEC staff to make recommendations for the SEC’s consideration on best execution, Regulation National Market System, PFOF (both on-exchange and off-exchange), minimum pricing increments and the NBBO. The regulatory agenda published by the SEC on June 11, 2021, also identified that the SEC would be considering proposing rules in the next year to modernize equity market structure, including possible new rules on PFOF, best execution (amendments to Rule 605), market concentration and certain other practices. The agenda also announced that the SEC might be, at a pre-rule stage, seeking public comments later this year on potential rules related to gamification, behavioral prompts, predictive analytics and differential marketing.</w:t>
      </w:r>
    </w:p>
    <w:p>
      <w:pPr>
        <w:spacing w:after="0" w:line="148"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In addition, on March 18, 2021, FINRA issued a regulatory notice reminding member firms of their obligations with respect to maintaining margin requirements, customer order handling and effectively managing liquidity, with a particular focus on best execution practices and the need for member firms to make “meaningful disclosures” to inform customers of a firm’s order handling procedures during extreme market conditions. Further, at a public conference on May 19, 2021, FINRA indicated an intention to solicit public feedback, such as through notices or surveys, regarding so-called gamification in order to determine whether to adopt additional guidance or additional rules in that regard. Also, on June 23, 2021, FINRA issued a regulatory notice reminding member firms of the requirement that customer order flow be directed to markets providing the “most beneficial terms for their customers” and indicated that member firms may not negotiate the terms of order routing arrangements in a manner that reduces price improvement opportunities that would otherwise be available to those customers in the absence of PFOF. The impact that this notice may have on the ability of market participants to enter into PFOF arrangements, if any, has not been determined.</w:t>
      </w:r>
    </w:p>
    <w:p>
      <w:pPr>
        <w:spacing w:after="0" w:line="15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may not be successful. Any of these outcomes could have an adverse effect on our business, financial condition and results of operations. For more information about the potential impact of legal and regulatory changes, including changes to regulation of PFOF, see “—</w:t>
      </w:r>
      <w:r>
        <w:rPr>
          <w:rFonts w:ascii="Arial" w:cs="Arial" w:eastAsia="Arial" w:hAnsi="Arial"/>
          <w:sz w:val="16"/>
          <w:szCs w:val="16"/>
          <w:i w:val="1"/>
          <w:iCs w:val="1"/>
          <w:color w:val="auto"/>
        </w:rPr>
        <w:t>Our business is subject to extensive, complex and changing laws and regulations, and related regulatory proceedings and investigations.</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in these laws and regulations, or our failure to comply with these laws and regulations, could harm our business</w:t>
      </w:r>
      <w:r>
        <w:rPr>
          <w:rFonts w:ascii="Arial" w:cs="Arial" w:eastAsia="Arial" w:hAnsi="Arial"/>
          <w:sz w:val="16"/>
          <w:szCs w:val="16"/>
          <w:color w:val="auto"/>
        </w:rPr>
        <w:t>” and “—Risks Related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w:t>
      </w:r>
      <w:r>
        <w:rPr>
          <w:rFonts w:ascii="Arial" w:cs="Arial" w:eastAsia="Arial" w:hAnsi="Arial"/>
          <w:sz w:val="16"/>
          <w:szCs w:val="16"/>
          <w:i w:val="1"/>
          <w:iCs w:val="1"/>
          <w:color w:val="auto"/>
        </w:rPr>
        <w:t>Because a majority of our revenue is transaction-based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60"/>
          </w:cols>
          <w:pgMar w:left="320" w:top="1423" w:right="319" w:bottom="1440" w:gutter="0" w:footer="0" w:header="0"/>
        </w:sectPr>
      </w:pPr>
    </w:p>
    <w:bookmarkStart w:id="76" w:name="page77"/>
    <w:bookmarkEnd w:id="76"/>
    <w:p>
      <w:pPr>
        <w:jc w:val="both"/>
        <w:ind w:right="20"/>
        <w:spacing w:after="0" w:line="265" w:lineRule="auto"/>
        <w:rPr>
          <w:sz w:val="20"/>
          <w:szCs w:val="20"/>
          <w:color w:val="auto"/>
        </w:rPr>
      </w:pPr>
      <w:r>
        <w:rPr>
          <w:rFonts w:ascii="Arial" w:cs="Arial" w:eastAsia="Arial" w:hAnsi="Arial"/>
          <w:sz w:val="16"/>
          <w:szCs w:val="16"/>
          <w:i w:val="1"/>
          <w:iCs w:val="1"/>
          <w:color w:val="auto"/>
        </w:rPr>
        <w:t>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w:t>
      </w:r>
      <w:r>
        <w:rPr>
          <w:rFonts w:ascii="Arial" w:cs="Arial" w:eastAsia="Arial" w:hAnsi="Arial"/>
          <w:sz w:val="16"/>
          <w:szCs w:val="16"/>
          <w:color w:val="auto"/>
        </w:rPr>
        <w:t>.”</w:t>
      </w:r>
    </w:p>
    <w:p>
      <w:pPr>
        <w:spacing w:after="0" w:line="129"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As a result of our recent settlement with the SEC, we are currently considered an “ineligible issuer,” which limits our ability to use certain free writing prospectuses in securities offerings and will delay our ability to qualify as a “well-known seasoned issuer” in the future.</w:t>
      </w:r>
    </w:p>
    <w:p>
      <w:pPr>
        <w:spacing w:after="0" w:line="12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As a result of a cease-and-desist order issued by the SEC on December 17, 2020 and our related settlement in connection with the SEC’s investigation of our best execution and PFOF practices, we are currently an “ineligible issuer,” as the term is defined under Rule 405 of the Securities Act, and will remain an ineligible issuer until December 17, 2023. As long as we are an ineligible issuer, as a public company, we will be prevented from using free writing prospectuses in securities offerings, other than in certain limited circumstances, such as those free writing prospectuses that contain only a description of the terms of the offered securities or the offering itself. In particular, in connection with this initial public offering or any subsequent registered offering of our securities, we may only be able to engage in “live” roadshows that are not considered free writing prospectuses and are precluded from making broadly available to investors a recorded version of any roadshow, which would generally constitute a free writing prospectus. This could have the effect of limiting potential investor access to any roadshow we may conduct in connection with this or any other registered offering if investors are not able to attend any “live” virtual or in-person presentations, calls or webcasts that we may host.</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Additionally, following such time as we would otherwise be able to satisfy all other requirements for “well-known seasoned issuer” (“WKSI”) status under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Rule 405, we will be unable to take advantage of the following benefits associated with WKSI status, including the ability to:</w:t>
      </w:r>
    </w:p>
    <w:p>
      <w:pPr>
        <w:spacing w:after="0" w:line="175" w:lineRule="exact"/>
        <w:rPr>
          <w:sz w:val="20"/>
          <w:szCs w:val="20"/>
          <w:color w:val="auto"/>
        </w:rPr>
      </w:pPr>
    </w:p>
    <w:p>
      <w:pPr>
        <w:ind w:left="560" w:right="20" w:hanging="278"/>
        <w:spacing w:after="0" w:line="260" w:lineRule="auto"/>
        <w:tabs>
          <w:tab w:leader="none" w:pos="5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file Form S-3 shelf registration statements that are automatically effective to register a range of different types of securities for an indeterminate number or amount of securities and without the need to identify a detailed plan of distribution or specified selling stockholders;</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offer or register additional securities by amending any existing shelf registration statement rather than filing a new registration statement that would not be automatically effective; and</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take advantage of the “pay as you go” filing fee payment process and pay filing fees at the time of each takedown off a shelf registration statement, rather than at the time the registration statement is filed.</w:t>
      </w:r>
    </w:p>
    <w:p>
      <w:pPr>
        <w:spacing w:after="0" w:line="15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Notwithstanding our “ineligible issuer” status, assuming that the worldwide market value of our outstanding common stock held by non-affiliates will be at least $700 million, we would otherwise be eligible for WKSI status within 12 months of the consummation of this initial public offering. As a public company, we will face changing regulatory requirements and market conditions and be subject to other uncertainties which, among other things, could make it necessary or advisable for us to raise additional capital in an expeditious manner. Without the ability to utilize an automatic shelf registration statement once we would otherwise be eligible to do so if we had WKSI status, we may be unable to react quickly to such changing requirements and conditions and could be delayed in our ability to raise additional capital.</w:t>
      </w:r>
    </w:p>
    <w:p>
      <w:pPr>
        <w:spacing w:after="0" w:line="130"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are involved in numerous litigation matters that are expensive and time consuming, and, if resolved adversely, could harm our reputation, business, financial condition or results of operations.</w:t>
      </w:r>
    </w:p>
    <w:p>
      <w:pPr>
        <w:spacing w:after="0" w:line="122"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In addition to regulatory oversight, investigations and other proceedings, we are also involved in numerous other litigation matters, including putative class action lawsuits, and we anticipate that we will continue to be a target for litigation in the future. These litigation matters include commercial litigation matters, insurance matters, privacy and cybersecurity disputes, intellectual property disputes,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60"/>
          </w:cols>
          <w:pgMar w:left="320" w:top="1425" w:right="319" w:bottom="1440" w:gutter="0" w:footer="0" w:header="0"/>
        </w:sectPr>
      </w:pPr>
    </w:p>
    <w:bookmarkStart w:id="77" w:name="page78"/>
    <w:bookmarkEnd w:id="77"/>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disputes, consumer protection matters and employment matters. In addition, during market downturns, the volume of legal claims and amount of damages sought in litigation and regulatory proceedings against financial services companies have historically increased.</w:t>
      </w:r>
    </w:p>
    <w:p>
      <w:pPr>
        <w:spacing w:after="0" w:line="15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 xml:space="preserve">For example, beginning on March 4, 2020, 15 putative class actions and one individual action were filed against us in state and federal district courts relating to the March 2020 Outages. One of the putative class actions and the individual action were voluntarily dismissed following settlements between the parties. Thirteen of the remaining putative class actions have been consolidated as </w:t>
      </w:r>
      <w:r>
        <w:rPr>
          <w:rFonts w:ascii="Arial" w:cs="Arial" w:eastAsia="Arial" w:hAnsi="Arial"/>
          <w:sz w:val="16"/>
          <w:szCs w:val="16"/>
          <w:i w:val="1"/>
          <w:iCs w:val="1"/>
          <w:color w:val="auto"/>
        </w:rPr>
        <w:t>In re Robinhood Outage Litigation</w:t>
      </w:r>
      <w:r>
        <w:rPr>
          <w:rFonts w:ascii="Arial" w:cs="Arial" w:eastAsia="Arial" w:hAnsi="Arial"/>
          <w:sz w:val="16"/>
          <w:szCs w:val="16"/>
          <w:color w:val="auto"/>
        </w:rPr>
        <w:t xml:space="preserve"> in the United States District Court for the Northern District of California. The one remaining putative class action, </w:t>
      </w:r>
      <w:r>
        <w:rPr>
          <w:rFonts w:ascii="Arial" w:cs="Arial" w:eastAsia="Arial" w:hAnsi="Arial"/>
          <w:sz w:val="16"/>
          <w:szCs w:val="16"/>
          <w:i w:val="1"/>
          <w:iCs w:val="1"/>
          <w:color w:val="auto"/>
        </w:rPr>
        <w:t>Withouski v. Robinhood Financial LLC et al.,</w:t>
      </w:r>
      <w:r>
        <w:rPr>
          <w:rFonts w:ascii="Arial" w:cs="Arial" w:eastAsia="Arial" w:hAnsi="Arial"/>
          <w:sz w:val="16"/>
          <w:szCs w:val="16"/>
          <w:color w:val="auto"/>
        </w:rPr>
        <w:t xml:space="preserve"> pending in the Superior Court of the State of California, County of San Mateo, has been stayed by agreement of the parties. The lawsuits generally allege that putative class members or the plaintiff were unable to execute trades during the March 2020 Outages because our platform was inadequately designed to handle customer demand and we failed to implement appropriate backup systems. The lawsuits include, among other things, claims for breach of contract, negligence, gross negligence, breach of fiduciary duty, unjust enrichment and violations of certain California consumer protection statutes. The lawsuits generally seek damages, restitution or disgorgement, as well as declaratory and injunctive relief. On October 5, 2020, we filed a motion to dismiss the consolidated amended complaint and to strike the class allegations. On February 18, 2021, the court dismissed RHM from the case with leave to amend, but otherwise denied the motion, and ordered the parties to select a mediator within 14 days. On June 30, 2021, the plaintiffs filed a second amended complaint naming RHF, RHS and RHM as defendants. A mediation is scheduled for July 27, 2021. Fact discovery has been completed and expert discovery is scheduled to be completed by August 27, 2021.</w:t>
      </w:r>
    </w:p>
    <w:p>
      <w:pPr>
        <w:spacing w:after="0" w:line="15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have also received notice that approximately 1,600 jointly represented customers may pursue arbitration of individual claims against us arising out of the March 2020 Outages, in addition to other alleged system outages.</w:t>
      </w:r>
    </w:p>
    <w:p>
      <w:pPr>
        <w:spacing w:after="0" w:line="13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Additionally, beginning in December 2020, six putative class actions were filed against us in federal district courts relating to our PFOF practices. The lawsuits generally relate to the same factual allegations as the SEC matter that settled in December 2020, as described above under “—</w:t>
      </w:r>
      <w:r>
        <w:rPr>
          <w:rFonts w:ascii="Arial" w:cs="Arial" w:eastAsia="Arial" w:hAnsi="Arial"/>
          <w:sz w:val="16"/>
          <w:szCs w:val="16"/>
          <w:i w:val="1"/>
          <w:iCs w:val="1"/>
          <w:color w:val="auto"/>
        </w:rPr>
        <w:t>We have been subject</w:t>
      </w:r>
      <w:r>
        <w:rPr>
          <w:rFonts w:ascii="Arial" w:cs="Arial" w:eastAsia="Arial" w:hAnsi="Arial"/>
          <w:sz w:val="16"/>
          <w:szCs w:val="16"/>
          <w:color w:val="auto"/>
        </w:rPr>
        <w:t xml:space="preserve"> </w:t>
      </w:r>
      <w:r>
        <w:rPr>
          <w:rFonts w:ascii="Arial" w:cs="Arial" w:eastAsia="Arial" w:hAnsi="Arial"/>
          <w:sz w:val="16"/>
          <w:szCs w:val="16"/>
          <w:i w:val="1"/>
          <w:iCs w:val="1"/>
          <w:color w:val="auto"/>
        </w:rPr>
        <w:t>to regulatory investigations, actions and settlements and we expect to continue to be subject to such proceedings in the future, which could cause us to incur substantial costs or require us to change our business practices in a manner materially adverse to our business</w:t>
      </w:r>
      <w:r>
        <w:rPr>
          <w:rFonts w:ascii="Arial" w:cs="Arial" w:eastAsia="Arial" w:hAnsi="Arial"/>
          <w:sz w:val="16"/>
          <w:szCs w:val="16"/>
          <w:color w:val="auto"/>
        </w:rPr>
        <w:t>.” The consolidated lawsuits include, among</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things, claims for breach of Section 10(b) and Rule 10b-5 of the Exchange Act, breach of the implied covenant of good faith and fair dealing, breach of fiduciary duty and violations of certain California consumer protection statutes.</w:t>
      </w:r>
    </w:p>
    <w:p>
      <w:pPr>
        <w:spacing w:after="0" w:line="160"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addition, we have become aware of approximately 50 putative class actions (two of which complaints have been voluntarily dismissed with prejudice) and three individual actions that have been filed against one or more of RHM, RHF and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 certain state consumer protection claims based on similar factual allegations. 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Antitrust Division, the SEC staff, FINRA, the New York Attorney General’s Office, other state attorneys general offices and a number of state securities regulators. Also, a related search warrant was executed by the USAO to obtain Mr. Tenev’s cell phone. There have been several inquiries based on specific customer complaints. We have also received inquiries related to employee trading. In addition, we have received information and testimony requests from certain committees and members of the U.S. Congress and Mr. Tenev, among others, has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60"/>
          </w:cols>
          <w:pgMar w:left="320" w:top="1440" w:right="319" w:bottom="1440" w:gutter="0" w:footer="0" w:header="0"/>
        </w:sectPr>
      </w:pPr>
    </w:p>
    <w:bookmarkStart w:id="78" w:name="page79"/>
    <w:bookmarkEnd w:id="78"/>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or will provide testimony with respect to the Early 2021 Trading Restrictions. In addition, we have also received a high degree of media coverage, including negative media coverage, as well as complaints from our customers about us and our platform in connection with the Early 2021 Trading Restrictions. Given our brand and our reputation are two of our most important assets, any damage to our brand and reputation as a result of such negative media coverage could have an adverse effect on our business, financial condition and results of operations.</w:t>
      </w:r>
    </w:p>
    <w:p>
      <w:pPr>
        <w:spacing w:after="0" w:line="15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Further, on January 8, 2021, a putative class action was filed in California Superior Court (Santa Clara County) against RHF and RHS by Siddharth Mehta, purportedly on behalf of approximately 2,000 Robinhood customers whose accounts were allegedly accessed by unauthorized users from January 1, 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California Consumer Privacy Act (the “CCPA”). On March 12, 2021, RHF and RHS filed a motion to dismiss the amended complaint, which on May 6, 2021 was granted in part and denied in part. A second amended complaint was filed by the plaintiffs on May 20, 2021, which RHF and RHS moved to dismiss on June 3, 2021.</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more information about litigation matters and other regulatory and legal proceedings in which we are involved, see “Business—Legal Proceedings.”</w:t>
      </w:r>
    </w:p>
    <w:p>
      <w:pPr>
        <w:spacing w:after="0" w:line="163"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Litigation matters brought against us may require substantial management attention and may result in settlements, awards, injunctions, fines, penalties and other adverse results. A substantial judgment, settlement, fine or penalty or injunctive relief could be material to our results of operations or cash flows for a particular period, or could cause us significant reputational harm or have an adverse effect on our business, financial condition and results of operations.</w:t>
      </w:r>
    </w:p>
    <w:p>
      <w:pPr>
        <w:spacing w:after="0" w:line="139"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are subject to governmental laws and requirements regarding economic and trade sanctions, anti-money laundering and counter-terror financing that could impair our ability to compete in international markets or subject us to criminal or civil liability if we violate them.</w:t>
      </w:r>
    </w:p>
    <w:p>
      <w:pPr>
        <w:spacing w:after="0" w:line="12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Although our operations are currently concentrated in the United States (with the limited exception of our U.K. and Dutch subsidiaries, which have U.K.- and Netherlands-based employees and contractors, but currently have no customers), in the future we may seek to expand internationally and will become subject to additional laws and regulations, and will need to implement new regulatory controls to comply with applicable laws. We are currently required to comply with U.S. economic and trade sanctions administered by OFAC and we have processes in place to comply with the OFAC regulations. As part of our onboarding process, in accordance with the Customer Identification Program rules, which is required by Section 326 of the USA PATRIOT ACT of 2001, we screen all potential customers against the OFAC watchlists and continue to screen all customers, vendors and employees daily against the OFAC watchlists. While we currently only offer services to U.S. citizens and permanent residents with a legal address within the United States or Puerto Rico, and while our application includes features designed to block access to our services from sanctioned countries, our application could potentially be illegitimately accessed from anywhere in the world. If our services are accessed from a sanctioned country in violation of the trade and economic sanctions, with our knowledge or otherwise, we could be subject to enforcement actions. Additionally, to the extent a customer accesses our application or services from outside the United States, we could also become subject to regulations in that local jurisdiction, including requirements that we become licensed, registered or authorized in such jurisdiction. A regulator’s conclusion that we are servicing customers in their jurisdiction without being appropriately licensed, registered or authorized could result in fines or other enforcement actions. Our broker-dealer subsidiaries are registered in the United States but are not licensed, authorized or registered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60"/>
          </w:cols>
          <w:pgMar w:left="320" w:top="1440" w:right="319" w:bottom="1440" w:gutter="0" w:footer="0" w:header="0"/>
        </w:sectPr>
      </w:pPr>
    </w:p>
    <w:bookmarkStart w:id="79" w:name="page80"/>
    <w:bookmarkEnd w:id="79"/>
    <w:p>
      <w:pPr>
        <w:spacing w:after="0" w:line="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are also subject to various anti-money laundering and counter-terrorist financing laws and regulations around the world that prohibit, among other things, our involvement in transferring the proceeds of criminal activities. In the United States, most of our services are subject to anti-money laundering laws and regulations, including the Bank Secrecy Act, as amended (“BSA”), and similar laws and regulations. The BSA is the primary U.S. anti-money laundering law and has been amended to include certain provisions of Title III of the USA Patriot Act to detect, deter and disrupt terrorist financing networks. Regulators in the United States and globally continue to increase their scrutiny of compliance with these obligations. For example, in July 2020, the NYDFS issued a report of its examination of RHC citing a number of “matters requiring attention” focused primarily on anti-money laundering and cybersecurity-related issues. Following subsequent investigation by the NYDFS’s Consumer Protection and Financial Enforcement Division, in March 2021, the NYDFS informed RHC of certain alleged violations of anti-money laundering and New York Banking Law requirements (Part 417, Part 504 and Banking Law § 44), including the failure to maintain and certify a compliant anti-money laundering program. We refer to the foregoing matters as the “NYDFS Matter.” RHC and the NYDFS have reached a settlement in principle with respect to these allegations, subject to final documentation, in connection with which, among other things, RHC expects to pay a monetary penalty of $30 million and engage a monitor. See “Business—Legal Proceedings—RHC Anti-Money Laundering, Cybersecurity and Other Issues” for more information.</w:t>
      </w:r>
    </w:p>
    <w:p>
      <w:pPr>
        <w:spacing w:after="0" w:line="16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If we expand our services internationally, we will become subject to additional non-U.S. laws, rules, regulations and other requirements regarding economic and trade sanctions, anti-money laundering, and counter-terror financing. In that case, we would need to further revise or expand our compliance program, including the procedures we use to verify the identity of our customers and to monitor transactions on our system, including payments to persons outside of the United States. The need to comply with multiple sets of laws, rules, regulations and other requirements could substantially increase our compliance costs, impair our ability to compete in international markets, and subject us to risk of criminal or civil liability for violations.</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We are subject to anti-corruption, anti-bribery and similar laws, and non-compliance with such laws can subject us to criminal or civil liability and harm our business.</w:t>
      </w:r>
    </w:p>
    <w:p>
      <w:pPr>
        <w:spacing w:after="0" w:line="12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are subject to the FCPA, U.S. domestic bribery laws and other U.S. and foreign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Although our operations are currently concentrated in the United States (with the limited exception of our U.K. and Dutch subsidiaries, which have U.K. and Netherlands-based employees and contractors, but currently have no customers), as we increase our international cross-border business and expand operations abroad, we have engaged and may further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The failure to comply with any such laws could subject us to criminal or civil liability, cause us significant reputational harm and have an adverse effect on our business, financial condition and results of operations.</w:t>
      </w:r>
    </w:p>
    <w:p>
      <w:pPr>
        <w:spacing w:after="0" w:line="144"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cannot assure that all of our employees and agents will comply with our internal policies and applicable law, including anti-corruption, anti-bribery and similar laws. We may be ultimately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60"/>
          </w:cols>
          <w:pgMar w:left="320" w:top="1440" w:right="31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i w:val="1"/>
          <w:iCs w:val="1"/>
          <w:color w:val="auto"/>
        </w:rPr>
        <w:t>responsible for any such non-compliance. As we increase our international business, our compliance risks may increase.</w:t>
      </w:r>
    </w:p>
    <w:p>
      <w:pPr>
        <w:spacing w:after="0" w:line="19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results of operations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Industry, Customers, Products and Services</w:t>
      </w:r>
    </w:p>
    <w:p>
      <w:pPr>
        <w:spacing w:after="0" w:line="145"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operate in highly competitive markets, and many of our competitors have greater resources than we do and may have products and services that may be more appealing than ours to our current or potential customers.</w:t>
      </w:r>
    </w:p>
    <w:p>
      <w:pPr>
        <w:spacing w:after="0" w:line="134" w:lineRule="exact"/>
        <w:rPr>
          <w:sz w:val="20"/>
          <w:szCs w:val="20"/>
          <w:color w:val="auto"/>
        </w:rPr>
      </w:pPr>
    </w:p>
    <w:p>
      <w:pPr>
        <w:jc w:val="both"/>
        <w:ind w:firstLine="287"/>
        <w:spacing w:after="0" w:line="249" w:lineRule="auto"/>
        <w:rPr>
          <w:sz w:val="20"/>
          <w:szCs w:val="20"/>
          <w:color w:val="auto"/>
        </w:rPr>
      </w:pPr>
      <w:r>
        <w:rPr>
          <w:rFonts w:ascii="Arial" w:cs="Arial" w:eastAsia="Arial" w:hAnsi="Arial"/>
          <w:sz w:val="16"/>
          <w:szCs w:val="16"/>
          <w:color w:val="auto"/>
        </w:rPr>
        <w:t xml:space="preserve">The markets in which we compete are evolving and highly competitive, with multiple participants competing for the same customers. Our current and potential future competition principally comes from incumbent discount brokerages, established financial technology companies, venture-backed financial technology firms, banks, cryptocurrency exchanges, asset management firms and technology platforms. Since the 2019 launch of our Cash Management product, which enables existing brokerage account holders to earn interest on uninvested cash in their Cash Management accounts, we have also faced competition with respect to those services from traditional consumer banking institutions. The majority of our competitors have longer operating histories and greater capital resources than we have and offer a wider range of products and services. The impact of competitors with superior name recognition, greater market acceptance, larger customer bases or stronger capital positions could adversely affect our results of operations and customer acquisition and retention. Our competitors may also be able to respond more quickly to new or changing opportunities and demands and withstand changing market conditions better than we can, especially larger competitors that may benefit from more diversified product and customer bases. For example, some of our competitors have quickly adopted, or are seeking to adopt, some of our key offerings and services, including commission-free trading, fractional share trading and no account minimums, since their introduction on our platform to compete with us. In addition, competitors may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may not be able to match the marketing efforts or prices of our competitors. In addition, our competitors may choose to forgo PFOF and Transaction Rebate practices, which could create downward pressure on PFOF and make it more difficult for us to continue engaging in and generating revenue through PFOF, which is a significant source of our revenue. See “—Risks Related to Our Business— </w:t>
      </w:r>
      <w:r>
        <w:rPr>
          <w:rFonts w:ascii="Arial" w:cs="Arial" w:eastAsia="Arial" w:hAnsi="Arial"/>
          <w:sz w:val="16"/>
          <w:szCs w:val="16"/>
          <w:i w:val="1"/>
          <w:iCs w:val="1"/>
          <w:color w:val="auto"/>
        </w:rPr>
        <w:t>Because a majority of our revenue is transaction-based (including payment for order flow, or “PFOF”), reduced spreads in securities pricing,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reduced levels of trading activity generally, changes in our business relationships with market makers and any new regulation of, or any bans on, PFOF and similar practices may result in reduced profitability, increased compliance costs and expanded potential for negative publicity” </w:t>
      </w:r>
      <w:r>
        <w:rPr>
          <w:rFonts w:ascii="Arial" w:cs="Arial" w:eastAsia="Arial" w:hAnsi="Arial"/>
          <w:sz w:val="16"/>
          <w:szCs w:val="16"/>
          <w:color w:val="auto"/>
        </w:rPr>
        <w:t>for more information. We may</w:t>
      </w:r>
      <w:r>
        <w:rPr>
          <w:rFonts w:ascii="Arial" w:cs="Arial" w:eastAsia="Arial" w:hAnsi="Arial"/>
          <w:sz w:val="16"/>
          <w:szCs w:val="16"/>
          <w:i w:val="1"/>
          <w:iCs w:val="1"/>
          <w:color w:val="auto"/>
        </w:rPr>
        <w:t xml:space="preserve"> </w:t>
      </w:r>
      <w:r>
        <w:rPr>
          <w:rFonts w:ascii="Arial" w:cs="Arial" w:eastAsia="Arial" w:hAnsi="Arial"/>
          <w:sz w:val="16"/>
          <w:szCs w:val="16"/>
          <w:color w:val="auto"/>
        </w:rPr>
        <w:t>also be subject to increased competition as our competitors enter into business combinations or partnerships, or established companies in other market segments expand to become competitive with our business.</w:t>
      </w:r>
    </w:p>
    <w:p>
      <w:pPr>
        <w:spacing w:after="0" w:line="162"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In addition, we compete in a technology-intensive market characterized by rapid innovation. Some of our competitors in this market, including new and emerging competitors, are not subject to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60"/>
          </w:cols>
          <w:pgMar w:left="320" w:top="1423" w:right="319" w:bottom="1440" w:gutter="0" w:footer="0" w:header="0"/>
        </w:sectPr>
      </w:pPr>
    </w:p>
    <w:bookmarkStart w:id="81" w:name="page82"/>
    <w:bookmarkEnd w:id="81"/>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regulatory requirements or scrutiny to which we are subject, which could place us at a competitive disadvantage, in particular in the development of new technology platforms or the ability to rapidly innovate. We may be unable to effectively use new technologies, adapt our products and services to emerging market standards or develop or introduce and market enhanced or new products and services. If we are not able to update or adapt our products and services to take advantage of the latest technologies and standards, or are otherwise unable to tailor the delivery of our services to the latest personal and mobile computing devices preferred by our customers or to provide products or services that are of a quality preferred by our customers, it could have an adverse effect on our business, financial position and results of operations.</w:t>
      </w:r>
    </w:p>
    <w:p>
      <w:pPr>
        <w:spacing w:after="0" w:line="16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Our ability to compete successfully in the financial services and cryptocurrency markets depends on a number of factors, including, among other things:</w:t>
      </w:r>
    </w:p>
    <w:p>
      <w:pPr>
        <w:spacing w:after="0" w:line="163" w:lineRule="exact"/>
        <w:rPr>
          <w:sz w:val="20"/>
          <w:szCs w:val="20"/>
          <w:color w:val="auto"/>
        </w:rPr>
      </w:pPr>
    </w:p>
    <w:p>
      <w:pPr>
        <w:ind w:left="560" w:hanging="278"/>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providing easy-to-use, innovative and attractive products and services, as well as effective customer support;</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maintaining and expanding our market position;</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attracting and retaining customers;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reputation and the market perception of our brand and overall value;</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maintaining our relationships with our counterparties;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maintaining competitive pricing;</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competing in a competitive landscape, including in the provision of products and services that have until recently been available only from our bank competitors;</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effectiveness, reliability and stability of our technology (including the success of our outage prevention efforts and our cybersecurity measures and defenses), products and services;</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innovating effectively in launching new or enhanced products and services;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adjusting to a dynamic regulatory environment;</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differences in regulatory oversight regimes to which we and our competitors are subject; and</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general economic and market trends, including customer demand for financial products and services.</w:t>
      </w:r>
    </w:p>
    <w:p>
      <w:pPr>
        <w:spacing w:after="0" w:line="163"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Our competitive position within our markets could be adversely affected if we are unable to adequately address these factors, which could have an adverse effect on our business, financial condition and results of operations.</w:t>
      </w:r>
    </w:p>
    <w:p>
      <w:pPr>
        <w:spacing w:after="0" w:line="12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If we fail to retain existing customers or attract new customers, or if our customers decrease their use of our products and services, our growth could be slower than we expect and our business may be harmed.</w:t>
      </w:r>
    </w:p>
    <w:p>
      <w:pPr>
        <w:spacing w:after="0" w:line="134"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have experienced significant customer growth over the past several years. Our continued business and revenue growth is dependent on our ability to attract new customers, retain existing customers, increase the amount that our customers use our products and services and sell our premium services, such as Robinhood Gold, and we cannot be sure that we will be successful in these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60"/>
          </w:cols>
          <w:pgMar w:left="320" w:top="1440" w:right="319" w:bottom="1440" w:gutter="0" w:footer="0" w:header="0"/>
        </w:sectPr>
      </w:pPr>
    </w:p>
    <w:bookmarkStart w:id="82" w:name="page83"/>
    <w:bookmarkEnd w:id="82"/>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There are a number of factors that could lead to a decline in our number of customers or their usage of our products and services, or that could prevent us from increasing our number of customers, including:</w:t>
      </w:r>
    </w:p>
    <w:p>
      <w:pPr>
        <w:spacing w:after="0" w:line="151" w:lineRule="exact"/>
        <w:rPr>
          <w:sz w:val="20"/>
          <w:szCs w:val="20"/>
          <w:color w:val="auto"/>
        </w:rPr>
      </w:pPr>
    </w:p>
    <w:p>
      <w:pPr>
        <w:ind w:left="560" w:right="20" w:hanging="278"/>
        <w:spacing w:after="0" w:line="260" w:lineRule="auto"/>
        <w:tabs>
          <w:tab w:leader="none" w:pos="5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failure to introduce new products or services, or our introduction of new products or services, or changes in our existing products or services, that are not favorably received;</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pricing for our products and services;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harm to our brand and reputation, or decreases in the perceived quality, reliability or usefulness of our products and services;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customers engaging with competitive products and services;</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customers having difficulty installing, updating or otherwise accessing the Robinhood app on mobile devices as a result of actions by us or third parties that we rely on to distribute our app;</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customers experiencing security breaches, account intrusions or other unauthorized access as a result of actions by us or our business partners, including third parties that we rely on to distribute the Robinhood application;</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failure to provide adequate customer service to our customers;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resistance to and non-acceptance of cryptocurrencies;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cybersecurity attack, data breach or other security incident resulting in loss in customer confidence;</w:t>
      </w:r>
    </w:p>
    <w:p>
      <w:pPr>
        <w:spacing w:after="0" w:line="174"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inability to manage network or service outages, interruptions and internet disruptions, including during times of high trading activity, or other performance or technical problems that prevent our customers from accessing and managing their accounts or assets in a rapid and reliable manner;</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in our customers’ investment strategies or level of interest in investing;</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regulatory changes that have the effect of limiting or prohibiting our existing business practices, including PFOF;</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enactment of proposed legislation that would impose taxes on certain financial transactions;</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mandated by legislation, regulatory authorities or litigation that adversely affect our products and services, or our ability to provide them to our customers;</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restrictions on trading that we impose on our platform as a result of the capital requirements and cash deposit and collateral requirements to which RHS is subject as a clearing and carrying broker-dealer; and</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deteriorating general economic conditions, including as a result of the COVID-19 pandemic or a general downturn in the U.S. equity markets.</w:t>
      </w:r>
    </w:p>
    <w:p>
      <w:pPr>
        <w:spacing w:after="0" w:line="16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As we expand our business operations and enter new markets, new challenges in attracting and retaining customers will arise that we may not successfully address. Our success, and our ability to increase revenues and operate profitably, depends in part on our ability to cost-effectively acquire new customers, to retain existing customers and to keep existing customers engaged so that they continue to use our products and services. Our customers may choose to cease using our platform, products and services at any time, and may choose to transfer their accounts to another broker-dealer. For example, in the first quarter of 2021, we saw an increase in Automated Customer Account Transfer Services (“ACATS”) out as a result of an increase in customers choosing to transfer their accounts to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60"/>
          </w:cols>
          <w:pgMar w:left="320" w:top="1440" w:right="319" w:bottom="1440" w:gutter="0" w:footer="0" w:header="0"/>
        </w:sectPr>
      </w:pPr>
    </w:p>
    <w:bookmarkStart w:id="83" w:name="page84"/>
    <w:bookmarkEnd w:id="83"/>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broker-dealer. In the first quarter of 2021, total value of ACATS out was $4.1 billion, representing 5.0% of AUC, from approximately 206,000 accounts, as compared to the quarterly average for fiscal year 2020 of $0.4 billion, representing on average 1.2% of AUC, from approximately 22,000 accounts on average. We have historically relied significantly on our customers joining organically or through the Robinhood Referral Program, which accounted for over 80% of the customers that joined our platform in fiscal year 2020 and in the three months ended March 31, 2021. If such channels of customer growth decline, our marketing efforts prove to be ineffective or we are unable to predict customer demands, retain current customers or attract new customers, our revenue may grow more slowly than expected, may not grow at all or may decline and have an adverse effect on our business, financial condition and results of operations. For a definition of “organically” acquired customers, see “Management’s Discussion and Analysis of Financial Condition and Results of Operations—Our Business Model—New Customer Growth.”</w:t>
      </w:r>
    </w:p>
    <w:p>
      <w:pPr>
        <w:spacing w:after="0" w:line="146"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Many of our customers are first-time investors and our trading volumes and revenues could be reduced if these customers stop trading altogether or stop using our platform for their investing activities.</w:t>
      </w:r>
    </w:p>
    <w:p>
      <w:pPr>
        <w:spacing w:after="0" w:line="12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business model focuses on making the financial markets accessible to a broad demographic of retail investors. As of December 31, 2020 and as of March 31, 2021, we had 12.5 million and 18.0 million Net Cumulative Funded Accounts, respectively, and from January 1, 2015 to March 31, 2021, over half of the customers funding accounts on our platform told us that Robinhood was their first brokerage account. In addition, in the first half of 2020, we saw a significant increase in the number of new accounts opened by first-time investors. Our success, and our ability to increase revenues and operate profitably, depends in part on such customers continuing to utilize our platform, even as global social and economic conditions shift. However, our customers do not have long-term contractual arrangements with us and can utilize our platform on a transaction-by-transaction basis and may also cease to use our platforms at any time. We may face particular challenges in retaining these investors as customers, for example as a result of a return to pre-COVID-19 behaviors, increased volatility in the financial markets or increasing availability of competing products that seek to target the same demographic. In particular, a broad decline in the equity or other financial markets could result in some of these investors exiting the markets and leaving our platform. Any significant loss of customers or a significant reduction in their use of our platform could have a material impact on our trading volumes and revenues, and materially adversely affect our business, financial condition and results of operations.</w:t>
      </w:r>
    </w:p>
    <w:p>
      <w:pPr>
        <w:spacing w:after="0" w:line="132"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Our introduction of new products and services, or changes to existing products and services, could fail to attract or retain customers or generate growth and revenue.</w:t>
      </w:r>
    </w:p>
    <w:p>
      <w:pPr>
        <w:spacing w:after="0" w:line="134"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ability to attract, engage and retain our customers and to increase our revenue depends heavily on our ability to continue to maintain and evolve our existing products and services and to create successful new products and services. We may introduce significant changes to our existing products and services or acquire or introduce new and unproven products and services, including using technologies with which we have little or no prior development or operating experience. We continue to incur substantial costs, and we may not be successful in continuing to generate profits, in connection with these efforts. In addition, the introduction of new products and services, or changes to existing products and services, may result in new or enhanced governmental or regulatory scrutiny or other complications that could adversely affect our business and results of operations. If our new or enhanced products and services fail to attract customers, or if our business plans are unsuccessful, we may fail to attract or retain customers or to generate sufficient revenue, operating margin or other value to justify our investments, and our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60"/>
          </w:cols>
          <w:pgMar w:left="320" w:top="1440" w:right="319" w:bottom="1440" w:gutter="0" w:footer="0" w:header="0"/>
        </w:sectPr>
      </w:pPr>
    </w:p>
    <w:bookmarkStart w:id="84" w:name="page85"/>
    <w:bookmarkEnd w:id="84"/>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If we do not keep pace with industry and technological changes and continue to provide new and innovative products and services, our business may become less competitive and our business may be adversely impacted.</w:t>
      </w:r>
    </w:p>
    <w:p>
      <w:pPr>
        <w:spacing w:after="0" w:line="134"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Rapid and significant technological changes continue to confront the financial services industry, including developments in the methods in which securities are traded and developments in cryptocurrencies. If we fail to innovate and deliver products and services with market fit and differentiation, or fail to do so quickly enough as compared to our competitors, we may not be able to keep pace with industry and technological changes in our industry and we may face difficulty in competing within our market, which could harm our business.</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expect new technologies, products, services and industry norms to continue to emerge and evolve, and we cannot predict the effects of technological changes or industry practices on our business. Further, new technologies introduced in our markets may be superior to, or render obsolete, the technologies we currently use in our products and services. Incorporating new technologies into our products and services may require substantial expenditures and take considerable time, and we may not be successful in realizing a return on these development efforts in a timely manner or at all. Our ability to successfully adopt new products and services and to develop and incorporate new technologies may be inhibited by industry-wide standards, changes to laws and regulations, changing customer expectations, demands and preferences or third-party intellectual property rights. If we are unable to enhance our products and services or to innovate or to develop new products and services that achieve market acceptance or that keep pace with rapid technological developments and evolving industry standards or practices, our business could be adversely affected.</w:t>
      </w:r>
    </w:p>
    <w:p>
      <w:pPr>
        <w:spacing w:after="0" w:line="15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Because our products and services are designed to operate on a variety of systems, we will need to continuously modify, enhance and improve our products and services to keep pace with changes in internet-related hardware, mobile operating systems such as iOS and other software, communication, browser and database technologies. We may not be successful in either developing these modifications, enhancements and improvements or in bringing them to market quickly or cost-effectively in response to market demands. Furthermore, uncertainties about the timing and nature of new network platforms or technologies, or modifications to existing platforms or technologies, could increase our research and development expenses. Any failure of our products and services to keep pace with technological changes or to innovate or to operate effectively with future network platforms and technologies, or to do so in a timely and cost-effective manner, could reduce the demand for our products and services, result in customer dissatisfaction and negative publicity, reduce our competitive advantage and harm our business and reputation.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successfully monetize our products and services, our financial condition and results of operations may be adversely affected.</w:t>
      </w:r>
    </w:p>
    <w:p>
      <w:pPr>
        <w:spacing w:after="0" w:line="18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are continuously striving to deliver innovative products and features to customers at low prices. As we expand into new business lines and markets, we may find that it is more difficult for us to monetize products and features delivered at low prices due to economic, political, competitive or market-structure considerations. If we are not successful in our monetization efforts or if we expend significant resources to launch new products and services that we are unable to monetize, our financial condition and results of operations may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Platform, Systems and Technology</w:t>
      </w:r>
    </w:p>
    <w:p>
      <w:pPr>
        <w:spacing w:after="0" w:line="15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Our platform has been, and may in the future be, subject to interruption and instability due to operational and technological failures, whether internal or external.</w:t>
      </w:r>
    </w:p>
    <w:p>
      <w:pPr>
        <w:spacing w:after="0" w:line="122"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rely on technology, including the internet and mobile services, to conduct much of our business activity and allow our customers to conduct financial transactions on our platform. Our systems and operations, including our primary and disaster recovery data center operations, as well as those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60"/>
          </w:cols>
          <w:pgMar w:left="320" w:top="1423" w:right="319" w:bottom="1440" w:gutter="0" w:footer="0" w:header="0"/>
        </w:sectPr>
      </w:pPr>
    </w:p>
    <w:bookmarkStart w:id="85" w:name="page86"/>
    <w:bookmarkEnd w:id="85"/>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third parties on which we rely to conduct certain key functions,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human error, terrorism, improper operation, unauthorized entry, data loss, intentional bad actions and other similar events and we have experienced such disruptions in the past. Further, we may be particularly vulnerable to any such internal technology failures because we rely heavily on our own self-clearing platform, proprietary order routing system, data platform and other back-end infrastructure for our operations, and any such failures could have an adverse effect on our reputation, business, financial condition and results of operations. For example, in December 2018, we experienced a failure of our order routing technology caused by code being inadvertently pushed to the production environment that led to option trades being incorrectly routed. We temporarily halted options trading while the technology failure was repaired and remediated customers impacted by the outage through a combination of Amazon gift cards, Robinhood Gold subscription fees and cash, resulting in estimated out-of-pocket losses to us of approximately $0.9 million.</w:t>
      </w:r>
    </w:p>
    <w:p>
      <w:pPr>
        <w:spacing w:after="0" w:line="163" w:lineRule="exact"/>
        <w:rPr>
          <w:sz w:val="20"/>
          <w:szCs w:val="20"/>
          <w:color w:val="auto"/>
        </w:rPr>
      </w:pPr>
    </w:p>
    <w:p>
      <w:pPr>
        <w:jc w:val="both"/>
        <w:ind w:firstLine="287"/>
        <w:spacing w:after="0" w:line="249" w:lineRule="auto"/>
        <w:rPr>
          <w:sz w:val="20"/>
          <w:szCs w:val="20"/>
          <w:color w:val="auto"/>
        </w:rPr>
      </w:pPr>
      <w:r>
        <w:rPr>
          <w:rFonts w:ascii="Arial" w:cs="Arial" w:eastAsia="Arial" w:hAnsi="Arial"/>
          <w:sz w:val="16"/>
          <w:szCs w:val="16"/>
          <w:color w:val="auto"/>
        </w:rPr>
        <w:t>In addition, surges in trading volume on our platform have in the past and may in the future cause our systems to operate at diminished speed or even fail, temporarily or for a more prolonged period of time, which would affect our ability to process transactions and potentially result in some customers’ orders being executed at prices they did not anticipate or executed incorrectly, or not executed at all. For example, the March 2020 Outages resulted in certain of our customers being unable to buy and sell securities and other financial products on our platform for a period of time. Similarly, the April-May 2021 Outages resulted in certain of our customers being unable to buy and sell cryptocurrencies and some customers experiencing downgraded service. Our platform has otherwise in the past and may in the future experience additional outages from time to time. Disruptions caused by the March 2020 Outages resulted in putative class action lawsuits being filed against us (and certain of our subsidiaries) by our customers in both state and federal courts as well as regulatory examinations and investigations. We provided remediation to many of our customers impacted by the March 2020 Outages through cash payments, resulting in estimated out-of-pocket losses to us of approximately $ 3.6 million. See “—Risks Related to Regulation and Litigation—</w:t>
      </w:r>
      <w:r>
        <w:rPr>
          <w:rFonts w:ascii="Arial" w:cs="Arial" w:eastAsia="Arial" w:hAnsi="Arial"/>
          <w:sz w:val="16"/>
          <w:szCs w:val="16"/>
          <w:i w:val="1"/>
          <w:iCs w:val="1"/>
          <w:color w:val="auto"/>
        </w:rPr>
        <w:t>We are involved in numerous litigation matters that</w:t>
      </w:r>
      <w:r>
        <w:rPr>
          <w:rFonts w:ascii="Arial" w:cs="Arial" w:eastAsia="Arial" w:hAnsi="Arial"/>
          <w:sz w:val="16"/>
          <w:szCs w:val="16"/>
          <w:color w:val="auto"/>
        </w:rPr>
        <w:t xml:space="preserve"> </w:t>
      </w:r>
      <w:r>
        <w:rPr>
          <w:rFonts w:ascii="Arial" w:cs="Arial" w:eastAsia="Arial" w:hAnsi="Arial"/>
          <w:sz w:val="16"/>
          <w:szCs w:val="16"/>
          <w:i w:val="1"/>
          <w:iCs w:val="1"/>
          <w:color w:val="auto"/>
        </w:rPr>
        <w:t>are expensive and time consuming, and, if resolved adversely, could harm our reputation, business, financial condition or results of operations,</w:t>
      </w:r>
      <w:r>
        <w:rPr>
          <w:rFonts w:ascii="Arial" w:cs="Arial" w:eastAsia="Arial" w:hAnsi="Arial"/>
          <w:sz w:val="16"/>
          <w:szCs w:val="16"/>
          <w:color w:val="auto"/>
        </w:rPr>
        <w:t>” “—Risks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Regulation and Litigation—</w:t>
      </w:r>
      <w:r>
        <w:rPr>
          <w:rFonts w:ascii="Arial" w:cs="Arial" w:eastAsia="Arial" w:hAnsi="Arial"/>
          <w:sz w:val="16"/>
          <w:szCs w:val="16"/>
          <w:i w:val="1"/>
          <w:iCs w:val="1"/>
          <w:color w:val="auto"/>
        </w:rPr>
        <w:t>We have been subject to regulatory investigations, actions and settlements and we expect to continue to be subject to</w:t>
      </w:r>
      <w:r>
        <w:rPr>
          <w:rFonts w:ascii="Arial" w:cs="Arial" w:eastAsia="Arial" w:hAnsi="Arial"/>
          <w:sz w:val="16"/>
          <w:szCs w:val="16"/>
          <w:color w:val="auto"/>
        </w:rPr>
        <w:t xml:space="preserve"> </w:t>
      </w:r>
      <w:r>
        <w:rPr>
          <w:rFonts w:ascii="Arial" w:cs="Arial" w:eastAsia="Arial" w:hAnsi="Arial"/>
          <w:sz w:val="16"/>
          <w:szCs w:val="16"/>
          <w:i w:val="1"/>
          <w:iCs w:val="1"/>
          <w:color w:val="auto"/>
        </w:rPr>
        <w:t>such proceedings in the future, which could cause us to incur substantial costs or require us to change our business practices in a manner materially adverse to our business</w:t>
      </w:r>
      <w:r>
        <w:rPr>
          <w:rFonts w:ascii="Arial" w:cs="Arial" w:eastAsia="Arial" w:hAnsi="Arial"/>
          <w:sz w:val="16"/>
          <w:szCs w:val="16"/>
          <w:color w:val="auto"/>
        </w:rPr>
        <w:t>” and “Business—Legal Proceedings.” Disruptions to, destruction of, improper access to, breach of, instability of or failure to effectively maintain</w:t>
      </w:r>
      <w:r>
        <w:rPr>
          <w:rFonts w:ascii="Arial" w:cs="Arial" w:eastAsia="Arial" w:hAnsi="Arial"/>
          <w:sz w:val="16"/>
          <w:szCs w:val="16"/>
          <w:i w:val="1"/>
          <w:iCs w:val="1"/>
          <w:color w:val="auto"/>
        </w:rPr>
        <w:t xml:space="preserve"> </w:t>
      </w:r>
      <w:r>
        <w:rPr>
          <w:rFonts w:ascii="Arial" w:cs="Arial" w:eastAsia="Arial" w:hAnsi="Arial"/>
          <w:sz w:val="16"/>
          <w:szCs w:val="16"/>
          <w:color w:val="auto"/>
        </w:rPr>
        <w:t>our information technology systems (including our data processing systems, self-clearing platform and order routing system) or external technology of third parties with whom we do business that allow our customers to use our products and services could result in customer attrition, costly litigation and regulatory and U.S. Congressional inquiries, negative publicity and reputational harm, and may have an adverse effect on our business. Frequent or persistent interruptions in our products and services could cause customers to believe that our products and services are unreliable, leading them to switch to our competitors or to otherwise avoid our products and services. Additionally, our insurance policies may be insufficient to cover a claim made against us by any such customers affected by any disruptions, outages, or other performance or infrastructure problems. See also “—Risks Related to Finance, Accounting and Tax Matters</w:t>
      </w:r>
      <w:r>
        <w:rPr>
          <w:rFonts w:ascii="Arial" w:cs="Arial" w:eastAsia="Arial" w:hAnsi="Arial"/>
          <w:sz w:val="16"/>
          <w:szCs w:val="16"/>
          <w:i w:val="1"/>
          <w:iCs w:val="1"/>
          <w:color w:val="auto"/>
        </w:rPr>
        <w:t>—Our insurance coverage may be inadequate or expensive.”</w:t>
      </w:r>
    </w:p>
    <w:p>
      <w:pPr>
        <w:spacing w:after="0" w:line="162"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While we have made, and continue to make, significant investments designed to enhance the reliability and scalability of our platform and operations as well as our customer support functions, we do not have fully redundant systems and we cannot assure that these investments will be successful or that we will be able to maintain, expand and upgrade our systems and infrastructure to meet future requirements and mitigate future risks on a timely basis. It may become increasingly difficult to maintain and improve the availability of our platform, especially as our platform and product offerings become more complex, our customer base grows and we experience surges in trading volume on our platform.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60"/>
          </w:cols>
          <w:pgMar w:left="320" w:top="1440" w:right="319" w:bottom="1440" w:gutter="0" w:footer="0" w:header="0"/>
        </w:sectPr>
      </w:pPr>
    </w:p>
    <w:bookmarkStart w:id="86" w:name="page87"/>
    <w:bookmarkEnd w:id="86"/>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example, in May 2021 we launched our IPO Access feature, which enables our customers to buy shares in the initial public offerings of participating companies at the IPO price, before trading begins on public exchanges. Because we only recently started offering this new feature, there may be risks related to the technology and operation of IPO Access that we have not yet identified or cannot foresee, and any failure or interruption of the IPO Access feature on our platform could adversely affect our relationships with participating companies and our customers that utilize this feature, including any customers who use this feature in connection with this offering. To the extent that we do not effectively address capacity constraints, upgrade our systems as needed, or continually develop our technology and network architecture to accommodate actual and anticipated changes in technology, our reputation, business, financial condition and results of operations could be adversely affected.</w:t>
      </w:r>
    </w:p>
    <w:p>
      <w:pPr>
        <w:spacing w:after="0" w:line="14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Our products and internal systems rely on software that is highly technical, and if these systems contain errors, bugs or vulnerabilities, or if we are unsuccessful in addressing or mitigating technical limitations or vulnerabilities in our systems, our business could be adversely affected.</w:t>
      </w:r>
    </w:p>
    <w:p>
      <w:pPr>
        <w:spacing w:after="0" w:line="12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products and internal systems rely on software, including software developed or maintained internally and by third parties, that is highly technical and complex. In addition, our platform and our internal systems depend on the ability of such software, which includes machine learning models, to collect, store, retrieve, transmit, manage and otherwise process immense amounts of data. The software on which we rely may contain errors, bugs or vulnerabilities, and our systems are subject to certain technical limitations that may compromise our ability to meet our objectives. Some errors, bugs or vulnerabilities inherently may be difficult to detect and may only be discovered after code has been released for external or internal use. Errors, bugs, vulnerabilities, design defects or technical limitations within the software on which we rely may lead to negative customer experiences (including the communication of inaccurate information to customers), compromised ability of our products to perform in a manner consistent with customer expectations, delayed product introductions, compromised ability to protect the data (including personal data) of our customers and our intellectual property or an inability to provide some or all of our services. Such errors, bugs, vulnerabilities or defects could also be exploited by malicious actors and result in exposure of data of customers on our platform,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bugs, vulnerabilities or defects in the software on which we rely, and any associated degradations or interruptions of service, could result in damage to our reputation, loss of customers, loss of revenue, regulatory or governmental inquiries, civil litigation, or liability for damages, any of which could have an adverse effect on our business, financial condition and results of operations.</w:t>
      </w:r>
    </w:p>
    <w:p>
      <w:pPr>
        <w:spacing w:after="0" w:line="13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Our success depends in part upon effective operation with mobile operating systems, networks, technologies, products, hardware and standards that we do not control.</w:t>
      </w:r>
    </w:p>
    <w:p>
      <w:pPr>
        <w:spacing w:after="0" w:line="134" w:lineRule="exact"/>
        <w:rPr>
          <w:sz w:val="20"/>
          <w:szCs w:val="20"/>
          <w:color w:val="auto"/>
        </w:rPr>
      </w:pPr>
    </w:p>
    <w:p>
      <w:pPr>
        <w:jc w:val="both"/>
        <w:ind w:firstLine="287"/>
        <w:spacing w:after="0" w:line="269" w:lineRule="auto"/>
        <w:rPr>
          <w:sz w:val="20"/>
          <w:szCs w:val="20"/>
          <w:color w:val="auto"/>
        </w:rPr>
      </w:pPr>
      <w:r>
        <w:rPr>
          <w:rFonts w:ascii="Arial" w:cs="Arial" w:eastAsia="Arial" w:hAnsi="Arial"/>
          <w:sz w:val="15"/>
          <w:szCs w:val="15"/>
          <w:color w:val="auto"/>
        </w:rPr>
        <w:t>A substantial majority of our customers’ activity on our platform occurs on mobile devices. There is no guarantee that popular mobile devices will continue to feature the Robinhood app, or that mobile device customers will continue to use our products and services rather than those of our competitors. We are dependent on the interoperability of our app with popular mobile operating systems, networks, technologies, products, hardware and standards that we do not control, such as the Android and iOS operating systems. Any changes, bugs or technical issues in such systems or changes in our relationships with mobile operating system partners,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customer usage of the Robinhood app.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60"/>
          </w:cols>
          <w:pgMar w:left="320" w:top="1440" w:right="319" w:bottom="1440" w:gutter="0" w:footer="0" w:header="0"/>
        </w:sectPr>
      </w:pPr>
    </w:p>
    <w:bookmarkStart w:id="87" w:name="page88"/>
    <w:bookmarkEnd w:id="87"/>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 and those changes may be unfavorable to us and our developers’, creators’ and customers’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In some cases these requirements may not be clear or our interpretation of the requirements may not align with the interpretation of the operating system provider or application store, which could lead to inconsistent enforcement of these terms of service or policies against us, and could also result in the operating system provider or application store limiting or discontinuing access to its operating system or store. Any limitation or discontinuation of our access to any third-party platform or application store could adversely affect our business, financial condition or results of operations.</w:t>
      </w:r>
    </w:p>
    <w:p>
      <w:pPr>
        <w:spacing w:after="0" w:line="164"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Additionally, in order to deliver a high-quality mobile experience for our customers, it is important that our products and services work well with a range of mobile technologies, products, systems, networks, hardware and standards that we do not control, and that we have good relationships with mobile operating system partners, device manufacturers and mobile carriers. We may not be successful in maintaining or developing relationships with key participants in the mobile ecosystem or in developing products that operate effectively with these technologies, products, systems, networks or standards. In the event that it is more difficult for our customers to access and use our app, or if our customers choose not to access or use our app on their mobile devices or use mobile products that do not offer access to our app, our customer growth and engagement could be harmed. In the event that our customers are adversely affected by these actions or if our relationships with such third parties deteriorate, our customer growth and engagement could be adversely affected and our business could be harmed.</w:t>
      </w:r>
    </w:p>
    <w:p>
      <w:pPr>
        <w:spacing w:after="0" w:line="134"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rely on third parties to perform certain key functions, and their failure to perform those functions could adversely affect our business, financial condition and results of operations.</w:t>
      </w:r>
    </w:p>
    <w:p>
      <w:pPr>
        <w:spacing w:after="0" w:line="12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rely on certain third-party computer systems or third-party service providers, including cloud technology providers such as Amazon Web Services, internet service providers, payment services providers, market and third-party data providers, regulatory services providers, clearing systems, market makers, exchange systems, banking systems, co-location facilities, communications facilities and other facilities to run our platform, facilitate trades by our customers and support or carry out certain regulatory obligations. In addition, external content providers provide us with financial information, market news, charts, option and stock quotes, cryptocurrency quotes, research reports and other fundamental data that we provide to our customers. These providers are susceptible to operational, technological and security vulnerabilities, including security breaches, which may impact our business, and our ability to monitor our third-party service providers’ data security is limited. In addition, these third-party service providers may rely on subcontractors to provide services to us that face similar risks. Any interruption in these third-party services, or deterioration in the quality of their service or performance, could be disruptive to our business. See also “Risks Related to Our Platform, Systems and Technology—</w:t>
      </w:r>
      <w:r>
        <w:rPr>
          <w:rFonts w:ascii="Arial" w:cs="Arial" w:eastAsia="Arial" w:hAnsi="Arial"/>
          <w:sz w:val="16"/>
          <w:szCs w:val="16"/>
          <w:i w:val="1"/>
          <w:iCs w:val="1"/>
          <w:color w:val="auto"/>
        </w:rPr>
        <w:t>We primarily rely on Amazon Web Services to deliver our services to customers on our platform, and</w:t>
      </w:r>
      <w:r>
        <w:rPr>
          <w:rFonts w:ascii="Arial" w:cs="Arial" w:eastAsia="Arial" w:hAnsi="Arial"/>
          <w:sz w:val="16"/>
          <w:szCs w:val="16"/>
          <w:color w:val="auto"/>
        </w:rPr>
        <w:t xml:space="preserve"> </w:t>
      </w:r>
      <w:r>
        <w:rPr>
          <w:rFonts w:ascii="Arial" w:cs="Arial" w:eastAsia="Arial" w:hAnsi="Arial"/>
          <w:sz w:val="16"/>
          <w:szCs w:val="16"/>
          <w:i w:val="1"/>
          <w:iCs w:val="1"/>
          <w:color w:val="auto"/>
        </w:rPr>
        <w:t>any disruption of or interference with our use of Amazon Web Services could adversely affect our business, financial condition and results of operations</w:t>
      </w:r>
      <w:r>
        <w:rPr>
          <w:rFonts w:ascii="Arial" w:cs="Arial" w:eastAsia="Arial" w:hAnsi="Arial"/>
          <w:sz w:val="16"/>
          <w:szCs w:val="16"/>
          <w:color w:val="auto"/>
        </w:rPr>
        <w:t>.”</w:t>
      </w:r>
    </w:p>
    <w:p>
      <w:pPr>
        <w:spacing w:after="0" w:line="16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 xml:space="preserve">Any failure or security breaches by or of our third-party service providers or their subcontractors that result in an interruption in service, unauthorized access, misuse, loss or destruction of data or other similar occurrences could interrupt our business, cause us to incur losses, result in decreased customer satisfaction and increase customer attrition, subject us to customer complaints, significant fines, litigation, disputes, claims, regulatory investigations or other inquiries and harm our reputation. See also </w:t>
      </w:r>
      <w:r>
        <w:rPr>
          <w:rFonts w:ascii="Arial" w:cs="Arial" w:eastAsia="Arial" w:hAnsi="Arial"/>
          <w:sz w:val="16"/>
          <w:szCs w:val="16"/>
          <w:i w:val="1"/>
          <w:iCs w:val="1"/>
          <w:color w:val="auto"/>
        </w:rPr>
        <w:t>“</w:t>
      </w:r>
      <w:r>
        <w:rPr>
          <w:rFonts w:ascii="Arial" w:cs="Arial" w:eastAsia="Arial" w:hAnsi="Arial"/>
          <w:sz w:val="16"/>
          <w:szCs w:val="16"/>
          <w:color w:val="auto"/>
        </w:rPr>
        <w:t>Risks Related to Our Platform, Systems and Technology—</w:t>
      </w:r>
      <w:r>
        <w:rPr>
          <w:rFonts w:ascii="Arial" w:cs="Arial" w:eastAsia="Arial" w:hAnsi="Arial"/>
          <w:sz w:val="16"/>
          <w:szCs w:val="16"/>
          <w:i w:val="1"/>
          <w:iCs w:val="1"/>
          <w:color w:val="auto"/>
        </w:rPr>
        <w:t>Our platform has been, and may in the future be, subject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interruption and instability due to operational and technological failures, whether internal or external.” </w:t>
      </w:r>
      <w:r>
        <w:rPr>
          <w:rFonts w:ascii="Arial" w:cs="Arial" w:eastAsia="Arial" w:hAnsi="Arial"/>
          <w:sz w:val="16"/>
          <w:szCs w:val="16"/>
          <w:color w:val="auto"/>
        </w:rPr>
        <w:t>Through contractual provisions and third-party risk</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processes, we take steps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60"/>
          </w:cols>
          <w:pgMar w:left="320" w:top="1440" w:right="319" w:bottom="1440" w:gutter="0" w:footer="0" w:header="0"/>
        </w:sectPr>
      </w:pPr>
    </w:p>
    <w:bookmarkStart w:id="88" w:name="page89"/>
    <w:bookmarkEnd w:id="88"/>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require that our providers, and their subcontractors, protect our data and information, including personal data. However, due to the size and complexity of our technology platform and services, the amount of data that we store and the number of customers, employees and third-party service providers with access to personal data, we, our third-party service providers and their subcontractors are potentially vulnerable to a variety of intentional and inadvertent cybersecurity breaches and other security-related incidents and threats, which could result in a material adverse effect on our business, financial condition and results of operation. Any contractual protections we may have from our third-party service providers may not be sufficient to adequately protect us against such consequences, and we may be unable to enforce any such contractual protections.</w:t>
      </w:r>
    </w:p>
    <w:p>
      <w:pPr>
        <w:spacing w:after="0" w:line="160"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addition, there is no assurance that our third-party service providers or their subcontractors will be able to continue to provide these services to meet our current needs in an efficient, cost-effective manner or that they will be able to adequately expand their services to meet our needs in the future. An interruption in or the cessation of service by our third-party service providers or their subcontractors, coupled with our possible inability to make alternative arrangements in a smooth, cost-effective and timely manner, could have adverse effects on our business, financial condition and results of operations.</w:t>
      </w:r>
    </w:p>
    <w:p>
      <w:pPr>
        <w:spacing w:after="0" w:line="147"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Further, if there were deficiencies in the oversight and control of our third-party relationships, and if our regulators held us responsible for those deficiencies, it could have an adverse effect on our business, reputation and results of operations.</w:t>
      </w:r>
    </w:p>
    <w:p>
      <w:pPr>
        <w:spacing w:after="0" w:line="12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primarily rely on Amazon Web Services to deliver our services to customers on our platform, and any disruption of or interference with our use of Amazon Web Services could adversely affect our business, financial condition and results of operations.</w:t>
      </w:r>
    </w:p>
    <w:p>
      <w:pPr>
        <w:spacing w:after="0" w:line="134"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currently host our platform and support our operations on datacenters provided by Amazon Web Services, or AWS, a third-party provider of cloud infrastructure services. Our operations depend on protecting the virtual cloud infrastructure hosted in AWS by maintaining its configuration, architecture and interconnection specifications, as well as the information stored in these virtual data centers and which third-party internet service providers transmit. Furthermore, we do not have physical access to or control over the operations of the facilities of AWS that we use. AWS’ facilities are vulnerable to damage or interruption from natural disasters, cybersecurity attacks, terrorist attacks, power outages, and similar events or acts of misconduct. See also “Risks Related to Our Platform, Systems and Technology—</w:t>
      </w:r>
      <w:r>
        <w:rPr>
          <w:rFonts w:ascii="Arial" w:cs="Arial" w:eastAsia="Arial" w:hAnsi="Arial"/>
          <w:sz w:val="16"/>
          <w:szCs w:val="16"/>
          <w:i w:val="1"/>
          <w:iCs w:val="1"/>
          <w:color w:val="auto"/>
        </w:rPr>
        <w:t>Our platform has been, and may in the future be, subject to interruption and instability due to operational and</w:t>
      </w:r>
      <w:r>
        <w:rPr>
          <w:rFonts w:ascii="Arial" w:cs="Arial" w:eastAsia="Arial" w:hAnsi="Arial"/>
          <w:sz w:val="16"/>
          <w:szCs w:val="16"/>
          <w:color w:val="auto"/>
        </w:rPr>
        <w:t xml:space="preserve"> </w:t>
      </w:r>
      <w:r>
        <w:rPr>
          <w:rFonts w:ascii="Arial" w:cs="Arial" w:eastAsia="Arial" w:hAnsi="Arial"/>
          <w:sz w:val="16"/>
          <w:szCs w:val="16"/>
          <w:i w:val="1"/>
          <w:iCs w:val="1"/>
          <w:color w:val="auto"/>
        </w:rPr>
        <w:t>technological failures, whether internal or external</w:t>
      </w:r>
      <w:r>
        <w:rPr>
          <w:rFonts w:ascii="Arial" w:cs="Arial" w:eastAsia="Arial" w:hAnsi="Arial"/>
          <w:sz w:val="16"/>
          <w:szCs w:val="16"/>
          <w:color w:val="auto"/>
        </w:rPr>
        <w:t>.” Our platform’s continuing and uninterrupted performance is critical to our success. We have experienced,</w:t>
      </w:r>
      <w:r>
        <w:rPr>
          <w:rFonts w:ascii="Arial" w:cs="Arial" w:eastAsia="Arial" w:hAnsi="Arial"/>
          <w:sz w:val="16"/>
          <w:szCs w:val="16"/>
          <w:i w:val="1"/>
          <w:iCs w:val="1"/>
          <w:color w:val="auto"/>
        </w:rPr>
        <w:t xml:space="preserve"> </w:t>
      </w:r>
      <w:r>
        <w:rPr>
          <w:rFonts w:ascii="Arial" w:cs="Arial" w:eastAsia="Arial" w:hAnsi="Arial"/>
          <w:sz w:val="16"/>
          <w:szCs w:val="16"/>
          <w:color w:val="auto"/>
        </w:rPr>
        <w:t>and expect that in the future we will experience, disruptions, interruptions, delays, and outages in service and availability from time to time due to a variety of factors, including infrastructure changes, human or software errors, website hosting disruptions, and capacity constraints. Although we carry business interruption insurance, it may not be sufficient to compensate us for the potentially significant losses, including the potential harm to the future growth of our business that may result from interruptions in our services or products.</w:t>
      </w:r>
    </w:p>
    <w:p>
      <w:pPr>
        <w:spacing w:after="0" w:line="150"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addition, any changes in AWS’ service levels may adversely affect our ability to meet the requirements of customers on our platform. Since our platform’s continuing and uninterrupted performance is critical to our success, sustained or repeated system failures would reduce the attractiveness of our platform. It may become increasingly difficult to maintain and improve our performance, especially during peak usage times, as we expand and the usage of our platform increases. Any of the above circumstances or events or any negative publicity arising from such disruptions may harm our reputation and brand, reduce the availability or usage of our platform, lead to a significant short-term loss of revenue, increase our costs, and impair our ability to attract new customers, any of which could adversely affect our business, financial condition and results of operations.</w:t>
      </w:r>
    </w:p>
    <w:p>
      <w:pPr>
        <w:spacing w:after="0" w:line="148"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Our commercial agreement with AWS will remain in effect until terminated by AWS or us pursuant to such agreement. AWS may terminate the agreement for convenience by providing us at least two years’ prior written notice. AWS may also terminate the agreement for cause upon a material breach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60"/>
          </w:cols>
          <w:pgMar w:left="320" w:top="1440" w:right="319" w:bottom="1440" w:gutter="0" w:footer="0" w:header="0"/>
        </w:sectPr>
      </w:pPr>
    </w:p>
    <w:bookmarkStart w:id="89" w:name="page90"/>
    <w:bookmarkEnd w:id="89"/>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agreement, subject to AWS providing prior written notice and a 30-day cure period. If AWS reasonably determines that our or any end users’ use of its services poses a security risk or threat to the function of their service offerings, AWS may also terminate the agreement for cause upon 90 days’ prior written notice and a 90-day cure period. AWS may also terminate the agreement upon 30 days’ prior written notice in order to comply with applicable law or requirements of governmental entities. Even though our platform is entirely in the cloud, we believe that we could transition to one or more alternative cloud infrastructure providers on commercially reasonable terms. In the event that our agreement with AWS is terminated or we add additional cloud infrastructure service providers, we may experience significant costs, interruptions in access to our website or online app or downtime in connection with the transfer to, or the addition of, new cloud infrastructure service providers.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Cybersecurity and Data Privacy</w:t>
      </w:r>
    </w:p>
    <w:p>
      <w:pPr>
        <w:spacing w:after="0" w:line="145"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Our business could be materially and adversely affected by a cybersecurity breach or other attack involving our computer systems or data or those of our customers or third-party service providers.</w:t>
      </w:r>
    </w:p>
    <w:p>
      <w:pPr>
        <w:spacing w:after="0" w:line="12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systems and those of our customers and third-party service providers have been and may in the future be vulnerable to hardware and cybersecurity issues. We, like other financial technology organizations, routinely are subject to cybersecurity threats and our technologies, systems and networks have been and may in the future be subject to attempted cybersecurity attacks. Such issues are increasing in frequency and evolving in nature. See also “Risks Related to Our Platform, Systems and Technology—</w:t>
      </w:r>
      <w:r>
        <w:rPr>
          <w:rFonts w:ascii="Arial" w:cs="Arial" w:eastAsia="Arial" w:hAnsi="Arial"/>
          <w:sz w:val="16"/>
          <w:szCs w:val="16"/>
          <w:i w:val="1"/>
          <w:iCs w:val="1"/>
          <w:color w:val="auto"/>
        </w:rPr>
        <w:t>Our platform has been, and may in the future be, subject to interruption and instability due to operational and</w:t>
      </w:r>
      <w:r>
        <w:rPr>
          <w:rFonts w:ascii="Arial" w:cs="Arial" w:eastAsia="Arial" w:hAnsi="Arial"/>
          <w:sz w:val="16"/>
          <w:szCs w:val="16"/>
          <w:color w:val="auto"/>
        </w:rPr>
        <w:t xml:space="preserve"> </w:t>
      </w:r>
      <w:r>
        <w:rPr>
          <w:rFonts w:ascii="Arial" w:cs="Arial" w:eastAsia="Arial" w:hAnsi="Arial"/>
          <w:sz w:val="16"/>
          <w:szCs w:val="16"/>
          <w:i w:val="1"/>
          <w:iCs w:val="1"/>
          <w:color w:val="auto"/>
        </w:rPr>
        <w:t>technological failures, whether internal or external.</w:t>
      </w:r>
      <w:r>
        <w:rPr>
          <w:rFonts w:ascii="Arial" w:cs="Arial" w:eastAsia="Arial" w:hAnsi="Arial"/>
          <w:sz w:val="16"/>
          <w:szCs w:val="16"/>
          <w:color w:val="auto"/>
        </w:rPr>
        <w:t>”</w:t>
      </w:r>
    </w:p>
    <w:p>
      <w:pPr>
        <w:spacing w:after="0" w:line="15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Concerns about security increase when we transmit information (including personal data) electronically. Electronic transmissions can be subject to attack, interception, loss or corruption. In addition, computer viruses and malware can be distributed and spread rapidly over the internet and could infiltrate our systems or those of our customers or third-party service providers. Infiltration of our systems or those of our customers or third-party service providers could in the future lead to disruptions in systems, accidental or unauthorized access to or disclosure, loss, destruction, disablement or encryption of, use or misuse of or modification of confidential, sensitive or otherwise protected information (including personal data) and the corruption of data.</w:t>
      </w:r>
    </w:p>
    <w:p>
      <w:pPr>
        <w:spacing w:after="0" w:line="14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Cybersecurity attacks and other malicious internet-based activity continue to increase and financial technology platform providers have been and are expected to continue to be targeted. In light of media attention concerning increases in our number of customers and amount of customer assets, including since the onset of the COVID-19 pandemic, we may be a particularly attractive target of malicious attacks seeking to access customer data or assets. In addition to traditional computer “hackers,” malicious code (such as viruses and worms), employee theft or misuse and denial -of-service attacks, sophisticated nation-state and nation-state-supported actors now engage in attacks (including advanced persistent threat intrusions). Further, advances in computer capabilities, new discoveries in the field of cryptography, inadequate facility security or other developments may result in a compromise or breach of the technology we use to protect customer data. As the breadth and complexity of the technologies we use and the software and platforms we develop continue to grow, including as a result of the use of mobile devices, cloud services, open source software, social media and the increased reliance on devices connected to the internet (known as the "Internet of Things"), the potential risk of security breaches and cybersecurity attacks also increases. Despite ongoing efforts to improve our ability to protect data from compromise, we may not be able to protect all of our data across our diverse systems. Our efforts to improve security and protect data from compromise may also identify previously undiscovered instances of security breaches or other cyber incidents. Our policies, employee training (including phishing prevention training), procedures and technical safeguards may also be insufficient to prevent or detect improper access to confidential, proprietary or sensitive data, including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60"/>
          </w:cols>
          <w:pgMar w:left="320" w:top="1440" w:right="319" w:bottom="1440" w:gutter="0" w:footer="0" w:header="0"/>
        </w:sectPr>
      </w:pPr>
    </w:p>
    <w:bookmarkStart w:id="90" w:name="page91"/>
    <w:bookmarkEnd w:id="90"/>
    <w:p>
      <w:pPr>
        <w:spacing w:after="0" w:line="2"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Additionally, due to the current COVID-19 pandemic, there is an increased risk that we may experience cybersecurity-related incidents as a result of our employees, service providers and other third parties working remotely on less secure systems and environments. Controls employed by our information technology department and our customers and third-party service providers, including cloud vendors, could prove inadequate.</w:t>
      </w:r>
    </w:p>
    <w:p>
      <w:pPr>
        <w:spacing w:after="0" w:line="157"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Information security risks for financial service providers are increasing, in part because of the use of the internet and mobile technologies to conduct financial transactions and, in the case of cryptocurrencies, the use of digital wallets. In addition, the highly automated nature of our products and services, as well as the liquidity offered by products and services such as our Cash Management product, make us and our customers a target for illegal or improper uses, including fraudulent transactions. Those committing fraud using stolen or fabricated debit cards or account numbers, or other deceptive or malicious practices, potentially can steal significant amounts of money from businesses and customers like ours. In providing products and services to customers, we rely on our ability to manage, use, store, disclose, transfer and otherwise process a large volume of customer data, including personal information and other sensitive information.</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While we take efforts to protect our systems and data, including establishing internal processes and implementing technological measures designed to provide multiple layers of security, and contract with third-party service providers to take similar steps, there can be no assurance that our safety and security measures (and those of our third-party service providers) will prevent damage to, or interruption or breach of, our information systems, data (including personal data) and operations. We have recently taken steps to expand and enhance our cybersecurity controls and practices and, as cybersecurity-related threats continue to evolve, we may be required to expend significant additional resources to continue to modify or enhance our protective measures or to investigate and remediate any information security vulnerabilities. In addition, our remediation efforts may not be successful. Certain measures that could increase the security of our systems take significant time and resources to deploy broadly, and such measures may not be deployed in a timely manner or be effective against an attack. The inability to implement, maintain and upgrade adequate safeguards could have a material and adverse impact on our business, financial condition and results of operations.</w:t>
      </w:r>
    </w:p>
    <w:p>
      <w:pPr>
        <w:spacing w:after="0" w:line="15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Moreover, there could be public announcements regarding any cybersecurity-related incidents and any steps we take to respond to or remediate such incidents, and if securities analysts or investors perceive these announcements to be negative, it could, among other things, have a substantial adverse effect on the price of our Class A common stock. Further, any publicized security problems affecting our businesses or those of third parties with whom we are affiliated or otherwise conduct business may discourage consumers from doing business with us, which could have a material and adverse effect on our business, financial condition and results of operations.</w:t>
      </w:r>
    </w:p>
    <w:p>
      <w:pPr>
        <w:spacing w:after="0" w:line="15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It is difficult or impossible to defend against every risk being posed by changing technologies, as well as criminals’ intent to commit cyber-crime, and these efforts may not be successful in anticipating, preventing, detecting or stopping attacks, or reacting in a timely manner. The increasing sophistication and resources of cyber criminals and other non-state threat actors and increased actions by nation-state actors make it difficult to keep up with new threats and could result in a breach of security. Additionally, we cannot guarantee that our insurance coverage would be sufficient to cover all losses. See “—Risks Related to Finance, Accounting and Tax Matters—</w:t>
      </w:r>
      <w:r>
        <w:rPr>
          <w:rFonts w:ascii="Arial" w:cs="Arial" w:eastAsia="Arial" w:hAnsi="Arial"/>
          <w:sz w:val="16"/>
          <w:szCs w:val="16"/>
          <w:i w:val="1"/>
          <w:iCs w:val="1"/>
          <w:color w:val="auto"/>
        </w:rPr>
        <w:t>Our insurance coverage may be inadequate or expensive</w:t>
      </w:r>
      <w:r>
        <w:rPr>
          <w:rFonts w:ascii="Arial" w:cs="Arial" w:eastAsia="Arial" w:hAnsi="Arial"/>
          <w:sz w:val="16"/>
          <w:szCs w:val="16"/>
          <w:color w:val="auto"/>
        </w:rPr>
        <w:t>.”</w:t>
      </w:r>
    </w:p>
    <w:p>
      <w:pPr>
        <w:spacing w:after="0" w:line="14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may increase. Third-party risks may include insufficient security measures, data location uncertainty, and the possibility of data storage in inappropriate jurisdictions where laws or security measures may be inadequate, and our ability to monitor our third-party service providers’ data security practices are limited. Although we generally have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60"/>
          </w:cols>
          <w:pgMar w:left="320" w:top="1440" w:right="319" w:bottom="1440" w:gutter="0" w:footer="0" w:header="0"/>
        </w:sectPr>
      </w:pPr>
    </w:p>
    <w:bookmarkStart w:id="91" w:name="page92"/>
    <w:bookmarkEnd w:id="91"/>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relating to cybersecurity and data privacy in place with our third-party service providers, they are limited in nature and we cannot guarantee that such agreements will prevent the accidental or unauthorized access to or disclosure, loss, destruction, disablement or encryption of, use or misuse of or modification of data (including personal data) or enable us to obtain adequate or any reimbursement from our third-party service providers in the event we should suffer any such incidents. Due to applicable laws and regulations or contractual obligations, we may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We collect, store, share, disclose, transfer, use and otherwise process customer information and other data, including personal data, and an actual or perceived failure by us or our third-party service providers to protect such information and data or respect customers’ privacy could damage our reputation and brand, negatively affect our ability to retain customers and harm our business, financial condition, operating results, cash flows and prospects.</w:t>
      </w:r>
    </w:p>
    <w:p>
      <w:pPr>
        <w:spacing w:after="0" w:line="14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operation of our platform involves the use, collection, storage, sharing, disclosure, transfer and other processing of customer information, including personal data, and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Any or all of the issues above could adversely affect our ability to attract new customers and continue our relationship with existing customers, cause our customers to stop using our products and services, result in negative publicity or subject us to governmental, regulatory or third-party lawsuits, disputes, investigations, orders, regulatory fines, penalties for violation of applicable laws or regulations or other actions or liability, thereby harming our business, financial condition, operating results, cash flows, and prospects. Any accidental or unauthorized access to or disclosure, loss, destruction, disablement or encryption of, use or misuse of or modification of data, including personal data, cybersecurity breach or other security incident that we, our customers or our third-party service providers experience or the perception that one has occurred or may occur, could harm our reputation, reduce the demand for our products and services and disrupt normal business operations. In addition, it may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there could be public announcements regarding any such incidents and any steps we take to respond to or remediate such incidents, and if securities analysts or investors perceive these announcements to be negative, it could have an adverse effect on the trading price of our Class A common stock.</w:t>
      </w:r>
    </w:p>
    <w:p>
      <w:pPr>
        <w:spacing w:after="0" w:line="147"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Security incidents have occurred in the past, and future incidents may result in unauthorized access to, loss of or unauthorized disclosure of this data, regulatory enforcement actions, litigation, indemnity obligations and other possible liabilities, as well as negative publicity. For example, from January 1, 2020 to October 16, 2020, approximately 2,000 Robinhood customer accounts were allegedly accessed by unauthorized users. We experienced negative publicity in connection with this incident and may in the future experience similar adverse effects relating to security incidents we experience, whether or not related to the security of our platform or systems. On January 8, 2021, a putative class action was filed against us in the Superior Court of the State of California in connection with this incident. Plaintiffs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60"/>
          </w:cols>
          <w:pgMar w:left="320" w:top="1440" w:right="319" w:bottom="1440" w:gutter="0" w:footer="0" w:header="0"/>
        </w:sectPr>
      </w:pPr>
    </w:p>
    <w:bookmarkStart w:id="92" w:name="page93"/>
    <w:bookmarkEnd w:id="92"/>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generally allege that RHF and RHS breached commitments made and duties owed to customers to safeguard customer data and assets. Plaintiffs assert eight causes of action for purported violations of common law, a right to privacy, and certain California statutes, including the CCPA. We have also received customer complaints, regulatory inquiries, examinations, enforcement actions and investigations by various state and federal regulatory bodies, including the SEC, FINRA and certain state regulators, including the NYDFS and the New York Attorney General, related to this incident. For more information, see “Business—Legal Proceedings—Account Takeovers</w:t>
      </w:r>
      <w:r>
        <w:rPr>
          <w:rFonts w:ascii="Arial" w:cs="Arial" w:eastAsia="Arial" w:hAnsi="Arial"/>
          <w:sz w:val="16"/>
          <w:szCs w:val="16"/>
          <w:i w:val="1"/>
          <w:iCs w:val="1"/>
          <w:color w:val="auto"/>
        </w:rPr>
        <w:t>.</w:t>
      </w:r>
      <w:r>
        <w:rPr>
          <w:rFonts w:ascii="Arial" w:cs="Arial" w:eastAsia="Arial" w:hAnsi="Arial"/>
          <w:sz w:val="16"/>
          <w:szCs w:val="16"/>
          <w:color w:val="auto"/>
        </w:rPr>
        <w:t>” A breach of our security that results in unauthorized access to our data could expose us to a disruption or challenges relating to our daily operations, as well as to data loss, litigation, disputes, regulatory investigations, orders, damages, fines and penalties, indemnity obligations, damages for contract breach, penalties for violation of applicable laws and regulations, significant increases in compliance costs and reputational damage, any of which could have a material and adverse effect on our business, financial condition, operating results, cash flows and prospects.</w:t>
      </w:r>
    </w:p>
    <w:p>
      <w:pPr>
        <w:spacing w:after="0" w:line="14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b w:val="1"/>
          <w:bCs w:val="1"/>
          <w:i w:val="1"/>
          <w:iCs w:val="1"/>
          <w:color w:val="auto"/>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4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are subject to a variety of federal, state, local, and non-U.S. laws, directives, rules, policies, industry standards and regulations, as well as contractual obligations, relating to privacy and the collection, protection, use, retention, security, disclosure, transfer and other processing of personal data and other data, including the Gramm-Leach-Bliley Act of 1999 (“GLBA”), Section 5(c) of the Federal Trade Commission Act and the CCPA. The regulatory framework for data privacy and security worldwide is continuously evolving and developing and, as a result, interpretation and implementation standards and enforcement practices are likely to remain uncertain for the foreseeable future. New laws, amendments to or reinterpretations of existing laws, regulations, standards and other obligations may require us to incur additional costs and restrict our business operations, and may require us to change how we use, collect, store, transfer or otherwise process certain types of personal data and to implement new processes to comply with those laws and our customers’ exercise of their rights thereunder.</w:t>
      </w:r>
    </w:p>
    <w:p>
      <w:pPr>
        <w:spacing w:after="0" w:line="15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the U.S., federal law, such as the GLBA and its implementing regulations, restricts certain collection, processing, storage, use and disclosure of personal data,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data through the issuance of data security standards or guidelines. The U.S. government, including Congress, the Federal Trade Commission and the Department of Commerce, has announced that it is reviewing the need for greater regulation for the collection, use and other processing of information concerning consumer behavior on the internet, including regulation aimed at restricting certain targeted advertising practices. There is also a risk of enforcement actions in response to rules and regulations promulgated under the authority of federal agencies and state attorneys general and legislatures and consumer protection agencies. In addition, privacy advocates and industry groups have proposed and may propose new and different self-regulatory standards that either legally or contractually apply to us. If we fail to follow these security standards, even if no customer information is compromised, we may incur significant fines or experience a significant increase in costs.</w:t>
      </w:r>
    </w:p>
    <w:p>
      <w:pPr>
        <w:spacing w:after="0" w:line="163"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Numerous states have enacted or are in the process of enacting state-level data privacy laws and regulations governing the collection, use, and other processing of state residents’ personal data. For example, the CCPA, which took effect on January 1, 2020, established a new privacy framework for covered businesses such as ours, and may require us to modify our data processing practices and policies and incur compliance related costs and expenses. The CCPA provides new and enhanced data privacy rights to California residents, such as affording California residents the right to access and delete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60"/>
          </w:cols>
          <w:pgMar w:left="320" w:top="1440" w:right="319" w:bottom="1440" w:gutter="0" w:footer="0" w:header="0"/>
        </w:sectPr>
      </w:pPr>
    </w:p>
    <w:bookmarkStart w:id="93" w:name="page94"/>
    <w:bookmarkEnd w:id="93"/>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their information and to opt out of certain sharing and sales of personal information. The law also prohibits covered businesses from discriminating against California residents (for example, charging more for services) for exercising any of their CCPA rights. The CCPA imposes severe civil penalties and statutory damages as well as a private right of action for certain data breaches that result in the loss of personal information. This private right of action is expected to increase the likelihood of, and risks associated with, data breach litigation. However, it remains unclear how various provisions of the CCPA will be interpreted and enforced. In November 2020, California voters passed the California Privacy Rights Act of 2020 (“CPRA”). Effective in most material respects starting on January 1, 2023, the CPRA will impose additional obligations on companies covered by the legislation and will significantly modify the CCPA, including by expanding the CCPA with additional data privacy compliance requirements that may impact our business. The CPRA also establishes a regulatory agency dedicated to enforcing the CCPA and the CPRA. The effects of the CPRA, the CCPA, other similar state or federal laws and other future changes in laws or regulations relating to privacy, data protection and information security, particularly any new or modified laws or regulations that require enhanced protection of certain types of data or new obligations with regard to data retention, transfer or disclosure, are significant and may require us to modify our data processing practices and policies and could greatly increase the cost of providing our offerings, require significant changes to our operations or even prevent us from providing certain offerings in jurisdictions in which we currently operate and in which we may operate in the future or incur potential liability in an effort to comply with such legislation.</w:t>
      </w:r>
    </w:p>
    <w:p>
      <w:pPr>
        <w:spacing w:after="0" w:line="16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CPRA and the CCPA may lead other states to pass comparable legislation, with potentially greater penalties and more rigorous compliance requirements relevant to our business. For example, many state legislatures have adopted legislation that regulates how businesses operate online, including measures relating to privacy, data security, data breaches and the protection of sensitive and personal information. Laws in all 50 states require businesses to provide notice to customers whose personally identifiable information has been disclosed as a result of a data breach. The laws are not consistent, as certain state laws may be more stringent or broader in scope, or offer greater individual rights, with respect to sensitive and personal information than federal, international or other state laws, and such laws may differ from each other, which may complicate compliance efforts. Compliance in the event of a widespread data breach may be costly.</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NYDFS also issued Cybersecurity Requirements for Financial Services Companies, which took effect in 2017, and which require banks, insurance companies and other financial services institutions regulated by the NYDFS, including RHC, to establish and maintain a cybersecurity program designed to protect consumers and ensure the safety and soundness of New York State’s financial services industry. The cybersecurity regulation adds specific requirements for these institutions’ cybersecurity compliance programs and imposes an obligation to conduct ongoing, comprehensive risk assessments. Further, on an annual basis, each institution is required to submit a certification of compliance with these requirements. We have in the past and may in the future be subject to investigations and examinations by the NYDFS regarding, among other things, our cybersecurity practices. In particular, in July 2020, the NYDFS issued a report of its examination of RHC citing certain of our cybersecurity practices as “matters requiring attention.” Following subsequent investigation by the NYDFS’s Consumer Protection and Financial Enforcement Division, in March 2021, the NYDFS informed RHC of certain alleged violations of, among other things, 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RHC and the NYDFS have reached a settlement in principle with respect to these allegations, subject to final documentation, in connection with which, among other things, RHC expects to pay a monetary penalty of $30 million and engage a monitor. See “Business—Legal Proceedings—RHC Anti-Money Laundering, Cybersecurity and Other Issues” for more information.</w:t>
      </w:r>
    </w:p>
    <w:p>
      <w:pPr>
        <w:spacing w:after="0" w:line="14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60"/>
          </w:cols>
          <w:pgMar w:left="320" w:top="1440" w:right="319" w:bottom="1440" w:gutter="0" w:footer="0" w:header="0"/>
        </w:sectPr>
      </w:pPr>
    </w:p>
    <w:bookmarkStart w:id="94" w:name="page95"/>
    <w:bookmarkEnd w:id="94"/>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w:t>
      </w:r>
    </w:p>
    <w:p>
      <w:pPr>
        <w:spacing w:after="0" w:line="146"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may face particular privacy, data security, and data protection risks as we continue to expand into the U.K. and the EU in connection with the GDPR and other data protection regulations.</w:t>
      </w:r>
    </w:p>
    <w:p>
      <w:pPr>
        <w:spacing w:after="0" w:line="12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International expansion into the U.K. and the EU in the future, as well as the fact that our U.K.- and Netherlands-based subsidiaries have a limited number of U.K.- or EU-based employees and contractors (although they currently have no customers), subjects us or may subject us to the EU General Data Protection Regulation (“GDPR”), supplemented by national laws and further implemented through binding guidance from the European Data Protection Board, which regulates the collection, control, sharing, disclosure, use and other processing of personal data and imposes stringent data protection requirements with significant penalties, and the risk of civil litigation, for noncompliance. As described further below, following Brexit, we also are subject to the U.K. General Data Protection Regulation (“U.K. GDPR”) (i.e., a version of the GDPR as implemented into U.K. law). Among other requirements, the GDPR regulates transfers of personal data subject to the GDPR to third countries that have not been found to provide adequate protection to such personal data, including the U.S. While we have taken steps to mitigate the impact on us with respect to transfers of data, such as implementing standard contractual clauses, the efficacy and longevity of these transfer mechanisms remains uncertain. The enactment of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Such penalties are in addition to any civil litigation claims by customers and data subjects. The GDPR requirements will likely apply not only to third-party transactions, but also to transfers of information between us and our subsidiaries, including employee information.</w:t>
      </w:r>
    </w:p>
    <w:p>
      <w:pPr>
        <w:spacing w:after="0" w:line="14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As of January 2021 (when the transitional period following Brexit expired), we have been required to comply with both the GDPR and the U.K. GDPR to the extent of our operations in the U.K. (given the conduct of activities falling under each law), exposing us to two parallel regimes with potentially divergent interpretations and enforcement actions for certain violations. The relationship between the U.K. and the EU in relation to certain aspects of data protection law remains unclear, for example, with how data transfers between EU member states and the U.K. will be treated and the role of the U.K.’s Information Commissioner’s Office with respect to the EU following the end of the transitional period. Following the expiration of such period, there will be increasing scope for divergence in application, interpretation and enforcement of the data protection law as between the U.K. and EEA.</w:t>
      </w:r>
    </w:p>
    <w:p>
      <w:pPr>
        <w:spacing w:after="0" w:line="160"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Other countries have also passed or are considering passing laws requiring local data residency or restricting the international transfer of data. These changes may lead to additional costs and increase our overall risk exposure. Any inability to adequately address data privacy or security-related concerns, even if unfounded, or to comply with applicable laws, regulations, standards and other obligations relating to data privacy and security, could result in litigation, breach notification obligations, regulatory or administrative sanctions, additional cost and liability to us, harm to our reputation and brand, damage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60"/>
          </w:cols>
          <w:pgMar w:left="320" w:top="1440" w:right="319" w:bottom="1440" w:gutter="0" w:footer="0" w:header="0"/>
        </w:sectPr>
      </w:pPr>
    </w:p>
    <w:bookmarkStart w:id="95" w:name="page96"/>
    <w:bookmarkEnd w:id="95"/>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our relationships with customers and have an adverse effect on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Brokerage Products and Services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If we do not maintain the capital levels required by regulators and SROs, or do not satisfy the cash deposit and collateral requirements imposed by certain other SROs such as the DTC, NSCC and OCC, our broker-dealer business may be restricted and we may be fined or subject to other disciplinary or corrective actions, which could harm our business, financial condition, operating results, cash flows and prospects. In a worst-case scenario, failure to maintain these requirements could lead to our broker-dealer business being liquidated or wound down.</w:t>
      </w:r>
    </w:p>
    <w:p>
      <w:pPr>
        <w:spacing w:after="0" w:line="141"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The SEC, FINRA and various other SROs have stringent rules with respect to the maintenance of specific levels of net capital and clearinghouse deposits by securities broker-dealers. Our failure to maintain the required net capital levels could result in immediate suspension of securities activities, suspension or expulsion by the SEC or FINRA, restrictions on our ability to expand our existing business or to commence new businesses and could ultimately lead to the liquidation of our broker-dealer entities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A large operating loss or charge against net capital could have adverse effects on our ability to maintain or expand our business. See “Business—Regulation—Brokerage Regulation and Regulatory Capital and Deposit Requirements—Net Capital and Deposit Requirements” for more information about our net capital requirements.</w:t>
      </w:r>
    </w:p>
    <w:p>
      <w:pPr>
        <w:spacing w:after="0" w:line="164"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addition to SEC and FINRA net capital requirements, as a clearing and carrying broker-dealer, RHS is subject to cash deposit and collateral requirements under the rules of the DTC, NSCC and OCC, which may fluctuate significantly from time to time based upon the nature and size of customers’ trading activity and market volatility. Because stock trades generally settle at the clearinghouse two days after execution, RHS is required to deposit funds, the amount of which can be significant, to ensure that RHS can meet its settlement obligations. The funds deposited are RHS funds and, under SEC rules, customer funds are not available to be used to satisfy clearinghouse deposit requirements. If RHS fails to meet any such deposit requirements, its ability to settle trades through the clearinghouse may be suspended or RHS may restrict trading in certain stocks in order to limit clearinghouse deposit requirements. In either event, RHS may be exposed to significant losses or disruptions in customers’ ability to trade. For example, the Early 2021 Trading Restrictions were implemented by RHS due to increased deposit requirements imposed on RHS by the NSCC in response to the unprecedented market volatility. In a worst case scenario, if RHS is unable to satisfy its deposit requirements, the NSCC may cease to act for RHS and liquidate its unsettled clearing portfolio. See “Business—Legal Proceedings—Early 2021 Trading Restrictions Matters” and “—Risks Related to Regulation and Litigation—</w:t>
      </w:r>
      <w:r>
        <w:rPr>
          <w:rFonts w:ascii="Arial" w:cs="Arial" w:eastAsia="Arial" w:hAnsi="Arial"/>
          <w:sz w:val="16"/>
          <w:szCs w:val="16"/>
          <w:i w:val="1"/>
          <w:iCs w:val="1"/>
          <w:color w:val="auto"/>
        </w:rPr>
        <w:t>We are involved in numerous litigation matters that are expensive and</w:t>
      </w:r>
      <w:r>
        <w:rPr>
          <w:rFonts w:ascii="Arial" w:cs="Arial" w:eastAsia="Arial" w:hAnsi="Arial"/>
          <w:sz w:val="16"/>
          <w:szCs w:val="16"/>
          <w:color w:val="auto"/>
        </w:rPr>
        <w:t xml:space="preserve"> </w:t>
      </w:r>
      <w:r>
        <w:rPr>
          <w:rFonts w:ascii="Arial" w:cs="Arial" w:eastAsia="Arial" w:hAnsi="Arial"/>
          <w:sz w:val="16"/>
          <w:szCs w:val="16"/>
          <w:i w:val="1"/>
          <w:iCs w:val="1"/>
          <w:color w:val="auto"/>
        </w:rPr>
        <w:t>time consuming, and, if resolved adversely, could harm our reputation, business, financial condition or results of operations</w:t>
      </w:r>
      <w:r>
        <w:rPr>
          <w:rFonts w:ascii="Arial" w:cs="Arial" w:eastAsia="Arial" w:hAnsi="Arial"/>
          <w:sz w:val="16"/>
          <w:szCs w:val="16"/>
          <w:color w:val="auto"/>
        </w:rPr>
        <w:t>” for more information about the</w:t>
      </w:r>
      <w:r>
        <w:rPr>
          <w:rFonts w:ascii="Arial" w:cs="Arial" w:eastAsia="Arial" w:hAnsi="Arial"/>
          <w:sz w:val="16"/>
          <w:szCs w:val="16"/>
          <w:i w:val="1"/>
          <w:iCs w:val="1"/>
          <w:color w:val="auto"/>
        </w:rPr>
        <w:t xml:space="preserve"> </w:t>
      </w:r>
      <w:r>
        <w:rPr>
          <w:rFonts w:ascii="Arial" w:cs="Arial" w:eastAsia="Arial" w:hAnsi="Arial"/>
          <w:sz w:val="16"/>
          <w:szCs w:val="16"/>
          <w:color w:val="auto"/>
        </w:rPr>
        <w:t>Early 2021 Trading Restrictions, and see “Business—Regulation—Brokerage Regulation and Regulatory Capital and Deposit Requirements—Net Capital and Deposit Requirements” for more information about RHS’s deposit requirements.</w:t>
      </w:r>
    </w:p>
    <w:p>
      <w:pPr>
        <w:spacing w:after="0" w:line="14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Where we have subsidiaries that are or will be licensed and regulated in certain U.S. states or non-U.S. jurisdictions, those entities are or will be subject to their own regulatory capital rules and requirements that they, and we as a group, need to or will need to comply with to avoid censure or other adverse consequences. Changes in those rules, or changes in our business operations, may result in changes to the amount of capital that is needed by those entities, which could have an adverse effect on the operational costs of running those businesses or to the viability of those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60"/>
          </w:cols>
          <w:pgMar w:left="320" w:top="1440" w:right="319" w:bottom="1440" w:gutter="0" w:footer="0" w:header="0"/>
        </w:sectPr>
      </w:pPr>
    </w:p>
    <w:bookmarkStart w:id="96" w:name="page97"/>
    <w:bookmarkEnd w:id="96"/>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Our compliance and risk management policies and procedures as a regulated financial services company may not be fully effective in identifying or mitigating compliance and risk exposure in all market environments or against all types of risk.</w:t>
      </w:r>
    </w:p>
    <w:p>
      <w:pPr>
        <w:spacing w:after="0" w:line="134" w:lineRule="exact"/>
        <w:rPr>
          <w:sz w:val="20"/>
          <w:szCs w:val="20"/>
          <w:color w:val="auto"/>
        </w:rPr>
      </w:pPr>
    </w:p>
    <w:p>
      <w:pPr>
        <w:jc w:val="both"/>
        <w:ind w:firstLine="287"/>
        <w:spacing w:after="0" w:line="249" w:lineRule="auto"/>
        <w:rPr>
          <w:sz w:val="20"/>
          <w:szCs w:val="20"/>
          <w:color w:val="auto"/>
        </w:rPr>
      </w:pPr>
      <w:r>
        <w:rPr>
          <w:rFonts w:ascii="Arial" w:cs="Arial" w:eastAsia="Arial" w:hAnsi="Arial"/>
          <w:sz w:val="16"/>
          <w:szCs w:val="16"/>
          <w:color w:val="auto"/>
        </w:rPr>
        <w:t>As a financial services company operating in the securities industry, among others, our business exposes us to a number of heightened risks. We have devoted significant resources to develop our compliance and risk management policies and procedures and will continue to do so, but there can be no assurance these are sufficient, especially as our business is rapidly growing and evolving. Nonetheless, our limited operating history, evolving business and rapid growth make it difficult to predict all of the risks and challenges we may encounter and may increase the risk that our policies and procedures to identify, monitor and manage compliance risks may not be fully effective in mitigating our exposure in all market environments or against all types of risk. Further, some controls are manual and are subject to inherent limitations and errors in oversight. This could cause our compliance and other risk management strategies to be ineffective. Other compliance and risk management methods depend upon the evaluation of information regarding markets, customers, catastrophe occurrence or other matters that are publicly available or otherwise accessible to us, which may not always be accurate, complete, up-to-date or properly evaluated. Insurance and other traditional risk-shifting tools may be held by or available to us in order to manage certain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 We are also exposed to heightened regulatory risk because our business is subject to extensive regulation and oversight in a variety of areas, and such regulations are subject to evolving interpretations and application and it can be difficult to predict how they may be applied to our business, particularly as we introduce new products and services and expand into new jurisdictions. For example, when we launched our fractional shares program in 2019, we did not report proprietary fractional trades to FINRA’s Trade Reporting Facility based on our understanding of the reporting requirements. Since then, FINRA has informed us that such trades should be reported. As a result, we began reporting fractional shares in January 2021, and we are in the process of reviewing past transactions so that we can report such data, which may result in fines or penalties for failing to do so at the time of the trade. Additionally, the regulatory landscape involving cryptocurrencies is constantly evolving and RHC may be subject to fines, penalties or loss of regulatory licenses if the SEC or any other regulators issue new regulations or interpretive guidance related to cryptocurrencies that prohibit any of our current business practices. Also, due to market volatility, it is difficult to predict how much capital we will need in the future to meet net capital and deposit requirements. If either RHS or RHF fails to maintain specified levels of capital, our ability to settle trades through DTCC may be suspended or we may be forced to restrict trading in certain stocks in order to limit clearinghouse deposit requirements, or we could be subject to immediate suspension or revocation of registration, and suspension or expulsion could ultimately lead to the liquidation of either entity or to our broker-dealer business being wound down. Any perceived or actual breach of laws and regulations could negatively impact our business, financial condition or results of operations. It is possible that these laws and regulations could be interpreted or applied in a manner that would prohibit, alter, or impair our existing or planned products and services. See “Business—Regulation” for more information about the laws and regulations that apply to our current business operations and future business plans.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potential losses as a result of our clearing and execution activities.</w:t>
      </w:r>
    </w:p>
    <w:p>
      <w:pPr>
        <w:spacing w:after="0" w:line="18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RHS provides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Our clearing operations require a commitment of our capital and, despite safeguards implemented by our software, involve risks of losses due to the potential failure of our customers to perform their obligations under these transactions and margin loans. If our customers default on their obligations, including failing to pay for securities purchased, deliver securities sold or meet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60"/>
          </w:cols>
          <w:pgMar w:left="320" w:top="1423" w:right="319" w:bottom="1440" w:gutter="0" w:footer="0" w:header="0"/>
        </w:sectPr>
      </w:pPr>
    </w:p>
    <w:bookmarkStart w:id="97" w:name="page98"/>
    <w:bookmarkEnd w:id="97"/>
    <w:p>
      <w:pPr>
        <w:spacing w:after="0" w:line="2"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margin calls, we remain financially liable for such obligations, and although these obligations are collateralized, we are subject to market risk in the liquidation of customer collateral to satisfy those obligations. While we have established systems and processes to manage risks related to our clearing and execution services, there can be no assurance that such systems and processes will be adequate. Any liability arising from clearing and margin operations could have an adverse effect on our business, financial condition and results of operations.</w:t>
      </w:r>
    </w:p>
    <w:p>
      <w:pPr>
        <w:spacing w:after="0" w:line="15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addition, as a clearing member firm of securities and derivatives clearinghouses in the United States, we are also exposed to clearing member credit risk. Securities and derivatives clearinghouses require member firms to deposit cash, stock and/or government securities for margin requirements and to clearing funds. If a clearing member defaults in its obligations to the clearinghouse in an amount larger than its own margin and clearing fund deposits, the shortfall is absorbed pro rata from the deposits of the other clearing members. Many clearinghouses of which we are members also have the authority to assess their members for additional funds if the clearing fund is depleted. A large clearing member default could result in a substantial cost to us if we are required to pay such assessments.</w:t>
      </w:r>
    </w:p>
    <w:p>
      <w:pPr>
        <w:spacing w:after="0" w:line="148"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When our customers purchase securities on margin or trade options, we are subject to the risk that our customers may default on their obligations when the value of the securities and cash in their accounts falls below the amount of the customers’ indebtedness. Abrupt changes in securities valuations, which are subject to fluctuations and subjectivity, and the failure of customers to meet margin calls could result in substantial losses.</w:t>
      </w:r>
    </w:p>
    <w:p>
      <w:pPr>
        <w:spacing w:after="0" w:line="145" w:lineRule="exact"/>
        <w:rPr>
          <w:sz w:val="20"/>
          <w:szCs w:val="20"/>
          <w:color w:val="auto"/>
        </w:rPr>
      </w:pPr>
    </w:p>
    <w:p>
      <w:pPr>
        <w:jc w:val="both"/>
        <w:ind w:firstLine="287"/>
        <w:spacing w:after="0" w:line="267" w:lineRule="auto"/>
        <w:rPr>
          <w:sz w:val="20"/>
          <w:szCs w:val="20"/>
          <w:color w:val="auto"/>
        </w:rPr>
      </w:pPr>
      <w:r>
        <w:rPr>
          <w:rFonts w:ascii="Arial" w:cs="Arial" w:eastAsia="Arial" w:hAnsi="Arial"/>
          <w:sz w:val="15"/>
          <w:szCs w:val="15"/>
          <w:color w:val="auto"/>
        </w:rPr>
        <w:t>Further, in addition to SEC and FINRA net capital requirements, as a clearing and carrying broker-dealer, RHS is subject to cash deposit and collateral requirements under the rules of the DTC, NSCC and OCC. For example, stock trades generally settle at the clearinghouse two days after execution and clearinghouses may require a broker-dealer participant to deposit funds to ensure that the broker-dealer can meet its settlement obligations. These deposit requirements are designed to mitigate risk to the clearinghouse and its participants and can be large, especially if positions are concentrated in particular stocks, are predominantly in the same direction (i.e., predominantly buys or predominantly sells) or if the stock prices are volatile. The funds deposited are RHS funds and, under SEC rules, customer funds are not available to be used to satisfy clearinghouse deposit requirements. If RHS fails to meet any such deposit requirements, its ability to settle trades through the clearinghouse may be suspended or it may restrict trading in certain stocks in order to limit clearinghouse deposit requirements (as in the case of the Early 2021 Trading Restrictions), which could result in our customers leaving our platform or subject us to litigation or regulatory or U.S. Congressional investigations and inquiries. In such case, RHS may be exposed to significant losses or disruptions in customers’ ability to trade. Furthermore, in the event that a significant amount of customers’ open trades fail to settle, RHS may be exposed to potential loss of the deposits and capital expended to meet its deposit requirements. Any liability arising in connection with any such events could have an adverse effect on our business, financial condition and results of operations. In a worst-case scenario, if RHS is unable to satisfy its deposit requirements, the NSCC may cease to act for RHS and liquidate its unsettled clearing portfolio. See “Business—Legal Proceedings” and “—Risks Related to Regulation and Litigation—</w:t>
      </w:r>
      <w:r>
        <w:rPr>
          <w:rFonts w:ascii="Arial" w:cs="Arial" w:eastAsia="Arial" w:hAnsi="Arial"/>
          <w:sz w:val="15"/>
          <w:szCs w:val="15"/>
          <w:i w:val="1"/>
          <w:iCs w:val="1"/>
          <w:color w:val="auto"/>
        </w:rPr>
        <w:t>We are involved in</w:t>
      </w:r>
      <w:r>
        <w:rPr>
          <w:rFonts w:ascii="Arial" w:cs="Arial" w:eastAsia="Arial" w:hAnsi="Arial"/>
          <w:sz w:val="15"/>
          <w:szCs w:val="15"/>
          <w:color w:val="auto"/>
        </w:rPr>
        <w:t xml:space="preserve"> </w:t>
      </w:r>
      <w:r>
        <w:rPr>
          <w:rFonts w:ascii="Arial" w:cs="Arial" w:eastAsia="Arial" w:hAnsi="Arial"/>
          <w:sz w:val="15"/>
          <w:szCs w:val="15"/>
          <w:i w:val="1"/>
          <w:iCs w:val="1"/>
          <w:color w:val="auto"/>
        </w:rPr>
        <w:t>numerous litigation matters that are expensive and time consuming, and, if resolved adversely, could harm our reputation, business, financial condition or results of operations</w:t>
      </w:r>
      <w:r>
        <w:rPr>
          <w:rFonts w:ascii="Arial" w:cs="Arial" w:eastAsia="Arial" w:hAnsi="Arial"/>
          <w:sz w:val="15"/>
          <w:szCs w:val="15"/>
          <w:color w:val="auto"/>
        </w:rPr>
        <w:t>” for more information about the Early 2021 Trading Restrictions, and see “Business—Regulation—Brokerage Regulation and Regulatory</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and Deposit Requirements—Net Capital and Deposit Requirements” for more information about RHS’s net capital and deposit requirements.</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maintain adequate banking relationships with respect to our Cash Management product may adversely affect our business.</w:t>
      </w:r>
    </w:p>
    <w:p>
      <w:pPr>
        <w:spacing w:after="0" w:line="18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In 2019, we launched our Cash Management product, under which we offer customers the ability to spend and earn interest on funds in their brokerage account that are not otherwise invested. Our customers who opt in to our Cash Management product have their uninvested cash automatically moved into deposits at a network of program banks. In connection with this service, we rely heavily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60"/>
          </w:cols>
          <w:pgMar w:left="320" w:top="1440" w:right="319" w:bottom="1440" w:gutter="0" w:footer="0" w:header="0"/>
        </w:sectPr>
      </w:pPr>
    </w:p>
    <w:bookmarkStart w:id="98" w:name="page99"/>
    <w:bookmarkEnd w:id="98"/>
    <w:p>
      <w:pPr>
        <w:spacing w:after="0" w:line="2"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relationships with partner banks to ensure the continued effectiveness of our Cash Management product. There can be no assurance that we will be able to maintain or establish adequate banking relationships. If we are unable to maintain and adequately grow our network of bank partners, our Cash Management product may be adversely impacted. In addition, if we cannot maintain sufficient relationships with the appropriate banks that provide these services, we would be required to implement alternative cash management procedures, which may result in increased costs.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exposure to credit risk with customers and counterparties could result in losses.</w:t>
      </w:r>
    </w:p>
    <w:p>
      <w:pPr>
        <w:spacing w:after="0" w:line="181" w:lineRule="exact"/>
        <w:rPr>
          <w:sz w:val="20"/>
          <w:szCs w:val="20"/>
          <w:color w:val="auto"/>
        </w:rPr>
      </w:pPr>
    </w:p>
    <w:p>
      <w:pPr>
        <w:jc w:val="both"/>
        <w:ind w:firstLine="287"/>
        <w:spacing w:after="0" w:line="269" w:lineRule="auto"/>
        <w:rPr>
          <w:sz w:val="20"/>
          <w:szCs w:val="20"/>
          <w:color w:val="auto"/>
        </w:rPr>
      </w:pPr>
      <w:r>
        <w:rPr>
          <w:rFonts w:ascii="Arial" w:cs="Arial" w:eastAsia="Arial" w:hAnsi="Arial"/>
          <w:sz w:val="15"/>
          <w:szCs w:val="15"/>
          <w:color w:val="auto"/>
        </w:rPr>
        <w:t>We extend margin credit and leverage to customers, which are collateralized by customer cash and securities. We also borrow and lend securities in connection with our broker-dealer business. By permitting customers to purchase securities on margin, we are subject to risks inherent in extending credit, especially during periods of rapidly declining markets (including rapid declines in the trading price of individual securities) in which the value of the collateral held by us could fall below the amount of a customer’s indebtedness. In addition, in accordance with regulatory guidelines, we collateralize borrowings of securities by depositing cash or securities with lenders. Sharp changes in market values of substantial amounts of securities in a short period of time and the failure by parties to the borrowing transactions to honor their commitments could have adverse effects on our financial condition and results of operations.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 We have policies and procedures designed to manage credit risk, but we cannot guarantee that such policies and procedures will be fully effective.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Providing investment education tools could subject us to additional risks if such tools are construed to be investment advice or recommendations.</w:t>
      </w:r>
    </w:p>
    <w:p>
      <w:pPr>
        <w:spacing w:after="0" w:line="19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provide a variety of investment education and tools and financial news (including our “Robinhood Snacks” newsletters and podcasts) to our customers that we do not consider investment advice or an investment recommendation, but we cannot guarantee that such services could not be construed as constituting investment advice or recommendations by customers or regulatory agencies. Additionally, Robinhood Gold members have access to stock research reports prepared by our third-party partner, Morningstar, Inc. Risks associated with providing investment advice include those arising from how we disclose and address possible conflicts of interest, inadequate due diligence, inadequate disclosure, human error and fraud. New regulations, such as the SEC’s Regulation Best Interest and certain state broker-dealer regulations, will impose heightened conduct standards and requirements if we are deemed to provide recommendations to retail investors. In addition, various states are considering potential regulations or have already adopted certain regulations that could impose additional standards of conduct or other obligations on us if we provide investment advice or recommendations to our customers. Furthermore, we could be subject to investigations by regulatory agencies if our services are construed as constituting investment advice or recommendations. For example, in 2020, the MSD issued certain amendments to the Massachusetts securities law, which, among other things, apply a fiduciary conduct standard to broker-dealers and agents when dealing with their customers. In December 2020, the Enforcement Section of MSD filed a complaint against us stipulating that the fiduciary conduct standard applies to us by alleging that our product features and marketing strategies amount to investment recommendations. See “Business —Legal Proceedings” for more information. To the extent that the services we provide are construed or alleged to constitute investment advice or recommendations and we fail to satisfy regulatory requirements, fail to know our customers, improperly advise our customers, or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60"/>
          </w:cols>
          <w:pgMar w:left="320" w:top="1440" w:right="319" w:bottom="1440" w:gutter="0" w:footer="0" w:header="0"/>
        </w:sectPr>
      </w:pPr>
    </w:p>
    <w:bookmarkStart w:id="99" w:name="page100"/>
    <w:bookmarkEnd w:id="99"/>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Cryptocurrency Products and Services</w:t>
      </w:r>
    </w:p>
    <w:p>
      <w:pPr>
        <w:spacing w:after="0" w:line="15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The loss, destruction or unauthorized use or access of a private key required to access any of our cryptocurrencies may result in irreversible loss of such cryptocurrencies. If we are unable to access our private keys or if we experience a hack or other data loss relating to the cryptocurrencies we hold on behalf of customers, our customers may be unable to trade their cryptocurrency and our reputation and business could be harmed.</w:t>
      </w:r>
    </w:p>
    <w:p>
      <w:pPr>
        <w:spacing w:after="0" w:line="13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As of December 31, 2020 and March 31, 2021, $3.5 billion and $11.6 billion of our AUC, respectively, was attributed to cryptocurrencies. As our business continues to grow and we expand RHC’s product and service offerings, so do the risks associated with failing to safeguard and manage our customers’ cryptocurrencies. Our success and the success of our offerings requires significant public confidence in our ability to properly manage customers’ balances and handle large and growing transaction volumes and amounts of customer funds. Any failure by us to maintain the necessary controls or to manage customer cryptocurrencies and funds appropriately and in compliance with applicable regulatory requirements could result in reputational harm, significant financial losses, lead customers to discontinue or reduce their use of RHC, and result in significant penalties and fines and additional restrictions, which could harm our reputation, business, financial condition or results of operations.</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Cryptocurrencies are controllable only by the possessor of both the unique public key and private key relating to the local or online digital wallet in which such currency is held. While blockchain ledgers require a public key relating to a digital wallet to be published when used in a transaction, private keys must be safeguarded and stored securely in order to prevent an unauthorized third party from accessing the assets held in such wallet. RHC holds all cryptocurrencies in custody in two types of wallets: (i) hot wallets, which are managed online, and (ii) cold wallets, which are managed entirely offline on a computer stored in one or more secure data facilities. In general, the overwhelming majority of cryptocurrency coins on our platform are held in cold storage, though some coins are held in hot wallets to support day-to-day operations. To the extent any of our private keys are lost, destroyed, unable to be accessed by us or otherwise compromised and no backup of such private key is accessible, we will be unable to access the assets held in the related hot or cold wallet. Further, we cannot provide assurance that any or all of our wallets will not be hacked or compromised such that cryptocurrencies are sent to one or more private addresses that we do not control, which could result in the loss of some or all of the cryptocurrencies that RHC holds in custody on behalf of customers. Any such losses may be significant, and we may not be able to obtain insurance coverage for some or all of those losses. Cryptocurrencies and blockchain technologies, have been, and may in the future be, subject to security breaches, hacking or other malicious activities. Any loss of private keys relating to, or hack or other compromise of, hot wallets or cold wallets used to store our customers’ cryptocurrencies could result in total loss of customers’ cryptocurrencies (given our insurance coverage does not cover all customers’ cryptocurrency balances and cryptocurrency investments through RHC are not protected by the Securities Investor Protection Corporation (the “SIPC”)) or adversely affect our customers’ ability to sell their assets and could harm customer trust in us and our products. For more information about our insurance coverage and its limitations, see “—Risks Related to Finance, Accounting and Tax Matters—</w:t>
      </w:r>
      <w:r>
        <w:rPr>
          <w:rFonts w:ascii="Arial" w:cs="Arial" w:eastAsia="Arial" w:hAnsi="Arial"/>
          <w:sz w:val="16"/>
          <w:szCs w:val="16"/>
          <w:i w:val="1"/>
          <w:iCs w:val="1"/>
          <w:color w:val="auto"/>
        </w:rPr>
        <w:t>Our insurance coverage may be</w:t>
      </w:r>
      <w:r>
        <w:rPr>
          <w:rFonts w:ascii="Arial" w:cs="Arial" w:eastAsia="Arial" w:hAnsi="Arial"/>
          <w:sz w:val="16"/>
          <w:szCs w:val="16"/>
          <w:color w:val="auto"/>
        </w:rPr>
        <w:t xml:space="preserve"> </w:t>
      </w:r>
      <w:r>
        <w:rPr>
          <w:rFonts w:ascii="Arial" w:cs="Arial" w:eastAsia="Arial" w:hAnsi="Arial"/>
          <w:sz w:val="16"/>
          <w:szCs w:val="16"/>
          <w:i w:val="1"/>
          <w:iCs w:val="1"/>
          <w:color w:val="auto"/>
        </w:rPr>
        <w:t>inadequate or expensive</w:t>
      </w:r>
      <w:r>
        <w:rPr>
          <w:rFonts w:ascii="Arial" w:cs="Arial" w:eastAsia="Arial" w:hAnsi="Arial"/>
          <w:sz w:val="16"/>
          <w:szCs w:val="16"/>
          <w:color w:val="auto"/>
        </w:rPr>
        <w:t>.” Additionally, any such security compromises or any business continuity issues affecting our cryptocurrency market makers may affect</w:t>
      </w:r>
      <w:r>
        <w:rPr>
          <w:rFonts w:ascii="Arial" w:cs="Arial" w:eastAsia="Arial" w:hAnsi="Arial"/>
          <w:sz w:val="16"/>
          <w:szCs w:val="16"/>
          <w:i w:val="1"/>
          <w:iCs w:val="1"/>
          <w:color w:val="auto"/>
        </w:rPr>
        <w:t xml:space="preserve"> </w:t>
      </w:r>
      <w:r>
        <w:rPr>
          <w:rFonts w:ascii="Arial" w:cs="Arial" w:eastAsia="Arial" w:hAnsi="Arial"/>
          <w:sz w:val="16"/>
          <w:szCs w:val="16"/>
          <w:color w:val="auto"/>
        </w:rPr>
        <w:t>the ability of our customers to trade or hold in cryptocurrencies on our platform and could harm customer trust in us and our products.</w:t>
      </w:r>
    </w:p>
    <w:p>
      <w:pPr>
        <w:spacing w:after="0" w:line="14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The prices of cryptocurrencies are extremely volatile. Fluctuations in the price of various cryptocurrencies may cause uncertainty in the market and could negatively impact trading volumes of cryptocurrencies, which would adversely affect the success of RHC’s business, financial condition and results of operations.</w:t>
      </w:r>
    </w:p>
    <w:p>
      <w:pPr>
        <w:spacing w:after="0" w:line="13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value of cryptocurrencies is based in part on market adoption and future expectations, which may or may not be realized. As a result, the prices of cryptocurrencies are highly speculative. The prices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60"/>
          </w:cols>
          <w:pgMar w:left="320" w:top="1440" w:right="319" w:bottom="1440" w:gutter="0" w:footer="0" w:header="0"/>
        </w:sectPr>
      </w:pPr>
    </w:p>
    <w:bookmarkStart w:id="100" w:name="page101"/>
    <w:bookmarkEnd w:id="100"/>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cryptocurrencies have been subject to dramatic fluctuations to date. Several factors may affect price, including, but not limited to:</w:t>
      </w:r>
    </w:p>
    <w:p>
      <w:pPr>
        <w:spacing w:after="0" w:line="175" w:lineRule="exact"/>
        <w:rPr>
          <w:sz w:val="20"/>
          <w:szCs w:val="20"/>
          <w:color w:val="auto"/>
        </w:rPr>
      </w:pPr>
    </w:p>
    <w:p>
      <w:pPr>
        <w:jc w:val="both"/>
        <w:ind w:left="560" w:hanging="278"/>
        <w:spacing w:after="0" w:line="252" w:lineRule="auto"/>
        <w:tabs>
          <w:tab w:leader="none" w:pos="5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spacing w:after="0" w:line="147"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in the software, software requirements or hardware requirements underlying a blockchain network, such as a fork. Forks in the future are likely to occur and there is no assurance that such a fork would not result in a sustained decline in the market price of cryptocurrencies.</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in the rights, obligations, incentives or rewards for the various participants in a blockchain network.</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maintenance and development of the software protocol of cryptocurrencies.</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Cryptocurrency exchanges deposit and withdrawal policies and practices, liquidity on such exchanges and interruptions in service from or failures of such exchanges.</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Regulatory measures, if any, that affect the use and value of cryptocurrencies.</w:t>
      </w:r>
    </w:p>
    <w:p>
      <w:pPr>
        <w:spacing w:after="0" w:line="174"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Competition for and among various cryptocurrencies that exist and market preferences and expectations with respect to adoption of individual currencies.</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Actual or perceived manipulation of the markets for cryptocurrencies.</w:t>
      </w:r>
    </w:p>
    <w:p>
      <w:pPr>
        <w:spacing w:after="0" w:line="162"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Actual or perceived threats that cryptocurrencies and related activities such as mining have adverse effects on the environment or are tied to illegal activities.</w:t>
      </w:r>
    </w:p>
    <w:p>
      <w:pPr>
        <w:spacing w:after="0" w:line="151"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139"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Expectations with respect to the rate of inflation in the economy, monetary policies of governments, trade restrictions and currency devaluations and revaluations.</w:t>
      </w:r>
    </w:p>
    <w:p>
      <w:pPr>
        <w:spacing w:after="0" w:line="13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cryptocurrency markets are volatile, and changes in the prices and/or trading volume of cryptocurrencies may adversely impact RHC’s growth strategy and business. In addition, while we have observed a positive trend in the total market capitalization of cryptocurrency assets historically, driven by increased adoption of cryptocurrency trading by both retail and institutional investors as well as continued growth of various non-investing use cases, historical trends are not indicative of future adoption, and it is possible that the adoption of cryptocurrencies may slow, take longer to develop or never be broadly adopted, which would negatively impact our business, financial condition and results of operations. Volatility in the values of cryptocurrencies caused by the factors described above or other factors may impact our regulatory net worth requirements as well as the demand for our services and therefore have an adverse effect on our business, financial condition and results of operations.</w:t>
      </w:r>
    </w:p>
    <w:p>
      <w:pPr>
        <w:spacing w:after="0" w:line="14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A substantial portion of the recent growth in our net revenues earned from cryptocurrency transactions is attributable to transactions in Dogecoin. If demand for transactions in Dogecoin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60"/>
          </w:cols>
          <w:pgMar w:left="320" w:top="1440" w:right="319" w:bottom="1440" w:gutter="0" w:footer="0" w:header="0"/>
        </w:sectPr>
      </w:pPr>
    </w:p>
    <w:bookmarkStart w:id="101" w:name="page102"/>
    <w:bookmarkEnd w:id="101"/>
    <w:p>
      <w:pPr>
        <w:jc w:val="both"/>
        <w:spacing w:after="0" w:line="283" w:lineRule="auto"/>
        <w:rPr>
          <w:sz w:val="20"/>
          <w:szCs w:val="20"/>
          <w:color w:val="auto"/>
        </w:rPr>
      </w:pPr>
      <w:r>
        <w:rPr>
          <w:rFonts w:ascii="Arial" w:cs="Arial" w:eastAsia="Arial" w:hAnsi="Arial"/>
          <w:sz w:val="16"/>
          <w:szCs w:val="16"/>
          <w:b w:val="1"/>
          <w:bCs w:val="1"/>
          <w:i w:val="1"/>
          <w:iCs w:val="1"/>
          <w:color w:val="auto"/>
        </w:rPr>
        <w:t>declines and is not replaced by new demand for other cryptocurrencies available for trading on our platform, our business, financial condition and results of operations could be adversely affected.</w:t>
      </w:r>
    </w:p>
    <w:p>
      <w:pPr>
        <w:spacing w:after="0" w:line="134"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For the three months ended March 31, 2021, 17% of our total revenue was derived from transaction-based revenues earned from cryptocurrency transactions, compared to 4% for the three months year ended December 31, 2020. While we currently support a portfolio of seven cryptocurrencies for trading, for the three months ended March 31, 2021, 34% of our cryptocurrency transaction-based revenue was attributable to transactions in Dogecoin, as compared to 4% for the three months ended December 31, 2020. As such, in addition to the factors impacting the broader cryptoeconomy described elsewhere in this section, RHC’s business may be adversely affected, and growth in our net revenue earned from cryptocurrency transactions may slow or decline, if the markets for Dogecoin deteriorate or if the price of Dogecoin declines, including as a result of factors such as negative perceptions of Dogecoin or the increased availability of Dogecoin on other cryptocurrency trading platforms.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Regulation of the cryptocurrency industry continues to evolve and is subject to change. Moreover, securities and commodities laws and regulations and other bodies of laws can apply to certain cryptocurrency businesses. These laws and regulations are complex and our interpretations of them may be subject to challenge by the relevant regulators. Future regulatory developments are impossible to predict with certainty. Changes in laws and regulations, or our failure to comply with them, may negatively impact our ability to allow customers to buy, hold and sell cryptocurrencies with us in the future and may significantly and adversely affect our business.</w:t>
      </w:r>
    </w:p>
    <w:p>
      <w:pPr>
        <w:spacing w:after="0" w:line="144"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RHC provides users with the ability to buy, hold and sell a limited number of cryptocurrencies, such as Bitcoin, Ethereum and Dogecoin. Cryptocurrencies have experienced significant price volatility, technological glitches and various law enforcement and regulatory interventions. Both domestic and foreign regulators and governments are increasingly focused on the regulation of cryptocurrencies. In the United States, cryptocurrencies are regulated by both federal and state authorities, depending on the context of their usage. Regulation of cryptocurrencies continues to evolve. Cryptocurrency market disruptions and resulting governmental interventions are unpredictable, and may make cryptocurrencies, or certain cryptocurrency business activities, illegal altogether. There is a substantial risk of inconsistent regulatory guidance among federal and state agencies and among state governments which, along with potential accounting and tax issues or other requirements relating to cryptocurrencies, could impede the growth and operations of RHC.</w:t>
      </w:r>
    </w:p>
    <w:p>
      <w:pPr>
        <w:spacing w:after="0" w:line="15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RHC currently provides a trading platform for a limited number of cryptocurrencies that we have analyzed under applicable internal policies and procedures and do not believe are securities under the U.S. securities laws. Although our policies and procedures are intended to enable us to make risk-based assessments regarding the likelihood that a particular cryptocurrency could be deemed a security under applicable laws, including federal securities laws, they are not legal determinations as to whether a particular digital asset is a security under such laws. Accordingly, regardless of our conclusions, we could be subject to legal or regulatory action in the event the SEC or a court were to determine that a cryptocurrency currently traded on our platform is a “security” under U.S. law. Although the SEC has not asserted that all cryptocurrencies are securities, the SEC Staff has indicated that the determination of whether or not a cryptocurrency is a security depends on the characteristics and use of that particular asset. In addition, the SEC has previously determined that certain cryptocurrencies traded on other platforms are securities, subject to federal securities laws. The classification of a cryptocurrency as a security under applicable law has wide-ranging implications for the regulatory obligations associated with the offer, sale, trading and clearing of such assets. For example, in the United States, securities (and therefore any cryptocurrencies deemed to be securities) may generally be offered or sold in the United States only pursuant to a registration statement filed with the SEC or in an offering that qualifies for an exemption from registration, and persons that effect transactions in cryptocurrencies that are securities in the United States may be subject to registration with the SEC as a broker or dealer. Any such determination that a cryptocurrency available for trading on our platform is a security could result in significant market dislocations, trading suspensions and lawsuits from customers. To the extent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60"/>
          </w:cols>
          <w:pgMar w:left="320" w:top="1423" w:right="319" w:bottom="1440" w:gutter="0" w:footer="0" w:header="0"/>
        </w:sectPr>
      </w:pPr>
    </w:p>
    <w:bookmarkStart w:id="102" w:name="page103"/>
    <w:bookmarkEnd w:id="102"/>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SEC or a court determines that any cryptocurrencies that are available for trading on the RHC platform are securities, that determination could prevent us from continuing to support trading of those cryptocurrencies. It may also result in regulatory enforcement penalties and financial losses to RHC in the event that RHC has liability to its customers and may need to compensate them for any losses or damages. A determination by a the SEC or a court that a cryptocurrency that we currently make available for trading on our platform constitutes a security may also result in our determination that it is advisable to remove other cryptocurrencies from our platform that have similar characteristics to the cryptocurrency that was determined to be a security.</w:t>
      </w:r>
    </w:p>
    <w:p>
      <w:pPr>
        <w:spacing w:after="0" w:line="157"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addition, the growth of RHC may be adversely affected if we are not able to expand RHC’s platform to include additional cryptocurrencies that the SEC has determined to be securities or that we believe are likely to be determined to be securities. Our business could be adversely affected by the listing and delisting of cryptocurrencies on our trading platform and general trends concerning cryptocurrencies. In addition, to the extent that future regulatory actions or policies limit or restrict cryptocurrency usage, custody or trading, or the ability to convert cryptocurrencies to fiat currencies, the demand for cryptocurrency trading may be reduced and it could have an adverse effect on our business, financial condition and results of operations.</w:t>
      </w:r>
    </w:p>
    <w:p>
      <w:pPr>
        <w:spacing w:after="0" w:line="12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If in the future we were to allow customers to deposit and withdraw cryptocurrencies into and from our platform, such deposits and withdrawals could result in loss of customer assets, customer disputes and other liabilities, which could adversely impact our business, financial condition and results of operations.</w:t>
      </w:r>
    </w:p>
    <w:p>
      <w:pPr>
        <w:spacing w:after="0" w:line="13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currently do not allow customers to deposit or withdraw cryptocurrencies into or from our platform, but we may offer this feature in the future. As noted above, cryptocurrencies are controllable only by the possessor of both the unique public key and private key relating to the local or online digital wallet in which such cryptocurrency is held. In order to deposit cryptocurrencies held by a customer into our platform, a customer would need to “sign” a transaction that consists of the private key of the wallet from which the customer is transferring cryptocurrency, direct the deposit using the public key of a wallet that we would control and which we would provide to the customer, and we would broadcast the deposit transaction onto the underlying blockchain network. Similarly, to withdraw cryptocurrencies from our platform, the customer would need to provide us with the public key of the wallet that the cryptocurrencies are to be transferred to, and a party with access to the private keys of wallet holding the cryptocurrency to be withdrawn would be required to “sign” a transaction authorizing the transfer. In addition, some crypto networks might require additional information to be provided in connection with any transfer of cryptocurrencies into or from our platform and wallets. A number of errors could occur in the process of depositing or withdrawing cryptocurrencies into or from our platform, such as typos, mistakes, or the failure to include the information required by the blockchain network. For instance, a user could incorrectly enter our wallet’s public key or the desired recipient’s public key when depositing and withdrawing from our platforms, respectively. Alternatively, a user could transfer cryptocurrencies to a wallet address that he or she does not own, control or hold the private keys to. In addition, each wallet address is only compatible with the underlying blockchain network on which it is created. For instance, a Bitcoin wallet address can only be used to send and receive Bitcoins. If any Ethereum, Dogecoin or other cryptocurrency is sent to a Bitcoin wallet address, or if any of the foregoing errors occur, such cryptocurrencies could be permanently and irretrievably lost with no means of recovery. Such incidents could result in customer disputes, damage to our brand and reputation, legal claims against us, and financial liabilities, any of which could adversely affect our business, financial condition and results of operations.</w:t>
      </w:r>
    </w:p>
    <w:p>
      <w:pPr>
        <w:spacing w:after="0" w:line="160"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Additionally, allowing customers to deposit and withdraw cryptocurrencies into and from our platform could expose us to heightened risks related to potential violations of trade sanctions, including OFAC regulations, and anti-money laundering and counter-terrorist financing laws if individuals specifically exploit this feature to conduct fraudulent transfers, illegal activity or money laundering. Such fraudulent transactions may be difficult or impossible for us to detect and void such transactions in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60"/>
          </w:cols>
          <w:pgMar w:left="320" w:top="1440" w:right="319" w:bottom="1440" w:gutter="0" w:footer="0" w:header="0"/>
        </w:sectPr>
      </w:pPr>
    </w:p>
    <w:bookmarkStart w:id="103" w:name="page104"/>
    <w:bookmarkEnd w:id="103"/>
    <w:p>
      <w:pPr>
        <w:spacing w:after="0" w:line="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circumstances. The use of our platform for illegal or improper purposes could subject us to claims, individual and class action lawsuits, and government and regulatory investigations, prosecutions, enforcement actions, inquiries, or requests that could result in liability and reputational harm for us. Any threatened or resulting claims could result in reputational harm, and any resulting liabilities, loss of transaction volume, or increased costs could harm our business, financial condition or results of operations. See “—Risks Related to Regulation and Litigation—</w:t>
      </w:r>
      <w:r>
        <w:rPr>
          <w:rFonts w:ascii="Arial" w:cs="Arial" w:eastAsia="Arial" w:hAnsi="Arial"/>
          <w:sz w:val="16"/>
          <w:szCs w:val="16"/>
          <w:i w:val="1"/>
          <w:iCs w:val="1"/>
          <w:color w:val="auto"/>
        </w:rPr>
        <w:t>We are subject to governmental laws and requirements regarding</w:t>
      </w:r>
      <w:r>
        <w:rPr>
          <w:rFonts w:ascii="Arial" w:cs="Arial" w:eastAsia="Arial" w:hAnsi="Arial"/>
          <w:sz w:val="16"/>
          <w:szCs w:val="16"/>
          <w:color w:val="auto"/>
        </w:rPr>
        <w:t xml:space="preserve"> </w:t>
      </w:r>
      <w:r>
        <w:rPr>
          <w:rFonts w:ascii="Arial" w:cs="Arial" w:eastAsia="Arial" w:hAnsi="Arial"/>
          <w:sz w:val="16"/>
          <w:szCs w:val="16"/>
          <w:i w:val="1"/>
          <w:iCs w:val="1"/>
          <w:color w:val="auto"/>
        </w:rPr>
        <w:t>economic and trade sanctions, anti-money laundering and counter-terror financing that could impair our ability to compete in international markets or subject us to criminal or civil liability if we violate them.”</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temporary or permanent blockchain “fork” could adversely affect our business.</w:t>
      </w:r>
    </w:p>
    <w:p>
      <w:pPr>
        <w:spacing w:after="0" w:line="181"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However, if less than a substantial majority of users and miners consent to the proposed modification, and the modification is not compatible with the software prior to its modification, the consequence would be what is known as a “fork” (i.e., “split”) of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spacing w:after="0" w:line="152"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Both Bitcoin and Ethereum protocols have been subject to “forks” recently that resulted in the creation of new networks, including, among others, Bitcoin Cash, Bitcoin SV, Bitcoin Diamond, Bitcoin Gold and Ethereum Classic. Some of these forks have caused fragmentation among platforms as to the correct naming convention for forked cryptocurrencies. Due to the lack of a central registry or rulemaking body in the cryptocurrency market, no single entity has the ability to dictate the nomenclature of forked cryptocurrencies, causing disagreements and a lack of uniformity among platforms on the nomenclature of forked cryptocurrencies, and which results in further confusion to customers as to the nature of cryptocurrencies they hold on platforms. In addition, several of these forks were contentious and as a result, participants in certain communities may harbor ill will towards other communities. As a result, certain community members may take actions that adversely impact the use, adoption and price of Bitcoin, Ethereum or any of their forked alternatives.</w:t>
      </w:r>
    </w:p>
    <w:p>
      <w:pPr>
        <w:spacing w:after="0" w:line="15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Furthermore, hard forks can lead to new security concerns.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Similar replay attacks occurred in connection with the Bitcoin Cash and Bitcoin Cash SV network split in November 2018. Another possible result of a hard fork is an inherent decrease in the level of security due to the splitting of some mining power across networks, making it easier for a malicious actor to exceed 50% of the mining power of that network.</w:t>
      </w:r>
    </w:p>
    <w:p>
      <w:pPr>
        <w:spacing w:after="0" w:line="145"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A fork can lead to a disruption of networks and our information technology systems, cybersecurity attacks, replay attacks or security weaknesses, any of which can further lead to temporary or even permanent loss of customer cryptocurrencies. Such disruption and loss could cause our company to be exposed to liability, even in circumstances where we have no intention of supporting a cryptocurrency compromised by a fork.</w:t>
      </w:r>
    </w:p>
    <w:p>
      <w:pPr>
        <w:spacing w:after="0" w:line="14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Moreover, we may not wish to or be able to support a cryptocurrency resulting from the fork of a network which may cause our customers to lose confidence in us or reduce their engagement on our platform. In assessing whether we will support a cryptocurrency resulting from the fork of a network, among our top priorities is to safeguard our customer’s assets, and we spend extensive time designing,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60"/>
          </w:cols>
          <w:pgMar w:left="320" w:top="1440" w:right="319" w:bottom="1440" w:gutter="0" w:footer="0" w:header="0"/>
        </w:sectPr>
      </w:pPr>
    </w:p>
    <w:bookmarkStart w:id="104" w:name="page105"/>
    <w:bookmarkEnd w:id="104"/>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building, testing, reviewing and auditing its systems to ensure that the cryptocurrencies it supports remain safe and secure. There are several considerations that RHC considers as part of a general cryptocurrency approval policy (including security or infrastructure concerns that may arise with the integration of any new cryptocurrency into the technical infrastructure that allows us to secure customer cryptocurrencies and to transact securely in corresponding blockchains), which may operate to limit RHC’s ability to support forks. Further, RHC generally does not support a forked cryptocurrency that does not have support from a majority of the affiliated third-party miner and developer community.</w:t>
      </w:r>
    </w:p>
    <w:p>
      <w:pPr>
        <w:spacing w:after="0" w:line="15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Whether RHC is obligated to provide services for a new and previously unsupported cryptocurrency is a question of contract, as recognized in recent published rulings of the California appellate courts, such as Archer v. Coinbase, 53 Cal App. 5th 266 (App. 1st Dist. 2020) and federal district courts, such as BDI Capital, LLC v. Bulbul Investments LLC, 446F.Supp.3d 1127, 1138 (N.D. Ga. 2020). The RHC User Agreement, which each customer must enter into in order to trade cryptocurrencies on the Company’s platform, clearly indicates that (i) RHC has the sole discretion to determine whether RHC will support a forked network and the approach to such forked cryptocurrencies, (ii) RHC is unlikely to support most forked networks and (iii) RHC may temporarily suspend trading for a cryptocurrency whose network is undergoing a fork without advanced notice to the customer while RHC determines which, if any, forked network and forked cryptocurrencies to support on our platform. Regardless of the foregoing, we may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may be required to pay significant damages, fines or other fees to compensate customers for their losses.</w:t>
      </w:r>
    </w:p>
    <w:p>
      <w:pPr>
        <w:spacing w:after="0" w:line="133"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Any inability to maintain adequate relationships with affiliates, third-party banks and trading venues with respect to, and any inability to settle customer trades related to, RHC’s cryptocurrency offerings, may adversely affect our business, financial condition and results of operations.</w:t>
      </w:r>
    </w:p>
    <w:p>
      <w:pPr>
        <w:spacing w:after="0" w:line="122" w:lineRule="exact"/>
        <w:rPr>
          <w:sz w:val="20"/>
          <w:szCs w:val="20"/>
          <w:color w:val="auto"/>
        </w:rPr>
      </w:pPr>
    </w:p>
    <w:p>
      <w:pPr>
        <w:jc w:val="both"/>
        <w:ind w:firstLine="287"/>
        <w:spacing w:after="0" w:line="268" w:lineRule="auto"/>
        <w:rPr>
          <w:sz w:val="20"/>
          <w:szCs w:val="20"/>
          <w:color w:val="auto"/>
        </w:rPr>
      </w:pPr>
      <w:r>
        <w:rPr>
          <w:rFonts w:ascii="Arial" w:cs="Arial" w:eastAsia="Arial" w:hAnsi="Arial"/>
          <w:sz w:val="15"/>
          <w:szCs w:val="15"/>
          <w:color w:val="auto"/>
        </w:rPr>
        <w:t>RHC relies on its affiliates (including its affiliate clearing broker), third-party banks and trading venues to provide its cryptocurrency products and services to its customers. The cryptocurrency market operates 24 hours a day, seven days a week. The cryptocurrency market does not have a centralized clearinghouse, and the transactions in cryptocurrencies on our platform rely on direct settlements between RHC and its customers and direct settlements between RHC and RHC’s trading venues after customer trades are executed. Accordingly, RHC relies on its affiliate clearing brokerage and third-party banks to facilitate cash settlements between customers’ brokerage accounts and RHC and relies on the ability of its trading venues to complete cryptocurrency settlements with RHC to obtain cryptocurrency for customer accounts. In addition, RHC must maintain cash assets in its bank accounts sufficient to meet the working capital needs of its business, which includes deploying available working capital to facilitate cash settlements between RHC and its customers or RHC and its trading venues (as well as maintaining the minimum capital required by regulators such as the NYDFS). If RHC’s affiliate clearing broker, third-party banks or trading venues have operational failures and cannot perform and facilitate RHC’s routine cash and cryptocurrency settlement transactions, RHC will be unable to support normal trading operations on its cryptocurrency trading platform and these disruptions could have an adverse impact on our business, financial condition and results of operations. Similarly, if RHC fails to maintain cash assets in its bank accounts sufficient to meet the working capital needs of its business and necessary to complete routine cash settlements related to customer trading activity, such failure could impair RHC’s ability to support normal trading operations on our cryptocurrency platform and these disruptions could have an adverse impact on our business, financial condition and results of operations.</w:t>
      </w:r>
    </w:p>
    <w:p>
      <w:pPr>
        <w:spacing w:after="0" w:line="14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may also be harmed by the loss of any of RHC’s banking partners and trading venues. As a result of the many regulations applicable to cryptocurrencies or the risks of crypto assets generally, many financial institutions have decided, and other financial institutions may in the future decide, to not provide bank accounts (or access to bank accounts), payments services or other financial services to companies providing cryptocurrency products, including us. Consequently, if we or our trading venues cannot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60"/>
          </w:cols>
          <w:pgMar w:left="320" w:top="1440" w:right="319" w:bottom="1440" w:gutter="0" w:footer="0" w:header="0"/>
        </w:sectPr>
      </w:pPr>
    </w:p>
    <w:bookmarkStart w:id="105" w:name="page106"/>
    <w:bookmarkEnd w:id="105"/>
    <w:p>
      <w:pPr>
        <w:spacing w:after="0" w:line="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maintain sufficient relationships with the banks that provide these services, banking regulators restrict or prohibit banking of cryptocurrency businesses, or if these banks impose significant operational restrictions, it may be difficult for us to find alternative business partners for our cryptocurrency offerings, which may result in a disruption of our business and could have an adverse impact on our reputation, business, financial condition and results of operations.</w:t>
      </w:r>
    </w:p>
    <w:p>
      <w:pPr>
        <w:spacing w:after="0" w:line="13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From time to time, we may encounter technical issues in connection with changes and upgrades to the underlying networks of supported cryptocurrencies, which could adversely affect the success of RHC’s business, financial condition and results of operations.</w:t>
      </w:r>
    </w:p>
    <w:p>
      <w:pPr>
        <w:spacing w:after="0" w:line="12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Any number of technical changes, software upgrades, soft or hard forks, cybersecurity incidents or other changes to the underlying blockchain networks may occur from time to time, causing incompatibility, technical issues, disruptions or security weaknesses to our platform. If we are unable to identify, troubleshoot and resolve any such issues successfully, we may no longer be able to support such cryptocurrency, our customers’ assets may be frozen or lost, the security of our hot or cold wallets may be compromised and our platform and technical infrastructure may be affected, all of which could adversely impact the success of RHC’s business,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Intellectual Property</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Any failure to obtain, maintain, protect, defend or enforce our intellectual property rights could adversely affect our business, financial condition and results of operations.</w:t>
      </w:r>
    </w:p>
    <w:p>
      <w:pPr>
        <w:spacing w:after="0" w:line="12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success and ability to compete depend in part upon our ability to obtain, maintain, protect, defend and enforce our intellectual property rights and technology. Unauthorized use of our intellectual property or a violation of our intellectual property rights by third parties may damage our brand and our reputation. We rely on a combination of trademark, patent, copyright, and trade secret laws in the U.S. and internationally, our terms and conditions, other contractual provisions and technological measures to protect our intellectual property rights from infringement, misappropriation or other violation to maintain our brand and competitive position. Various factors outside our control pose a threat to our intellectual property rights, as well as to our products, services and technologies.</w:t>
      </w:r>
    </w:p>
    <w:p>
      <w:pPr>
        <w:spacing w:after="0" w:line="148"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steps we take to protect our intellectual property rights may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and when to rely upon trade secret protection, and the approach we select may ultimately prove to be inadequate. There can be no assurance our intellectual property rights will be sufficient to protect against unauthorized parties offering products or services that are substantially similar to ours and compete with our business or attempting to copy aspects of our technology and use information that we consider proprietary.</w:t>
      </w:r>
    </w:p>
    <w:p>
      <w:pPr>
        <w:spacing w:after="0" w:line="160"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confidentiality and invention assignment agreements, and third parties we share information with to enter into nondisclosure and confidentiality agreements. We cannot guarantee that we have entered into such agreements with each party who has developed intellectual property on our behalf and each party that has or may have had access to our confidential information, know-how and trade secrets.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60"/>
          </w:cols>
          <w:pgMar w:left="320" w:top="1440" w:right="319" w:bottom="1440" w:gutter="0" w:footer="0" w:header="0"/>
        </w:sectPr>
      </w:pPr>
    </w:p>
    <w:bookmarkStart w:id="106" w:name="page107"/>
    <w:bookmarkEnd w:id="106"/>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information or technology, or infringement of our intellectual property. Enforcing a claim that a party illegally disclosed or misappropriated a trade secret or know-how is difficult, expensive, and time-consuming, and the outcome is unpredictable. In addition, trade secrets and know-how can be difficult to protect and some courts inside and outside the United States are less willing or unwilling to protect trade secrets and know-how.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w:t>
      </w:r>
    </w:p>
    <w:p>
      <w:pPr>
        <w:spacing w:after="0" w:line="15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loss of trade secret protection could make it easier for third parties to compete with our products and services by copying functionality. Additionally, individuals not subject to invention assignment agreements may make adverse ownership claims to our current and future intellectual property, and, to the extent that our employees, independent contractors or other third parties with whom we do business use intellectual property owned by others in their work for us, disputes may arise as to the rights in related or resulting know-how and inventions.</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will not be able to protect our intellectual property rights if we do not detect unauthorized use of our intellectual property rights. We also may fail to maintain or be unable to obtain adequate protections for certain of our intellectual property rights in the United States and certain non-U.S. countries, and our intellectual property rights may not receive the same degree of protection in non-U.S. countries as they would in the United States because of the differences in non-U.S. patent, trademark, copyright, and other laws concerning intellectual property and proprietary rights. Any of our intellectual property rights may be successfully challenged, opposed, diluted, misappropriated or circumvented by others or invalidated, narrowed in scope or held unenforceable through administrative process or litigation in the United States or in non-U.S. jurisdictions. Furthermore, legal standards relating to the validity, enforceability and scope of protection of intellectual property rights are uncertain and any changes in, or unexpected interpretations of, intellectual property laws may compromise our ability to enforce our trade secrets and intellectual property rights.</w:t>
      </w:r>
    </w:p>
    <w:p>
      <w:pPr>
        <w:spacing w:after="0" w:line="15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order to protect our intellectual property rights, we may be required to expend significant resources to apply for, maintain, monitor and protect these rights. Litigation brought to protect and enforce our intellectual property rights could be costly, time-consuming and distracting to management and could result in the impairment or loss of portions of our intellectual property. Furthermore, because of the substantial amount of discovery required in connection with intellectual property litigation, there is a risk that some of our confidential information could be compromised by disclosure during this type of litigation.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An adverse outcome in such litigation or proceedings may therefore expose us to a loss of our competitive position, expose us to significant liabilities or require us to seek licenses that may not be available on commercially acceptable terms, if at all. Our failure to secure, protect and enforce our intellectual property rights could seriously damage our brand and have an adverse effect on our business, financial condition and results of operations.</w:t>
      </w:r>
    </w:p>
    <w:p>
      <w:pPr>
        <w:spacing w:after="0" w:line="145"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have been, and may in the future be, subject to claims that we violated certain third-party intellectual property rights, which, even where meritless, can be costly to defend and could materially adversely affect our business, results of operations, and financial condition.</w:t>
      </w:r>
    </w:p>
    <w:p>
      <w:pPr>
        <w:spacing w:after="0" w:line="12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Additionally, companies in the technology industry own large numbers of patents, copyrights, trademarks, and trade secrets and frequently enter into litigation based on allegations of infringement or other violations of intellectual property rights. As we face increasing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60"/>
          </w:cols>
          <w:pgMar w:left="320" w:top="1440" w:right="319" w:bottom="1440" w:gutter="0" w:footer="0" w:header="0"/>
        </w:sectPr>
      </w:pPr>
    </w:p>
    <w:bookmarkStart w:id="107" w:name="page108"/>
    <w:bookmarkEnd w:id="107"/>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competition and become increasingly high profile, the possibility of receiving a larger number of intellectual property claims against us grows. In addition, various “non-practicing entities,” and other intellectual property rights holders have in the past and may in the future attempt to assert intellectual property claims against us or seek to monetize the intellectual property rights they own to extract value through licensing or other settlements.</w:t>
      </w:r>
    </w:p>
    <w:p>
      <w:pPr>
        <w:spacing w:after="0" w:line="157" w:lineRule="exact"/>
        <w:rPr>
          <w:sz w:val="20"/>
          <w:szCs w:val="20"/>
          <w:color w:val="auto"/>
        </w:rPr>
      </w:pPr>
    </w:p>
    <w:p>
      <w:pPr>
        <w:jc w:val="both"/>
        <w:ind w:firstLine="287"/>
        <w:spacing w:after="0" w:line="279" w:lineRule="auto"/>
        <w:rPr>
          <w:sz w:val="20"/>
          <w:szCs w:val="20"/>
          <w:color w:val="auto"/>
        </w:rPr>
      </w:pPr>
      <w:r>
        <w:rPr>
          <w:rFonts w:ascii="Arial" w:cs="Arial" w:eastAsia="Arial" w:hAnsi="Arial"/>
          <w:sz w:val="15"/>
          <w:szCs w:val="15"/>
          <w:color w:val="auto"/>
        </w:rPr>
        <w:t>Our use of third-party software and other intellectual property rights may be subject to claims of infringement or misappropriation. The vendors who provide us with technology that we incorporate in our product offerings also could become subject to various infringement claims. We cannot guarantee that our internally developed or acquired technologies and content do not or will not infringe, misappropriate or otherwise violate the intellectual property rights of others.</w:t>
      </w:r>
    </w:p>
    <w:p>
      <w:pPr>
        <w:spacing w:after="0" w:line="12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From time to time, our competitors or other third parties may claim, and have in the past claimed, that we are infringing upon, misappropriating or otherwise violating their intellectual property rights. We cannot predict the outcome of lawsuits and 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may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spacing w:after="0" w:line="14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financial condition and results of operations.</w:t>
      </w:r>
    </w:p>
    <w:p>
      <w:pPr>
        <w:spacing w:after="0" w:line="142"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may not be able to obtain, maintain, protect, defend and enforce our trademarks and trade names, or build name recognition in our markets of interest, thereby harming our competitive position.</w:t>
      </w:r>
    </w:p>
    <w:p>
      <w:pPr>
        <w:spacing w:after="0" w:line="12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believe that the protection of our trademark rights is an important factor in product recognition, protecting our brand and maintaining goodwill. We may be unable to obtain trademark protection for our technologies, logos, slogans and brands, and our existing trademark registrations and applications, and any trademarks that may be used in the future, may not provide us with competitive advantages or distinguish our products and services from those of our competitors. Further, we may not timely or successfully register our trademarks.</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If we do not adequately protect our rights in our trademarks from infringement and unauthorized use, any goodwill that we have developed in those trademarks could be lost or impaired, which could harm our brand and our business. We have registered, among other trademarks, the term “Robinhood” and our feather logo in the United States and certain other jurisdictions. Competitors have and may continue to adopt service names similar to ours, thereby harming our ability to build brand identity and possibly leading to customer confusion. In addition, there could be potential trade name or trademark infringement claims brought by owners of other trademarks that are similar to our trademarks. Furthermore, our trademarks may be opposed, contested, circumvented or found to be unenforceable, weak or invalid, and we may not be able to prevent third parties from infringing or otherwise violating them or using similar marks in a manner that causes confusion or dilutes the value or strength of our brand. Litigation or proceedings before the U.S. Patent and Trademark Office or other governmental authorities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60"/>
          </w:cols>
          <w:pgMar w:left="320" w:top="1440" w:right="319" w:bottom="1440" w:gutter="0" w:footer="0" w:header="0"/>
        </w:sectPr>
      </w:pPr>
    </w:p>
    <w:bookmarkStart w:id="108" w:name="page109"/>
    <w:bookmarkEnd w:id="108"/>
    <w:p>
      <w:pPr>
        <w:spacing w:after="0" w:line="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administrative bodies in the United States and abroad may be necessary in the future to enforce our trademark rights and to determine the validity and scope of the trademark rights of others. Our efforts to obtain, maintain, protect, defend and enforce our trademarks may be ineffective and could result in substantial costs and diversion of resources, which could adversely affect our business, financial condition, and results of operations.</w:t>
      </w:r>
    </w:p>
    <w:p>
      <w:pPr>
        <w:spacing w:after="0" w:line="139"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may be unable to continue to use the domain names that we use in our business or prevent third parties from acquiring and using domain names that infringe, misappropriate or otherwise violate, are similar to, or otherwise decrease the value of our brand, trademarks, or service marks.</w:t>
      </w:r>
    </w:p>
    <w:p>
      <w:pPr>
        <w:spacing w:after="0" w:line="12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have registered domain names that we use in, or are related to, our business, most importantly www.robinhood.com and www.robinhood.net. If we lose the ability to use a domain name, whether due to trademark claims, failure to renew the applicable registration, or any other cause, we may be forced to market our offerings under a new domain name, which could cause us substantial harm or cause us to incur significant expense in order to purchase rights to the domain name in question. We may not be able to obtain preferred domain names outside the United States due to a variety of reasons. In addition, our competitors and other third parties could attempt to capitalize on our brand recognition by using domain names similar to ours. We may be unable to prevent our competitors and other third parties from acquiring and using domain names that infringe, misappropriate, or otherwise violate, are similar to, or otherwise decrease the value of our brand or our trademarks or service marks. Obtaining, maintaining, protecting, defending and enforcing our rights in our domain names may require litigation, which could result in substantial costs and diversion of resources, which could in turn adversely affect our business, financial condition, and results of operations.</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Some of our products and services contain open source software, which may pose particular risks to our proprietary software, products and services in a manner that could harm our business.</w:t>
      </w:r>
    </w:p>
    <w:p>
      <w:pPr>
        <w:spacing w:after="0" w:line="134"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Any actual or claimed requirement to disclose our proprietary source code or pay damages for breach of contract could harm our business and could help third parties, including our competitors, develop products and services that are similar to or better than ours.</w:t>
      </w:r>
    </w:p>
    <w:p>
      <w:pPr>
        <w:spacing w:after="0" w:line="14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60"/>
          </w:cols>
          <w:pgMar w:left="320" w:top="1440" w:right="319" w:bottom="1440" w:gutter="0" w:footer="0" w:header="0"/>
        </w:sectPr>
      </w:pPr>
    </w:p>
    <w:bookmarkStart w:id="109" w:name="page110"/>
    <w:bookmarkEnd w:id="109"/>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be difficult to eliminate or manage and, if not addressed, could have an adverse effect on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halt the operations of third-party websites that aggregate or misappropriate our data.</w:t>
      </w:r>
    </w:p>
    <w:p>
      <w:pPr>
        <w:spacing w:after="0" w:line="181" w:lineRule="exact"/>
        <w:rPr>
          <w:sz w:val="20"/>
          <w:szCs w:val="20"/>
          <w:color w:val="auto"/>
        </w:rPr>
      </w:pPr>
    </w:p>
    <w:p>
      <w:pPr>
        <w:jc w:val="both"/>
        <w:ind w:firstLine="287"/>
        <w:spacing w:after="0" w:line="269" w:lineRule="auto"/>
        <w:rPr>
          <w:sz w:val="20"/>
          <w:szCs w:val="20"/>
          <w:color w:val="auto"/>
        </w:rPr>
      </w:pPr>
      <w:r>
        <w:rPr>
          <w:rFonts w:ascii="Arial" w:cs="Arial" w:eastAsia="Arial" w:hAnsi="Arial"/>
          <w:sz w:val="15"/>
          <w:szCs w:val="15"/>
          <w:color w:val="auto"/>
        </w:rPr>
        <w:t>Third parties may misappropriate our data through website scraping, robots, or other means and aggregate this data on their websites with data from other companies. In addition, copycat websites may misappropriate data from our platform and attempt to imitate our brand or the functionality of our website. If we become aware of such websites, we intend to employ technological or legal measures in an attempt to halt their operations. However, we may be unable to detect all such websites in a timely manner and, even if we are successful in detecting such websites, technological and legal measures may be insufficient to halt their operations. In some cases, particularly in the case of websites operating outside of the U.S., our available remedies may not be adequate to protect us against the effect of the operation of such websites. Regardless of whether we can successfully enforce our rights against the operators of these websites, any measures that we may take could require us to expend significant financial or other resources, which could harm our business, financial condition, operating results, cash flows, and prospects. In addition, to the extent that such activity creates confusion among customers, our brand and business could be harmed.</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or are unable to license rights to use technologies on reasonable terms, we may be required to pay damages and could potentially lose license rights that are critical to our business.</w:t>
      </w:r>
    </w:p>
    <w:p>
      <w:pPr>
        <w:spacing w:after="0" w:line="134"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license certain intellectual property, including technologies, data, content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licensed intellectual property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152"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However, such licenses may not be available on acceptable terms or at all. The licensing or acquisition of third-party intellectual property rights is a competitive area, and several more-established companies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Any of the foregoing could have a material adverse effect on our competitive position,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60"/>
          </w:cols>
          <w:pgMar w:left="320" w:top="1440" w:right="319" w:bottom="1440" w:gutter="0" w:footer="0" w:header="0"/>
        </w:sectPr>
      </w:pPr>
    </w:p>
    <w:bookmarkStart w:id="110" w:name="page111"/>
    <w:bookmarkEnd w:id="110"/>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Finance, Accounting and Tax Matters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properly handle cash, securities and cryptocurrencies held on behalf of customers could harm our business and reputation.</w:t>
      </w:r>
    </w:p>
    <w:p>
      <w:pPr>
        <w:spacing w:after="0" w:line="18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ability to hold, handle and account accurately for the cash, securities and cryptocurrencies in our customers’ accounts requires a high level of internal controls, and our success requires significant customer confidence in our ability to do so. As our business continues to grow and we expand our products and services, we must continue to strengthen our associated internal controls. Any failure to maintain the necessary controls or to manage our customers’ funds and securities accurately could result in reputational harm, lead customers to discontinue or reduce their use of our products and services and result in regulatory actions, including significant penalties and fines, which could harm our business.</w:t>
      </w:r>
    </w:p>
    <w:p>
      <w:pPr>
        <w:spacing w:after="0" w:line="12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Covenants in our credit agreements may restrict our operations and if we do not effectively manage our business to comply with these covenants, our financial condition could be adversely impacted.</w:t>
      </w:r>
    </w:p>
    <w:p>
      <w:pPr>
        <w:spacing w:after="0" w:line="134"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We have entered into two credit agreements and may enter into additional agreements for other borrowing in the future. These agreements contain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and other financial ratios. These restrictions may restrict our current and future operations, particularly our ability to respond to certain changes in our business or industry or take future actions, including our ability to incur debt to increase our liquidity position.</w:t>
      </w:r>
    </w:p>
    <w:p>
      <w:pPr>
        <w:spacing w:after="0" w:line="148"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ability to meet these restrictive covenants can be impacted by events beyond our control and we may be unable to do so. The credit agreements provide that our breach or failure to satisfy certain covenants constitutes an event of default. Upon the occurrence of an event of default, our lenders could elect to declare all amounts outstanding under our debt agreements to be immediately due and payable. In addition, our lenders may have the right to proceed against the assets we provided as collateral pursuant to the agreements. If the debt under the credit agreements were to be accelerated, and if we did not have sufficient cash on hand or be able to sell sufficient collateral to repay it, it would have an immediate adverse effect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be inadequate or expensive.</w:t>
      </w:r>
    </w:p>
    <w:p>
      <w:pPr>
        <w:spacing w:after="0" w:line="193"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are subject to claims in the ordinary course of business. These claims may involve substantial amounts of money and involve significant defense costs. It is not possible to prevent or detect all activities giving rise to claims and the precautions we take may not be effective in all cases. We maintain voluntary and required insurance coverage, including, among others, general liability, property, director and officer, excess-SIPC, business interruption, cyber and data breach, errors and omissions, crime and fidelity bond insurance. Our insurance coverage is expensive and maintaining or expanding our insurance coverage may have an adverse effect on our results of operations and financial condition.</w:t>
      </w:r>
    </w:p>
    <w:p>
      <w:pPr>
        <w:spacing w:after="0" w:line="145"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Our insurance coverage may be insufficient to protect us against all losses and costs stemming from operational and technological failures and we cannot be certain that such insurance will continue to be available to us on economically reasonable terms, or at all, or that any insurer will not deny coverage as to any future claim. For example, we offer a guarantee to our customers to fully reimburse direct losses that occur due to unauthorized activity that is not the fault of the customer, and any such losses we incur in satisfaction of this guarantee may not be fully or partially covered by insurance. The successful assertion of one or more large claims against us that exceed available insurance coverage, or the occurrence of changes in our insurance policies, including premium increases or the imposition of large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60"/>
          </w:cols>
          <w:pgMar w:left="320" w:top="1440" w:right="319" w:bottom="1440" w:gutter="0" w:footer="0" w:header="0"/>
        </w:sectPr>
      </w:pPr>
    </w:p>
    <w:bookmarkStart w:id="111" w:name="page112"/>
    <w:bookmarkEnd w:id="111"/>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deductible or co-insurance requirements, could have an adverse effect on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tax laws and policies could adversely impact our financial condition and results of operations.</w:t>
      </w:r>
    </w:p>
    <w:p>
      <w:pPr>
        <w:spacing w:after="0" w:line="18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are subject to complex and evolving U.S. tax laws and regulations, which may in the future make changes to corporate income tax rates (including increases proposed by the Biden administration), the treatment of foreign earnings, or other income tax laws that could affect our future income tax provision and reduce our earnings while increasing the complexity, burden and cost of tax compliance.</w:t>
      </w:r>
    </w:p>
    <w:p>
      <w:pPr>
        <w:spacing w:after="0" w:line="14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determination of our tax liability is subject to review by applicable tax authorities. Any adverse outcome of such a review could harm our results of operations and financial condition. The determination of our tax liabilities requires significant judgment and, in the ordinary course of business, there are many transactions and calculations where the ultimate tax determination is complex and uncertain. In addition, our future effective tax rates could be favorably or unfavorably affected by changes in tax rates, changes in the valuation of our deferred tax assets or liabilities, the effectiveness of our tax planning strategies or changes in tax laws or their interpretation. Such changes could have an adverse effect on our financial condition.</w:t>
      </w:r>
    </w:p>
    <w:p>
      <w:pPr>
        <w:spacing w:after="0" w:line="157"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Although we believe our estimates are reasonable, as a result of these and other factors, the ultimate amount of our tax obligations owed may differ from the amounts recorded in our consolidated financial statements and any such difference may harm our results of operations in future periods in which we change our estimates of our tax obligations or in which the ultimate tax outcome is determined.</w:t>
      </w:r>
    </w:p>
    <w:p>
      <w:pPr>
        <w:spacing w:after="0" w:line="145" w:lineRule="exact"/>
        <w:rPr>
          <w:sz w:val="20"/>
          <w:szCs w:val="20"/>
          <w:color w:val="auto"/>
        </w:rPr>
      </w:pPr>
    </w:p>
    <w:p>
      <w:pPr>
        <w:jc w:val="both"/>
        <w:ind w:firstLine="287"/>
        <w:spacing w:after="0" w:line="271" w:lineRule="auto"/>
        <w:rPr>
          <w:sz w:val="20"/>
          <w:szCs w:val="20"/>
          <w:color w:val="auto"/>
        </w:rPr>
      </w:pPr>
      <w:r>
        <w:rPr>
          <w:rFonts w:ascii="Arial" w:cs="Arial" w:eastAsia="Arial" w:hAnsi="Arial"/>
          <w:sz w:val="15"/>
          <w:szCs w:val="15"/>
          <w:color w:val="auto"/>
        </w:rPr>
        <w:t>In addition, certain members of the U.S. Congress and individual state legislatures have proposed the imposition of new taxes on a broad range of financial transactions, including transactions that occur on our platform, such as the buying and selling of stocks and derivative transactions. If enacted, such proposed financial transaction taxes could increase the cost to customers of investing or trading on our platform and reduce or adversely affect U.S. market conditions and liquidity, our customers’ investment performance, general levels of interest in investing and the volume of trades and other transactions from which we derive transaction revenues, as well as on our business, financial condition and results of operations. See “Risks Related to our Business—</w:t>
      </w:r>
      <w:r>
        <w:rPr>
          <w:rFonts w:ascii="Arial" w:cs="Arial" w:eastAsia="Arial" w:hAnsi="Arial"/>
          <w:sz w:val="15"/>
          <w:szCs w:val="15"/>
          <w:i w:val="1"/>
          <w:iCs w:val="1"/>
          <w:color w:val="auto"/>
        </w:rPr>
        <w:t>Proposed legislation</w:t>
      </w:r>
      <w:r>
        <w:rPr>
          <w:rFonts w:ascii="Arial" w:cs="Arial" w:eastAsia="Arial" w:hAnsi="Arial"/>
          <w:sz w:val="15"/>
          <w:szCs w:val="15"/>
          <w:color w:val="auto"/>
        </w:rPr>
        <w:t xml:space="preserve"> </w:t>
      </w:r>
      <w:r>
        <w:rPr>
          <w:rFonts w:ascii="Arial" w:cs="Arial" w:eastAsia="Arial" w:hAnsi="Arial"/>
          <w:sz w:val="15"/>
          <w:szCs w:val="15"/>
          <w:i w:val="1"/>
          <w:iCs w:val="1"/>
          <w:color w:val="auto"/>
        </w:rPr>
        <w:t>that would impose taxes on certain financial transactions could have a material adverse effect on our business, financial condition and results of operations</w:t>
      </w:r>
      <w:r>
        <w:rPr>
          <w:rFonts w:ascii="Arial" w:cs="Arial" w:eastAsia="Arial" w:hAnsi="Arial"/>
          <w:sz w:val="15"/>
          <w:szCs w:val="15"/>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losses to offset future taxable income may be subject to certain limitations.</w:t>
      </w:r>
    </w:p>
    <w:p>
      <w:pPr>
        <w:spacing w:after="0" w:line="19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During 2020, we utilized substantially all of our U.S. federal and state net operating loss ("NOL") carryforwards, excluding California due to the recently enacted Assembly Bill No. 85 (as further described in Note 6 to our consolidated financial statements included elsewhere in this prospectus). As a result, as of December 31, 2020, we had U.S. state NOL carryforwards of $32.3 million that will begin to expire in 2034 if not utilized, and non-U.S. NOL carryforwards of $4.7 million that do not expire. Under Sections 382 and 383 of the United States Internal Revenue Code of 1986, as amended (the “Code”), a corporation that undergoes an “ownership change” (as defined by the Code) may be 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companies that we may acquire in the future may be subject to limitations. For these reasons, we may not be able to utilize our NOLs, even if we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60"/>
          </w:cols>
          <w:pgMar w:left="320" w:top="1440" w:right="319" w:bottom="1440" w:gutter="0" w:footer="0" w:header="0"/>
        </w:sectPr>
      </w:pPr>
    </w:p>
    <w:bookmarkStart w:id="112" w:name="page113"/>
    <w:bookmarkEnd w:id="112"/>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A large number of RSUs will vest in connection with this offering, and we may expend substantial funds in connection with the tax withholding and remittance obligations related to the settlement of RSUs and/or the exercise of outstanding stock options depending on the manner in which we fund these liabilities, which may have an adverse effect on our financial condition and results of operations.</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Up to 15,087,411 shares of our Class A common stock will be issuable in connection with this offering upon the settlement of IPO-Vesting Time-Based RSUs (based on the number of IPO-Vesting Time-Based RSUs for which the time-based vesting condition was satisfied as of March 31, 2021), up to 3,919,018 shares of our Class A common stock will be issuable in connection with this offering upon the settlement of IPO-Vesting Market-Based RSUs (assuming the effectiveness of this offering on March 31, 2021 for purposes of any applicable time-based vesting conditions and, for purposes of determining the satisfaction of the market-based vesting condition, an initial public offering price of our Class A common stock of $40.00 per share, which is the midpoint of the estimated offering price range set forth on the cover page of this prospectus), and up to 15,396,002 shares of our Class A common stock will be issuable after this offering upon the exercise of outstanding vested stock options (based on vested stock options outstanding as of March 31, 2021), in each case, before giving effect to any tax withholding. On the settlement dates for the IPO-Vesting Time-Based RSUs and IPO-Vesting Market-Based RSUs granted prior to the date of this prospectus and upon exercise of stock options, holders may be allowed to sell a portion of the resulting shares of our common stock in the public market to satisfy the resulting tax withholding and remittance obligations related to the settlement or exercise of awards, which we refer to as “selling to cover,” or we may withhold shares and remit tax liabilities to the relevant tax authorities on behalf of the holders, which we refer to as a “net settlement.” We currently expect that the average rate at which we will withhold for tax obligations will be approximately 45% and the income taxes due would be based on the then-current value of the underlying shares of our Class A common stock and the taxable amounts resulting from the exercise of stock options.</w:t>
      </w:r>
    </w:p>
    <w:p>
      <w:pPr>
        <w:spacing w:after="0" w:line="14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IPO-Vesting Time-Based RSUs vest upon the satisfaction of both a time-based vesting condition and a liquidity-based vesting condition. The time-based vesting condition for a majority of such RSUs is satisfied over a period of four years (generally from the grant date or the holder’s employment start date). The liquidity-based vesting condition of such RSUs will be satisfied in connection with this offering. We expect to settle the IPO-Vesting Time-Based RSUs in connection with this offering. Based on the number of IPO-Vesting Time-Based RSUs for which the time-based vesting condition was satisfied as of March 31, 2021, and assuming (i) the satisfaction of the liquidity-based vesting condition on that date and (ii) that the price of our Class A common stock at the time of settlement was equal to $40.00 per share, which is the midpoint of the estimated offering price range set forth on the cover page of this prospectus, we estimate that the tax withholding and remittance obligations would be approximately $271.6 million in the aggregate. The amount of these obligations could be higher or lower, depending on the price of shares of our Class A common stock and the actual numbers of IPO-Vesting Time-Based RSUs on the applicable settlement date. Assuming an approximate 45% tax withholding rate, we intend to undertake a net settlement of the awards by delivering an aggregate of approximately 8,298,254 shares of Class A common stock to IPO-Vesting Time-Based RSU holders and withholding an aggregate of approximately 6,789,157 shares of Class A common stock, based on the number of IPO-Vesting Time-Based RSUs outstanding as of March 31, 2021.</w:t>
      </w:r>
    </w:p>
    <w:p>
      <w:pPr>
        <w:spacing w:after="0" w:line="150"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2019 Market-Based RSUs were granted on October 8, 2019 and were amended and restated on May 26, 2021 and vest upon the satisfaction of both a time-based vesting condition and a market-based vesting condition. The time-based vesting condition that is applicable to a portion of the 2019 Market-Based RSUs is satisfied over a period of six years. The market-based vesting condition that is applicable to the 2019 Market-Based RSUs is initially tested based on our initial public offering price. Any 2019 Market Based RSUs for which the market-based vesting condition is not satisfied in this offering will continue to be eligible to vest upon the satisfaction of the market-based vesting condition following this offering. Based on the number of outstanding 2019 Market-Based RSUs, assuming the effectiveness of this offering on March 31, 2021 for purposes of any applicable time-based vesting conditions and,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60"/>
          </w:cols>
          <w:pgMar w:left="320" w:top="1423" w:right="319" w:bottom="1440" w:gutter="0" w:footer="0" w:header="0"/>
        </w:sectPr>
      </w:pPr>
    </w:p>
    <w:bookmarkStart w:id="113" w:name="page114"/>
    <w:bookmarkEnd w:id="113"/>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purposes of determining the satisfaction of the market-based vesting condition, an initial public offering price of our Class A common stock of $40.00 per share, which is the midpoint of the estimated offering price range set forth on the cover page of this prospectus, we estimate that the tax withholding and remittance obligations for the IPO-Vesting Market-Based RSUs would be approximately $ 70.5 million in the aggregate. The amount of these obligations could be higher or lower, depending on the initial public offering price. Assuming an approximate 45% tax withholding rate, we intend to undertake a net settlement of the awards by delivering an aggregate of approximately 2,155,458 shares of Class A common stock to IPO-Vesting Market-Based RSU holders (which consist of our Co-Founder, CEO, President and director, Mr. Tenev, and our Co-Founder, Chief Creative Officer and director, Mr. Bhatt) and withholding an aggregate of approximately 1,763,560 shares of Class A common stock.</w:t>
      </w:r>
    </w:p>
    <w:p>
      <w:pPr>
        <w:spacing w:after="0" w:line="159"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We cannot predict when holders will exercise their stock options. However, if all stock options vested as of March 31, 2021 were exercised and the price of our Class A common stock at the time of exercise were equal to $40.00 per share, which is the midpoint of the estimated offering price range set forth on the cover page of this prospectus, we estimate that the aggregate resulting tax withholding and remittance obligations would be approximately $265.9 million (based on a 45% tax withholding rate). If holders elect to sell shares of our Class A common stock in the public market to satisfy these tax withholding and remittance obligations rather than our undertaking a net settlement of the awards, an aggregate of approximately 6,647,940 shares of our Class A common stock would be sold in the public market and an aggregate of approximately 8,748,062 shares of our Class A common stock would be delivered to option holders. If holders elect for us to undertake a net settlement of these options to satisfy these tax withholding obligations, we would expect to deliver an aggregate of approximately 8,748,062 shares of our Class A common stock to option holders and withholding an aggregate of approximately 6,647,940 shares of our Class A common stock.</w:t>
      </w:r>
    </w:p>
    <w:p>
      <w:pPr>
        <w:spacing w:after="0" w:line="15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Given the large number of IPO-Vesting Time-Based RSUs and IPO-Vesting Market-Based RSUs that will be settled in connection with this offering, the number of outstanding stock options and the number of Market-Based RSUs that could settle following this offering, if we choose to net settle all or a portion of these awards we may expend substantial funds to satisfy the related tax withholding and remittance obligations in the year in which this offering is completed. To fund those tax withholding and remittance obligations, we may choose to use a substantial portion of our existing cash, including funds raised in this offering, borrow funds under our revolving credit facility, or rely on a combination of these alternatives. In the event that we elect to satisfy our tax withholding and remittance obligations in whole or in part by drawing on our revolving credit facility, our interest expense and principal repayment requirements could increase significantly, which could have an adverse effect on our financial results.</w:t>
      </w:r>
    </w:p>
    <w:p>
      <w:pPr>
        <w:spacing w:after="0" w:line="147"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Sales of a large number of shares of our Class A common stock if holders “sell to cover” upon the settlement of RSUs and/or exercise of stock options may impact the market price of our Class A common stock. See “—Risks Related to Our Class A Common Stock and this Offering—</w:t>
      </w:r>
      <w:r>
        <w:rPr>
          <w:rFonts w:ascii="Arial" w:cs="Arial" w:eastAsia="Arial" w:hAnsi="Arial"/>
          <w:sz w:val="16"/>
          <w:szCs w:val="16"/>
          <w:i w:val="1"/>
          <w:iCs w:val="1"/>
          <w:color w:val="auto"/>
        </w:rPr>
        <w:t>Substantial future sales of</w:t>
      </w:r>
      <w:r>
        <w:rPr>
          <w:rFonts w:ascii="Arial" w:cs="Arial" w:eastAsia="Arial" w:hAnsi="Arial"/>
          <w:sz w:val="16"/>
          <w:szCs w:val="16"/>
          <w:color w:val="auto"/>
        </w:rPr>
        <w:t xml:space="preserve"> </w:t>
      </w:r>
      <w:r>
        <w:rPr>
          <w:rFonts w:ascii="Arial" w:cs="Arial" w:eastAsia="Arial" w:hAnsi="Arial"/>
          <w:sz w:val="16"/>
          <w:szCs w:val="16"/>
          <w:i w:val="1"/>
          <w:iCs w:val="1"/>
          <w:color w:val="auto"/>
        </w:rPr>
        <w:t>shares of our Class A common stock in the public market could cause the trading price of our Class A common stock to fall</w:t>
      </w:r>
      <w:r>
        <w:rPr>
          <w:rFonts w:ascii="Arial" w:cs="Arial" w:eastAsia="Arial" w:hAnsi="Arial"/>
          <w:sz w:val="16"/>
          <w:szCs w:val="16"/>
          <w:color w:val="auto"/>
        </w:rPr>
        <w:t>.”</w:t>
      </w:r>
    </w:p>
    <w:p>
      <w:pPr>
        <w:spacing w:after="0" w:line="15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Following the completion of this offering, and pursuant to certain equity exchange agreements to be entered into between us and each of our founders, each of our founders will have the Equity Exchange Rights, pursuant to which each founder will have a right (but not an obligation) to require us to exchange, for shares of Class B common stock, any shares of Class A common stock received by him upon the vesting and settlement of RSUs related to shares of Class A common stock. The Equity Exchange Rights apply only to equity awards granted to our founders prior to the effectiveness of our Charter, which will occur immediately prior to the completion of this offering. The share counts set forth above do not give effect to any exchange by our founders of shares of Class A common stock received upon the settlement of IPO-Vesting Time-Vesting RSUs and IPO-Vesting Market-Based RSUs held by our founders or any other shares of Class A common stock received by them after this offering for shares of Class B common stock pursuant to their Equity Exchange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60"/>
          </w:cols>
          <w:pgMar w:left="320" w:top="1440" w:right="319" w:bottom="1440" w:gutter="0" w:footer="0" w:header="0"/>
        </w:sectPr>
      </w:pPr>
    </w:p>
    <w:bookmarkStart w:id="114" w:name="page115"/>
    <w:bookmarkEnd w:id="114"/>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track certain operational metrics, which are subject to inherent challenges in measurement, and real or perceived inaccuracies in such metrics may harm our reputation and materially adversely affect our stock price, business, results of operations, and financial condition.</w:t>
      </w:r>
    </w:p>
    <w:p>
      <w:pPr>
        <w:spacing w:after="0" w:line="134"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track certain operational metrics using internal company data gathered on an analytics platform that we developed and operate, including metrics such as MAU, AUC and Net Cumulative Funded Accounts, as well as cohorts of our customers, which have not been validated by an independent third party and which may differ from estimates or similar metrics published by third parties due to differences in sources, methodologies or the assumptions on which we rely. Our internal systems and tools are subject to a number of limitations and our methodologies for tracking these metrics have changed in the past and may change further over time, which could result in unexpected changes to our metrics or otherwise cause the comparability of such metrics from period to period to suffer, including the metrics we publicly disclose. For example, prior to our becoming self-clearing in November 2018, we relied on a third-party provider for our clearing operations, and used data collected by that third party to compute certain metrics, such as Net Cumulative Funded Accounts, that, since November 2018, we have calculated based on data sourced and processed internally. In addition,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globally.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spacing w:after="0" w:line="14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If our operational metrics are not accurate representations of our business, or if investors do not perceive these metrics to be accurate, or if we discover material inaccuracies with respect to these figures, our reputation may be significantly harmed, the trading price of our Class A common stock could decline and we may be subject to stockholder litigation, which could have an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fluctuations in interest rates.</w:t>
      </w:r>
    </w:p>
    <w:p>
      <w:pPr>
        <w:spacing w:after="0" w:line="19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Fluctuations in interest rates may adversely impact our customers’ general spending levels and ability and willingness to invest through our platform. Additionally, some of our products, such as our Cash Management product and margin lending programs, are affected by interest rate changes. Higher interest rates often lead to higher payment obligations by our customers to us and to their creditors under mortgage, credit card, and other consumer and merchant loans, which may reduce our customers’ ability to satisfy their obligations to us, including failing to pay for securities purchased, deliver securities sold or meet margin calls, and therefore lead to increased delinquencies, charge-offs, and allowances for loan and interest receivables, which could have an adverse effect on our net income. See “Risks Related to Our Brokerage Products and Services—</w:t>
      </w:r>
      <w:r>
        <w:rPr>
          <w:rFonts w:ascii="Arial" w:cs="Arial" w:eastAsia="Arial" w:hAnsi="Arial"/>
          <w:sz w:val="16"/>
          <w:szCs w:val="16"/>
          <w:i w:val="1"/>
          <w:iCs w:val="1"/>
          <w:color w:val="auto"/>
        </w:rPr>
        <w:t>Our exposure to credit risk with customers and counterparties could result in</w:t>
      </w:r>
      <w:r>
        <w:rPr>
          <w:rFonts w:ascii="Arial" w:cs="Arial" w:eastAsia="Arial" w:hAnsi="Arial"/>
          <w:sz w:val="16"/>
          <w:szCs w:val="16"/>
          <w:color w:val="auto"/>
        </w:rPr>
        <w:t xml:space="preserve"> </w:t>
      </w:r>
      <w:r>
        <w:rPr>
          <w:rFonts w:ascii="Arial" w:cs="Arial" w:eastAsia="Arial" w:hAnsi="Arial"/>
          <w:sz w:val="16"/>
          <w:szCs w:val="16"/>
          <w:i w:val="1"/>
          <w:iCs w:val="1"/>
          <w:color w:val="auto"/>
        </w:rPr>
        <w:t>losses</w:t>
      </w:r>
      <w:r>
        <w:rPr>
          <w:rFonts w:ascii="Arial" w:cs="Arial" w:eastAsia="Arial" w:hAnsi="Arial"/>
          <w:sz w:val="16"/>
          <w:szCs w:val="16"/>
          <w:color w:val="auto"/>
        </w:rPr>
        <w:t>” above. Fluctuations in interest rates may also adversely impact our Cash Management customers’ returns on their cash deposits. We are also exposed</w:t>
      </w:r>
      <w:r>
        <w:rPr>
          <w:rFonts w:ascii="Arial" w:cs="Arial" w:eastAsia="Arial" w:hAnsi="Arial"/>
          <w:sz w:val="16"/>
          <w:szCs w:val="16"/>
          <w:i w:val="1"/>
          <w:iCs w:val="1"/>
          <w:color w:val="auto"/>
        </w:rPr>
        <w:t xml:space="preserve"> </w:t>
      </w:r>
      <w:r>
        <w:rPr>
          <w:rFonts w:ascii="Arial" w:cs="Arial" w:eastAsia="Arial" w:hAnsi="Arial"/>
          <w:sz w:val="16"/>
          <w:szCs w:val="16"/>
          <w:color w:val="auto"/>
        </w:rPr>
        <w:t>to interest rate risk from our investment portfolio and from interest-rate sensitive assets, including assets underlying the customer balances we hold on our balance sheet as customer accounts. A low or negative interest rate environment or reductions in interest rates may negatively impact our net income.</w:t>
      </w:r>
    </w:p>
    <w:p>
      <w:pPr>
        <w:spacing w:after="0" w:line="15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Fluctuations in the risk-free interest rate will also affect the fair values of our convertible notes and warrants liability, which are recorded in our financial statements and marked to fair market value each quarter. Changes in the fair values of such liabilities will be recorded in change in fair value of convertible notes and warrant liability in our consolidated statements of operations. All else being equal, rises in interest rates generally cause the notes liability to decrease and the warrant liability to increase (though a hypothetical 100 basis point increase or decrease in risk-free rates would not have a material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60"/>
          </w:cols>
          <w:pgMar w:left="320" w:top="1423" w:right="319" w:bottom="1440" w:gutter="0" w:footer="0" w:header="0"/>
        </w:sectPr>
      </w:pPr>
    </w:p>
    <w:bookmarkStart w:id="115" w:name="page116"/>
    <w:bookmarkEnd w:id="115"/>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Class A Common Stock and this Offering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Class A common stock may not develop or be sustained following this offering.</w:t>
      </w:r>
    </w:p>
    <w:p>
      <w:pPr>
        <w:spacing w:after="0" w:line="18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Prior to this offering, there has been no public market for shares of our Class A common stock. We cannot predict the extent to which investor interest in us will lead to the development of a trading market on the Nasdaq or otherwise or how liquid that market might become. If an active market does not develop, you may have difficulty selling any shares of our Class A common stock that you purchase in this offering. The initial public offering price for the shares of our Class A common stock has been determined by negotiations between us and the representatives of the underwriters, and may not be indicative of prices that will prevail in the open market following this offering. An inactive market may also impair our ability to raise capital by selling shares of our Class A common stock and may impair our ability to acquire or make investments in companies, products or technologies for which we may issue equity securities to pay for such acquisition or investment.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for our Class A common stock may be volatile and you could lose all or part of your investment.</w:t>
      </w:r>
    </w:p>
    <w:p>
      <w:pPr>
        <w:spacing w:after="0" w:line="19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initial public offering price of our Class A common stock was determined through negotiation between the underwriters and us. This price does not necessarily reflect the price at which investors in the market will be willing to buy and sell shares of our Class A common stock following this offering. In addition, the trading price of our Class A common stock may be highly volatile and could be subject to fluctuations in response to various factors, some of which are beyond our control. These fluctuations could cause you to lose all or part of your investment in our Class A common stock since you may be unable to sell your shares at or above the price you paid in this offering. Some specific factors that may have a significant effect on the trading price of our Class A common stock include:</w:t>
      </w:r>
    </w:p>
    <w:p>
      <w:pPr>
        <w:spacing w:after="0" w:line="148" w:lineRule="exact"/>
        <w:rPr>
          <w:sz w:val="20"/>
          <w:szCs w:val="20"/>
          <w:color w:val="auto"/>
        </w:rPr>
      </w:pPr>
    </w:p>
    <w:p>
      <w:pPr>
        <w:ind w:left="560" w:right="20" w:hanging="278"/>
        <w:spacing w:after="0" w:line="260" w:lineRule="auto"/>
        <w:tabs>
          <w:tab w:leader="none" w:pos="556"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from time to time, including as a result of trends in the economy as a whole, such as the effect of the ongoing COVID-19 pandemic;</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actual or anticipated fluctuations in our results of operations or those of our competitors;</w:t>
      </w:r>
    </w:p>
    <w:p>
      <w:pPr>
        <w:spacing w:after="0" w:line="174"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44"/>
        </w:numPr>
        <w:rPr>
          <w:rFonts w:ascii="Arial" w:cs="Arial" w:eastAsia="Arial" w:hAnsi="Arial"/>
          <w:sz w:val="16"/>
          <w:szCs w:val="16"/>
          <w:color w:val="auto"/>
        </w:rPr>
      </w:pPr>
      <w:r>
        <w:rPr>
          <w:rFonts w:ascii="Arial" w:cs="Arial" w:eastAsia="Arial" w:hAnsi="Arial"/>
          <w:sz w:val="16"/>
          <w:szCs w:val="16"/>
          <w:color w:val="auto"/>
        </w:rPr>
        <w:t>actual or anticipated changes in the growth rate of the market in which we operate or the growth rate of our businesses or those of companies that investors deem comparable to us;</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sales of shares of our Class A common stock by us or our stockholders;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actions by institutional stockholders;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in economic or business conditions;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in governmental or other relevant regulation;</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in accounting standards, policies, guidelines, interpretations or principles;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ineffectiveness of our internal controls;</w:t>
      </w:r>
    </w:p>
    <w:p>
      <w:pPr>
        <w:spacing w:after="0" w:line="162"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44"/>
        </w:numPr>
        <w:rPr>
          <w:rFonts w:ascii="Arial" w:cs="Arial" w:eastAsia="Arial" w:hAnsi="Arial"/>
          <w:sz w:val="16"/>
          <w:szCs w:val="16"/>
          <w:color w:val="auto"/>
        </w:rPr>
      </w:pPr>
      <w:r>
        <w:rPr>
          <w:rFonts w:ascii="Arial" w:cs="Arial" w:eastAsia="Arial" w:hAnsi="Arial"/>
          <w:sz w:val="16"/>
          <w:szCs w:val="16"/>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announcements by us or our competitors of new offerings or platform features;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public’s perception of the quality and accuracy of our key metrics on our customer base and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60"/>
          </w:cols>
          <w:pgMar w:left="320" w:top="1440" w:right="319" w:bottom="1440" w:gutter="0" w:footer="0" w:header="0"/>
        </w:sectPr>
      </w:pPr>
    </w:p>
    <w:bookmarkStart w:id="116" w:name="page117"/>
    <w:bookmarkEnd w:id="116"/>
    <w:p>
      <w:pPr>
        <w:spacing w:after="0" w:line="2" w:lineRule="exact"/>
        <w:rPr>
          <w:sz w:val="20"/>
          <w:szCs w:val="20"/>
          <w:color w:val="auto"/>
        </w:rPr>
      </w:pPr>
    </w:p>
    <w:p>
      <w:pPr>
        <w:ind w:left="560" w:hanging="278"/>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public’s reaction to our media statements, other public announcements and filings with the SEC;</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harm to our brand and reputation;</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litigation involving us, our industry or both, or investigations by regulators into our operations or those of our competitors;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developments or disputes concerning our intellectual property or other proprietary rights;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significant change in our management;</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extent to which retail and other individual investors (as distinguished from institutional investors), including our customers, invest in our Class A common stock, which may result in increased volatility; and</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other events or factors, many of which are beyond our control.</w:t>
      </w:r>
    </w:p>
    <w:p>
      <w:pPr>
        <w:spacing w:after="0" w:line="163"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In addition, in the past, following periods of volatility in the overall market and the trading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4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Further, high levels of initial interest in our stock at the time of this offering may result in an unsustainable trading price, in which case the price of our Class A common stock may decline over time. In addition, if the public price of our Class A common stock is above the level that investors determine is reasonable for our Class A common stock, some investors may attempt to short our Class A common stock after trading begins, which would create additional downward pressure on the trading price of our Class A common stock.</w:t>
      </w:r>
    </w:p>
    <w:p>
      <w:pPr>
        <w:spacing w:after="0" w:line="14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b w:val="1"/>
          <w:bCs w:val="1"/>
          <w:i w:val="1"/>
          <w:iCs w:val="1"/>
          <w:color w:val="auto"/>
        </w:rPr>
        <w:t>We will be required to issue additional shares of Class A common stock upon the automatic conversion of our convertible notes upon the completion of this offering, as well as upon the exercise of our outstanding warrants and options and settlement of our RSUs and future equity-based awards. These and other additional issuances of our capital stock, including issuances of our Class B common stock and Class C common stock, could result in significant dilution to our stockholders.</w:t>
      </w:r>
    </w:p>
    <w:p>
      <w:pPr>
        <w:spacing w:after="0" w:line="14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Future issuances of shares of our capital stock, including our Class A common stock, Class B common stock and Class C common stock, or of securities convertible into or exercisable for our capital stock could depress the market price of our Class A common stock and result in a significant dilution for holders of our capital stock. We have authorized more capital stock in recent years to provide additional stock options and RSUs to our employees and to permit for the consummation of equity and equity-linked financings and may continue to do so in the future.</w:t>
      </w:r>
    </w:p>
    <w:p>
      <w:pPr>
        <w:spacing w:after="0" w:line="14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Further, in February 2021, we issued two tranches of convertible notes, consisting of $2,532.0 million aggregate principal amount of “Tranche I” convertible notes and $1,020.0 million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Assuming an initial public offering price of our Class A common stock of $40.00 per share, which is the midpoint of the estimated offering price range set forth on the cover page of this prospectus, based on the principal amounts outstanding and interest accrued as of March 31, 2021, if all the convertible notes remain outstanding at the time of the offering, they will automatically convert into 127,846,297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60"/>
          </w:cols>
          <w:pgMar w:left="320" w:top="1440" w:right="319" w:bottom="1440" w:gutter="0" w:footer="0" w:header="0"/>
        </w:sectPr>
      </w:pPr>
    </w:p>
    <w:bookmarkStart w:id="117" w:name="page118"/>
    <w:bookmarkEnd w:id="117"/>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shares of Class A common stock upon the closing of this offering, resulting in immediate dilution to our stockholders. Furthermore, pursuant to the Tranche I convertible note and warrant purchase agreement, we have agreed that, upon request from the holders of the shares of our Class A common stock to be issued upon the conversion of our Tranche I convertible notes concurrently with this offering, we will promptly (and in any event within 30 days) after the registration statement of which this prospectus forms a part is declared effective, use reasonable best efforts to file a registration statement on Form S-1, registering the offer and sale of such shares, subject to certain qualifications. We anticipate filing a resale registration statement on Form S-1 in respect of such shares shortly after the effectiveness of the registration statement of which this prospectus is a part. See “Description of Capital Stock—Registration Rights—S-1 Demand Registration Rights” for more information.</w:t>
      </w:r>
    </w:p>
    <w:p>
      <w:pPr>
        <w:spacing w:after="0" w:line="159" w:lineRule="exact"/>
        <w:rPr>
          <w:sz w:val="20"/>
          <w:szCs w:val="20"/>
          <w:color w:val="auto"/>
        </w:rPr>
      </w:pPr>
    </w:p>
    <w:p>
      <w:pPr>
        <w:jc w:val="both"/>
        <w:ind w:firstLine="287"/>
        <w:spacing w:after="0" w:line="270" w:lineRule="auto"/>
        <w:rPr>
          <w:sz w:val="20"/>
          <w:szCs w:val="20"/>
          <w:color w:val="auto"/>
        </w:rPr>
      </w:pPr>
      <w:r>
        <w:rPr>
          <w:rFonts w:ascii="Arial" w:cs="Arial" w:eastAsia="Arial" w:hAnsi="Arial"/>
          <w:sz w:val="15"/>
          <w:szCs w:val="15"/>
          <w:color w:val="auto"/>
        </w:rPr>
        <w:t>In addition, we granted to each purchaser of the Tranche I convertible notes a warrant to purchase a number of shares of equity securities equal to 15% of the aggregate proceeds invested by such purchaser in the Tranche I convertible notes (i.e.,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 paid by investors in this offering and (ii) $38.29. Assuming an initial public offering price of our Class A common stock of $40.00 per share, which is the midpoint of the estimated offering price range set forth on the cover page of this prospectus, the warrants will be exercisable for an aggregate of 13,564,134 shares of Class A common stock, and such exercises would result in additional dilution. For more information about the convertible notes and warrants, see “Certain Relationships and Related Person Transactions—Convertible Note and Warrant Financings.”</w:t>
      </w:r>
    </w:p>
    <w:p>
      <w:pPr>
        <w:spacing w:after="0" w:line="13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Further, following the completion of this offering, and pursuant to the Equity Exchange Rights, each of our founders will have a right (but not an obligation) to require us to exchange, for shares of Class B common stock, any shares of Class A common stock received by them upon the vesting and settlement of RSUs granted to them prior to the effectiveness of our Charter (which will occur immediately prior to the completion of this offering). Because our Class B common stock entitles the holder thereof to 10 votes per share, as compared to the one vote per share afforded to holders of our Class A common stock, our founders’ exercise of these Equity Exchange Rights and resulting issuance of Class B common stock will dilute the voting power of holders of our Class A common stock. For more information about our Class B common stock, see “Description of Capital Stock—Our Capital Stock—Common Stock.”</w:t>
      </w:r>
    </w:p>
    <w:p>
      <w:pPr>
        <w:spacing w:after="0" w:line="148"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Moreover, as of March 31, 2021, options to purchase 18,096,127 shares of our Class A common stock with a weighted-average exercise price of approximately $2.23 per share were outstanding and 81,820,160 shares of our Class A common stock were subject to outstanding RSUs (including 27,663,658 shares subject to 2019 Market-Based RSUs). In addition, in May 2021, our founders were granted the 2021 Market-Based RSUs representing the right to receive up to an aggregate of 35,520,000 shares of our Class A common stock subject to the achievement of market-based vesting conditions following this offering and certain other conditions. The exercise of any of these options and settlement of any of these RSUs would result in additional dilution. To the extent that we issue shares of our capital stock to acquire other companies or outstanding options and warrants to purchase capital stock are exercised, there will be further dilution. Our employee headcount has increased significantly in the past few years and we expect this rapid growth to continue. We rely on equity-based compensation as an important tool in recruiting and retaining employees. Further, our board of directors and our stockholders approved a new equity plan, the 2021 Plan, and an employee share purchase plan, the ESPP, which would allow us to grant equity-based awards to be settled in shares of our Class A common stock following this offering. We expect that, when the 2021 Plan and the ESPP become effective, the aggregate number of shares of our Class A common stock reserved for issuance under the plans will be equal to approximately 14% and 2%, respectively, of the number of shares of our common stock (of all classes) that will be outstanding immediately after the closing of this offering. The amount of dilution due to equity-based compensation of our employees or other additional issuances could be substantial depending upon the size of the issuances and exercises. For more information about our RSUs, other equity-based awards and equity plans, see “Executive Compensation—Narrative Description of Executive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60"/>
          </w:cols>
          <w:pgMar w:left="320" w:top="1440" w:right="319" w:bottom="1440" w:gutter="0" w:footer="0" w:header="0"/>
        </w:sectPr>
      </w:pPr>
    </w:p>
    <w:bookmarkStart w:id="118" w:name="page119"/>
    <w:bookmarkEnd w:id="118"/>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Substantial future sales of shares of our Class A common stock in the public market could cause the trading price of our Class A common stock to fall.</w:t>
      </w:r>
    </w:p>
    <w:p>
      <w:pPr>
        <w:spacing w:after="0" w:line="134"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significantly reduce the trading price of our Class A common stock. If our existing stockholders sell, or indicate an intention to sell, substantial amounts of our Class A common stock in the public market after the lock-up and legal restrictions on resale discussed in this prospectus lapse, the trading price of our Class A common stock could substantially decline. Furthermore, at the completion of this offering (and after giving effect to the Assumed Share Events described under “The Offering”), approximately 15.8% of our outstanding shares of common stock will be beneficially owned by our founders. If one or both of them were to sell a substantial portion of the shares they hold, it could cause the trading price of our Class A common stock to decline.</w:t>
      </w:r>
    </w:p>
    <w:p>
      <w:pPr>
        <w:spacing w:after="0" w:line="148"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Based on shares outstanding as of March 31, 2021, at the completion of this offering (and after giving effect to the Assumed Share Events described under “The Offering”), we will have outstanding a total of 703,868,056 shares of Class A common stock and 131,807,224 shares of Class B common stock. This includes the 52,375,000 shares of Class A common stock that we are selling in this offering (assuming no exercise of the underwriters’ option to purchase additional shares, solely to cover over-allotments), and the 2,625,000 shares of Class A common stock that the selling stockholders are selling in this offering, which may be resold in the public market immediately (except for any shares of our Class A common stock purchased in this offering by the Prospective Investor, who has indicated an interest in purchasing up to an aggregate of $150 million in shares of our Class A common stock in this offering, which shares would be subject to a lock-up agreement, as described under “Underwriting (Conflicts of Interest)—Indication of Interest”).</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Prior to giving effect to the issuance of shares of our Class A common stock in this offering, we and all of our directors, executive officers and certain other record holders, that together represent approximately 94% of our outstanding Class A common stock and securities directly or indirectly convertible into or exchangeable or exercisable for our Class A common stock (including our Class B common stock), are subject to lock-up agreements with the underwriters or certain market standoff agreements with us, in each case on the respective terms described under “Underwriting (Conflicts of Interest)—Lock-Up Agreements”, which would prohibit the sale of any such shares of Class A common stock during the restricted period described herein, subject to early release and certain other exceptions. The remaining 6% of shares of our Class A common stock and securities directly or indirectly convertible into or exchangeable or exercisable for our Class A common stock, which are not subject to any such lock-up or market standoff agreements, consist of 50% of the shares of our Class A common stock to be issued upon the conversion of our Tranche I convertible notes in connection with this offering. Of the 94% of shares of our outstanding Class A common stock subject to the restrictions in such agreements, approximately 1% of such shares (consisting of 15% of the shares of our outstanding Class A common stock and securities directly or indirectly convertible into or exchangeable or exercisable for our Class A common stock held, as of the date of this prospectus, by our General Employees and Directors of such shares (consisting of 15% of the shares of our outstanding Class A common stock and securities directly or indirectly convertible into or exchangeable or exercisable for our Class A common stock held, as of the date of this prospectus, by our General Employees and Directors (as defined below)) will no longer be subject to such restrictions beginning at the commencement of trading on the first trading day on which our Class A common stock is traded on Nasdaq; and approximately 6% of such shares (consisting of the remaining 50% of the shares of our Class A common stock to be issued upon the conversion of our Tranche I convertible notes in connection with this offering) will only be subject to such restrictions during the period beginning on the date of this prospectus and ending 28 days after the effective date of the resale registration statement on Form S-1 that we have agreed to file in respect of such shares.</w:t>
      </w:r>
    </w:p>
    <w:p>
      <w:pPr>
        <w:spacing w:after="0" w:line="16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and all of our directors, executive officers, the selling stockholders and certain other record holders that together represent approximately 84% of our outstanding Class A common stock and securities directly or indirectly convertible into or exchangeable or exercisable for our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60"/>
          </w:cols>
          <w:pgMar w:left="320" w:top="1423" w:right="319" w:bottom="1440" w:gutter="0" w:footer="0" w:header="0"/>
        </w:sectPr>
      </w:pPr>
    </w:p>
    <w:bookmarkStart w:id="119" w:name="page120"/>
    <w:bookmarkEnd w:id="119"/>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stock (including shares of our Class B common stock) (before giving effect to the issuance of shares in this offering) have entered into lock-up agreements with the underwriters or market standoff agreements with us for the benefit of the underwriters under which the holders of such securities have agreed that, subject to certain exceptions, without the prior written consent of Goldman Sachs &amp; Co LLC and J.P. Morgan Securities LLC, as representatives of the underwriters, during the period beginning on the date of this prospectus and ending on the 126th day after the date of this prospectus (the “restricted period”), we and they will not (1) 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(directly or indirectly) for our Class A common stock,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or disposition, or transfer of any of the economic consequences of ownership, in whole or in part, directly or indirectly, of any shares of our Class A common stock or any securities convertible into or exercisable or exchangeable (directly or indirectly) for our Class A common stock, whether any such transaction described in clause (1) or (2) above is to be settled by delivery of our Class A common stock or other securities, in cash, or otherwise or (3) publicly disclose the intention to take any of the actions restricted by clause (1) or (2) above.</w:t>
      </w:r>
    </w:p>
    <w:p>
      <w:pPr>
        <w:spacing w:after="0" w:line="16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addition to the above, an additional approximately 3% of our outstanding Class A common stock and securities directly or indirectly convertible into or exchangeable or exercisable for our Class A common stock (before giving effect to the issuance of shares in this offering) is subject to market standoff provisions and, in the case of equity awards issued under our 2013 Plan, rights of first refusal, applicable to equity awards issued under our equity incentive plans that restrict the holders of such securities from taking any of the actions with respect to such securities described by clause (1) above during the restricted period.</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Notwithstanding the foregoing, such restricted period will be earlier terminated for certain of our stockholders as follows:</w:t>
      </w:r>
    </w:p>
    <w:p>
      <w:pPr>
        <w:spacing w:after="0" w:line="135" w:lineRule="exact"/>
        <w:rPr>
          <w:sz w:val="20"/>
          <w:szCs w:val="20"/>
          <w:color w:val="auto"/>
        </w:rPr>
      </w:pPr>
    </w:p>
    <w:p>
      <w:pPr>
        <w:jc w:val="both"/>
        <w:ind w:left="560" w:hanging="278"/>
        <w:spacing w:after="0" w:line="237" w:lineRule="auto"/>
        <w:tabs>
          <w:tab w:leader="none" w:pos="556"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Founders and Chief Financial Officer</w:t>
      </w:r>
      <w:r>
        <w:rPr>
          <w:rFonts w:ascii="Arial" w:cs="Arial" w:eastAsia="Arial" w:hAnsi="Arial"/>
          <w:sz w:val="15"/>
          <w:szCs w:val="15"/>
          <w:color w:val="auto"/>
        </w:rPr>
        <w:t>: up to 5% of the shares of our outstanding Class A common stock and securities directly or indirectly convertible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into or exchangeable or exercisable for our Class A common stock (including our Class B common stock and the Market-Based RSUs) held, as of the date of this prospectus (but after giving effect to the sale of Class A common stock in this offering by the selling stockholders), by each of our founders and our Chief Financial Officer, with such 5% calculated after excluding any shares withheld for taxes associated with IPO-Vesting Time-Based RSUs and IPO-Vesting Market-Based RSUs, may be sold on or after the later of (i) the second trading day after we publicly release earnings for the fiscal quarter ended June 30, 2021 (which for this purpose does not include “flash” numbers or preliminary, partial earnings), which will be the first quarter following the most recent period for which financial statements are included in this prospectus, (our “First Earnings Release”), and (ii) the 91st day after the date of this prospectus (such later date, the “First Earnings-Related Release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reported closing price of our Class A common stock on Nasdaq is at least 33% greater than the initial public offering price per share set forth on the cover page of this prospectus both (a) on the date that is the later of (x) the first full trading day immediately following our First Earnings Release and (y) the 90th day (or, if such 90th day is not a trading day, then the first trading day after such 90th day) after the date of this prospectus (such later date, the “Pricing Condition Measurement Date”) and (b) for at least nine of the 14 consecutive trading days immediately preceding, but excluding, the Pricing Condition Measurement Date. Any sales made by our founders and Chief Financial Officer pursuant to such early release provisions are expected to be made pursuant to one or more 10b5-1 plans;</w:t>
      </w:r>
    </w:p>
    <w:p>
      <w:pPr>
        <w:spacing w:after="0" w:line="139" w:lineRule="exact"/>
        <w:rPr>
          <w:rFonts w:ascii="Arial" w:cs="Arial" w:eastAsia="Arial" w:hAnsi="Arial"/>
          <w:sz w:val="15"/>
          <w:szCs w:val="15"/>
          <w:color w:val="auto"/>
        </w:rPr>
      </w:pPr>
    </w:p>
    <w:p>
      <w:pPr>
        <w:ind w:left="560" w:hanging="278"/>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Preferred holders and certain non-employee common holders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60"/>
          </w:cols>
          <w:pgMar w:left="320" w:top="1440" w:right="319" w:bottom="1440" w:gutter="0" w:footer="0" w:header="0"/>
        </w:sectPr>
      </w:pPr>
    </w:p>
    <w:bookmarkStart w:id="120" w:name="page121"/>
    <w:bookmarkEnd w:id="120"/>
    <w:p>
      <w:pPr>
        <w:spacing w:after="0" w:line="2" w:lineRule="exact"/>
        <w:rPr>
          <w:sz w:val="20"/>
          <w:szCs w:val="20"/>
          <w:color w:val="auto"/>
        </w:rPr>
      </w:pPr>
    </w:p>
    <w:p>
      <w:pPr>
        <w:jc w:val="both"/>
        <w:ind w:left="1140" w:hanging="284"/>
        <w:spacing w:after="0" w:line="250" w:lineRule="auto"/>
        <w:tabs>
          <w:tab w:leader="none" w:pos="1137"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the reported closing price of our Class A common stock on Nasdaq is at least 33%, but less than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10% of the shares of our outstanding Class A common stock and securities directly or indirectly convertible into or exchangeable or exercisable for our Class A common stock (but excluding our Tranche I convertible notes, Tranche II convertible notes and warrants and shares issued or issuable upon exercise or conversion thereof) held, as of the date of this prospectus, by the parties to our Investors’ Rights Agreement (which includes the holders of our preferred stock outstanding immediately prior to the completion of this offering) and certain other non-employee holders of our common stock outstanding immediately prior to the completion of this offering may be sold beginning on the First Earnings-Related Release Date; or</w:t>
      </w:r>
    </w:p>
    <w:p>
      <w:pPr>
        <w:spacing w:after="0" w:line="163" w:lineRule="exact"/>
        <w:rPr>
          <w:rFonts w:ascii="Arial" w:cs="Arial" w:eastAsia="Arial" w:hAnsi="Arial"/>
          <w:sz w:val="16"/>
          <w:szCs w:val="16"/>
          <w:color w:val="auto"/>
        </w:rPr>
      </w:pPr>
    </w:p>
    <w:p>
      <w:pPr>
        <w:jc w:val="both"/>
        <w:ind w:left="1140" w:right="20" w:hanging="284"/>
        <w:spacing w:after="0" w:line="252" w:lineRule="auto"/>
        <w:tabs>
          <w:tab w:leader="none" w:pos="1137"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the reported closing price of our Class A common stock on Nasdaq is at least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20% of such shares and securities may be sold beginning on the First Earnings-Related Release Date; and</w:t>
      </w:r>
    </w:p>
    <w:p>
      <w:pPr>
        <w:spacing w:after="0" w:line="131" w:lineRule="exact"/>
        <w:rPr>
          <w:rFonts w:ascii="Arial" w:cs="Arial" w:eastAsia="Arial" w:hAnsi="Arial"/>
          <w:sz w:val="16"/>
          <w:szCs w:val="16"/>
          <w:color w:val="auto"/>
        </w:rPr>
      </w:pPr>
    </w:p>
    <w:p>
      <w:pPr>
        <w:ind w:left="560" w:hanging="278"/>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General Employees and Directors</w:t>
      </w:r>
      <w:r>
        <w:rPr>
          <w:rFonts w:ascii="Arial" w:cs="Arial" w:eastAsia="Arial" w:hAnsi="Arial"/>
          <w:sz w:val="16"/>
          <w:szCs w:val="16"/>
          <w:color w:val="auto"/>
        </w:rPr>
        <w:t>:</w:t>
      </w:r>
    </w:p>
    <w:p>
      <w:pPr>
        <w:spacing w:after="0" w:line="178" w:lineRule="exact"/>
        <w:rPr>
          <w:rFonts w:ascii="Arial" w:cs="Arial" w:eastAsia="Arial" w:hAnsi="Arial"/>
          <w:sz w:val="16"/>
          <w:szCs w:val="16"/>
          <w:color w:val="auto"/>
        </w:rPr>
      </w:pPr>
    </w:p>
    <w:p>
      <w:pPr>
        <w:jc w:val="both"/>
        <w:ind w:left="1140" w:hanging="284"/>
        <w:spacing w:after="0" w:line="252" w:lineRule="auto"/>
        <w:tabs>
          <w:tab w:leader="none" w:pos="1149" w:val="left"/>
        </w:tabs>
        <w:numPr>
          <w:ilvl w:val="1"/>
          <w:numId w:val="47"/>
        </w:numPr>
        <w:rPr>
          <w:rFonts w:ascii="Arial" w:cs="Arial" w:eastAsia="Arial" w:hAnsi="Arial"/>
          <w:sz w:val="16"/>
          <w:szCs w:val="16"/>
          <w:color w:val="auto"/>
        </w:rPr>
      </w:pPr>
      <w:r>
        <w:rPr>
          <w:rFonts w:ascii="Arial" w:cs="Arial" w:eastAsia="Arial" w:hAnsi="Arial"/>
          <w:sz w:val="16"/>
          <w:szCs w:val="16"/>
          <w:color w:val="auto"/>
        </w:rPr>
        <w:t>up to 15% of the shares of our outstanding Class A common stock and securities directly or indirectly convertible into or exchangeable or exercisable for our Class A common stock held, as of the date of this prospectus, by our directors, officers and current and former employees and consultants (other than our founders and our Chief Financial Officer, who are discussed above) (our “General Employees and Directors”), with such 15% calculated after excluding any shares withheld for taxes associated with IPO-Vesting Time-Based RSUs, may be sold beginning at the commencement of trading on the first trading day on which our Class A common stock is traded on Nasdaq; and</w:t>
      </w:r>
    </w:p>
    <w:p>
      <w:pPr>
        <w:spacing w:after="0" w:line="157" w:lineRule="exact"/>
        <w:rPr>
          <w:rFonts w:ascii="Arial" w:cs="Arial" w:eastAsia="Arial" w:hAnsi="Arial"/>
          <w:sz w:val="16"/>
          <w:szCs w:val="16"/>
          <w:color w:val="auto"/>
        </w:rPr>
      </w:pPr>
    </w:p>
    <w:p>
      <w:pPr>
        <w:jc w:val="both"/>
        <w:ind w:left="1140" w:right="20" w:hanging="284"/>
        <w:spacing w:after="0" w:line="252" w:lineRule="auto"/>
        <w:tabs>
          <w:tab w:leader="none" w:pos="1161" w:val="left"/>
        </w:tabs>
        <w:numPr>
          <w:ilvl w:val="1"/>
          <w:numId w:val="47"/>
        </w:numPr>
        <w:rPr>
          <w:rFonts w:ascii="Arial" w:cs="Arial" w:eastAsia="Arial" w:hAnsi="Arial"/>
          <w:sz w:val="16"/>
          <w:szCs w:val="16"/>
          <w:color w:val="auto"/>
        </w:rPr>
      </w:pPr>
      <w:r>
        <w:rPr>
          <w:rFonts w:ascii="Arial" w:cs="Arial" w:eastAsia="Arial" w:hAnsi="Arial"/>
          <w:sz w:val="16"/>
          <w:szCs w:val="16"/>
          <w:color w:val="auto"/>
        </w:rPr>
        <w:t>up to an additional 15% of the shares of our outstanding Class A common stock and securities directly or indirectly convertible into or exchangeable or exercisable for our Class A common stock held, as of the date of this prospectus, by our General Employees and Directors, with such 15% calculated after excluding any shares withheld for taxes associated with IPO-Vesting Time-Based RSUs, may be sold beginning on the 91st day after the date of this prospectus.</w:t>
      </w:r>
    </w:p>
    <w:p>
      <w:pPr>
        <w:spacing w:after="0" w:line="14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addition, holders of the shares of our Class A common stock to be issued upon the conversion of our Tranche I convertible notes in this offering have agreed that, during the period beginning on the date of this prospectus and ending 28 days after the effective date of the Form S-1 resale registration statement that we have agreed to file in respect of such shares (as described under “Description of Capital Stock—Registration Rights—S-1 Demand Registration Rights”) and which we anticipate filing shortly after the effectiveness of the registration statement of which this prospectus is a part, such holders will not take any of the actions described in the foregoing clauses (1)-(3) with respect to 50% of such shares, which represent approximately 6% of our outstanding Class A common stock and securities directly or indirectly convertible into or exchangeable or exercisable for our Class A common stock (before giving effect to this offering) (it being understood that the remaining 50% of such shares will not be subject to any such lock-up agreement).</w:t>
      </w:r>
    </w:p>
    <w:p>
      <w:pPr>
        <w:spacing w:after="0" w:line="147"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In addition, pursuant to our Investors’ Rights Agreement and agreements entered into by certain non-employee holders of our common stock outstanding immediately prior to the completion of this offering, if the terms of the lock-up agreements with any of our directors, officers or greater than 1%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60"/>
          </w:cols>
          <w:pgMar w:left="320" w:top="1440" w:right="319" w:bottom="1440" w:gutter="0" w:footer="0" w:header="0"/>
        </w:sectPr>
      </w:pPr>
    </w:p>
    <w:bookmarkStart w:id="121" w:name="page122"/>
    <w:bookmarkEnd w:id="121"/>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are terminated or waived (other than pursuant to the lock-up exceptions and early release provisions referenced above), then the parties to our Investors’ Rights Agreement and such non-employee stockholders will be entitled to a pro rata termination or waiver with respect to their securities, subject to the lock-up agreements or market stand-off provisions described above, subject to certain exceptions for permitted terminations and waivers, including any waiver of up to 1% of our total outstanding shares of Class A common stock (calculated on a fully diluted basis, but without giving effect to the conversion of any convertible notes or our warrants), waivers in which the recipient of such shares agreed to be bound by the same lock-up agreement, waivers for hardship and waivers in connection with a follow-on offering of our Class A common stock.</w:t>
      </w:r>
    </w:p>
    <w:p>
      <w:pPr>
        <w:spacing w:after="0" w:line="160"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Upon each release of the foregoing restrictions, our securityholders subject to a lock-up or market stand-off agreement will be able to sell our shares in the public market. In addition, Goldman Sachs &amp; Co. LLC and J.P. Morgan Securities LLC, in their sole discretion as representatives of the underwriters, may release the Class A common stock and other securities subject to the lock-up and market standoff agreements described above in whole or in part at any time. For more information about these lock-up and market standoff agreements, see the “Shares Eligible for Future Sale” and “Underwriting (Conflicts of Interest)” sections of this prospectus.</w:t>
      </w:r>
    </w:p>
    <w:p>
      <w:pPr>
        <w:spacing w:after="0" w:line="145" w:lineRule="exact"/>
        <w:rPr>
          <w:sz w:val="20"/>
          <w:szCs w:val="20"/>
          <w:color w:val="auto"/>
        </w:rPr>
      </w:pPr>
    </w:p>
    <w:p>
      <w:pPr>
        <w:jc w:val="both"/>
        <w:ind w:firstLine="287"/>
        <w:spacing w:after="0" w:line="267" w:lineRule="auto"/>
        <w:rPr>
          <w:sz w:val="20"/>
          <w:szCs w:val="20"/>
          <w:color w:val="auto"/>
        </w:rPr>
      </w:pPr>
      <w:r>
        <w:rPr>
          <w:rFonts w:ascii="Arial" w:cs="Arial" w:eastAsia="Arial" w:hAnsi="Arial"/>
          <w:sz w:val="15"/>
          <w:szCs w:val="15"/>
          <w:color w:val="auto"/>
        </w:rPr>
        <w:t>In addition, as of March 31, 2021, there were 18,096,127 shares of Class A common stock subject to outstanding options, 187,885 restricted shares of Class A common stock, an additional 81,820,160 shares of Class A common stock subject to outstanding RSUs (including 27,663,658 shares subject to 2019 Market-Based RSUs) and an additional 27,799,737 shares of Class A common stock reserved for issuance under our equity incentive plans that will become eligible for sale in the public market to the extent permitted by the provisions of various vesting schedules, the lock-up agreements discussed above and Rules 144 and 701 under the Securities Act, as further described under the section of this prospectus titled “Shares Eligible for Future Sale.” Additionally, in May 2021, our founders were granted the 2021 Market-Based RSUs representing the right to receive up to an aggregate of 35,520,000 shares of our Class A common stock subject to the achievement of market-based vesting conditions following this offering and certain other conditions. Moreover, we intend to file one or more registration statements on Form S-8 under the Securities Act to register the offer and sale of all of the shares of our Class A common stock issuable or reserved for issuance under our employee benefit plans. We also intend to file one or more resale registration statements on Form S-8 under the Securities Act covering shares of Class A common stock issued prior to or upon this offering (including upon the settlement of IPO-Vesting Time-Based RSUs and IPO-Vesting Market-Based RSUs) pursuant to awards previously granted under our 2020 Plan and our Amended and Restated 2013 Stock Plan (our “2013 Plan”). Shares covered by such registration statements will be eligible for sale, or resale, in the public market, subject to vesting restrictions, any applicable lockup and market standoff agreements described above and, with respect to shares held by affiliates, Rule 144 limitations. Any sales of our Class A common stock (including shares of Class A common stock issuable upon conversion of our Class B common stock) as lock-up restrictions end, as stock options are exercised or as RSUs are settled may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spacing w:after="0" w:line="126"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You will experience immediate and substantial dilution in the book value of the shares you purchase in this offering, and you will suffer additional dilution if the underwriters exercise their option to purchase additional shares.</w:t>
      </w:r>
    </w:p>
    <w:p>
      <w:pPr>
        <w:spacing w:after="0" w:line="134"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initial public offering price is substantially higher than the pro forma as adjusted net tangible book value per share of our outstanding Class A common stock of $8.86 per share as of March 31, 2021. Investors purchasing shares of our Class A common stock in this offering will pay a price per share that substantially exceeds the book value of our tangible assets after subtracting our liabilities. As a result, investors purchasing Class A common stock in this offering will incur immediate and substantial dilution of $31.14 per share, representing the difference between the assumed initial public offering price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60"/>
          </w:cols>
          <w:pgMar w:left="320" w:top="1440" w:right="319" w:bottom="1440" w:gutter="0" w:footer="0" w:header="0"/>
        </w:sectPr>
      </w:pPr>
    </w:p>
    <w:bookmarkStart w:id="122" w:name="page123"/>
    <w:bookmarkEnd w:id="122"/>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Class A common stock of $40.00 per share, which is the midpoint of the estimated offering price range set forth on the cover page of this prospectus, and our pro forma as adjusted net tangible book value per share after giving effect to our sale of shares in this offering. See the section titled “Dilution”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in the foreseeable future.</w:t>
      </w:r>
    </w:p>
    <w:p>
      <w:pPr>
        <w:spacing w:after="0" w:line="18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We have never declared or paid any cash dividends on our common stock and do not anticipate paying any cash dividends on our common stock in the foreseeable future. The declaration and amount of any future dividends to holders of our common stock will be at the discretion of our board of directors in accordance with applicable law and after taking into account various factors, including our financial condition, results of operations, contractual restrictions, capital requirements, business prospects and other factors that our board of directors currently deems relevant. Our board of directors intends to retain future earnings to fund the development and expansion of our business. Additionally, certain of our existing credit agreements include restrictions on our ability to pay cash dividends. Accordingly, we do not expect to pay dividends on our common stock in the foreseeable future. As a result, capital appreciation, if any, of our Class A common stock will be your sole source of gain for the foreseeable future.</w:t>
      </w:r>
    </w:p>
    <w:p>
      <w:pPr>
        <w:spacing w:after="0" w:line="129"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have broad discretion in the use of the net proceeds from this offering and our use of those proceeds may not yield a favorable return on your investment.</w:t>
      </w:r>
    </w:p>
    <w:p>
      <w:pPr>
        <w:spacing w:after="0" w:line="134"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cannot specify with any certainty the particular uses of the net proceeds that we will receive from this offering. Our management will have broad discretion in the application of the net proceeds from this offering, including for any of the purposes described in “Use of Proceeds,” and you will not have the opportunity as part of your investment decision to assess whether the net proceeds are being used appropriately. We have not established a timetable for the effective deployment of the proceeds and we cannot predict how long it will take to deploy the proceeds. We expect to use our net proceeds from this offering for working capital, capital expenditures and general corporate purposes. See “Use of Proceeds.” The failure by our management to apply these proceeds effectively or in a manner that increases our fair value or enhances our profitability could harm our business, results of operations and financial condition and may negatively impact the trading price of our Class A common stock.</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Our customers may be able to purchase shares of our Class A common stock offered by this prospectus from RHF, acting in its capacity as a selling group member in this offering. Any negative experiences our customers have in connection with their participation or attempted participation in this offering may harm our brand and reputation, as well as our business, financial condition and results of operations. In addition, our customers’ participation in this offering could result in increased volatility in the trading price of our Class A common stock.</w:t>
      </w:r>
    </w:p>
    <w:p>
      <w:pPr>
        <w:spacing w:after="0" w:line="14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RHF, one of our broker-dealer subsidiaries, is a member of the selling group for this offering. We expect the underwriters to reserve approximately 20 to 35% of the shares of our Class A common stock offered by this prospectus for RHF, acting as a selling group member, to allocate for sale to Robinhood customers through our IPO Access feature on our platform. Any such sales will be made at the same initial public offering price, and at the same time, as any other purchases in this offering, including purchases by institutions and other large investors, and in accordance with customary broker-dealer practices and procedures. The final number of shares of our Class A common stock in this offering that will be reserved for allocation to Robinhood customers will be determined at the pricing of this offering and will be based on the level of demand from Robinhood customers and all other purchasers in this offering in accordance with the broker-dealer book building process. See “Underwriting (Conflicts of Interest)—Participation by Robinhood Customers in the Offering.” Our continued business and revenue growth is dependent in part on our ability to retain existing customers and increase the amount that our customers use our products and services. Any negative experiences our customers have in connection with their participation or attempted participation in this offering could diminish customer confidence in us and our products and services. Such negative experiences could include actual or perceived technological failures or disruptions to our platform during customers’ participation or attempted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60"/>
          </w:cols>
          <w:pgMar w:left="320" w:top="1440" w:right="319" w:bottom="1440" w:gutter="0" w:footer="0" w:header="0"/>
        </w:sectPr>
      </w:pPr>
    </w:p>
    <w:bookmarkStart w:id="123" w:name="page124"/>
    <w:bookmarkEnd w:id="123"/>
    <w:p>
      <w:pPr>
        <w:spacing w:after="0" w:line="2"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participation, any decrease in the trading price of our Class A common stock after completion of this offering or, if demand from our customers to participate in this offering exceeds the supply of shares reserved for allocation by RHF to our customers, customers’ failure to be allocated all of the shares they wish to purchase from RHF in the offering or participate in the offering at all. Because our brand and our reputation are two of our most important assets, any negative perceptions about us by our customers or the media could have an adverse effect on our business, financial condition and results of operations.</w:t>
      </w:r>
    </w:p>
    <w:p>
      <w:pPr>
        <w:spacing w:after="0" w:line="15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Moreover, because we expect Robinhood customers to have the opportunity to participate in this offering through our platform, and given the broad consumer awareness and brand recognition of Robinhood, individual investors, retail or otherwise, may constitute a larger proportion of the investors participating in this offering than is typical for an initial public offering. These factors could cause volatility in the trading price of our Class A common stock. In addition, high levels of initial interest in our stock at the time of this offering may result in an unsustainable trading price, in which case the price of our Class A common stock may decline over time. Further, if the public price of our Class A common stock is above the level that investors determine is reasonable for our Class A common stock, some investors may attempt to short our Class A common stock after trading begins, which would create additional downward pressure on the trading price of our Class A common stock.</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The multi-class structure of our common stock will have the effect, prior to the Final Conversion Date, of concentrating voting power with our founders, which will limit your ability to influence the outcome of matters submitted to our stockholders for approval, including the election of our board of directors, the adoption of amendments to our Charter and our Bylaws and the approval of any merger, consolidation, sale of all or substantially all of our assets, or other major corporate transaction. In addition, future issuances of our Class C common stock, if any, could prolong the duration of our founders’ voting control.</w:t>
      </w:r>
    </w:p>
    <w:p>
      <w:pPr>
        <w:spacing w:after="0" w:line="144"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Class A common stock, which is the stock that is being sold in this offering, has one vote per share, our Class B common stock has 10 votes per share and our Class C common stock has no voting rights, except as otherwise required by law. Upon the closing of this offering, our founders and certain of their related entities will together hold all of the issued and outstanding shares of our Class B common stock. Accordingly, upon the completion of this offering, (i) Mr. Tenev, who is also our CEO, President and a director, and his related entities will hold an economic interest in approximately 7.9% of our outstanding capital stock and Mr. Tenev will hold approximately 26.2% of the voting power of our outstanding capital stock and (ii) Mr. Bhatt, who is also our Chief Creative Officer and a director, and his related entities will hold an economic interest in approximately 7.9% of our outstanding capital stock and Mr. Bhatt will hold approximately 39.0% of the voting power of our outstanding capital stock, in each case, which voting power may increase over time upon the vesting and settlement of equity awards held by such founder that are outstanding immediately prior to the effectiveness of this offering if such founder exercises his Equity Exchange Rights with respect to the shares received upon settlement of such equity awards. If all such equity awards held by Mr. Tenev and Mr. Bhatt (including the IPO-Vesting Market-Based RSUs, but excluding the Market-Based RSUs subject to market-based vesting conditions that can only be satisfied following this offering) were vested (assuming an initial public offering price of our Class A common stock of $ 40.00 per share, which is the midpoint of the estimated offering price range set forth on the cover of this prospectus) and the Class A common stock received in settlement of such awards was exchanged for shares of Class B common stock pursuant to the Equity Exchange Rights, immediately following the completion of this offering, Mr. Tenev and Mr. Bhatt and their respective related entities would hold an economic interest in approximately 8.2% and 8.2%, respectively, of our outstanding capital stock, and Mr. Tenev and Mr. Bhatt would hold approximately 27.1% and 39.8%, respectively, of the voting power of our outstanding capital stock. If all such equity awards held by Mr. Tenev and Mr. Bhatt (including all of the Market-Based RSUs) were vested (assuming all applicable market-based vesting conditions were satisfied, including those that can only be satisfied following this offering) and the Class A common stock received in settlement of such awards was exchanged for shares of Class B common stock pursuant to the Equity Exchange Rights, immediately following the completion of this offering, Mr. Tenev and Mr. Bhatt and their respective related entities would hold approximately 10.0% and 9.5%, respectively,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260"/>
          </w:cols>
          <w:pgMar w:left="320" w:top="1440" w:right="319" w:bottom="1440" w:gutter="0" w:footer="0" w:header="0"/>
        </w:sectPr>
      </w:pPr>
    </w:p>
    <w:bookmarkStart w:id="124" w:name="page125"/>
    <w:bookmarkEnd w:id="124"/>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outstanding capital stock, and Mr. Tenev and Mr. Bhatt would hold approximately 32.6% and 43.1%, respectively, of the voting power of our outstanding capital stock. As a result, prior to the Final Conversion Date (as defined below), our founders will have the ability to determine or significantly influence any action requiring the approval of our stockholders, including the election of our board of directors, the adoption of amendments to our Charter and our Bylaws and the approval of any merger, consolidation, sale of all or substantially all of our assets or other major corporate transaction. In addition, for so long as our Class B common stock represents approximately 9.1% or more of our outstanding shares of voting common stock (i.e., our Class A common stock and Class B common stock), the holders of our Class B common stock, who are our founders and certain of their related entities, will represent more than 50% of the voting power of our outstanding common stock and will have the ability to determine any action requiring the majority approval of our stockholders. Moreover, even if our Class B common stock represents less than approximately 9.1% of all of the outstanding shares of our common stock (and therefore less than 50% of the voting power of our outstanding common stock), so long as our Class B common stock represents more than 5% of all outstanding shares of our common stock, the holders of our Class B common stock will still collectively hold or control over a third of the voting power of our common stock and therefore have the ability to significantly influence any such action. Our founders may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may result in our founders undertaking, or causing us to undertake, actions that would be desirable for our founders but would not be desirable for our other stockholders.</w:t>
      </w:r>
    </w:p>
    <w:p>
      <w:pPr>
        <w:spacing w:after="0" w:line="160" w:lineRule="exact"/>
        <w:rPr>
          <w:sz w:val="20"/>
          <w:szCs w:val="20"/>
          <w:color w:val="auto"/>
        </w:rPr>
      </w:pPr>
    </w:p>
    <w:p>
      <w:pPr>
        <w:jc w:val="both"/>
        <w:ind w:firstLine="287"/>
        <w:spacing w:after="0" w:line="268" w:lineRule="auto"/>
        <w:rPr>
          <w:sz w:val="20"/>
          <w:szCs w:val="20"/>
          <w:color w:val="auto"/>
        </w:rPr>
      </w:pPr>
      <w:r>
        <w:rPr>
          <w:rFonts w:ascii="Arial" w:cs="Arial" w:eastAsia="Arial" w:hAnsi="Arial"/>
          <w:sz w:val="15"/>
          <w:szCs w:val="15"/>
          <w:color w:val="auto"/>
        </w:rPr>
        <w:t>In addition, in connection with this offering, our founders and certain of their respective related entities will enter into a voting agreement, which will become effective prior to the completion of this offering (the “Founder Voting Agreement”), to which we will also be a party. Pursuant to the Founder Voting Agreement, each founder and certain of their respective entities (including estate planning vehicles) party to the Founder Voting Agreement (the “Founder Affiliates”) will agree, upon the terms and subject to the conditions set forth therein, to, among other things, (i) vote all of the shares of our common stock held by such founder or Founder Affiliate for the election of each founder to, and against the removal of each founder from, our board of directors and (ii) vote together in the election of other directors generally, subject to deferring to the decision of the nominating and corporate governance committee in the event of any disagreement between the founders. In addition, under the Founder Voting Agreement, certain of the Founder Affiliates will grant, effective upon completion of this offering, to the other, unrelated founder, an irrevocable voting proxy with respect to shares of our common stock owned by such Founder Affiliate. Also pursuant to the Founder Voting Agreement, each founder will grant, effective upon such founder’s death or permanent and total disability, a voting proxy to the other founder with respect to shares of our common stock held by such founder and over which such founder was entitled to vote (or direct the voting of) immediately prior to such founder’s death or permanent and total disability. The existence of the Founder Voting Agreement will have the effect of concentrating voting power in our founders (or either one of them) at all times prior to the Final Conversion Date. Moreover, the Founder Voting Agreement will grant to each founder and its respective Founder Affiliates a right of first offer in the event the other founder or any of its respective Founder Affiliates proposes to transfer any shares of Class B common stock in a transaction that would cause such shares of Class B common stock to convert to Class A common stock pursuant to our Charter.</w:t>
      </w:r>
    </w:p>
    <w:p>
      <w:pPr>
        <w:spacing w:after="0" w:line="136"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Future transfers by the holders of Class B common stock will generally result in those shares automatically converting into shares of Class A common stock, subject to limited exceptions, such as certain transfers effected for estate planning or other transfers among our founders, their family members and certain of their related entities. Each share of our Class B common stock is convertible at any time at the option of the holder of such share into one share of our Class A common stock. In addition, each share of our Class B common stock will convert automatically into one share of our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260"/>
          </w:cols>
          <w:pgMar w:left="320" w:top="1440" w:right="319" w:bottom="1440" w:gutter="0" w:footer="0" w:header="0"/>
        </w:sectPr>
      </w:pPr>
    </w:p>
    <w:bookmarkStart w:id="125" w:name="page126"/>
    <w:bookmarkEnd w:id="125"/>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stock upon the earliest of (i) the date and time specified by the affirmative vote of the holders of at least 80% of the then-outstanding shares of Class B common stock, voting separately as a class, (ii) the date fixed by our board of directors that is no less than 61 days and no more than 180 days following the date on which the number of then-outstanding shares of Class B common stock represent less than 5% of the aggregate number of shares of Class A common stock and Class B common stock then outstanding, (iii) the date fixed by our board of directors that is no less than 61 days and no more than 180 days following the date that (A) each founder is no longer providing services to our Company as an officer, employee or consultant and (B) each founder is not a director of our Company as a result of a voluntary resignation by such founder from our board of directors or as a result of a written request or agreement by such founder not to be renominated as a director of our Company at an annual or special meeting of stockholders; (iv) the date that is nine months after the death or permanent and total disability of the last to die or become permanently and totally disabled of our founders, or such later date not to exceed a total period of 18 months after such death or permanent and total disability as may be approved by a majority of our independent directors or (v) the date that is 15 years from the completion of this offering (the “Final Conversion Date”). Because of the 10-to-one voting ratio between our Class B common stock and Class A common stock, prior to the Final Conversion Date, even if some of our Class B common stock converts into Class A common stock, including as a result of future transfers of such Class B common stock, our founders may still collectively control a significant portion of the voting power of our capital stock based on their current ownership. If one of our founders and his related entities retain a significant portion of their holdings of Class B common stock for an extended period of time, such founder could, in the future, continue to control a significant portion of the combined voting power of our outstanding capital stock, even if the other founder and his related entities reduce their holdings of Class B common stock, and such voting power could enable such founder to effectively control all matters subject to stockholder approval prior to the Final Conversion Date.</w:t>
      </w:r>
    </w:p>
    <w:p>
      <w:pPr>
        <w:spacing w:after="0" w:line="160"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have no current plans to issue shares of our Class C common stock. Because the shares of our Class C common stock have no voting rights, except as required by law, if we issue Class C common stock in the future, the voting control of our founders may be maintained for a longer period of time than would be the case if we issued Class A common stock rather than Class C common stock in such issuances. In addition, we could issue shares of our Class C common stock to our founders and, in that event, they would be able to sell such shares and achieve liquidity in their holdings without diminishing their voting control. Any future issuances of shares of Class C common stock will not be subject to approval by our stockholders except as required by the listing standards of Nasdaq. Each share of our Class C common stock will convert automatically into one share of our Class A common stock on the date or time fixed by our board of directors following the Final Conversion Date.</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See the section titled “Description of Capital Stock” for additional information about our multi-class structure.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predict the effect our multi-class structure may have on the trading price of our Class A common stock.</w:t>
      </w:r>
    </w:p>
    <w:p>
      <w:pPr>
        <w:spacing w:after="0" w:line="19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cannot predict whether our multi-class structure will result in a lower or more volatile market price of our Class A common stock, in adverse publicity or other adverse consequences. For example, certain index providers have announced restrictions on including companies with multi-class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multi-class share structures to certain of its indices. Affected indices include the Russell 2000 and the S&amp;P Composite 1500, which is comprised of S&amp;P 500, S&amp;P MidCap 400 and S&amp;P SmallCap 600.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260"/>
          </w:cols>
          <w:pgMar w:left="320" w:top="1440" w:right="319" w:bottom="1440" w:gutter="0" w:footer="0" w:header="0"/>
        </w:sectPr>
      </w:pPr>
    </w:p>
    <w:bookmarkStart w:id="126" w:name="page127"/>
    <w:bookmarkEnd w:id="126"/>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policies, the multi-class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 traded companies excluded from such indices, but it is possible that they may depress valuations, as compared to similar companies that are included. In addition, we cannot assure that other stock indices will not adopt similar policies or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4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Certain provisions in our Charter and our Bylaws and of Delaware law as well as certain FINRA rules may prevent or delay an acquisition of Robinhood, which could decrease the trading price of our Class A common stock.</w:t>
      </w:r>
    </w:p>
    <w:p>
      <w:pPr>
        <w:spacing w:after="0" w:line="12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Charter will provide for our multi-class common stock structure, which provides holders of shares of our Class B common stock with the ability, prior to the Final Conversion Date, to significantly influence the outcome of matters requiring stockholder approval, including the approval of any merger, consolidation, sale of all or substantially all of our assets, or other major corporation transaction, even if they own significantly less than a majority of the shares of our outstanding common stock. See “—</w:t>
      </w:r>
      <w:r>
        <w:rPr>
          <w:rFonts w:ascii="Arial" w:cs="Arial" w:eastAsia="Arial" w:hAnsi="Arial"/>
          <w:sz w:val="16"/>
          <w:szCs w:val="16"/>
          <w:i w:val="1"/>
          <w:iCs w:val="1"/>
          <w:color w:val="auto"/>
        </w:rPr>
        <w:t>The multi-class structure of our common stock will have the effect, prior to the Final Conversion Date, of concentrating</w:t>
      </w:r>
      <w:r>
        <w:rPr>
          <w:rFonts w:ascii="Arial" w:cs="Arial" w:eastAsia="Arial" w:hAnsi="Arial"/>
          <w:sz w:val="16"/>
          <w:szCs w:val="16"/>
          <w:color w:val="auto"/>
        </w:rPr>
        <w:t xml:space="preserve"> </w:t>
      </w:r>
      <w:r>
        <w:rPr>
          <w:rFonts w:ascii="Arial" w:cs="Arial" w:eastAsia="Arial" w:hAnsi="Arial"/>
          <w:sz w:val="16"/>
          <w:szCs w:val="16"/>
          <w:i w:val="1"/>
          <w:iCs w:val="1"/>
          <w:color w:val="auto"/>
        </w:rPr>
        <w:t>voting power with our founders, which will limit your ability to influence the outcome of matters submitted to our stockholders for approval, including the election of our board of directors, the adoption of amendments to our Charter and our Bylaws and the approval of any merger, consolidation, sale of all or substantially all of our assets, or other major corporate transaction. In addition, future issuances of our Class C common stock, if any, could prolong the duration of our founders’ voting control</w:t>
      </w:r>
      <w:r>
        <w:rPr>
          <w:rFonts w:ascii="Arial" w:cs="Arial" w:eastAsia="Arial" w:hAnsi="Arial"/>
          <w:sz w:val="16"/>
          <w:szCs w:val="16"/>
          <w:color w:val="auto"/>
        </w:rPr>
        <w:t>” for more information.</w:t>
      </w:r>
    </w:p>
    <w:p>
      <w:pPr>
        <w:spacing w:after="0" w:line="152"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Our Charter and our Bylaws will also contain, and Delaware law contains, provisions that may have the effect of deterring takeovers by making such takeovers more expensive to the bidder and by encouraging prospective acquirers to negotiate with our board of directors rather than to attempt a hostile takeover. Our Charter and our Bylaws include, among others, the following provisions:</w:t>
      </w:r>
    </w:p>
    <w:p>
      <w:pPr>
        <w:spacing w:after="0" w:line="157" w:lineRule="exact"/>
        <w:rPr>
          <w:sz w:val="20"/>
          <w:szCs w:val="20"/>
          <w:color w:val="auto"/>
        </w:rPr>
      </w:pPr>
    </w:p>
    <w:p>
      <w:pPr>
        <w:ind w:left="560" w:right="20" w:hanging="278"/>
        <w:spacing w:after="0" w:line="260" w:lineRule="auto"/>
        <w:tabs>
          <w:tab w:leader="none" w:pos="556"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providing that our board of directors is classified into three classes of directors with staggered terms until our third annual meeting of stockholders following the effectiveness of our Charter;</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providing that, for so long as our board of directors is classified, our directors may only be removed from office for cause;</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providing that only our board of directors may fill any vacancies created by the expansion of our board of directors or the resignation, death or removal of a director;</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prohibiting cumulative voting in the election of directors;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providing that our board of directors may adopt, amend, alter or repeal our Bylaws without obtaining stockholder approval;</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requiring approval of at least a majority of the voting power of the then-outstanding shares of capital stock to adopt, amend, alter or repeal our Bylaws;</w:t>
      </w:r>
    </w:p>
    <w:p>
      <w:pPr>
        <w:spacing w:after="0" w:line="174" w:lineRule="exact"/>
        <w:rPr>
          <w:rFonts w:ascii="Arial" w:cs="Arial" w:eastAsia="Arial" w:hAnsi="Arial"/>
          <w:sz w:val="16"/>
          <w:szCs w:val="16"/>
          <w:color w:val="auto"/>
        </w:rPr>
      </w:pPr>
    </w:p>
    <w:p>
      <w:pPr>
        <w:jc w:val="both"/>
        <w:ind w:left="560" w:hanging="278"/>
        <w:spacing w:after="0" w:line="254" w:lineRule="auto"/>
        <w:tabs>
          <w:tab w:leader="none" w:pos="556"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requiring approval of (i) at least a majority of the shares of the then-outstanding voting shares to amend, repeal or adopt any provisions of our Charter and (ii) for so long as any shares of our Class B common stock are outstanding, at least 80% of the outstanding shares of our Class B common stock, voting separately as a class, to amend, repeal or adopt certain provisions of our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60"/>
          </w:cols>
          <w:pgMar w:left="320" w:top="1440" w:right="319" w:bottom="1440" w:gutter="0" w:footer="0" w:header="0"/>
        </w:sectPr>
      </w:pPr>
    </w:p>
    <w:bookmarkStart w:id="127" w:name="page128"/>
    <w:bookmarkEnd w:id="127"/>
    <w:p>
      <w:pPr>
        <w:spacing w:after="0" w:line="2" w:lineRule="exact"/>
        <w:rPr>
          <w:sz w:val="20"/>
          <w:szCs w:val="20"/>
          <w:color w:val="auto"/>
        </w:rPr>
      </w:pPr>
    </w:p>
    <w:p>
      <w:pPr>
        <w:ind w:left="560" w:right="20" w:hanging="278"/>
        <w:spacing w:after="0" w:line="260" w:lineRule="auto"/>
        <w:tabs>
          <w:tab w:leader="none" w:pos="556" w:val="left"/>
        </w:tabs>
        <w:numPr>
          <w:ilvl w:val="0"/>
          <w:numId w:val="49"/>
        </w:numPr>
        <w:rPr>
          <w:rFonts w:ascii="Arial" w:cs="Arial" w:eastAsia="Arial" w:hAnsi="Arial"/>
          <w:sz w:val="16"/>
          <w:szCs w:val="16"/>
          <w:color w:val="auto"/>
        </w:rPr>
      </w:pPr>
      <w:r>
        <w:rPr>
          <w:rFonts w:ascii="Arial" w:cs="Arial" w:eastAsia="Arial" w:hAnsi="Arial"/>
          <w:sz w:val="16"/>
          <w:szCs w:val="16"/>
          <w:color w:val="auto"/>
        </w:rPr>
        <w:t>permitting our board of directors to authorize the issuances of shares of preferred stock and to determine the price and other terms of those shares, including voting or other rights and preferences, without obtaining stockholder approval;</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establishing limitations on convening a special meeting of our stockholders;</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requiring our stockholders to comply with advance notice procedures in order to nominate candidates for election as directors or to bring matters before an annual or special meeting of stockholders; and</w:t>
      </w:r>
    </w:p>
    <w:p>
      <w:pPr>
        <w:spacing w:after="0" w:line="139" w:lineRule="exact"/>
        <w:rPr>
          <w:rFonts w:ascii="Arial" w:cs="Arial" w:eastAsia="Arial" w:hAnsi="Arial"/>
          <w:sz w:val="16"/>
          <w:szCs w:val="16"/>
          <w:color w:val="auto"/>
        </w:rPr>
      </w:pPr>
    </w:p>
    <w:p>
      <w:pPr>
        <w:jc w:val="both"/>
        <w:ind w:left="560" w:right="20" w:hanging="278"/>
        <w:spacing w:after="0" w:line="254" w:lineRule="auto"/>
        <w:tabs>
          <w:tab w:leader="none" w:pos="556"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only permitting the stockholders to take action at a meeting of our stockholders and not by written consent, except that for so long as any shares of our Class B common stock are outstanding, our Class B stockholders may take action by written consent for any action required or permitted to be taken by our Class B stockholders, voting separately as a class.</w:t>
      </w:r>
    </w:p>
    <w:p>
      <w:pPr>
        <w:spacing w:after="0" w:line="15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Corporate Law (“DGCL”), which prohibits us from engaging in a business combination, including a merger, with a person who owns 15% or more of our outstanding voting stock (an “interested stockholder”) for a period of three years after the date of the transaction in which such person became an interested stockholder, unless (with certain exceptions) the business combination is approved in a prescribed manner.</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believe these provisions will protect our stockholders, particularly following the Final Conversion Date,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apply even if the offer may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 stockholders, but certain stockholders believe that such a transaction would be beneficial to Robinhood and our stockholders, such stockholders may elect to sell their shares in Robinhood and the trading price of our Class A common stock could decrease. These and other provisions of our Charter, our Bylaws and the DGCL could have the effect of delaying or deterring a change in control, which may limit the opportunity for our stockholders to receive a premium for their shares of our Class A common stock and may also affect the price that some investors are willing to pay for our Class A common stock.</w:t>
      </w:r>
    </w:p>
    <w:p>
      <w:pPr>
        <w:spacing w:after="0" w:line="15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addition, a third party attempting to acquire us or a substantial position in our Class A common stock may be delayed or ultimately 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Similarly, the Financial Services and Markets Act of 2000, as amended, generally provides that prior approval from the U.K. Financial Conduct Authority (the “FCA”), which regulates our U.K. authorized broker-dealer subsidiary (which does not currently do business), must be obtained in connection with any transaction resulting in a person or entity holding, directly or indirectly, 10% or more of the equity or voting power of a U.K. authorized person or the parent of a U.K. authorized person. Therefore, for so long as we own a U.K. authorized broker-dealer subsidiary or similar regulated entity, any person wanting to purchase or acquire 10% or more in our Class A common stock will need to first obtain authorization from the FCA to be able to do so. These and any other applicable regulations relating to changes in control of us or our regulated subsidiaries could further have the effect of delaying or deterring a change in control of us.</w:t>
      </w:r>
    </w:p>
    <w:p>
      <w:pPr>
        <w:spacing w:after="0" w:line="145"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Our Charter will designate a state or federal court located within the State of Delaware as the exclusive forum for substantially all disputes between us and our stockholders, and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60"/>
          </w:cols>
          <w:pgMar w:left="320" w:top="1440" w:right="319" w:bottom="1440" w:gutter="0" w:footer="0" w:header="0"/>
        </w:sectPr>
      </w:pPr>
    </w:p>
    <w:bookmarkStart w:id="128" w:name="page129"/>
    <w:bookmarkEnd w:id="128"/>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district courts of the United States as the exclusive forum for the resolution of any complaint asserting a cause of action under the Securities Act, which could limit our stockholders’ ability to choose the judicial forum for disputes with us or our directors, officers, or employees.</w:t>
      </w:r>
    </w:p>
    <w:p>
      <w:pPr>
        <w:spacing w:after="0" w:line="134" w:lineRule="exact"/>
        <w:rPr>
          <w:sz w:val="20"/>
          <w:szCs w:val="20"/>
          <w:color w:val="auto"/>
        </w:rPr>
      </w:pPr>
    </w:p>
    <w:p>
      <w:pPr>
        <w:jc w:val="both"/>
        <w:ind w:firstLine="287"/>
        <w:spacing w:after="0" w:line="268" w:lineRule="auto"/>
        <w:rPr>
          <w:sz w:val="20"/>
          <w:szCs w:val="20"/>
          <w:color w:val="auto"/>
        </w:rPr>
      </w:pPr>
      <w:r>
        <w:rPr>
          <w:rFonts w:ascii="Arial" w:cs="Arial" w:eastAsia="Arial" w:hAnsi="Arial"/>
          <w:sz w:val="15"/>
          <w:szCs w:val="15"/>
          <w:color w:val="auto"/>
        </w:rPr>
        <w:t>Our Charter, which will become effective immediately prior to the completion of this offering, will provide that, unless we consent in writing to the selection of an alternative forum, to the fullest extent permitted by law, the sole and exclusive forum for (i) any derivative action or proceeding brought on our behalf, (ii) any action or proceeding asserting a claim of breach of a fiduciary duty owed by any of our directors, officers or other employees to us or our stockholders, (iii) any action or proceeding arising pursuant to, or seeking to enforce any right, obligation or remedy under, any provision of the DGCL, our Charter or our Bylaws, (iv) any action or proceeding seeking to interpret, apply, enforce or determine the validity of our Charter or our Bylaws, (v) any action or proceeding asserting a claim that is governed by the internal affairs doctrine or (vi) any action or proceeding as to which the DGCL confers jurisdiction on the Court of Chancery of the State of Delaware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will also provide that the federal district courts of the United States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spacing w:after="0" w:line="140"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Any person or entity purchasing or otherwise acquiring or holding any interest in any of our securities shall be deemed to have notice of and consented to these provisions. These exclusive forum provisions may limit a stockholder’s ability to bring a claim in a judicial forum of its choosing for disputes with us or our directors, officers, or other employees, which may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federal district courts of the United States are the exclusive forum for resolving any complaint asserting a cause of action arising under the Securities Act is not enforceable. Although this decision was reversed by the Delaware Supreme Court in March 2020, courts in other states may still find these provisions to be inapplicable or unenforceable. If a court were to find the exclusive forum provisions in our Charter to be inapplicable or unenforceable in an action, we may incur additional costs associated with resolving the dispute in other jurisdictions, which could adversely affect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General Risk Factors</w:t>
      </w:r>
    </w:p>
    <w:p>
      <w:pPr>
        <w:spacing w:after="0" w:line="15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The obligations associated with being a public company may strain our resources, result in more litigation and divert management’s attention from operating our business.</w:t>
      </w:r>
    </w:p>
    <w:p>
      <w:pPr>
        <w:spacing w:after="0" w:line="12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As a public company, we will be subject to the reporting requirements of the Exchange Act, the Sarbanes-Oxley Act of 2002 (the “Sarbanes-Oxley Act”), the Dodd-Frank Wall Street Reform and Consumer Protection Act, the listing requirements of the Nasdaq, and other applicable securities rules and regulations. Complying with these rules and regulations will increase our legal, accounting and financial compliance costs, make some activities more difficult, time-consuming or costly, and increase demand on our personnel, systems and resources. The need to establish the corporate infrastructure demanded of a public company may divert management’s attention from implementing our growth strategy, which could prevent us from successfully implementing our strategic initiatives and improving our business, results of operations, financial condition and prospects. Although we have already hired additional employees to assist us in complying with these requirements, we may need to hire more employees to assist us in complying with these requirements. Additionally, we expect these rules and regulations to make it expensive for us to obtain director and officer liability insurance, and we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60"/>
          </w:cols>
          <w:pgMar w:left="320" w:top="1423" w:right="319" w:bottom="1440" w:gutter="0" w:footer="0" w:header="0"/>
        </w:sectPr>
      </w:pPr>
    </w:p>
    <w:bookmarkStart w:id="129" w:name="page130"/>
    <w:bookmarkEnd w:id="129"/>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spacing w:after="0" w:line="151" w:lineRule="exact"/>
        <w:rPr>
          <w:sz w:val="20"/>
          <w:szCs w:val="20"/>
          <w:color w:val="auto"/>
        </w:rPr>
      </w:pPr>
    </w:p>
    <w:p>
      <w:pPr>
        <w:jc w:val="both"/>
        <w:ind w:right="20" w:firstLine="287"/>
        <w:spacing w:after="0" w:line="269" w:lineRule="auto"/>
        <w:rPr>
          <w:sz w:val="20"/>
          <w:szCs w:val="20"/>
          <w:color w:val="auto"/>
        </w:rPr>
      </w:pPr>
      <w:r>
        <w:rPr>
          <w:rFonts w:ascii="Arial" w:cs="Arial" w:eastAsia="Arial" w:hAnsi="Arial"/>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38"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Furthermore, as a result of disclosure of information in this prospectus and in filings required of a public company, our business and financial condition will become more visible. Such increased disclosure and visibility could result in adverse changes to our reputation and to the way our customers perceive our brand and overall value, as well as shareholder activism or threatened or actual litigation, including by competitors and other third parties. If such claims are successful, our business, financial condition and results of operations could be harmed, and even if the claims do not result in litigation or are resolved in our favor, these claims, and the time and resources necessary to resolve them, could divert the resources of our management and could adversely affect our business, results of operations and financial condition.</w:t>
      </w:r>
    </w:p>
    <w:p>
      <w:pPr>
        <w:spacing w:after="0" w:line="130"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34"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develop and refine our internal control over financial reporting. Some members of our management team have limited or no experience managing a publicly traded company, interacting with public company investors, and complying with the increasingly complex laws pertaining to public companies, and we have limited accounting and financial reporting personnel and other resources with which to address our internal controls and related procedures.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5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60"/>
          </w:cols>
          <w:pgMar w:left="320" w:top="1440" w:right="319" w:bottom="1440" w:gutter="0" w:footer="0" w:header="0"/>
        </w:sectPr>
      </w:pPr>
    </w:p>
    <w:bookmarkStart w:id="130" w:name="page131"/>
    <w:bookmarkEnd w:id="130"/>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5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or internal control over financial reporting could also cause investors to lose confidence in the accuracy and completeness of our reported financial and other information, which would likely have a negative effect on the trading price of our Class A common stock. In addition, if we are unable to continue to meet these requirements, we may not be able to remain listed on the Nasdaq. As a private company,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50" w:lineRule="exact"/>
        <w:rPr>
          <w:sz w:val="20"/>
          <w:szCs w:val="20"/>
          <w:color w:val="auto"/>
        </w:rPr>
      </w:pPr>
    </w:p>
    <w:p>
      <w:pPr>
        <w:jc w:val="both"/>
        <w:ind w:firstLine="287"/>
        <w:spacing w:after="0" w:line="270" w:lineRule="auto"/>
        <w:rPr>
          <w:sz w:val="20"/>
          <w:szCs w:val="20"/>
          <w:color w:val="auto"/>
        </w:rPr>
      </w:pPr>
      <w:r>
        <w:rPr>
          <w:rFonts w:ascii="Arial" w:cs="Arial" w:eastAsia="Arial" w:hAnsi="Arial"/>
          <w:sz w:val="15"/>
          <w:szCs w:val="15"/>
          <w:color w:val="auto"/>
        </w:rPr>
        <w:t>Our independent registered public accounting firm is not required to formally attest to the effectiveness of our internal control over financial reporting until the later of (1) our second Annual Report on Form 10-K or (2) the Annual Report on Form 10-K for the first year we no longer qualify as an emerging growth company.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 In addition, we could become subject to investigations by the stock exchange on which our securities are listed, the SEC or other regulatory authorities, which could require additional financial and management resources. These events could have a material and adverse effect on our business, results of operations, financial condition and prospects.</w:t>
      </w:r>
    </w:p>
    <w:p>
      <w:pPr>
        <w:spacing w:after="0" w:line="11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34" w:lineRule="exact"/>
        <w:rPr>
          <w:sz w:val="20"/>
          <w:szCs w:val="20"/>
          <w:color w:val="auto"/>
        </w:rPr>
      </w:pPr>
    </w:p>
    <w:p>
      <w:pPr>
        <w:jc w:val="both"/>
        <w:ind w:firstLine="287"/>
        <w:spacing w:after="0" w:line="271" w:lineRule="auto"/>
        <w:rPr>
          <w:sz w:val="20"/>
          <w:szCs w:val="20"/>
          <w:color w:val="auto"/>
        </w:rPr>
      </w:pPr>
      <w:r>
        <w:rPr>
          <w:rFonts w:ascii="Arial" w:cs="Arial" w:eastAsia="Arial" w:hAnsi="Arial"/>
          <w:sz w:val="15"/>
          <w:szCs w:val="15"/>
          <w:color w:val="auto"/>
        </w:rPr>
        <w:t>We are an “emerging growth company,” as defined in the JOBS Act. We could continue to be considered an emerging growth company for up to five years, although we would lose that status sooner if our annual gross revenues exceed $1.07 billion, if we issue more than $1.0 billion in nonconvertible debt in a three-year period or if the fair value of our common stock held by non-affiliates exceeds $700.0 million (and we have been a public company for at least 12 months and have filed at least one Annual Report on Form 10-K). For the three months ended March 31, 2021, our total revenue was $522.2 million and, while we cannot predict our future revenue, including whether our revenue in future periods may decrease or increase, we currently expect our status as an emerging growth company to cease as of January 1, 2022 as a result of our annual gross revenues exceeding $1.07 billion for the year ended December 31, 2021.</w:t>
      </w:r>
    </w:p>
    <w:p>
      <w:pPr>
        <w:spacing w:after="0" w:line="134"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It is unclear whether investors will find our Class A common stock less attractive because we may rely on these exemptions. If some investors find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60"/>
          </w:cols>
          <w:pgMar w:left="320" w:top="1440" w:right="319" w:bottom="1440" w:gutter="0" w:footer="0" w:header="0"/>
        </w:sectPr>
      </w:pPr>
    </w:p>
    <w:bookmarkStart w:id="131" w:name="page132"/>
    <w:bookmarkEnd w:id="131"/>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less attractive as a result, there may be a less active trading market for our Class A common stock and the trading price of our Class A common stock may be more volatile.</w:t>
      </w:r>
    </w:p>
    <w:p>
      <w:pPr>
        <w:spacing w:after="0" w:line="133"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If our estimates, assumptions and/or judgments relating to our critical accounting policies prove to be incorrect or financial reporting standards or interpretations change, our results of operations could be adversely affected.</w:t>
      </w:r>
    </w:p>
    <w:p>
      <w:pPr>
        <w:spacing w:after="0" w:line="12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assumptions that affect the reported amounts of revenues, expenses, assets and liabilities and disclosure of contingent assets and liabilities in our consolidated financial statements. We base our estimates on historical experience, and other assumptions we believe to be reasonable under the circumstances, which together form the basis for making judgments about the carrying values of assets and liabilities. We regularly assess these estimates; however, actual amounts could differ from those estimates. Significant assumptions and estimates used in preparing our consolidated financial statements include revenue recognition, share-based compensation, common stock valuations, convertible notes and warrant liability valuation, loss contingencies and income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value of our Class A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be negatively impacted by changes in generally accepted accounting principles in the United States.</w:t>
      </w:r>
    </w:p>
    <w:p>
      <w:pPr>
        <w:spacing w:after="0" w:line="193"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GAAP are subject to interpretation by the Financial Accounting Standards Board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New accounting pronouncements and varying interpretations of accounting pronouncements have occurred in the past and may occur in the future. Changes to existing rules or the questioning of current practices may adversely affect our reported financial results or the way we conduct our business.</w:t>
      </w:r>
    </w:p>
    <w:p>
      <w:pPr>
        <w:spacing w:after="0" w:line="12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i w:val="1"/>
          <w:iCs w:val="1"/>
          <w:color w:val="auto"/>
        </w:rPr>
        <w:t>If securities or industry analysts issue an adverse or unfavorable opinion regarding our business or do not publish research or publish unfavorable research about our business, the trading price and trading volume of our Class A common stock could decline.</w:t>
      </w:r>
    </w:p>
    <w:p>
      <w:pPr>
        <w:spacing w:after="0" w:line="12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publish about us or our business. If one or more of these analysts does not initiate coverage over us, ceases coverage of our company or fails to publish reports on us regularly, we could lose visibility in the financial markets, which in turn could cause the trading price or trading volume of our Class A common stock or trading volume to decline. Moreover, if any of the analysts who cover us issue an adverse or misleading opinion regarding us, our business model or our stock performance, or if our results of operations fail to meet the expectations of the investor community, one or more of the analysts who cover our company may change their recommendations regarding our company, and the trading price of our Class A common stock could decline.</w:t>
      </w:r>
    </w:p>
    <w:p>
      <w:pPr>
        <w:spacing w:after="0" w:line="14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may be adversely affected by natural disasters and other catastrophic events, pandemics or epidemics and by man-made problems such as terrorism, that could disrupt our business operations and our business continuity and disaster recovery plans may not adequately protect us from a serious disaster.</w:t>
      </w:r>
    </w:p>
    <w:p>
      <w:pPr>
        <w:spacing w:after="0" w:line="13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Natural disasters or other catastrophic events, including health pandemics or epidemics, such as the COVID-19 pandemic, have caused, and may in the future cause, damage or disruption to our operations, international commerce and the global economy and could have an adverse effect on our business, results of operations and financial condition. Our business operations are subject to interruption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60"/>
          </w:cols>
          <w:pgMar w:left="320" w:top="1440" w:right="319" w:bottom="1440" w:gutter="0" w:footer="0" w:header="0"/>
        </w:sectPr>
      </w:pPr>
    </w:p>
    <w:bookmarkStart w:id="132" w:name="page133"/>
    <w:bookmarkEnd w:id="132"/>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natural disasters, fire, power shortages, pandemics or epidemics and other events beyond our control. In addition, acts of terrorism and other geopolitical unrest could cause disruptions in our business or the businesses of our partners or the economy as a whole. In the event of a natural disaster, including a major earthquake or other catastrophic event such as a fire, power loss or telecommunications failure, we may be unable to continue our operations and may endure system interruptions, reputational harm, lengthy interruptions in service, breaches of data security and loss of critical data, any of which could have an adverse effect on our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60"/>
          </w:cols>
          <w:pgMar w:left="320" w:top="1440" w:right="319" w:bottom="1440"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SPECIAL NOTE REGARDING FORWARD-LOOKING STATEMENTS</w:t>
      </w:r>
    </w:p>
    <w:p>
      <w:pPr>
        <w:spacing w:after="0" w:line="18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spacing w:after="0" w:line="145" w:lineRule="exact"/>
        <w:rPr>
          <w:sz w:val="20"/>
          <w:szCs w:val="20"/>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expected results of operations and key performance metrics for the period ended June 30, 2021 and for future periods;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estimates of the size of our market opportunities;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effectively manage our growth;</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successfully enter new markets, including any expansion into international markets, and comply with any applicable laws and regulations;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invest in and develop our products and services to operate with changing technology;</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expected benefits of our products to our customers and the impact of our products on our business;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effects of increased competition from our market competitors;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success of our marketing efforts and the ability to grow brand awareness and maintain, protect and enhance our brand;</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impact of negative publicity on our brand and reputation;</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attract and retain our customers;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maintain the security and availability of our platform;</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attract and retain key personnel and highly qualified personnel;</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expectations regarding the impacts of accounting guidance;</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expectations regarding litigation and regulatory proceedings;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expectations regarding share-based compensation;</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collect, store, share, disclose, transfer, receive, use and otherwise process customer information and other data, and compliance with laws, rules and regulations related to data privacy, protection and security;</w:t>
      </w:r>
    </w:p>
    <w:p>
      <w:pPr>
        <w:spacing w:after="0" w:line="151"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comply with modified or new laws and regulations applying to our business or adjust our business model in response thereto, and potential harm to our business as a result of those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60"/>
          </w:cols>
          <w:pgMar w:left="320" w:top="1440" w:right="319" w:bottom="1440" w:gutter="0" w:footer="0" w:header="0"/>
        </w:sectPr>
      </w:pPr>
    </w:p>
    <w:bookmarkStart w:id="135" w:name="page136"/>
    <w:bookmarkEnd w:id="135"/>
    <w:p>
      <w:pPr>
        <w:spacing w:after="0" w:line="2" w:lineRule="exact"/>
        <w:rPr>
          <w:sz w:val="20"/>
          <w:szCs w:val="20"/>
          <w:color w:val="auto"/>
        </w:rPr>
      </w:pPr>
    </w:p>
    <w:p>
      <w:pPr>
        <w:ind w:left="560" w:hanging="278"/>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impact of adverse economic conditions;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expectations regarding the continuing impact of COVID-19 on our business;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expectations regarding the loss of our status as an emerging growth company;</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increased expenses associated with being a public company; and</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anticipated uses of net proceeds from this offering.</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forward-looking statements in this prospectus are only predictions and are based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speak only as of the date of this prospectus and are subject to a number of known and unknown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5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prospectus or to conform these statements to actual results or revised expectations, except as required by law. The forward-looking statements contained in the prospectus are excluded from the safe harbor protection provided by the Private Securities Litigation Reform Act of 1995 and Section 27A of the Securities Act.</w:t>
      </w:r>
    </w:p>
    <w:p>
      <w:pPr>
        <w:spacing w:after="0" w:line="160"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260"/>
          </w:cols>
          <w:pgMar w:left="320" w:top="1440" w:right="319" w:bottom="1440"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USE OF PROCEEDS</w:t>
      </w:r>
    </w:p>
    <w:p>
      <w:pPr>
        <w:spacing w:after="0" w:line="182"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estimate that our net proceeds from the sale of our Class A common stock by us in this offering will be approximately $2.0 billion, assuming an initial public offering price of our Class A common stock of $40.00 per share, which is the midpoint of the range listed on the cover page of this prospectus, and after deducting the estimated underwriting discounts and commissions and estimated offering expenses payable by us. We will not receive any proceeds from the sale of shares of Class A common stock by the selling stockholders.</w:t>
      </w:r>
    </w:p>
    <w:p>
      <w:pPr>
        <w:spacing w:after="0" w:line="14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A $1.00 increase or decrease in the assumed initial public offering price of our Class A common stock of $40.00 per share would increase or decrease, as applicable, the net proceeds to us from this offering by approximately $50.2 million, assuming that the number of shares offered, as set forth on the cover page of this prospectus, remains the same and after deducting the estimated underwriting discounts and commissions and estimated offering expenses payable by us. An increase or decrease of 1,000,000 shares in the number of shares of Class A common stock offered by us in this offering, as set forth on the cover page of this prospectus, would increase or decrease, as applicable, the net proceeds to us from this offering by approximately $38.3 million, assuming no change in the assumed initial public offering price per share and after deducting estimated underwriting discounts and commissions and estimated offering expenses payable by us.</w:t>
      </w:r>
    </w:p>
    <w:p>
      <w:pPr>
        <w:spacing w:after="0" w:line="15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intend to use a portion of the net proceeds we receive in this offering to repay approximately $342.1 million that we expect to borrow, shortly prior to the completion of this offering, under our revolving credit facilities to fund our anticipated tax withholding and remittance obligations of approximately $342.1 million related to the IPO-Vesting Time-Based RSU Settlement and IPO-Vesting Market-Based RSU Settlement (assuming the effectiveness of this offering on March 31, 2021 for purposes of any applicable time-based vesting conditions; an assumed initial public offering price of our Class A common stock of $40.00 per share, which is the midpoint of the range listed on the cover page of this prospectus, for purposes of determining the satisfaction of any market-based vesting conditions; and an assumed 45% tax withholding rate). A $1.00 increase or decrease in the assumed initial public offering price of our Class A common stock of $40.00 per share would increase or decrease, as applicable, the amount we would borrow under our revolving credit facilities and be required to pay to satisfy our tax withholding and remittance obligations related to the IPO-Vesting Time-Based RSU Settlement and IPO-Vesting Market-Based RSU Settlement by $8.6 million. See “Management’s Discussion and Analysis of Financial Condition and Results of Operations—Liquidity and Capital Resources” for additional information regarding our revolving credit facilities.</w:t>
      </w:r>
    </w:p>
    <w:p>
      <w:pPr>
        <w:spacing w:after="0" w:line="15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intend to use the remaining net proceeds we receive in this offering for working capital, capital expenditures and general corporate purposes, including increasing our hiring efforts to expand our employee base, expanding our customer support operations and satisfying our general capital needs (including capital requirements imposed by regulators and SROs and cash deposit and collateral requirements under the rules of the DTC, NSCC and OCC).</w:t>
      </w:r>
    </w:p>
    <w:p>
      <w:pPr>
        <w:spacing w:after="0" w:line="14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the application of the net proceeds we receive from this offering, and investors will be relying on the judgment of our management regarding the application of our net proceeds. While we expect to use the net proceeds for the purposes described above, the timing and amount of our actual expenditures will be based on many factors, including cash flows from operations, the anticipated growth of our business, and the availability and terms of alternative financing sources to fund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60"/>
          </w:cols>
          <w:pgMar w:left="320" w:top="1440" w:right="319" w:bottom="1440" w:gutter="0" w:footer="0" w:header="0"/>
        </w:sectPr>
      </w:pPr>
    </w:p>
    <w:bookmarkStart w:id="138" w:name="page139"/>
    <w:bookmarkEnd w:id="138"/>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DIVIDEND POLICY</w:t>
      </w:r>
    </w:p>
    <w:p>
      <w:pPr>
        <w:spacing w:after="0" w:line="18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have never declared or paid cash dividends on our capital stock. We intend to retain all available funds and future earnings, if any, to fund the development and expansion of our business, and 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the terms of our current credit facilities contain restrictions on our ability to pay cash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60"/>
          </w:cols>
          <w:pgMar w:left="320" w:top="1440" w:right="319" w:bottom="1440" w:gutter="0" w:footer="0" w:header="0"/>
        </w:sectPr>
      </w:pPr>
    </w:p>
    <w:bookmarkStart w:id="139" w:name="page140"/>
    <w:bookmarkEnd w:id="139"/>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CAPITALIZATION</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our cash and cash equivalents and our capitalization as of March 31, 2021:</w:t>
      </w:r>
    </w:p>
    <w:p>
      <w:pPr>
        <w:spacing w:after="0" w:line="163" w:lineRule="exact"/>
        <w:rPr>
          <w:sz w:val="20"/>
          <w:szCs w:val="20"/>
          <w:color w:val="auto"/>
        </w:rPr>
      </w:pPr>
    </w:p>
    <w:p>
      <w:pPr>
        <w:ind w:left="560" w:hanging="278"/>
        <w:spacing w:after="0"/>
        <w:tabs>
          <w:tab w:leader="none" w:pos="5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174" w:lineRule="exact"/>
        <w:rPr>
          <w:rFonts w:ascii="Arial" w:cs="Arial" w:eastAsia="Arial" w:hAnsi="Arial"/>
          <w:sz w:val="16"/>
          <w:szCs w:val="16"/>
          <w:color w:val="auto"/>
        </w:rPr>
      </w:pPr>
    </w:p>
    <w:p>
      <w:pPr>
        <w:jc w:val="both"/>
        <w:ind w:left="560" w:hanging="278"/>
        <w:spacing w:after="0" w:line="250" w:lineRule="auto"/>
        <w:tabs>
          <w:tab w:leader="none" w:pos="556"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a pro forma basis, giving effect to (i) the Preferred Share Conversion, (ii) the Convertible Note Conversion, (iii) the IPO-Vesting Time-Based RSU Settlement, (iv) the IPO-Vesting Market-Based RSU Settlement, (v) the related increase in liabilities and corresponding decrease in additional paid-in capital for the associated tax withholding and remittance liabilities related to the IPO-Vesting Time-Based RSU Settlement and the IPO-Vesting Market-Based RSU Settlement, (vi) the borrowing of $342.1 million under our revolving credit facilities to satisfy our tax withholding and remittance obligations related to the IPO-Vesting Time-Based RSU Settlement and the IPO-Vesting Market-Based RSU Settlement, (vii) a cash payment of $342.1 million to satisfy our tax withholding and remittance liabilities described in clause (v) above (assuming the effectiveness of this offering on March 31, 2021 for purposes of any applicable time-based vesting conditions; an initial public offering price of our Class A common stock of $40.00 per share, which is the midpoint of the estimated offering price range set forth on the cover page of this prospectus, for purposes of determining the satisfaction of any market-based vesting conditions; and an assumed 45% tax withholding rate), (viii) the reclassification of our warrant liability into additional paid-in capital because upon the completion of this offering, the warrants will, in accordance with their terms, become exercisable for our Class A common stock, (ix) share-based compensation expense of $355.8 million related to IPO-Vesting Time-Based RSUs for which the time-based vesting condition was satisfied or partially satisfied as of March 31, 2021 and IPO-Vesting Market-Based RSUs, assuming the effectiveness of this offering on March 31, 2021 for purposes of any applicable time-based vesting conditions and, for purposes of determining the satisfaction of the market-based vesting condition, an initial public offering price of our Class A common stock of $40.00 per share, which is the midpoint of the estimated offering price range set forth on the cover page of this prospectus, reflected as an increase to additional paid-in capital and accumulated deficit, (x) income tax benefit of $17.7 million, net of valuation allowance, (xi) the filing and effectiveness of our Charter in Delaware, which will occur immediately prior to the completion of this offering and will effect the Reclassification, and (xii) the Class B Exchange; and</w:t>
      </w:r>
    </w:p>
    <w:p>
      <w:pPr>
        <w:spacing w:after="0" w:line="147" w:lineRule="exact"/>
        <w:rPr>
          <w:rFonts w:ascii="Arial" w:cs="Arial" w:eastAsia="Arial" w:hAnsi="Arial"/>
          <w:sz w:val="16"/>
          <w:szCs w:val="16"/>
          <w:color w:val="auto"/>
        </w:rPr>
      </w:pPr>
    </w:p>
    <w:p>
      <w:pPr>
        <w:jc w:val="both"/>
        <w:ind w:left="560" w:right="20" w:hanging="278"/>
        <w:spacing w:after="0" w:line="251" w:lineRule="auto"/>
        <w:tabs>
          <w:tab w:leader="none" w:pos="556"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(i) the pro forma adjustments set out above, (ii) our issuance and sale by the Company of 52,375,000 shares of Class A common stock in this offering, assuming an initial public offering price of our Class A common stock of $40.00 per share, which is the midpoint of the estimated price range set forth on the cover page of this prospectus, after deducting the estimated underwriting discounts and commissions, estimated offering expenses payable by us, of which $0.2 million had been paid, and $5.0 million had been accrued, at March 31, 2021, and (iii) the use of a portion of the proceeds from the offering to repay $342.1 million of borrowings drawn under our revolving credit facilities to satisfy our tax withholding and remittance obligations related to the IPO-Vesting Time-Based RSU Settlement and the IPO-Vesting Market-Based RSU Settlement, as described under “Use of Proceeds.”</w:t>
      </w:r>
    </w:p>
    <w:p>
      <w:pPr>
        <w:spacing w:after="0" w:line="14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as adjusted information set forth in the table below is illustrative only and our capitalization following the completion of this offering will be adjusted based on the actual initial public offering price, the number of common shares sold in this offering and other terms of this offering determined at pricing. You should read the following table in conjunction with our consolidated financial statements and related notes appearing at the end of this prospectus and the sections of the prospectus titled “Management’s Discussion and Analysis of Financial Condition and Results of Operations” and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60"/>
          </w:cols>
          <w:pgMar w:left="320" w:top="1440" w:right="319" w:bottom="1440" w:gutter="0" w:footer="0" w:header="0"/>
        </w:sectPr>
      </w:pPr>
    </w:p>
    <w:bookmarkStart w:id="140" w:name="page141"/>
    <w:bookmarkEnd w:id="140"/>
    <w:p>
      <w:pPr>
        <w:spacing w:after="0" w:line="26"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7"/>
              </w:rPr>
              <w:t>As of March 31, 2021</w:t>
            </w: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3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Actual</w:t>
            </w: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Pro Forma</w:t>
            </w: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Pro Forma As Adjusted</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(unaudited)</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gridSpan w:val="6"/>
          </w:tcPr>
          <w:p>
            <w:pPr>
              <w:jc w:val="center"/>
              <w:ind w:left="542"/>
              <w:spacing w:after="0"/>
              <w:rPr>
                <w:sz w:val="20"/>
                <w:szCs w:val="20"/>
                <w:color w:val="auto"/>
              </w:rPr>
            </w:pPr>
            <w:r>
              <w:rPr>
                <w:rFonts w:ascii="Arial" w:cs="Arial" w:eastAsia="Arial" w:hAnsi="Arial"/>
                <w:sz w:val="13"/>
                <w:szCs w:val="13"/>
                <w:i w:val="1"/>
                <w:iCs w:val="1"/>
                <w:color w:val="auto"/>
                <w:w w:val="97"/>
              </w:rPr>
              <w:t>(in thousands, except share and per share data)</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4,794,546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4,794,546</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6,446,215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360" w:type="dxa"/>
            <w:vAlign w:val="bottom"/>
          </w:tcPr>
          <w:p>
            <w:pPr>
              <w:ind w:left="20"/>
              <w:spacing w:after="0" w:line="171" w:lineRule="exact"/>
              <w:rPr>
                <w:sz w:val="20"/>
                <w:szCs w:val="20"/>
                <w:color w:val="auto"/>
              </w:rPr>
            </w:pPr>
            <w:r>
              <w:rPr>
                <w:rFonts w:ascii="Arial" w:cs="Arial" w:eastAsia="Arial" w:hAnsi="Arial"/>
                <w:sz w:val="16"/>
                <w:szCs w:val="16"/>
                <w:color w:val="auto"/>
              </w:rPr>
              <w:t>Revolving credit facilities</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line="17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tcPr>
          <w:p>
            <w:pPr>
              <w:jc w:val="right"/>
              <w:ind w:right="3"/>
              <w:spacing w:after="0" w:line="171" w:lineRule="exact"/>
              <w:rPr>
                <w:sz w:val="20"/>
                <w:szCs w:val="20"/>
                <w:color w:val="auto"/>
              </w:rPr>
            </w:pPr>
            <w:r>
              <w:rPr>
                <w:rFonts w:ascii="Arial" w:cs="Arial" w:eastAsia="Arial" w:hAnsi="Arial"/>
                <w:sz w:val="16"/>
                <w:szCs w:val="16"/>
                <w:color w:val="auto"/>
              </w:rPr>
              <w:t>342,109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Convertible notes</w:t>
            </w:r>
            <w:r>
              <w:rPr>
                <w:rFonts w:ascii="Arial" w:cs="Arial" w:eastAsia="Arial" w:hAnsi="Arial"/>
                <w:sz w:val="20"/>
                <w:szCs w:val="20"/>
                <w:color w:val="auto"/>
                <w:vertAlign w:val="superscript"/>
              </w:rPr>
              <w:t>(2)</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4,675,082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line="204" w:lineRule="exact"/>
              <w:rPr>
                <w:sz w:val="20"/>
                <w:szCs w:val="20"/>
                <w:color w:val="auto"/>
              </w:rPr>
            </w:pPr>
            <w:r>
              <w:rPr>
                <w:rFonts w:ascii="Arial" w:cs="Arial" w:eastAsia="Arial" w:hAnsi="Arial"/>
                <w:sz w:val="16"/>
                <w:szCs w:val="16"/>
                <w:color w:val="auto"/>
              </w:rPr>
              <w:t>Warrant liability</w:t>
            </w:r>
            <w:r>
              <w:rPr>
                <w:rFonts w:ascii="Arial" w:cs="Arial" w:eastAsia="Arial" w:hAnsi="Arial"/>
                <w:sz w:val="20"/>
                <w:szCs w:val="20"/>
                <w:color w:val="auto"/>
                <w:vertAlign w:val="superscript"/>
              </w:rPr>
              <w:t>(3)</w:t>
            </w:r>
          </w:p>
        </w:tc>
        <w:tc>
          <w:tcPr>
            <w:tcW w:w="3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369,162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636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rPr>
              <w:t>Redeemable convertible preferred stock, $0.0001 par value; 658,311,424 shares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6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rPr>
              <w:t>authorized, 412,742,897 shares issued and outstanding, actual; no shares authorized,</w:t>
            </w: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6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rPr>
              <w:t>no shares issued and outstanding, pro forma; no shares authorized, no shares issued</w:t>
            </w: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and outstanding, pro forma as adjusted</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2,179,739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Stockholders’ equity (deficit):</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6360" w:type="dxa"/>
            <w:vAlign w:val="bottom"/>
            <w:shd w:val="clear" w:color="auto" w:fill="CCEEFF"/>
          </w:tcPr>
          <w:p>
            <w:pPr>
              <w:ind w:left="220"/>
              <w:spacing w:after="0" w:line="167" w:lineRule="exact"/>
              <w:rPr>
                <w:sz w:val="20"/>
                <w:szCs w:val="20"/>
                <w:color w:val="auto"/>
              </w:rPr>
            </w:pPr>
            <w:r>
              <w:rPr>
                <w:rFonts w:ascii="Arial" w:cs="Arial" w:eastAsia="Arial" w:hAnsi="Arial"/>
                <w:sz w:val="16"/>
                <w:szCs w:val="16"/>
                <w:color w:val="auto"/>
              </w:rPr>
              <w:t>Preferred stock, $0.0001 par value; no shares authorized or issued and outstanding,</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60" w:type="dxa"/>
            <w:vAlign w:val="bottom"/>
            <w:shd w:val="clear" w:color="auto" w:fill="CCEEFF"/>
          </w:tcPr>
          <w:p>
            <w:pPr>
              <w:ind w:left="380"/>
              <w:spacing w:after="0" w:line="155" w:lineRule="exact"/>
              <w:rPr>
                <w:sz w:val="20"/>
                <w:szCs w:val="20"/>
                <w:color w:val="auto"/>
              </w:rPr>
            </w:pPr>
            <w:r>
              <w:rPr>
                <w:rFonts w:ascii="Arial" w:cs="Arial" w:eastAsia="Arial" w:hAnsi="Arial"/>
                <w:sz w:val="16"/>
                <w:szCs w:val="16"/>
                <w:color w:val="auto"/>
                <w:w w:val="99"/>
              </w:rPr>
              <w:t>actual; 210,000,000 shares authorized, no shares issued and outstanding, pro forma</w:t>
            </w: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and pro forma as adjusted</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6360" w:type="dxa"/>
            <w:vAlign w:val="bottom"/>
          </w:tcPr>
          <w:p>
            <w:pPr>
              <w:ind w:left="200"/>
              <w:spacing w:after="0" w:line="167" w:lineRule="exact"/>
              <w:rPr>
                <w:sz w:val="20"/>
                <w:szCs w:val="20"/>
                <w:color w:val="auto"/>
              </w:rPr>
            </w:pPr>
            <w:r>
              <w:rPr>
                <w:rFonts w:ascii="Arial" w:cs="Arial" w:eastAsia="Arial" w:hAnsi="Arial"/>
                <w:sz w:val="16"/>
                <w:szCs w:val="16"/>
                <w:color w:val="auto"/>
              </w:rPr>
              <w:t>Common stock, $0.0001 par value; 777,354,000 shares authorized, 232,257,374</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60" w:type="dxa"/>
            <w:vAlign w:val="bottom"/>
          </w:tcPr>
          <w:p>
            <w:pPr>
              <w:ind w:left="340"/>
              <w:spacing w:after="0" w:line="155" w:lineRule="exact"/>
              <w:rPr>
                <w:sz w:val="20"/>
                <w:szCs w:val="20"/>
                <w:color w:val="auto"/>
              </w:rPr>
            </w:pPr>
            <w:r>
              <w:rPr>
                <w:rFonts w:ascii="Arial" w:cs="Arial" w:eastAsia="Arial" w:hAnsi="Arial"/>
                <w:sz w:val="16"/>
                <w:szCs w:val="16"/>
                <w:color w:val="auto"/>
              </w:rPr>
              <w:t>shares issued and outstanding, actual; no shares authorized, no shares issued and</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360" w:type="dxa"/>
            <w:vAlign w:val="bottom"/>
          </w:tcPr>
          <w:p>
            <w:pPr>
              <w:ind w:left="340"/>
              <w:spacing w:after="0"/>
              <w:rPr>
                <w:sz w:val="20"/>
                <w:szCs w:val="20"/>
                <w:color w:val="auto"/>
              </w:rPr>
            </w:pPr>
            <w:r>
              <w:rPr>
                <w:rFonts w:ascii="Arial" w:cs="Arial" w:eastAsia="Arial" w:hAnsi="Arial"/>
                <w:sz w:val="16"/>
                <w:szCs w:val="16"/>
                <w:color w:val="auto"/>
              </w:rPr>
              <w:t>outstanding, pro forma and pro forma as adjusted</w:t>
            </w:r>
          </w:p>
        </w:tc>
        <w:tc>
          <w:tcPr>
            <w:tcW w:w="360" w:type="dxa"/>
            <w:vAlign w:val="bottom"/>
          </w:tcPr>
          <w:p>
            <w:pPr>
              <w:spacing w:after="0"/>
              <w:rPr>
                <w:sz w:val="16"/>
                <w:szCs w:val="16"/>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6360" w:type="dxa"/>
            <w:vAlign w:val="bottom"/>
            <w:shd w:val="clear" w:color="auto" w:fill="CCEEFF"/>
          </w:tcPr>
          <w:p>
            <w:pPr>
              <w:ind w:left="200"/>
              <w:spacing w:after="0" w:line="167" w:lineRule="exact"/>
              <w:rPr>
                <w:sz w:val="20"/>
                <w:szCs w:val="20"/>
                <w:color w:val="auto"/>
              </w:rPr>
            </w:pPr>
            <w:r>
              <w:rPr>
                <w:rFonts w:ascii="Arial" w:cs="Arial" w:eastAsia="Arial" w:hAnsi="Arial"/>
                <w:sz w:val="16"/>
                <w:szCs w:val="16"/>
                <w:color w:val="auto"/>
              </w:rPr>
              <w:t>Class A common stock, $0.0001 par value; no shares authorized, no shares issued</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60" w:type="dxa"/>
            <w:vAlign w:val="bottom"/>
            <w:shd w:val="clear" w:color="auto" w:fill="CCEEFF"/>
          </w:tcPr>
          <w:p>
            <w:pPr>
              <w:ind w:left="340"/>
              <w:spacing w:after="0" w:line="155" w:lineRule="exact"/>
              <w:rPr>
                <w:sz w:val="20"/>
                <w:szCs w:val="20"/>
                <w:color w:val="auto"/>
              </w:rPr>
            </w:pPr>
            <w:r>
              <w:rPr>
                <w:rFonts w:ascii="Arial" w:cs="Arial" w:eastAsia="Arial" w:hAnsi="Arial"/>
                <w:sz w:val="16"/>
                <w:szCs w:val="16"/>
                <w:color w:val="auto"/>
              </w:rPr>
              <w:t>and outstanding, actual; 21,000,000,000 shares authorized, 648,993,056 shares</w:t>
            </w: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60" w:type="dxa"/>
            <w:vAlign w:val="bottom"/>
            <w:shd w:val="clear" w:color="auto" w:fill="CCEEFF"/>
          </w:tcPr>
          <w:p>
            <w:pPr>
              <w:ind w:left="340"/>
              <w:spacing w:after="0" w:line="155" w:lineRule="exact"/>
              <w:rPr>
                <w:sz w:val="20"/>
                <w:szCs w:val="20"/>
                <w:color w:val="auto"/>
              </w:rPr>
            </w:pPr>
            <w:r>
              <w:rPr>
                <w:rFonts w:ascii="Arial" w:cs="Arial" w:eastAsia="Arial" w:hAnsi="Arial"/>
                <w:sz w:val="16"/>
                <w:szCs w:val="16"/>
                <w:color w:val="auto"/>
              </w:rPr>
              <w:t>issued and outstanding, pro forma; 21,000,000,000 shares authorized, 703,868,056</w:t>
            </w: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 issued and outstanding, pro forma as adjusted</w:t>
            </w: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67"/>
        </w:trPr>
        <w:tc>
          <w:tcPr>
            <w:tcW w:w="6360" w:type="dxa"/>
            <w:vAlign w:val="bottom"/>
          </w:tcPr>
          <w:p>
            <w:pPr>
              <w:ind w:left="200"/>
              <w:spacing w:after="0" w:line="167" w:lineRule="exact"/>
              <w:rPr>
                <w:sz w:val="20"/>
                <w:szCs w:val="20"/>
                <w:color w:val="auto"/>
              </w:rPr>
            </w:pPr>
            <w:r>
              <w:rPr>
                <w:rFonts w:ascii="Arial" w:cs="Arial" w:eastAsia="Arial" w:hAnsi="Arial"/>
                <w:sz w:val="16"/>
                <w:szCs w:val="16"/>
                <w:color w:val="auto"/>
              </w:rPr>
              <w:t>Class B common stock, $0.0001 par value; no shares authorized, no shares issued</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60" w:type="dxa"/>
            <w:vAlign w:val="bottom"/>
          </w:tcPr>
          <w:p>
            <w:pPr>
              <w:ind w:left="340"/>
              <w:spacing w:after="0" w:line="155" w:lineRule="exact"/>
              <w:rPr>
                <w:sz w:val="20"/>
                <w:szCs w:val="20"/>
                <w:color w:val="auto"/>
              </w:rPr>
            </w:pPr>
            <w:r>
              <w:rPr>
                <w:rFonts w:ascii="Arial" w:cs="Arial" w:eastAsia="Arial" w:hAnsi="Arial"/>
                <w:sz w:val="16"/>
                <w:szCs w:val="16"/>
                <w:color w:val="auto"/>
              </w:rPr>
              <w:t>and outstanding, actual; 700,000,000 shares authorized, 134,307,224 shares issued</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60" w:type="dxa"/>
            <w:vAlign w:val="bottom"/>
          </w:tcPr>
          <w:p>
            <w:pPr>
              <w:ind w:left="340"/>
              <w:spacing w:after="0" w:line="155" w:lineRule="exact"/>
              <w:rPr>
                <w:sz w:val="20"/>
                <w:szCs w:val="20"/>
                <w:color w:val="auto"/>
              </w:rPr>
            </w:pPr>
            <w:r>
              <w:rPr>
                <w:rFonts w:ascii="Arial" w:cs="Arial" w:eastAsia="Arial" w:hAnsi="Arial"/>
                <w:sz w:val="16"/>
                <w:szCs w:val="16"/>
                <w:color w:val="auto"/>
              </w:rPr>
              <w:t>and outstanding, pro forma; 700,000,000 shares authorized, 131,807,224 shares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360" w:type="dxa"/>
            <w:vAlign w:val="bottom"/>
          </w:tcPr>
          <w:p>
            <w:pPr>
              <w:ind w:left="340"/>
              <w:spacing w:after="0"/>
              <w:rPr>
                <w:sz w:val="20"/>
                <w:szCs w:val="20"/>
                <w:color w:val="auto"/>
              </w:rPr>
            </w:pPr>
            <w:r>
              <w:rPr>
                <w:rFonts w:ascii="Arial" w:cs="Arial" w:eastAsia="Arial" w:hAnsi="Arial"/>
                <w:sz w:val="16"/>
                <w:szCs w:val="16"/>
                <w:color w:val="auto"/>
              </w:rPr>
              <w:t>issued and outstanding, pro forma as adjusted</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40" w:type="dxa"/>
            <w:vAlign w:val="bottom"/>
          </w:tcPr>
          <w:p>
            <w:pPr>
              <w:jc w:val="right"/>
              <w:ind w:right="3"/>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7"/>
        </w:trPr>
        <w:tc>
          <w:tcPr>
            <w:tcW w:w="6360" w:type="dxa"/>
            <w:vAlign w:val="bottom"/>
            <w:shd w:val="clear" w:color="auto" w:fill="CCEEFF"/>
          </w:tcPr>
          <w:p>
            <w:pPr>
              <w:ind w:left="200"/>
              <w:spacing w:after="0" w:line="167" w:lineRule="exact"/>
              <w:rPr>
                <w:sz w:val="20"/>
                <w:szCs w:val="20"/>
                <w:color w:val="auto"/>
              </w:rPr>
            </w:pPr>
            <w:r>
              <w:rPr>
                <w:rFonts w:ascii="Arial" w:cs="Arial" w:eastAsia="Arial" w:hAnsi="Arial"/>
                <w:sz w:val="16"/>
                <w:szCs w:val="16"/>
                <w:color w:val="auto"/>
              </w:rPr>
              <w:t>Class C common stock, $0.0001 par value; no shares authorized, no shares issued</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60" w:type="dxa"/>
            <w:vAlign w:val="bottom"/>
            <w:shd w:val="clear" w:color="auto" w:fill="CCEEFF"/>
          </w:tcPr>
          <w:p>
            <w:pPr>
              <w:ind w:left="340"/>
              <w:spacing w:after="0" w:line="155" w:lineRule="exact"/>
              <w:rPr>
                <w:sz w:val="20"/>
                <w:szCs w:val="20"/>
                <w:color w:val="auto"/>
              </w:rPr>
            </w:pPr>
            <w:r>
              <w:rPr>
                <w:rFonts w:ascii="Arial" w:cs="Arial" w:eastAsia="Arial" w:hAnsi="Arial"/>
                <w:sz w:val="16"/>
                <w:szCs w:val="16"/>
                <w:color w:val="auto"/>
              </w:rPr>
              <w:t>and outstanding, actual; 7,000,000,000 shares authorized, no shares issued and</w:t>
            </w: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outstanding, pro forma and pro forma as adjusted</w:t>
            </w: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149,217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Arial" w:cs="Arial" w:eastAsia="Arial" w:hAnsi="Arial"/>
                <w:sz w:val="16"/>
                <w:szCs w:val="16"/>
                <w:color w:val="auto"/>
              </w:rPr>
              <w:t>7,386,784</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9,380,369</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502</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(1,634,906)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(1,972,952)</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(1,972,952)</w:t>
            </w:r>
          </w:p>
        </w:tc>
        <w:tc>
          <w:tcPr>
            <w:tcW w:w="0" w:type="dxa"/>
            <w:vAlign w:val="bottom"/>
          </w:tcPr>
          <w:p>
            <w:pPr>
              <w:spacing w:after="0"/>
              <w:rPr>
                <w:sz w:val="1"/>
                <w:szCs w:val="1"/>
                <w:color w:val="auto"/>
              </w:rPr>
            </w:pPr>
          </w:p>
        </w:tc>
      </w:tr>
      <w:tr>
        <w:trPr>
          <w:trHeight w:val="195"/>
        </w:trPr>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stockholders’ equity (deficit)</w:t>
            </w: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(1,485,186)</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5,414,412</w:t>
            </w: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7,408,002</w:t>
            </w:r>
          </w:p>
        </w:tc>
        <w:tc>
          <w:tcPr>
            <w:tcW w:w="0" w:type="dxa"/>
            <w:vAlign w:val="bottom"/>
          </w:tcPr>
          <w:p>
            <w:pPr>
              <w:spacing w:after="0"/>
              <w:rPr>
                <w:sz w:val="1"/>
                <w:szCs w:val="1"/>
                <w:color w:val="auto"/>
              </w:rPr>
            </w:pPr>
          </w:p>
        </w:tc>
      </w:tr>
      <w:tr>
        <w:trPr>
          <w:trHeight w:val="195"/>
        </w:trPr>
        <w:tc>
          <w:tcPr>
            <w:tcW w:w="6360" w:type="dxa"/>
            <w:vAlign w:val="bottom"/>
          </w:tcPr>
          <w:p>
            <w:pPr>
              <w:ind w:left="200"/>
              <w:spacing w:after="0"/>
              <w:rPr>
                <w:sz w:val="20"/>
                <w:szCs w:val="20"/>
                <w:color w:val="auto"/>
              </w:rPr>
            </w:pPr>
            <w:r>
              <w:rPr>
                <w:rFonts w:ascii="Arial" w:cs="Arial" w:eastAsia="Arial" w:hAnsi="Arial"/>
                <w:sz w:val="16"/>
                <w:szCs w:val="16"/>
                <w:color w:val="auto"/>
              </w:rPr>
              <w:t>Total capitalization</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5,738,797</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5,756,521</w:t>
            </w:r>
          </w:p>
        </w:tc>
        <w:tc>
          <w:tcPr>
            <w:tcW w:w="80" w:type="dxa"/>
            <w:vAlign w:val="bottom"/>
          </w:tcPr>
          <w:p>
            <w:pPr>
              <w:spacing w:after="0"/>
              <w:rPr>
                <w:sz w:val="16"/>
                <w:szCs w:val="16"/>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7,408,002</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3"/>
                <w:szCs w:val="13"/>
                <w:color w:val="auto"/>
              </w:rPr>
              <w:t>________________</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3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284" w:hanging="284"/>
        <w:spacing w:after="0" w:line="232" w:lineRule="auto"/>
        <w:tabs>
          <w:tab w:leader="none" w:pos="273" w:val="left"/>
        </w:tabs>
        <w:numPr>
          <w:ilvl w:val="0"/>
          <w:numId w:val="53"/>
        </w:numPr>
        <w:rPr>
          <w:rFonts w:ascii="Arial" w:cs="Arial" w:eastAsia="Arial" w:hAnsi="Arial"/>
          <w:sz w:val="13"/>
          <w:szCs w:val="13"/>
          <w:color w:val="auto"/>
        </w:rPr>
      </w:pPr>
      <w:r>
        <w:rPr>
          <w:rFonts w:ascii="Arial" w:cs="Arial" w:eastAsia="Arial" w:hAnsi="Arial"/>
          <w:sz w:val="13"/>
          <w:szCs w:val="13"/>
          <w:color w:val="auto"/>
        </w:rPr>
        <w:t>Each $1.00 increase or decrease in the assumed initial public offering price of our Class A common stock of $40.00 per share, which is the midpoint of the estimated price range set forth on the cover page of this prospectus, would increase or decrease, as applicable, (i) each of cash and cash equivalents, additional paid-in capital, total stockholders’ equity and total capitalization on a pro forma as adjusted basis by approximately $41.6 million, and (ii) the amount we would borrow under our revolving credit facilities and be required to pay to satisfy our tax withholding and remittance obligations by approximately $8.6 million, in each case assuming that the number of shares of Class A common stock offered by us, as set forth on the cover page of this prospectus, remains the same and after deducting estimated underwriting discounts and commissions and estimated offering expenses payable by us. Similarly, each 1,000,000-share increase or decrease in the number of shares of Class A common stock offered by us in this offering would increase or decrease, as applicable, each of cash and cash equivalents, additional</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64"/>
          </w:cols>
          <w:pgMar w:left="316" w:top="1440" w:right="319" w:bottom="1440" w:gutter="0" w:footer="0" w:header="0"/>
        </w:sectPr>
      </w:pPr>
    </w:p>
    <w:bookmarkStart w:id="141" w:name="page142"/>
    <w:bookmarkEnd w:id="141"/>
    <w:p>
      <w:pPr>
        <w:spacing w:after="0" w:line="7" w:lineRule="exact"/>
        <w:rPr>
          <w:sz w:val="20"/>
          <w:szCs w:val="20"/>
          <w:color w:val="auto"/>
        </w:rPr>
      </w:pPr>
    </w:p>
    <w:p>
      <w:pPr>
        <w:jc w:val="both"/>
        <w:ind w:left="284" w:right="20"/>
        <w:spacing w:after="0" w:line="230" w:lineRule="auto"/>
        <w:rPr>
          <w:sz w:val="20"/>
          <w:szCs w:val="20"/>
          <w:color w:val="auto"/>
        </w:rPr>
      </w:pPr>
      <w:r>
        <w:rPr>
          <w:rFonts w:ascii="Arial" w:cs="Arial" w:eastAsia="Arial" w:hAnsi="Arial"/>
          <w:sz w:val="13"/>
          <w:szCs w:val="13"/>
          <w:color w:val="auto"/>
        </w:rPr>
        <w:t>paid-in capital, total stockholders’ equity and total capitalization on a pro forma as adjusted basis by approximately $38.3 million, assuming no change in the assumed initial public offering price per share of our Class A common stock of $40.00 per share, which is the midpoint of the estimated price range set forth on the cover page of this prospectus, and after deducting estimated underwriting discounts and commissions and estimated offering expenses payable by us.</w:t>
      </w:r>
    </w:p>
    <w:p>
      <w:pPr>
        <w:jc w:val="both"/>
        <w:ind w:left="284" w:hanging="284"/>
        <w:spacing w:after="0" w:line="230" w:lineRule="auto"/>
        <w:tabs>
          <w:tab w:leader="none" w:pos="273"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 February 2021, we issued two tranches of convertible notes, consisting of $2,532.0 million aggregate principal amount of Tranche I convertible notes and $1,020.0 million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For more information about our convertible notes and warrant financings, see “Certain Relationships and Related Person Transactions—Convertible Note and Warrant Financings” and Note 5 - “Fair Value of Financial Instruments" in our unaudited condensed consolidated financial statements.</w:t>
      </w:r>
    </w:p>
    <w:p>
      <w:pPr>
        <w:jc w:val="both"/>
        <w:ind w:left="284" w:hanging="284"/>
        <w:spacing w:after="0" w:line="233" w:lineRule="auto"/>
        <w:tabs>
          <w:tab w:leader="none" w:pos="273"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 connection with our February 2021 convertible note offering, we granted to each purchaser of the Tranche I convertible notes a warrant to purchase a number of shares of equity securities equal to 15% of the aggregate proceeds invested by such purchaser in the Tranche I convertible notes (i.e</w:t>
      </w:r>
      <w:r>
        <w:rPr>
          <w:rFonts w:ascii="Arial" w:cs="Arial" w:eastAsia="Arial" w:hAnsi="Arial"/>
          <w:sz w:val="13"/>
          <w:szCs w:val="13"/>
          <w:i w:val="1"/>
          <w:iCs w:val="1"/>
          <w:color w:val="auto"/>
        </w:rPr>
        <w:t>.</w:t>
      </w:r>
      <w:r>
        <w:rPr>
          <w:rFonts w:ascii="Arial" w:cs="Arial" w:eastAsia="Arial" w:hAnsi="Arial"/>
          <w:sz w:val="13"/>
          <w:szCs w:val="13"/>
          <w:color w:val="auto"/>
        </w:rPr>
        <w:t>,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 paid by investors in this offering and (ii) $38.29. For more information about our convertible notes and warrant financings, see “Certain Relationships and Related Person Transactions— Convertible Note and Warrant Financings.”</w:t>
      </w:r>
    </w:p>
    <w:p>
      <w:pPr>
        <w:spacing w:after="0" w:line="154" w:lineRule="exact"/>
        <w:rPr>
          <w:sz w:val="20"/>
          <w:szCs w:val="20"/>
          <w:color w:val="auto"/>
        </w:rPr>
      </w:pPr>
    </w:p>
    <w:p>
      <w:pPr>
        <w:jc w:val="both"/>
        <w:ind w:left="4" w:firstLine="287"/>
        <w:spacing w:after="0" w:line="254" w:lineRule="auto"/>
        <w:rPr>
          <w:sz w:val="20"/>
          <w:szCs w:val="20"/>
          <w:color w:val="auto"/>
        </w:rPr>
      </w:pPr>
      <w:r>
        <w:rPr>
          <w:rFonts w:ascii="Arial" w:cs="Arial" w:eastAsia="Arial" w:hAnsi="Arial"/>
          <w:sz w:val="16"/>
          <w:szCs w:val="16"/>
          <w:color w:val="auto"/>
        </w:rPr>
        <w:t>The pro forma and pro forma as adjusted columns in the table above are based on 648,993,056 shares of our Class A common stock, 134,307,224 shares of our Class B common stock and no shares of our Class C common stock issued and outstanding as of March 31, 2021, which gives effect to the Assumed Share Events set forth under the section titled “The Offering” and excludes:</w:t>
      </w:r>
    </w:p>
    <w:p>
      <w:pPr>
        <w:spacing w:after="0" w:line="145" w:lineRule="exact"/>
        <w:rPr>
          <w:sz w:val="20"/>
          <w:szCs w:val="20"/>
          <w:color w:val="auto"/>
        </w:rPr>
      </w:pPr>
    </w:p>
    <w:p>
      <w:pPr>
        <w:ind w:left="564" w:right="20" w:hanging="278"/>
        <w:spacing w:after="0" w:line="260" w:lineRule="auto"/>
        <w:tabs>
          <w:tab w:leader="none" w:pos="5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18,096,127 shares of our Class A common stock issuable upon exercise of options to purchase shares of our Class A common stock outstanding as of March 31, 2021 with a weighted-average exercise price of $2.23 per share;</w:t>
      </w:r>
    </w:p>
    <w:p>
      <w:pPr>
        <w:spacing w:after="0" w:line="139" w:lineRule="exact"/>
        <w:rPr>
          <w:rFonts w:ascii="Arial" w:cs="Arial" w:eastAsia="Arial" w:hAnsi="Arial"/>
          <w:sz w:val="16"/>
          <w:szCs w:val="16"/>
          <w:color w:val="auto"/>
        </w:rPr>
      </w:pPr>
    </w:p>
    <w:p>
      <w:pPr>
        <w:jc w:val="both"/>
        <w:ind w:left="564" w:right="20" w:hanging="278"/>
        <w:spacing w:after="0" w:line="252" w:lineRule="auto"/>
        <w:tabs>
          <w:tab w:leader="none" w:pos="5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13,564,134 shares of our Class A common stock issuable upon exercise of warrants to purchase shares of our equity securities, $379.8 million aggregate maximum purchase amount of which was outstanding as of March 31, 2021, assuming an exercise price of $28.00 (which is the lower of (i) 70% of the assumed initial public offering price of our Class A common stock of $40.00 per share, which is the midpoint of the estimated offering price range set forth on the cover page of this prospectus, and (ii) $38.29);</w:t>
      </w:r>
    </w:p>
    <w:p>
      <w:pPr>
        <w:spacing w:after="0" w:line="159" w:lineRule="exact"/>
        <w:rPr>
          <w:rFonts w:ascii="Arial" w:cs="Arial" w:eastAsia="Arial" w:hAnsi="Arial"/>
          <w:sz w:val="16"/>
          <w:szCs w:val="16"/>
          <w:color w:val="auto"/>
        </w:rPr>
      </w:pPr>
    </w:p>
    <w:p>
      <w:pPr>
        <w:ind w:left="564" w:right="20" w:hanging="278"/>
        <w:spacing w:after="0" w:line="260" w:lineRule="auto"/>
        <w:tabs>
          <w:tab w:leader="none" w:pos="5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39,069,091 shares of our Class A common stock subject to Time-Based RSUs outstanding as of March 31, 2021, but for which the time-based vesting condition was not satisfied as of March 31, 2021;</w:t>
      </w:r>
    </w:p>
    <w:p>
      <w:pPr>
        <w:spacing w:after="0" w:line="139" w:lineRule="exact"/>
        <w:rPr>
          <w:rFonts w:ascii="Arial" w:cs="Arial" w:eastAsia="Arial" w:hAnsi="Arial"/>
          <w:sz w:val="16"/>
          <w:szCs w:val="16"/>
          <w:color w:val="auto"/>
        </w:rPr>
      </w:pPr>
    </w:p>
    <w:p>
      <w:pPr>
        <w:jc w:val="both"/>
        <w:ind w:left="564" w:hanging="278"/>
        <w:spacing w:after="0" w:line="252" w:lineRule="auto"/>
        <w:tabs>
          <w:tab w:leader="none" w:pos="5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23,744,640 shares of our Class A common stock subject to 2019 Market-Based RSUs outstanding as of March 31, 2021, but for which the vesting conditions were not satisfied assuming the effectiveness of this offering on March 31, 2021 either because (i) the market-based vesting condition was not satisfied in this offering but may be satisfied in the future or (ii) the market-based vesting condition was satisfied in this offering but the quarterly time-based vesting condition was not satisfied as of March 31, 2021, assuming an initial public offering price of our Class A common stock of $40.00 per share, which is the midpoint of the estimated offering price range set forth on the cover page of this prospectus;</w:t>
      </w:r>
    </w:p>
    <w:p>
      <w:pPr>
        <w:spacing w:after="0" w:line="145" w:lineRule="exact"/>
        <w:rPr>
          <w:rFonts w:ascii="Arial" w:cs="Arial" w:eastAsia="Arial" w:hAnsi="Arial"/>
          <w:sz w:val="16"/>
          <w:szCs w:val="16"/>
          <w:color w:val="auto"/>
        </w:rPr>
      </w:pPr>
    </w:p>
    <w:p>
      <w:pPr>
        <w:ind w:left="564" w:hanging="278"/>
        <w:spacing w:after="0" w:line="260" w:lineRule="auto"/>
        <w:tabs>
          <w:tab w:leader="none" w:pos="5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35,520,000 shares of our Class A common stock subject to 2021 Market-Based RSUs granted in May 2021, assuming achievement of all applicable market-based vesting conditions; and</w:t>
      </w:r>
    </w:p>
    <w:p>
      <w:pPr>
        <w:spacing w:after="0" w:line="151" w:lineRule="exact"/>
        <w:rPr>
          <w:rFonts w:ascii="Arial" w:cs="Arial" w:eastAsia="Arial" w:hAnsi="Arial"/>
          <w:sz w:val="16"/>
          <w:szCs w:val="16"/>
          <w:color w:val="auto"/>
        </w:rPr>
      </w:pPr>
    </w:p>
    <w:p>
      <w:pPr>
        <w:ind w:left="564" w:hanging="278"/>
        <w:spacing w:after="0"/>
        <w:tabs>
          <w:tab w:leader="none" w:pos="564" w:val="left"/>
        </w:tabs>
        <w:numPr>
          <w:ilvl w:val="0"/>
          <w:numId w:val="55"/>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equity compensation plans, consisting of:</w:t>
      </w:r>
    </w:p>
    <w:p>
      <w:pPr>
        <w:spacing w:after="0" w:line="162" w:lineRule="exact"/>
        <w:rPr>
          <w:rFonts w:ascii="Arial" w:cs="Arial" w:eastAsia="Arial" w:hAnsi="Arial"/>
          <w:sz w:val="16"/>
          <w:szCs w:val="16"/>
          <w:color w:val="auto"/>
        </w:rPr>
      </w:pPr>
    </w:p>
    <w:p>
      <w:pPr>
        <w:ind w:left="1144" w:right="20" w:hanging="284"/>
        <w:spacing w:after="0" w:line="260" w:lineRule="auto"/>
        <w:tabs>
          <w:tab w:leader="none" w:pos="1153" w:val="left"/>
        </w:tabs>
        <w:numPr>
          <w:ilvl w:val="1"/>
          <w:numId w:val="55"/>
        </w:numPr>
        <w:rPr>
          <w:rFonts w:ascii="Arial" w:cs="Arial" w:eastAsia="Arial" w:hAnsi="Arial"/>
          <w:sz w:val="16"/>
          <w:szCs w:val="16"/>
          <w:color w:val="auto"/>
        </w:rPr>
      </w:pPr>
      <w:r>
        <w:rPr>
          <w:rFonts w:ascii="Arial" w:cs="Arial" w:eastAsia="Arial" w:hAnsi="Arial"/>
          <w:sz w:val="16"/>
          <w:szCs w:val="16"/>
          <w:color w:val="auto"/>
        </w:rPr>
        <w:t>27,799,737 shares of our Class A common stock reserved for future issuance under our 2020 Plan as of March 31, 2021. The number of shares reserved but unissued (and not subject to any awards) under our 2020 Plan at the time our 2021 Plan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64"/>
          </w:cols>
          <w:pgMar w:left="316" w:top="1440" w:right="319" w:bottom="1440" w:gutter="0" w:footer="0" w:header="0"/>
        </w:sectPr>
      </w:pPr>
    </w:p>
    <w:bookmarkStart w:id="142" w:name="page143"/>
    <w:bookmarkEnd w:id="142"/>
    <w:p>
      <w:pPr>
        <w:spacing w:after="0" w:line="2" w:lineRule="exact"/>
        <w:rPr>
          <w:sz w:val="20"/>
          <w:szCs w:val="20"/>
          <w:color w:val="auto"/>
        </w:rPr>
      </w:pPr>
    </w:p>
    <w:p>
      <w:pPr>
        <w:ind w:left="1140" w:right="20"/>
        <w:spacing w:after="0" w:line="260" w:lineRule="auto"/>
        <w:rPr>
          <w:sz w:val="20"/>
          <w:szCs w:val="20"/>
          <w:color w:val="auto"/>
        </w:rPr>
      </w:pPr>
      <w:r>
        <w:rPr>
          <w:rFonts w:ascii="Arial" w:cs="Arial" w:eastAsia="Arial" w:hAnsi="Arial"/>
          <w:sz w:val="16"/>
          <w:szCs w:val="16"/>
          <w:color w:val="auto"/>
        </w:rPr>
        <w:t>becomes effective will be added to the shares of our Class A common stock to be reserved for future issuance under our 2021 Plan upon its effectiveness (as described below), at which time we will cease granting awards under our 2020 Plan;</w:t>
      </w:r>
    </w:p>
    <w:p>
      <w:pPr>
        <w:spacing w:after="0" w:line="151" w:lineRule="exact"/>
        <w:rPr>
          <w:sz w:val="20"/>
          <w:szCs w:val="20"/>
          <w:color w:val="auto"/>
        </w:rPr>
      </w:pPr>
    </w:p>
    <w:p>
      <w:pPr>
        <w:jc w:val="both"/>
        <w:ind w:left="1140" w:hanging="284"/>
        <w:spacing w:after="0" w:line="250" w:lineRule="auto"/>
        <w:tabs>
          <w:tab w:leader="none" w:pos="11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2021 Plan, which will become effective immediately prior to the completion of this offering, consisting of an initial share reserve equal to approximately (i) 11% of the number of shares of our common stock (of all classes) that will be outstanding immediately after the closing of this offering plus (ii) (A) shares reserved but unissued (and not subject to any awards) under our 2020 Plan as of the effective date of our 2021 Plan and (B) any shares subject to stock options, RSUs and other equity-based awards granted under our 2020 Plan or 2013 Plan that, on or after the effective date of our 2021 Plan, expire or otherwise terminate without having been exercised in full, are tendered to or withheld by us for payment of an exercise price or to satisfy tax withholding obligations or are forfeited to or repurchased by us due to failure to vest. We expect that, when our 2021 Plan becomes effective (and after giving effect to the shares entering the pool on the date of this prospectus under clause (ii)(B) above in connection with the net settlement of RSUs granted under our 2020 Plan or 2013 Plan), the aggregate number of shares reserved for issuance under our 2021 Plan will be equal to approximately 14% of the number of shares of our common stock (of all classes) that will be outstanding immediately after the closing of this offering, subject to automatic annual increases in accordance with our 2021 Plan as described under “Executive Compensation—Employee Benefits and Stock Plans—2021 Omnibus Incentive Plan”; and</w:t>
      </w:r>
    </w:p>
    <w:p>
      <w:pPr>
        <w:spacing w:after="0" w:line="149" w:lineRule="exact"/>
        <w:rPr>
          <w:rFonts w:ascii="Arial" w:cs="Arial" w:eastAsia="Arial" w:hAnsi="Arial"/>
          <w:sz w:val="16"/>
          <w:szCs w:val="16"/>
          <w:color w:val="auto"/>
        </w:rPr>
      </w:pPr>
    </w:p>
    <w:p>
      <w:pPr>
        <w:jc w:val="both"/>
        <w:ind w:left="1140" w:right="20" w:hanging="284"/>
        <w:spacing w:after="0" w:line="254" w:lineRule="auto"/>
        <w:tabs>
          <w:tab w:leader="none" w:pos="1161" w:val="left"/>
        </w:tabs>
        <w:numPr>
          <w:ilvl w:val="0"/>
          <w:numId w:val="56"/>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ESPP, which will become effective immediately prior to the completion of this offering, as described under “Executive Compensation—Employee Benefits and Stock Plans—2021 Employee Share Purchase Plan.”</w:t>
      </w:r>
    </w:p>
    <w:p>
      <w:pPr>
        <w:spacing w:after="0" w:line="14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For more information about our warrants, see “Certain Relationships and Related Person Transactions—Convertible Note and Warrant Financings.” For more information about our Market-Based RSUs, see “Executive Compensation—Narrative Description of Executive Compensation Arrangements—Market-Based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60"/>
          </w:cols>
          <w:pgMar w:left="320" w:top="1440" w:right="319" w:bottom="1440" w:gutter="0" w:footer="0" w:header="0"/>
        </w:sectPr>
      </w:pPr>
    </w:p>
    <w:bookmarkStart w:id="143" w:name="page144"/>
    <w:bookmarkEnd w:id="143"/>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DILUTION</w:t>
      </w:r>
    </w:p>
    <w:p>
      <w:pPr>
        <w:spacing w:after="0" w:line="182"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If you invest in our Class A common stock in this offering, your ownership interest will be immediately diluted to the extent of the difference between the initial public offering price per share of our Class A common stock and the pro forma as adjusted net tangible book value per share of our Class A common stock and Class B common stock immediately after this offering.</w:t>
      </w:r>
    </w:p>
    <w:p>
      <w:pPr>
        <w:spacing w:after="0" w:line="14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Our historical net tangible book value as of March 31, 2021 was $(1.5) billion, or $(6.41) per share of common stock. Our historical net tangible book value represents our total tangible assets less our total liabilities, which is not included within our stockholders’ equity. Historical net tangible book value per share represents historical net tangible book value divided by the 232,257,374 shares of common stock outstanding as of March 31, 2021.</w:t>
      </w:r>
    </w:p>
    <w:p>
      <w:pPr>
        <w:spacing w:after="0" w:line="15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pro forma net tangible book value as of March 31, 2021 was $5.4 billion, or $ 6.91 per share of common stock. Pro forma net tangible book value per share represents the amount of our total tangible assets less our total liabilities. Pro forma net tangible book value per share represents our pro forma net tangible book value divided by 783,300,280, which is the total number of shares of Class A common stock and Class B common stock outstanding as of March 31, 2021 after giving effect to (i) the Preferred Share Conversion, (ii) the Convertible Note Conversion, (iii) the IPO-Vesting Time-Based RSU Settlement, (iv) the IPO-Vesting Market-Based RSU Settlement, (v) the related increase in liabilities and corresponding decrease in additional paid-in capital for the associated tax withholding and remittance liabilities related to the IPO-Vesting Time-Based RSU Settlement and the IPO-Vesting Market-Based RSU Settlement, (vi) the borrowing of $342.1 million under our revolving credit facilities to satisfy our tax withholding and remittance obligations related to the IPO-Vesting Time-Based RSU Settlement and the IPO-Vesting Market-Based RSU Settlement, (vii) a cash payment of $342.1 million to satisfy our tax withholding and remittance liabilities described in clause (v) above (assuming the effectiveness of this offering on March 31, 2021 for purposes of any applicable time -based vesting conditions; an initial public offering price of our Class A common stock of $40.00 per share, which is the midpoint of the estimated offering price range set forth on the cover page of this prospectus, for purposes of determining the satisfaction of any market-based vesting conditions; and an assumed 45% tax withholding rate), (viii) the reclassification of our warrant liability into additional paid-in capital because upon the completion of this offering, the warrants will, in accordance with their terms, become exercisable for our Class A common stock, (ix) share-based compensation expense of $355.8 million related to IPO-Vesting Time-Based RSUs for which the time-based vesting condition was satisfied or partially satisfied as of March 31, 2021 and IPO-Vesting Market-Based RSUs, assuming the effectiveness of this offering on March 31, 2021 for purposes of any applicable time-based vesting conditions and, for purposes of determining the satisfaction of the market-based vesting condition, an initial public offering price of our Class A common stock of $40.00 per share, which is the midpoint of the estimated offering price range set forth on the cover page of this prospectus, reflected as an increase to additional paid-in capital and accumulated deficit, (x) income tax benefit of $17.7 million net of valuation allowance, (xi) the filing and effectiveness of our Charter in Delaware, which will occur immediately prior to the completion of this offering and will effect the Reclassification, and (xii) the Class B Exchange.</w:t>
      </w:r>
    </w:p>
    <w:p>
      <w:pPr>
        <w:spacing w:after="0" w:line="147"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After giving further effect to our issuance and sale by the Company of 52,375,000 shares of Class A common stock in this offering at an assumed initial public offering price of our Class A common stock of $40.00 per share, which is the midpoint of the estimated price range set forth on the cover page of this prospectus, and after deducting the estimated underwriting discounts and commissions and estimated offering expenses payable by us, our pro forma as adjusted net tangible book value as of March 31, 2021 would have been $7.4 billion, or approximately $8.86 per share. This amount represents an immediate increase in the pro forma as adjusted net tangible book value of $1.95 per share to our existing stockholders and immediate dilution of $31.14 per share to new investors purchasing our shares of Class A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60"/>
          </w:cols>
          <w:pgMar w:left="320" w:top="1440" w:right="319" w:bottom="1440" w:gutter="0" w:footer="0" w:header="0"/>
        </w:sectPr>
      </w:pPr>
    </w:p>
    <w:bookmarkStart w:id="144" w:name="page145"/>
    <w:bookmarkEnd w:id="144"/>
    <w:p>
      <w:pPr>
        <w:spacing w:after="0" w:line="1"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Dilution per share to new investors is determined by subtracting the pro forma as adjusted net tangible book value per share after this offering from the initial public offering price per share of our Class A common stock paid by new investors. The following table illustrates this dilution on a per share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Assumed initial public offering price per share</w:t>
            </w:r>
          </w:p>
        </w:tc>
        <w:tc>
          <w:tcPr>
            <w:tcW w:w="6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03"/>
        </w:trPr>
        <w:tc>
          <w:tcPr>
            <w:tcW w:w="8020" w:type="dxa"/>
            <w:vAlign w:val="bottom"/>
          </w:tcPr>
          <w:p>
            <w:pPr>
              <w:ind w:left="100"/>
              <w:spacing w:after="0"/>
              <w:rPr>
                <w:sz w:val="20"/>
                <w:szCs w:val="20"/>
                <w:color w:val="auto"/>
              </w:rPr>
            </w:pPr>
            <w:r>
              <w:rPr>
                <w:rFonts w:ascii="Arial" w:cs="Arial" w:eastAsia="Arial" w:hAnsi="Arial"/>
                <w:sz w:val="16"/>
                <w:szCs w:val="16"/>
                <w:color w:val="auto"/>
              </w:rPr>
              <w:t>Historical net tangible book value per share as of March 31, 2021</w:t>
            </w:r>
          </w:p>
        </w:tc>
        <w:tc>
          <w:tcPr>
            <w:tcW w:w="60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640"/>
              <w:spacing w:after="0"/>
              <w:rPr>
                <w:sz w:val="20"/>
                <w:szCs w:val="20"/>
                <w:color w:val="auto"/>
              </w:rPr>
            </w:pPr>
            <w:r>
              <w:rPr>
                <w:rFonts w:ascii="Arial" w:cs="Arial" w:eastAsia="Arial" w:hAnsi="Arial"/>
                <w:sz w:val="16"/>
                <w:szCs w:val="16"/>
                <w:color w:val="auto"/>
              </w:rPr>
              <w:t>(6.41)</w:t>
            </w:r>
          </w:p>
        </w:tc>
        <w:tc>
          <w:tcPr>
            <w:tcW w:w="980" w:type="dxa"/>
            <w:vAlign w:val="bottom"/>
          </w:tcPr>
          <w:p>
            <w:pPr>
              <w:spacing w:after="0"/>
              <w:rPr>
                <w:sz w:val="17"/>
                <w:szCs w:val="17"/>
                <w:color w:val="auto"/>
              </w:rPr>
            </w:pPr>
          </w:p>
        </w:tc>
      </w:tr>
      <w:tr>
        <w:trPr>
          <w:trHeight w:val="203"/>
        </w:trPr>
        <w:tc>
          <w:tcPr>
            <w:tcW w:w="8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Increase per share attributable to the pro forma adjustments described above</w:t>
            </w:r>
          </w:p>
        </w:tc>
        <w:tc>
          <w:tcPr>
            <w:tcW w:w="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80"/>
              <w:spacing w:after="0"/>
              <w:rPr>
                <w:sz w:val="20"/>
                <w:szCs w:val="20"/>
                <w:color w:val="auto"/>
              </w:rPr>
            </w:pPr>
            <w:r>
              <w:rPr>
                <w:rFonts w:ascii="Arial" w:cs="Arial" w:eastAsia="Arial" w:hAnsi="Arial"/>
                <w:sz w:val="16"/>
                <w:szCs w:val="16"/>
                <w:color w:val="auto"/>
              </w:rPr>
              <w:t>13.32</w:t>
            </w:r>
          </w:p>
        </w:tc>
        <w:tc>
          <w:tcPr>
            <w:tcW w:w="980" w:type="dxa"/>
            <w:vAlign w:val="bottom"/>
            <w:shd w:val="clear" w:color="auto" w:fill="CCEEFF"/>
          </w:tcPr>
          <w:p>
            <w:pPr>
              <w:spacing w:after="0"/>
              <w:rPr>
                <w:sz w:val="17"/>
                <w:szCs w:val="17"/>
                <w:color w:val="auto"/>
              </w:rPr>
            </w:pPr>
          </w:p>
        </w:tc>
      </w:tr>
      <w:tr>
        <w:trPr>
          <w:trHeight w:val="203"/>
        </w:trPr>
        <w:tc>
          <w:tcPr>
            <w:tcW w:w="8020" w:type="dxa"/>
            <w:vAlign w:val="bottom"/>
          </w:tcPr>
          <w:p>
            <w:pPr>
              <w:ind w:left="100"/>
              <w:spacing w:after="0"/>
              <w:rPr>
                <w:sz w:val="20"/>
                <w:szCs w:val="20"/>
                <w:color w:val="auto"/>
              </w:rPr>
            </w:pPr>
            <w:r>
              <w:rPr>
                <w:rFonts w:ascii="Arial" w:cs="Arial" w:eastAsia="Arial" w:hAnsi="Arial"/>
                <w:sz w:val="16"/>
                <w:szCs w:val="16"/>
                <w:color w:val="auto"/>
              </w:rPr>
              <w:t>Pro forma net tangible book value per share as of March 31, 2021</w:t>
            </w:r>
          </w:p>
        </w:tc>
        <w:tc>
          <w:tcPr>
            <w:tcW w:w="60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680"/>
              <w:spacing w:after="0"/>
              <w:rPr>
                <w:sz w:val="20"/>
                <w:szCs w:val="20"/>
                <w:color w:val="auto"/>
              </w:rPr>
            </w:pPr>
            <w:r>
              <w:rPr>
                <w:rFonts w:ascii="Arial" w:cs="Arial" w:eastAsia="Arial" w:hAnsi="Arial"/>
                <w:sz w:val="16"/>
                <w:szCs w:val="16"/>
                <w:color w:val="auto"/>
              </w:rPr>
              <w:t>6.91</w:t>
            </w:r>
          </w:p>
        </w:tc>
        <w:tc>
          <w:tcPr>
            <w:tcW w:w="980" w:type="dxa"/>
            <w:vAlign w:val="bottom"/>
          </w:tcPr>
          <w:p>
            <w:pPr>
              <w:spacing w:after="0"/>
              <w:rPr>
                <w:sz w:val="17"/>
                <w:szCs w:val="17"/>
                <w:color w:val="auto"/>
              </w:rPr>
            </w:pPr>
          </w:p>
        </w:tc>
      </w:tr>
      <w:tr>
        <w:trPr>
          <w:trHeight w:val="167"/>
        </w:trPr>
        <w:tc>
          <w:tcPr>
            <w:tcW w:w="8020" w:type="dxa"/>
            <w:vAlign w:val="bottom"/>
            <w:shd w:val="clear" w:color="auto" w:fill="CCEEFF"/>
          </w:tcPr>
          <w:p>
            <w:pPr>
              <w:ind w:left="100"/>
              <w:spacing w:after="0" w:line="167" w:lineRule="exact"/>
              <w:rPr>
                <w:sz w:val="20"/>
                <w:szCs w:val="20"/>
                <w:color w:val="auto"/>
              </w:rPr>
            </w:pPr>
            <w:r>
              <w:rPr>
                <w:rFonts w:ascii="Arial" w:cs="Arial" w:eastAsia="Arial" w:hAnsi="Arial"/>
                <w:sz w:val="16"/>
                <w:szCs w:val="16"/>
                <w:color w:val="auto"/>
                <w:w w:val="99"/>
              </w:rPr>
              <w:t>Increase in pro forma net tangible book value per share attributable to new investors purchasing shares of Class</w:t>
            </w:r>
          </w:p>
        </w:tc>
        <w:tc>
          <w:tcPr>
            <w:tcW w:w="6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2"/>
        </w:trPr>
        <w:tc>
          <w:tcPr>
            <w:tcW w:w="8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 common stock in this offering</w:t>
            </w:r>
          </w:p>
        </w:tc>
        <w:tc>
          <w:tcPr>
            <w:tcW w:w="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80"/>
              <w:spacing w:after="0"/>
              <w:rPr>
                <w:sz w:val="20"/>
                <w:szCs w:val="20"/>
                <w:color w:val="auto"/>
              </w:rPr>
            </w:pPr>
            <w:r>
              <w:rPr>
                <w:rFonts w:ascii="Arial" w:cs="Arial" w:eastAsia="Arial" w:hAnsi="Arial"/>
                <w:sz w:val="16"/>
                <w:szCs w:val="16"/>
                <w:color w:val="auto"/>
              </w:rPr>
              <w:t>1.95</w:t>
            </w:r>
          </w:p>
        </w:tc>
        <w:tc>
          <w:tcPr>
            <w:tcW w:w="980" w:type="dxa"/>
            <w:vAlign w:val="bottom"/>
            <w:shd w:val="clear" w:color="auto" w:fill="CCEEFF"/>
          </w:tcPr>
          <w:p>
            <w:pPr>
              <w:spacing w:after="0"/>
              <w:rPr>
                <w:sz w:val="16"/>
                <w:szCs w:val="16"/>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Pro forma as adjusted net tangible book value per share immediately after this offering</w:t>
            </w:r>
          </w:p>
        </w:tc>
        <w:tc>
          <w:tcPr>
            <w:tcW w:w="600" w:type="dxa"/>
            <w:vAlign w:val="bottom"/>
          </w:tcPr>
          <w:p>
            <w:pPr>
              <w:spacing w:after="0"/>
              <w:rPr>
                <w:sz w:val="17"/>
                <w:szCs w:val="17"/>
                <w:color w:val="auto"/>
              </w:rPr>
            </w:pPr>
          </w:p>
        </w:tc>
        <w:tc>
          <w:tcPr>
            <w:tcW w:w="166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Dilution in pro forma as adjusted net tangible book value per share to new investors in this offering</w:t>
            </w:r>
          </w:p>
        </w:tc>
        <w:tc>
          <w:tcPr>
            <w:tcW w:w="6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w:t>
            </w:r>
          </w:p>
        </w:tc>
      </w:tr>
    </w:tbl>
    <w:p>
      <w:pPr>
        <w:spacing w:after="0" w:line="15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dilution information discussed above is illustrative only and will change based on the actual initial public offering price, the number of shares of Class A common stock sold by us in this offering and other terms of this offering determined at pricing. Each $1.00 increase or decrease in the assumed initial public offering price of our Class A common stock of $40.00 per share, which is the midpoint of the estimated price range set forth on the cover page of this prospectus, would increase or decrease, as applicable, the as adjusted net tangible book value per share after this offering by approximately $0.05 and the dilution per share to new investors by $0.95, assuming that the number of shares of Class A common stock offered by us, as set forth on the cover page of this prospectus, remains the same and after deducting estimated underwriting discounts and commissions and estimated offering expenses payable by us. Each increase of 1,000,000 shares in the number of shares of Class A common stock offered by us would increase our as adjusted net tangible book value per share after this offering by $0.03 and decrease the dilution per share to new investors by $0.03, assuming no change in the assumed initial public offering price per share and after deducting estimated underwriting discounts and commissions. Each decrease of 1,000,000 shares in the number of shares of Class A common stock offered by us would decrease our as adjusted net tangible book value per share after this offering by $0.04 and increase the dilution per share to new investors by $0.04, assuming no change in the assumed initial public offering price per share and after deducting estimated underwriting discounts and commissions and estimated offering expenses payable by us.</w:t>
      </w:r>
    </w:p>
    <w:p>
      <w:pPr>
        <w:spacing w:after="0" w:line="150"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If the underwriters exercise in full their option to purchase additional shares of Class A common stock from us in this offering, our as pro forma adjusted net tangible book value per share after the offering would be $9.05, and the dilution per share to new investors would be $30.95, in each case assuming an initial public offering price of our Class A common stock of $40.00 per share, which is the midpoint of the estimated price range set forth on the cover page of this prospectus, and after deducting the estimated underwriting discounts and commissions.</w:t>
      </w:r>
    </w:p>
    <w:p>
      <w:pPr>
        <w:spacing w:after="0" w:line="15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following table summarizes, as of March 31, 2021, on the pro forma as adjusted basis as described above, the total number of shares of Class A common stock purchased from us, the total consideration paid and the average price per share paid or to be paid by existing stockholders and new investors acquiring shares of Class A common stock in this offering, assuming an initial public offering price of our Class A common stock of $40.00 per share, which is the midpoint of the estimated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60"/>
          </w:cols>
          <w:pgMar w:left="320" w:top="1440" w:right="319" w:bottom="1440" w:gutter="0" w:footer="0" w:header="0"/>
        </w:sectPr>
      </w:pPr>
    </w:p>
    <w:bookmarkStart w:id="145" w:name="page146"/>
    <w:bookmarkEnd w:id="145"/>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range set forth on the cover page of this prospectus, before deducting estimated underwriting discounts and commissions and estimated offering expenses payable by 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20" w:type="dxa"/>
            <w:vAlign w:val="bottom"/>
          </w:tcPr>
          <w:p>
            <w:pPr>
              <w:spacing w:after="0"/>
              <w:rPr>
                <w:sz w:val="14"/>
                <w:szCs w:val="14"/>
                <w:color w:val="auto"/>
              </w:rPr>
            </w:pPr>
          </w:p>
        </w:tc>
        <w:tc>
          <w:tcPr>
            <w:tcW w:w="2220" w:type="dxa"/>
            <w:vAlign w:val="bottom"/>
            <w:tcBorders>
              <w:bottom w:val="single" w:sz="8" w:color="auto"/>
            </w:tcBorders>
            <w:gridSpan w:val="3"/>
          </w:tcPr>
          <w:p>
            <w:pPr>
              <w:ind w:left="1060"/>
              <w:spacing w:after="0"/>
              <w:rPr>
                <w:sz w:val="20"/>
                <w:szCs w:val="20"/>
                <w:color w:val="auto"/>
              </w:rPr>
            </w:pPr>
            <w:r>
              <w:rPr>
                <w:rFonts w:ascii="Arial" w:cs="Arial" w:eastAsia="Arial" w:hAnsi="Arial"/>
                <w:sz w:val="13"/>
                <w:szCs w:val="13"/>
                <w:b w:val="1"/>
                <w:bCs w:val="1"/>
                <w:color w:val="auto"/>
              </w:rPr>
              <w:t>Shares Purchased</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780"/>
              <w:spacing w:after="0"/>
              <w:rPr>
                <w:sz w:val="20"/>
                <w:szCs w:val="20"/>
                <w:color w:val="auto"/>
              </w:rPr>
            </w:pPr>
            <w:r>
              <w:rPr>
                <w:rFonts w:ascii="Arial" w:cs="Arial" w:eastAsia="Arial" w:hAnsi="Arial"/>
                <w:sz w:val="13"/>
                <w:szCs w:val="13"/>
                <w:b w:val="1"/>
                <w:bCs w:val="1"/>
                <w:color w:val="auto"/>
                <w:w w:val="96"/>
              </w:rPr>
              <w:t>Total Consideration</w:t>
            </w: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2220" w:type="dxa"/>
            <w:vAlign w:val="bottom"/>
            <w:gridSpan w:val="3"/>
            <w:vMerge w:val="restart"/>
          </w:tcPr>
          <w:p>
            <w:pPr>
              <w:ind w:left="580"/>
              <w:spacing w:after="0"/>
              <w:rPr>
                <w:sz w:val="20"/>
                <w:szCs w:val="20"/>
                <w:color w:val="auto"/>
              </w:rPr>
            </w:pPr>
            <w:r>
              <w:rPr>
                <w:rFonts w:ascii="Arial" w:cs="Arial" w:eastAsia="Arial" w:hAnsi="Arial"/>
                <w:sz w:val="13"/>
                <w:szCs w:val="13"/>
                <w:b w:val="1"/>
                <w:bCs w:val="1"/>
                <w:color w:val="auto"/>
              </w:rPr>
              <w:t>Number</w:t>
            </w: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Percent</w:t>
            </w:r>
          </w:p>
        </w:tc>
        <w:tc>
          <w:tcPr>
            <w:tcW w:w="260" w:type="dxa"/>
            <w:vAlign w:val="bottom"/>
          </w:tcPr>
          <w:p>
            <w:pPr>
              <w:spacing w:after="0"/>
              <w:rPr>
                <w:sz w:val="12"/>
                <w:szCs w:val="12"/>
                <w:color w:val="auto"/>
              </w:rPr>
            </w:pPr>
          </w:p>
        </w:tc>
        <w:tc>
          <w:tcPr>
            <w:tcW w:w="1980" w:type="dxa"/>
            <w:vAlign w:val="bottom"/>
            <w:gridSpan w:val="3"/>
          </w:tcPr>
          <w:p>
            <w:pPr>
              <w:jc w:val="center"/>
              <w:ind w:right="860"/>
              <w:spacing w:after="0" w:line="148" w:lineRule="exact"/>
              <w:rPr>
                <w:sz w:val="20"/>
                <w:szCs w:val="20"/>
                <w:color w:val="auto"/>
              </w:rPr>
            </w:pPr>
            <w:r>
              <w:rPr>
                <w:rFonts w:ascii="Arial" w:cs="Arial" w:eastAsia="Arial" w:hAnsi="Arial"/>
                <w:sz w:val="13"/>
                <w:szCs w:val="13"/>
                <w:b w:val="1"/>
                <w:bCs w:val="1"/>
                <w:color w:val="auto"/>
                <w:w w:val="97"/>
              </w:rPr>
              <w:t>Amount</w:t>
            </w:r>
          </w:p>
        </w:tc>
        <w:tc>
          <w:tcPr>
            <w:tcW w:w="5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Percent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24"/>
              <w:spacing w:after="0" w:line="148" w:lineRule="exact"/>
              <w:rPr>
                <w:sz w:val="20"/>
                <w:szCs w:val="20"/>
                <w:color w:val="auto"/>
              </w:rPr>
            </w:pPr>
            <w:r>
              <w:rPr>
                <w:rFonts w:ascii="Arial" w:cs="Arial" w:eastAsia="Arial" w:hAnsi="Arial"/>
                <w:sz w:val="13"/>
                <w:szCs w:val="13"/>
                <w:b w:val="1"/>
                <w:bCs w:val="1"/>
                <w:color w:val="auto"/>
              </w:rPr>
              <w:t>Weighted Average Price</w:t>
            </w: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2220" w:type="dxa"/>
            <w:vAlign w:val="bottom"/>
            <w:gridSpan w:val="3"/>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gridSpan w:val="3"/>
          </w:tcPr>
          <w:p>
            <w:pPr>
              <w:jc w:val="center"/>
              <w:ind w:right="860"/>
              <w:spacing w:after="0"/>
              <w:rPr>
                <w:sz w:val="20"/>
                <w:szCs w:val="20"/>
                <w:color w:val="auto"/>
              </w:rPr>
            </w:pPr>
            <w:r>
              <w:rPr>
                <w:rFonts w:ascii="Arial" w:cs="Arial" w:eastAsia="Arial" w:hAnsi="Arial"/>
                <w:sz w:val="13"/>
                <w:szCs w:val="13"/>
                <w:b w:val="1"/>
                <w:bCs w:val="1"/>
                <w:color w:val="auto"/>
                <w:w w:val="98"/>
              </w:rPr>
              <w:t>(in thousands)</w:t>
            </w:r>
          </w:p>
        </w:tc>
        <w:tc>
          <w:tcPr>
            <w:tcW w:w="52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ind w:right="444"/>
              <w:spacing w:after="0"/>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195"/>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Existing stockholders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783,300,280</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5,765,831</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03"/>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New investors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52,375,000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2,095,000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20"/>
        </w:trPr>
        <w:tc>
          <w:tcPr>
            <w:tcW w:w="2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835,675,280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7,860,831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table above assumes no exercise of the underwriters’ option to purchase additional shares of our Class A common stock, solely to cover over-allotments. If the underwriters exercise in full their option to purchase additional shares of Class A common stock, the percentage of shares of our Class A common stock held by existing stockholders would be decreased to 93% of the total number of our Class A common stock outstanding after this offering, and the number of shares held by new investors participating in this offering would be increased to 7% of the total number of shares of our Class A common stock outstanding after this offering.</w:t>
      </w:r>
    </w:p>
    <w:p>
      <w:pPr>
        <w:spacing w:after="0" w:line="145"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The number of shares of our Class A common stock to be outstanding after this offering is based on 648,993,056 shares of our Class A common stock, 134,307,224 shares of our Class B common stock and no shares of our Class C common stock, in each case outstanding as of March 31, 2021, which gives effect to the Assumed Share Events set forth under the section titled “The Offering” and excludes:</w:t>
      </w:r>
    </w:p>
    <w:p>
      <w:pPr>
        <w:spacing w:after="0" w:line="157" w:lineRule="exact"/>
        <w:rPr>
          <w:sz w:val="20"/>
          <w:szCs w:val="20"/>
          <w:color w:val="auto"/>
        </w:rPr>
      </w:pPr>
    </w:p>
    <w:p>
      <w:pPr>
        <w:ind w:left="560" w:right="20" w:hanging="278"/>
        <w:spacing w:after="0" w:line="260" w:lineRule="auto"/>
        <w:tabs>
          <w:tab w:leader="none" w:pos="556" w:val="left"/>
        </w:tabs>
        <w:numPr>
          <w:ilvl w:val="0"/>
          <w:numId w:val="57"/>
        </w:numPr>
        <w:rPr>
          <w:rFonts w:ascii="Arial" w:cs="Arial" w:eastAsia="Arial" w:hAnsi="Arial"/>
          <w:sz w:val="16"/>
          <w:szCs w:val="16"/>
          <w:color w:val="auto"/>
        </w:rPr>
      </w:pPr>
      <w:r>
        <w:rPr>
          <w:rFonts w:ascii="Arial" w:cs="Arial" w:eastAsia="Arial" w:hAnsi="Arial"/>
          <w:sz w:val="16"/>
          <w:szCs w:val="16"/>
          <w:color w:val="auto"/>
        </w:rPr>
        <w:t>18,096,127 shares of our Class A common stock issuable upon exercise of options to purchase shares of our common stock outstanding as of March 31, 2021 with a weighted-average exercise price of $2.23 per share;</w:t>
      </w:r>
    </w:p>
    <w:p>
      <w:pPr>
        <w:spacing w:after="0" w:line="139" w:lineRule="exact"/>
        <w:rPr>
          <w:rFonts w:ascii="Arial" w:cs="Arial" w:eastAsia="Arial" w:hAnsi="Arial"/>
          <w:sz w:val="16"/>
          <w:szCs w:val="16"/>
          <w:color w:val="auto"/>
        </w:rPr>
      </w:pPr>
    </w:p>
    <w:p>
      <w:pPr>
        <w:jc w:val="both"/>
        <w:ind w:left="560" w:right="20" w:hanging="278"/>
        <w:spacing w:after="0" w:line="252" w:lineRule="auto"/>
        <w:tabs>
          <w:tab w:leader="none" w:pos="556" w:val="left"/>
        </w:tabs>
        <w:numPr>
          <w:ilvl w:val="0"/>
          <w:numId w:val="57"/>
        </w:numPr>
        <w:rPr>
          <w:rFonts w:ascii="Arial" w:cs="Arial" w:eastAsia="Arial" w:hAnsi="Arial"/>
          <w:sz w:val="16"/>
          <w:szCs w:val="16"/>
          <w:color w:val="auto"/>
        </w:rPr>
      </w:pPr>
      <w:r>
        <w:rPr>
          <w:rFonts w:ascii="Arial" w:cs="Arial" w:eastAsia="Arial" w:hAnsi="Arial"/>
          <w:sz w:val="16"/>
          <w:szCs w:val="16"/>
          <w:color w:val="auto"/>
        </w:rPr>
        <w:t>13,564,134 shares of our Class A common stock issuable upon exercise of warrants to purchase shares of our equity securities, $379.8 million aggregate maximum purchase amount of which was outstanding as of March 31, 2021, assuming an exercise price of $28.00 (which is the lower of (i) 70% of the assumed initial public offering price of our Class A common stock of $40.00 per share, which is the midpoint of the estimated offering price range set forth on the cover page of this prospectus, and (ii) $38.29);</w:t>
      </w:r>
    </w:p>
    <w:p>
      <w:pPr>
        <w:spacing w:after="0" w:line="147"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57"/>
        </w:numPr>
        <w:rPr>
          <w:rFonts w:ascii="Arial" w:cs="Arial" w:eastAsia="Arial" w:hAnsi="Arial"/>
          <w:sz w:val="16"/>
          <w:szCs w:val="16"/>
          <w:color w:val="auto"/>
        </w:rPr>
      </w:pPr>
      <w:r>
        <w:rPr>
          <w:rFonts w:ascii="Arial" w:cs="Arial" w:eastAsia="Arial" w:hAnsi="Arial"/>
          <w:sz w:val="16"/>
          <w:szCs w:val="16"/>
          <w:color w:val="auto"/>
        </w:rPr>
        <w:t>39,069,091 shares of our Class A common stock subject to Time-Based RSUs outstanding as of March 31, 2021, but for which the time-based vesting condition was not satisfied as of March 31, 2021;</w:t>
      </w:r>
    </w:p>
    <w:p>
      <w:pPr>
        <w:spacing w:after="0" w:line="151" w:lineRule="exact"/>
        <w:rPr>
          <w:rFonts w:ascii="Arial" w:cs="Arial" w:eastAsia="Arial" w:hAnsi="Arial"/>
          <w:sz w:val="16"/>
          <w:szCs w:val="16"/>
          <w:color w:val="auto"/>
        </w:rPr>
      </w:pPr>
    </w:p>
    <w:p>
      <w:pPr>
        <w:jc w:val="both"/>
        <w:ind w:left="560" w:hanging="278"/>
        <w:spacing w:after="0" w:line="252" w:lineRule="auto"/>
        <w:tabs>
          <w:tab w:leader="none" w:pos="556" w:val="left"/>
        </w:tabs>
        <w:numPr>
          <w:ilvl w:val="0"/>
          <w:numId w:val="57"/>
        </w:numPr>
        <w:rPr>
          <w:rFonts w:ascii="Arial" w:cs="Arial" w:eastAsia="Arial" w:hAnsi="Arial"/>
          <w:sz w:val="16"/>
          <w:szCs w:val="16"/>
          <w:color w:val="auto"/>
        </w:rPr>
      </w:pPr>
      <w:r>
        <w:rPr>
          <w:rFonts w:ascii="Arial" w:cs="Arial" w:eastAsia="Arial" w:hAnsi="Arial"/>
          <w:sz w:val="16"/>
          <w:szCs w:val="16"/>
          <w:color w:val="auto"/>
        </w:rPr>
        <w:t>23,744,640 shares of our Class A common stock subject to 2019 Market-Based RSUs outstanding as of March 31, 2021, but for which the vesting conditions were not satisfied assuming the effectiveness of this offering on March 31, 2021 either because (i) the market-based vesting condition was not satisfied in this offering but may be satisfied in the future or (ii) the market-based vesting condition was satisfied in this offering but the quarterly time-based vesting condition was not satisfied as of March 31, 2021, assuming an initial public offering price of our Class A common stock of $40.00 per share, which is the midpoint of the estimated offering price range set forth on the cover page of this prospectus;</w:t>
      </w:r>
    </w:p>
    <w:p>
      <w:pPr>
        <w:spacing w:after="0" w:line="145"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57"/>
        </w:numPr>
        <w:rPr>
          <w:rFonts w:ascii="Arial" w:cs="Arial" w:eastAsia="Arial" w:hAnsi="Arial"/>
          <w:sz w:val="16"/>
          <w:szCs w:val="16"/>
          <w:color w:val="auto"/>
        </w:rPr>
      </w:pPr>
      <w:r>
        <w:rPr>
          <w:rFonts w:ascii="Arial" w:cs="Arial" w:eastAsia="Arial" w:hAnsi="Arial"/>
          <w:sz w:val="16"/>
          <w:szCs w:val="16"/>
          <w:color w:val="auto"/>
        </w:rPr>
        <w:t>35,520,000 shares of our Class A common stock subject to 2021 Market-Based RSUs granted in May 2021, assuming achievement of all applicable market-based vesting conditions; and</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equity compensation plans, consisting of:</w:t>
      </w:r>
    </w:p>
    <w:p>
      <w:pPr>
        <w:spacing w:after="0" w:line="174" w:lineRule="exact"/>
        <w:rPr>
          <w:rFonts w:ascii="Arial" w:cs="Arial" w:eastAsia="Arial" w:hAnsi="Arial"/>
          <w:sz w:val="16"/>
          <w:szCs w:val="16"/>
          <w:color w:val="auto"/>
        </w:rPr>
      </w:pPr>
    </w:p>
    <w:p>
      <w:pPr>
        <w:ind w:left="1140" w:right="20" w:hanging="284"/>
        <w:spacing w:after="0" w:line="260" w:lineRule="auto"/>
        <w:tabs>
          <w:tab w:leader="none" w:pos="1149" w:val="left"/>
        </w:tabs>
        <w:numPr>
          <w:ilvl w:val="1"/>
          <w:numId w:val="57"/>
        </w:numPr>
        <w:rPr>
          <w:rFonts w:ascii="Arial" w:cs="Arial" w:eastAsia="Arial" w:hAnsi="Arial"/>
          <w:sz w:val="16"/>
          <w:szCs w:val="16"/>
          <w:color w:val="auto"/>
        </w:rPr>
      </w:pPr>
      <w:r>
        <w:rPr>
          <w:rFonts w:ascii="Arial" w:cs="Arial" w:eastAsia="Arial" w:hAnsi="Arial"/>
          <w:sz w:val="16"/>
          <w:szCs w:val="16"/>
          <w:color w:val="auto"/>
        </w:rPr>
        <w:t>27,799,737 shares of our Class A common stock reserved for future issuance under our 2020 Plan as of March 31, 2021. The number of shares reserved but unissued (and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60"/>
          </w:cols>
          <w:pgMar w:left="320" w:top="1440" w:right="319" w:bottom="1440" w:gutter="0" w:footer="0" w:header="0"/>
        </w:sectPr>
      </w:pPr>
    </w:p>
    <w:bookmarkStart w:id="146" w:name="page147"/>
    <w:bookmarkEnd w:id="146"/>
    <w:p>
      <w:pPr>
        <w:spacing w:after="0" w:line="2" w:lineRule="exact"/>
        <w:rPr>
          <w:sz w:val="20"/>
          <w:szCs w:val="20"/>
          <w:color w:val="auto"/>
        </w:rPr>
      </w:pPr>
    </w:p>
    <w:p>
      <w:pPr>
        <w:jc w:val="both"/>
        <w:ind w:left="1140"/>
        <w:spacing w:after="0" w:line="254" w:lineRule="auto"/>
        <w:rPr>
          <w:sz w:val="20"/>
          <w:szCs w:val="20"/>
          <w:color w:val="auto"/>
        </w:rPr>
      </w:pPr>
      <w:r>
        <w:rPr>
          <w:rFonts w:ascii="Arial" w:cs="Arial" w:eastAsia="Arial" w:hAnsi="Arial"/>
          <w:sz w:val="16"/>
          <w:szCs w:val="16"/>
          <w:color w:val="auto"/>
        </w:rPr>
        <w:t>subject to any awards) under our 2020 Plan at the time our 2021 Plan (as defined below) becomes effective will be added to the shares of our Class A common stock to be reserved for future issuance under our 2021 Plan upon its effectiveness (as described below), at which time we will cease granting awards under our 2020 Plan;</w:t>
      </w:r>
    </w:p>
    <w:p>
      <w:pPr>
        <w:spacing w:after="0" w:line="157" w:lineRule="exact"/>
        <w:rPr>
          <w:sz w:val="20"/>
          <w:szCs w:val="20"/>
          <w:color w:val="auto"/>
        </w:rPr>
      </w:pPr>
    </w:p>
    <w:p>
      <w:pPr>
        <w:jc w:val="both"/>
        <w:ind w:left="1140" w:hanging="284"/>
        <w:spacing w:after="0" w:line="250" w:lineRule="auto"/>
        <w:tabs>
          <w:tab w:leader="none" w:pos="11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2021 Plan, which will become effective immediately prior to the completion of this offering, consisting of an initial share reserve equal to approximately (i) 11% of the number of shares of our common stock (of all classes) that will be outstanding immediately after the closing of this offering plus (ii) (A) shares reserved but unissued (and not subject to any awards) under our 2020 Plan as of the effective date of our 2021 Plan and (B) any shares subject to stock options, RSUs and other equity-based awards granted under our 2020 Plan or 2013 Plan that, on or after the effective date of our 2021 Plan, expire or otherwise terminate without having been exercised in full, are tendered to or withheld by us for payment of an exercise price or to satisfy tax withholding obligations or are forfeited to or repurchased by us due to failure to vest. We expect that, when our 2021 Plan becomes effective (and after giving effect to the shares entering the pool on the date of this prospectus under clause (ii)(B) above in connection with the net settlement of RSUs granted under our 2020 Plan or 2013 Plan), the aggregate number of shares reserved for issuance under our 2021 Plan will be equal to approximately 14% of the number of shares of our common stock (of all classes) that will be outstanding immediately after the closing of this offering, subject to automatic annual increases in accordance with our 2021 Plan as described under “Executive Compensation—Employee Benefits and Stock Plans—2021 Omnibus Incentive Plan”; and</w:t>
      </w:r>
    </w:p>
    <w:p>
      <w:pPr>
        <w:spacing w:after="0" w:line="149" w:lineRule="exact"/>
        <w:rPr>
          <w:rFonts w:ascii="Arial" w:cs="Arial" w:eastAsia="Arial" w:hAnsi="Arial"/>
          <w:sz w:val="16"/>
          <w:szCs w:val="16"/>
          <w:color w:val="auto"/>
        </w:rPr>
      </w:pPr>
    </w:p>
    <w:p>
      <w:pPr>
        <w:jc w:val="both"/>
        <w:ind w:left="1140" w:right="20" w:hanging="284"/>
        <w:spacing w:after="0" w:line="254" w:lineRule="auto"/>
        <w:tabs>
          <w:tab w:leader="none" w:pos="1161" w:val="left"/>
        </w:tabs>
        <w:numPr>
          <w:ilvl w:val="0"/>
          <w:numId w:val="58"/>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ESPP, which will become effective immediately prior to the completion of this offering, as described under “Executive Compensation—Employee Benefits and Stock Plans—2021 Employee Share Purchase Plan.”</w:t>
      </w:r>
    </w:p>
    <w:p>
      <w:pPr>
        <w:spacing w:after="0" w:line="14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For more information about our warrants, see “Certain Relationships and Related Person Transactions—Convertible Note and Warrant Financings.” For more information about our Market-Based RSUs, see “Executive Compensation—Narrative Description of Executive Compensation Arrangements—Market-Based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60"/>
          </w:cols>
          <w:pgMar w:left="320" w:top="1440" w:right="319" w:bottom="1440"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13" w:lineRule="exact"/>
        <w:rPr>
          <w:sz w:val="20"/>
          <w:szCs w:val="20"/>
          <w:color w:val="auto"/>
        </w:rPr>
      </w:pPr>
    </w:p>
    <w:p>
      <w:pPr>
        <w:jc w:val="center"/>
        <w:spacing w:after="0" w:line="260" w:lineRule="auto"/>
        <w:rPr>
          <w:sz w:val="20"/>
          <w:szCs w:val="20"/>
          <w:color w:val="auto"/>
        </w:rPr>
      </w:pPr>
      <w:r>
        <w:rPr>
          <w:rFonts w:ascii="Arial" w:cs="Arial" w:eastAsia="Arial" w:hAnsi="Arial"/>
          <w:sz w:val="32"/>
          <w:szCs w:val="32"/>
          <w:color w:val="auto"/>
        </w:rPr>
        <w:t>MANAGEMENT’S DISCUSSION AND ANALYSIS OF FINANCIAL CONDITION AND RESULTS OF OPERATIONS</w:t>
      </w:r>
    </w:p>
    <w:p>
      <w:pPr>
        <w:spacing w:after="0" w:line="136"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This section presents management’s perspective on our financial condition and results of operations. The following discussion and analysis is intended to highlight and supplement data and information presented elsewhere in this prospectus, and should be read in conjunction with the sections “Prospectus Summary—Summary Historical Consolidated Financial and Other Data” and our consolidated financial statements and notes thereto appearing at the end of this prospectus. 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“Special Note Regarding Forward-Looking Statements” and “Risk Factors.”</w:t>
      </w:r>
    </w:p>
    <w:p>
      <w:pPr>
        <w:spacing w:after="0" w:line="15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Data as of and for the years ended December 31, 2019 and 2020 has been derived from our audited consolidated financial statements appearing at the end of this prospectus. Data as of and for the three months ended March 31, 2020 and 2021 has been derived from our unaudited condensed consolidated financial statements appearing at the end of this prospectus. Results for any interim period should not be construed as an inference of what our results would be for any full fiscal year or future period.</w:t>
      </w:r>
    </w:p>
    <w:p>
      <w:pPr>
        <w:spacing w:after="0" w:line="15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 xml:space="preserve">We refer to our “users” and our “customers” interchangeably throughout this prospectus to refer to individuals who hold accounts on our platform. However, because we do not have contracts as defined in </w:t>
      </w:r>
      <w:r>
        <w:rPr>
          <w:rFonts w:ascii="Arial" w:cs="Arial" w:eastAsia="Arial" w:hAnsi="Arial"/>
          <w:sz w:val="16"/>
          <w:szCs w:val="16"/>
          <w:i w:val="1"/>
          <w:iCs w:val="1"/>
          <w:color w:val="auto"/>
        </w:rPr>
        <w:t>ASC 606, Revenue from Contracts with Customers</w:t>
      </w:r>
      <w:r>
        <w:rPr>
          <w:rFonts w:ascii="Arial" w:cs="Arial" w:eastAsia="Arial" w:hAnsi="Arial"/>
          <w:sz w:val="16"/>
          <w:szCs w:val="16"/>
          <w:color w:val="auto"/>
        </w:rPr>
        <w:t>, with our users, our users do not meet the definition of “customer” for purposes of the accounting rules. See “—Revenue Recognition” in Note 1 to our audited consolidated financial statements appearing at the end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60"/>
          </w:cols>
          <w:pgMar w:left="320" w:top="1440" w:right="319" w:bottom="1440"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Overview</w:t>
      </w:r>
    </w:p>
    <w:p>
      <w:pPr>
        <w:spacing w:after="0" w:line="17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Robinhood was founded on the belief that everyone should be welcome to participate in our financial system. We are creating a modern financial services platform for everyone, regardless of their wealth, income or background.</w:t>
      </w:r>
    </w:p>
    <w:p>
      <w:pPr>
        <w:spacing w:after="0" w:line="13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build relationships with our customers by introducing new products with compelling value propositions that further expand access to the financial system. As we have expanded our platform, we have experienced significant growth in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88900</wp:posOffset>
            </wp:positionV>
            <wp:extent cx="4735195" cy="26631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35195" cy="266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mission to democratize finance for all drives our revenue model. We pioneered commission-free trading with no account minimums, giving smaller investors access to the financial markets. Many of our customers are getting started with less, which often means they’re trading a smaller number of shares. Rather than earning revenue from fixed trading commissions which, before Robinhood introduced commission free trading, had often ranged from $8 to $10 per trade, the majority of our revenue is earned through payment for order flow.</w:t>
      </w:r>
    </w:p>
    <w:p>
      <w:pPr>
        <w:spacing w:after="0" w:line="15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also earn net interest revenues, primarily from our securities lending program and interest earned on margin lending and cash deposits, net of borrowing costs related to our revolving lines of credit. We also earn subscription revenue from our Robinhood Gold product.</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With respect to certain of our financial and operating results as of or for the years ended December 31, 2020 and 2019:</w:t>
      </w:r>
    </w:p>
    <w:p>
      <w:pPr>
        <w:spacing w:after="0" w:line="163" w:lineRule="exact"/>
        <w:rPr>
          <w:sz w:val="20"/>
          <w:szCs w:val="20"/>
          <w:color w:val="auto"/>
        </w:rPr>
      </w:pPr>
    </w:p>
    <w:p>
      <w:pPr>
        <w:ind w:left="560" w:hanging="278"/>
        <w:spacing w:after="0"/>
        <w:tabs>
          <w:tab w:leader="none" w:pos="5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generated total revenues of $959 million and $278 million, for year-over-year growth of 245%;</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had Net Cumulative Funded Accounts of 12.5 million and 5.1 million, for year-over-year growth of 143%;</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had Monthly Active Users of 11.7 million and 4.3 million in December of the relevant year, for period-over-period growth of 172%;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60"/>
          </w:cols>
          <w:pgMar w:left="320" w:top="1440" w:right="319" w:bottom="1440" w:gutter="0" w:footer="0" w:header="0"/>
        </w:sectPr>
      </w:pPr>
    </w:p>
    <w:bookmarkStart w:id="151" w:name="page152"/>
    <w:bookmarkEnd w:id="151"/>
    <w:p>
      <w:pPr>
        <w:spacing w:after="0" w:line="2" w:lineRule="exact"/>
        <w:rPr>
          <w:sz w:val="20"/>
          <w:szCs w:val="20"/>
          <w:color w:val="auto"/>
        </w:rPr>
      </w:pPr>
    </w:p>
    <w:p>
      <w:pPr>
        <w:ind w:left="564" w:hanging="278"/>
        <w:spacing w:after="0"/>
        <w:tabs>
          <w:tab w:leader="none" w:pos="564"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generated net income of $7 million and incurred a net loss of $107 million; and</w:t>
      </w:r>
    </w:p>
    <w:p>
      <w:pPr>
        <w:spacing w:after="0" w:line="174" w:lineRule="exact"/>
        <w:rPr>
          <w:rFonts w:ascii="Arial" w:cs="Arial" w:eastAsia="Arial" w:hAnsi="Arial"/>
          <w:sz w:val="16"/>
          <w:szCs w:val="16"/>
          <w:color w:val="auto"/>
        </w:rPr>
      </w:pPr>
    </w:p>
    <w:p>
      <w:pPr>
        <w:ind w:left="564" w:hanging="278"/>
        <w:spacing w:after="0"/>
        <w:tabs>
          <w:tab w:leader="none" w:pos="564"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Adjusted EBITDA was $155 million and negative $74 million.</w:t>
      </w:r>
    </w:p>
    <w:p>
      <w:pPr>
        <w:spacing w:after="0" w:line="16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In addition, as of or for the three months ended March 31, 2021 and 2020:</w:t>
      </w:r>
    </w:p>
    <w:p>
      <w:pPr>
        <w:spacing w:after="0" w:line="163" w:lineRule="exact"/>
        <w:rPr>
          <w:sz w:val="20"/>
          <w:szCs w:val="20"/>
          <w:color w:val="auto"/>
        </w:rPr>
      </w:pPr>
    </w:p>
    <w:p>
      <w:pPr>
        <w:ind w:left="564" w:hanging="278"/>
        <w:spacing w:after="0"/>
        <w:tabs>
          <w:tab w:leader="none" w:pos="564"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generated total revenues of $522 million and $128 million, for a year-over-year growth of 309%;</w:t>
      </w:r>
    </w:p>
    <w:p>
      <w:pPr>
        <w:spacing w:after="0" w:line="174" w:lineRule="exact"/>
        <w:rPr>
          <w:rFonts w:ascii="Arial" w:cs="Arial" w:eastAsia="Arial" w:hAnsi="Arial"/>
          <w:sz w:val="16"/>
          <w:szCs w:val="16"/>
          <w:color w:val="auto"/>
        </w:rPr>
      </w:pPr>
    </w:p>
    <w:p>
      <w:pPr>
        <w:ind w:left="564" w:hanging="278"/>
        <w:spacing w:after="0"/>
        <w:tabs>
          <w:tab w:leader="none" w:pos="564"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had Net Cumulative Funded Accounts of 18.0 million and 7.2 million, for year-over-year growth of 151%;</w:t>
      </w:r>
    </w:p>
    <w:p>
      <w:pPr>
        <w:spacing w:after="0" w:line="162" w:lineRule="exact"/>
        <w:rPr>
          <w:rFonts w:ascii="Arial" w:cs="Arial" w:eastAsia="Arial" w:hAnsi="Arial"/>
          <w:sz w:val="16"/>
          <w:szCs w:val="16"/>
          <w:color w:val="auto"/>
        </w:rPr>
      </w:pPr>
    </w:p>
    <w:p>
      <w:pPr>
        <w:ind w:left="564" w:hanging="278"/>
        <w:spacing w:after="0"/>
        <w:tabs>
          <w:tab w:leader="none" w:pos="564"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had Monthly Active Users of 17.7 million and 8.6 million in March of the relevant quarters, for year-over-year growth of 107%;</w:t>
      </w:r>
    </w:p>
    <w:p>
      <w:pPr>
        <w:spacing w:after="0" w:line="162" w:lineRule="exact"/>
        <w:rPr>
          <w:rFonts w:ascii="Arial" w:cs="Arial" w:eastAsia="Arial" w:hAnsi="Arial"/>
          <w:sz w:val="16"/>
          <w:szCs w:val="16"/>
          <w:color w:val="auto"/>
        </w:rPr>
      </w:pPr>
    </w:p>
    <w:p>
      <w:pPr>
        <w:ind w:left="564" w:hanging="278"/>
        <w:spacing w:after="0" w:line="260" w:lineRule="auto"/>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incurred a net loss of $1.4 billion, which included a $1.5 billion fair value adjustment to our convertible notes and warrant liability, and $53 million; and</w:t>
      </w:r>
    </w:p>
    <w:p>
      <w:pPr>
        <w:spacing w:after="0" w:line="151" w:lineRule="exact"/>
        <w:rPr>
          <w:rFonts w:ascii="Arial" w:cs="Arial" w:eastAsia="Arial" w:hAnsi="Arial"/>
          <w:sz w:val="16"/>
          <w:szCs w:val="16"/>
          <w:color w:val="auto"/>
        </w:rPr>
      </w:pPr>
    </w:p>
    <w:p>
      <w:pPr>
        <w:ind w:left="564" w:hanging="278"/>
        <w:spacing w:after="0"/>
        <w:tabs>
          <w:tab w:leader="none" w:pos="564"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Adjusted EBITDA was $115 million and negative $47 million.</w:t>
      </w:r>
    </w:p>
    <w:p>
      <w:pPr>
        <w:spacing w:after="0" w:line="163" w:lineRule="exact"/>
        <w:rPr>
          <w:sz w:val="20"/>
          <w:szCs w:val="20"/>
          <w:color w:val="auto"/>
        </w:rPr>
      </w:pPr>
    </w:p>
    <w:p>
      <w:pPr>
        <w:ind w:left="4" w:right="200"/>
        <w:spacing w:after="0" w:line="254" w:lineRule="auto"/>
        <w:rPr>
          <w:sz w:val="20"/>
          <w:szCs w:val="20"/>
          <w:color w:val="auto"/>
        </w:rPr>
      </w:pPr>
      <w:r>
        <w:rPr>
          <w:rFonts w:ascii="Arial" w:cs="Arial" w:eastAsia="Arial" w:hAnsi="Arial"/>
          <w:sz w:val="16"/>
          <w:szCs w:val="16"/>
          <w:color w:val="auto"/>
        </w:rPr>
        <w:t>For definitions of “Net Cumulative Funded Accounts” and “Monthly Active Users,” please see “—Key Performance Metrics.” Adjusted EBITDA is a non-GAAP financial measure. For more information about Adjusted EBITDA, including the definition and limitations of such measure, and a reconciliation of net income (loss) to Adjusted EBITDA, please see “—Non-GAAP Financial Measures.”</w:t>
      </w:r>
    </w:p>
    <w:p>
      <w:pPr>
        <w:spacing w:after="0" w:line="145" w:lineRule="exact"/>
        <w:rPr>
          <w:sz w:val="20"/>
          <w:szCs w:val="20"/>
          <w:color w:val="auto"/>
        </w:rPr>
      </w:pPr>
    </w:p>
    <w:p>
      <w:pPr>
        <w:ind w:left="4" w:firstLine="287"/>
        <w:spacing w:after="0" w:line="260" w:lineRule="auto"/>
        <w:rPr>
          <w:sz w:val="20"/>
          <w:szCs w:val="20"/>
          <w:color w:val="auto"/>
        </w:rPr>
      </w:pPr>
      <w:r>
        <w:rPr>
          <w:rFonts w:ascii="Arial" w:cs="Arial" w:eastAsia="Arial" w:hAnsi="Arial"/>
          <w:sz w:val="16"/>
          <w:szCs w:val="16"/>
          <w:color w:val="auto"/>
        </w:rPr>
        <w:t>We have grown rapidly and achieved significant scale in recent periods. The charts below further illustrate our financial and operating results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96520</wp:posOffset>
            </wp:positionV>
            <wp:extent cx="4735195" cy="2663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35195" cy="266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________________</w:t>
      </w:r>
    </w:p>
    <w:p>
      <w:pPr>
        <w:ind w:left="284" w:hanging="284"/>
        <w:spacing w:after="0" w:line="230" w:lineRule="auto"/>
        <w:tabs>
          <w:tab w:leader="none" w:pos="284"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Reflects MAUs for December of each year presented. See “—Key Performance Metrics” below for a definition of “Monthly Active Users” or “MAU.”</w:t>
      </w:r>
    </w:p>
    <w:p>
      <w:pPr>
        <w:ind w:left="284" w:hanging="284"/>
        <w:spacing w:after="0" w:line="238" w:lineRule="auto"/>
        <w:tabs>
          <w:tab w:leader="none" w:pos="273" w:val="left"/>
        </w:tabs>
        <w:numPr>
          <w:ilvl w:val="0"/>
          <w:numId w:val="62"/>
        </w:numPr>
        <w:rPr>
          <w:rFonts w:ascii="Arial" w:cs="Arial" w:eastAsia="Arial" w:hAnsi="Arial"/>
          <w:sz w:val="13"/>
          <w:szCs w:val="13"/>
          <w:color w:val="auto"/>
        </w:rPr>
      </w:pPr>
      <w:r>
        <w:rPr>
          <w:rFonts w:ascii="Arial" w:cs="Arial" w:eastAsia="Arial" w:hAnsi="Arial"/>
          <w:sz w:val="13"/>
          <w:szCs w:val="13"/>
          <w:color w:val="auto"/>
        </w:rPr>
        <w:t>Adjusted EBITDA is a non-GAAP measure. See “—Non-GAAP Financial Measures” below for more information about Adjusted EBITDA, including the definition and limitations of such measure, and a reconciliation of net income (loss)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44"/>
          </w:cols>
          <w:pgMar w:left="316" w:top="1440" w:right="33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1407160</wp:posOffset>
            </wp:positionH>
            <wp:positionV relativeFrom="page">
              <wp:posOffset>915670</wp:posOffset>
            </wp:positionV>
            <wp:extent cx="4735195" cy="26631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4735195" cy="266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________________</w:t>
      </w:r>
    </w:p>
    <w:p>
      <w:pPr>
        <w:ind w:left="284" w:hanging="284"/>
        <w:spacing w:after="0" w:line="230" w:lineRule="auto"/>
        <w:tabs>
          <w:tab w:leader="none" w:pos="284"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Reflects MAU for each month in the periods presented. See “—Key Performance Metrics” below for a definition of “Monthly Active Users” or “MAU.”</w:t>
      </w:r>
    </w:p>
    <w:p>
      <w:pPr>
        <w:jc w:val="both"/>
        <w:ind w:left="284" w:right="20" w:hanging="284"/>
        <w:spacing w:after="0" w:line="235" w:lineRule="auto"/>
        <w:tabs>
          <w:tab w:leader="none" w:pos="273"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Reflects average DAU for each month in the periods presented. We define “Daily Active Users” or “DAU” as the number of Daily Active Users during a specified 24-hour period. A “Daily Active User” is a unique user who makes a debit card transaction, transitions between two different screens on a mobile device while logged into their account or who loads a page in a web browser, at any point during the relevant 24-hour period. A user need not satisfy these conditions on a recurring basis or have a Funded Account to be included in DAU.</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2"/>
          <w:szCs w:val="22"/>
          <w:color w:val="auto"/>
        </w:rPr>
        <w:t>Our Business Model</w:t>
      </w:r>
    </w:p>
    <w:p>
      <w:pPr>
        <w:spacing w:after="0" w:line="16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Our business model is characterized by efficient new customer growth and strong expansion within our customer base.</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New Customer Growth</w:t>
      </w:r>
    </w:p>
    <w:p>
      <w:pPr>
        <w:spacing w:after="0" w:line="179" w:lineRule="exact"/>
        <w:rPr>
          <w:sz w:val="20"/>
          <w:szCs w:val="20"/>
          <w:color w:val="auto"/>
        </w:rPr>
      </w:pPr>
    </w:p>
    <w:p>
      <w:pPr>
        <w:jc w:val="both"/>
        <w:ind w:left="4" w:firstLine="287"/>
        <w:spacing w:after="0" w:line="250" w:lineRule="auto"/>
        <w:rPr>
          <w:sz w:val="20"/>
          <w:szCs w:val="20"/>
          <w:color w:val="auto"/>
        </w:rPr>
      </w:pPr>
      <w:r>
        <w:rPr>
          <w:rFonts w:ascii="Arial" w:cs="Arial" w:eastAsia="Arial" w:hAnsi="Arial"/>
          <w:sz w:val="16"/>
          <w:szCs w:val="16"/>
          <w:color w:val="auto"/>
        </w:rPr>
        <w:t>A majority of our new customers join our platform organically or through the Robinhood Referral Program (as described below). A customer is considered to have joined organically if we cannot attribute that customer’s acquisition to a paid marketing channel, such as broad-scale advertising or clicking through an online advertisement, or to the Robinhood Referral Program. These channels were responsible for over 80% of the new Funded Accounts that joined our platform in 2020 and in the three months ended March 31, 2021 and generally have lower direct expense rates as compared to other marketing methods such as paid digital and broad-scale advertising, helping to maintain low average customer acquisition costs and rapid payback. Our ability to achieve high customer growth is supported by our platform’s high engagement, as potential customers see and hear those around them using our platform and services and then join Robinhood on their own or after being referred by their family, friends or colleagues. We also supplement these channels with paid digital and broad-scale advertising to widen the reach of our marketing efforts. While such paid marketing channels have historically driven a smaller portion of our new customer growth, in-market testing has helped us determine the most effective paid channels, and we believe paid digital marketing is, and will be in the future, a powerful complement to our other customer acquisition channels. See “—Key Performance Metrics” below for a definition of “Funded Accounts,” and “Business —What Sets Us Apart—Financial Services at Internet Scale” for a description of the various measures we utilize to evaluate our customers’ level of engagement with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64"/>
          </w:cols>
          <w:pgMar w:left="316" w:top="1440" w:right="319" w:bottom="1440" w:gutter="0" w:footer="0" w:header="0"/>
        </w:sectPr>
      </w:pPr>
    </w:p>
    <w:bookmarkStart w:id="153" w:name="page154"/>
    <w:bookmarkEnd w:id="153"/>
    <w:p>
      <w:pPr>
        <w:spacing w:after="0" w:line="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measure the efficiency of our new customer growth by evaluating our “revenue payback period.” For the monthly cohorts in the year ended December 31, 2019, our average revenue payback period was approximately 13 months, and for the monthly cohorts in the year ended December 31, 2020, our average revenue payback period improved to less than five months. This improvement was driven by efficiencies in our marketing spend, including awarding shares under the Robinhood Referral Program upon bank linking rather than account approval, as well as improvements in digital ad spending. Changing our program to award shares to new users after they initially link their bank accounts to their Robinhood accounts, instead of the prior practice of awarding shares upon completion of the account approval process, allowed us to award shares only to customers with higher intent to use the platform and lowered the cost to acquire a new Funded Account. Additionally, we improved the existing acquisition channel mix to be more heavily weighted towards channels that were showing greater efficiencies and we added new channels to replace our use of social channels that were less effective. As a result, our average cost to acquire a new Funded Account declined by more than 60% from $53 in fiscal 2019 to $20 in fiscal 2020. For the periods ending March 31, 2020 and 2021, the average cost to acquire a new Funded Account declined from $32 to $15. Lower costs to acquire a new Funded Account results in improved revenue payback periods since less revenue is needed to cover marketing expenses. We expect our customer acquisition costs for our current product offerings, on a per customer and total basis, to increase in future periods. See “—Key Performance Metrics” for definitions of “cohort” and “revenue payback period.”</w:t>
      </w:r>
    </w:p>
    <w:p>
      <w:pPr>
        <w:spacing w:after="0" w:line="16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Under our referral program (the “Robinhood Referral Program”), RHF credits referring and referred customers with a stock reward (of one share each per referral), with the potential value of each share ranging from $2.50 to $225. Each stock reward is selected randomly from RHF’s previously purchased inventory of settled shares held exclusively for this program. This inventory is comprised of shares of stock of issuers that are widely held among our customers’ accounts (i.e., held by at least 5,000 customers). Approximately 98% of customers receive a stock reward having a value ranging from $2.50 to $ 10. Referring customers can earn more than one reward through the Robinhood Referral Program by making multiple referrals, subject to a maximum of $500 in total rewards earned annually per customer. Stock rewards are also available to customers who sign up through paid marketing channels. In order for rewards to be earned by the referring and referred customer, the referred customer must fulfill certain conditions stated in their promotion, such as linking their bank account to our platform. After the referred Robinhood account is approved, each customer must claim his or her stock reward in the Robinhood app within 60 days of notification thereof, at which point the stock is deposited to such customer’s Robinhood account. Customers do not need to provide any cash consideration for the stock reward.</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Customer Relationship Expansion</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believe many of our customers are still in the early stages of building a relationship with a financial services provider. From January 1, 2015 to March 31, 2021, over half of the customers funding accounts on our platform told us that Robinhood was their first brokerage account. As we work to enable Robinhood customers to manage all aspects of their financial lives in one place, we have seen customers deepen their relationship with our platform. We monitor this expansion by tracking the Cumulative Net Deposits and total revenue earned through existing customers’ activity over time.</w:t>
      </w:r>
    </w:p>
    <w:p>
      <w:pPr>
        <w:spacing w:after="0" w:line="139" w:lineRule="exact"/>
        <w:rPr>
          <w:sz w:val="20"/>
          <w:szCs w:val="20"/>
          <w:color w:val="auto"/>
        </w:rPr>
      </w:pPr>
    </w:p>
    <w:p>
      <w:pPr>
        <w:jc w:val="both"/>
        <w:ind w:left="560" w:hanging="278"/>
        <w:spacing w:after="0" w:line="258" w:lineRule="auto"/>
        <w:tabs>
          <w:tab w:leader="none" w:pos="556"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Cumulative Net Deposits. </w:t>
      </w:r>
      <w:r>
        <w:rPr>
          <w:rFonts w:ascii="Arial" w:cs="Arial" w:eastAsia="Arial" w:hAnsi="Arial"/>
          <w:sz w:val="16"/>
          <w:szCs w:val="16"/>
          <w:color w:val="auto"/>
        </w:rPr>
        <w:t>We track the average balance of Cumulative Net Deposits for existing customers in any given quarter over time. We believe</w:t>
      </w:r>
      <w:r>
        <w:rPr>
          <w:rFonts w:ascii="Arial" w:cs="Arial" w:eastAsia="Arial" w:hAnsi="Arial"/>
          <w:sz w:val="16"/>
          <w:szCs w:val="16"/>
          <w:b w:val="1"/>
          <w:bCs w:val="1"/>
          <w:color w:val="auto"/>
        </w:rPr>
        <w:t xml:space="preserve"> </w:t>
      </w:r>
      <w:r>
        <w:rPr>
          <w:rFonts w:ascii="Arial" w:cs="Arial" w:eastAsia="Arial" w:hAnsi="Arial"/>
          <w:sz w:val="16"/>
          <w:szCs w:val="16"/>
          <w:color w:val="auto"/>
        </w:rPr>
        <w:t>Cumulative Net Deposits is an important indicator of our customers’ trust and relationship with our platform. From January 1, 2017 through December 31, 2020, average Cumulative Net Deposits across our monthly cohorts increased by an average of 3.3x after 12 months of initial deposit and by an average of 4.1x after 24 months of initial deposit. See “—Key Performance Metrics” below for definitions of “Cumulative Net Deposits” and “cohort.” The chart below shows the trajectory and growth of Cumulative Net Deposits by annual cohort.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260"/>
          </w:cols>
          <w:pgMar w:left="320" w:top="1440" w:right="31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i w:val="1"/>
          <w:iCs w:val="1"/>
          <w:color w:val="auto"/>
        </w:rPr>
        <w:t>Cumulative Net Deposits by Annual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121285</wp:posOffset>
            </wp:positionV>
            <wp:extent cx="4735195" cy="26631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35195" cy="266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560" w:hanging="278"/>
        <w:spacing w:after="0" w:line="238" w:lineRule="auto"/>
        <w:tabs>
          <w:tab w:leader="none" w:pos="556"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Revenue by cohort is an important indicator of customer usage of our platform. We categorize our customers on a cohort basis based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month, quarter or year they first funded their accounts. We track the annual revenue from those cohorts over subsequent one-year periods. On average, revenues per user increased nearly three-fold in the first 24 months for both our 2017 and 2018 annual cohorts. While not all forms of customer engagement with our platform directly contribute to revenues or otherwise impact our financial results, as more users join our platform (increasing our Net Cumulative Funded Accounts) and engage with new and existing products (contributing to our DAU and MAU), we expect to generate increased amounts of revenue over time. The chart below illustrates our revenue by annual cohort, reflecting our customers’ increasing activity on our platform. For information about other metrics we use to evaluate customer engagement, see “Business—What Sets Us Apart—Financial Services at Internet Scale.” For more information about “Net Cumulative Funded Accounts,” “DAU” and “MAU,” see “—Overview” above and “—Key Performance Metrics”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260"/>
          </w:cols>
          <w:pgMar w:left="320" w:top="1425" w:right="319" w:bottom="1440" w:gutter="0" w:footer="0" w:header="0"/>
        </w:sectPr>
      </w:pPr>
    </w:p>
    <w:bookmarkStart w:id="155" w:name="page156"/>
    <w:bookmarkEnd w:id="155"/>
    <w:p>
      <w:pPr>
        <w:ind w:left="4"/>
        <w:spacing w:after="0"/>
        <w:rPr>
          <w:sz w:val="20"/>
          <w:szCs w:val="20"/>
          <w:color w:val="auto"/>
        </w:rPr>
      </w:pPr>
      <w:r>
        <w:rPr>
          <w:rFonts w:ascii="Arial" w:cs="Arial" w:eastAsia="Arial" w:hAnsi="Arial"/>
          <w:sz w:val="16"/>
          <w:szCs w:val="16"/>
          <w:i w:val="1"/>
          <w:iCs w:val="1"/>
          <w:color w:val="auto"/>
        </w:rPr>
        <w:t>Annual Revenue by Annual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121285</wp:posOffset>
            </wp:positionV>
            <wp:extent cx="4735195" cy="26631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35195" cy="266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
        <w:spacing w:after="0"/>
        <w:rPr>
          <w:sz w:val="20"/>
          <w:szCs w:val="20"/>
          <w:color w:val="auto"/>
        </w:rPr>
      </w:pPr>
      <w:r>
        <w:rPr>
          <w:rFonts w:ascii="Arial" w:cs="Arial" w:eastAsia="Arial" w:hAnsi="Arial"/>
          <w:sz w:val="22"/>
          <w:szCs w:val="22"/>
          <w:color w:val="auto"/>
        </w:rPr>
        <w:t>Key Performance Metrics</w:t>
      </w:r>
    </w:p>
    <w:p>
      <w:pPr>
        <w:spacing w:after="0" w:line="163" w:lineRule="exact"/>
        <w:rPr>
          <w:sz w:val="20"/>
          <w:szCs w:val="20"/>
          <w:color w:val="auto"/>
        </w:rPr>
      </w:pPr>
    </w:p>
    <w:p>
      <w:pPr>
        <w:ind w:left="4" w:right="20" w:firstLine="287"/>
        <w:spacing w:after="0" w:line="260" w:lineRule="auto"/>
        <w:rPr>
          <w:sz w:val="20"/>
          <w:szCs w:val="20"/>
          <w:color w:val="auto"/>
        </w:rPr>
      </w:pPr>
      <w:r>
        <w:rPr>
          <w:rFonts w:ascii="Arial" w:cs="Arial" w:eastAsia="Arial" w:hAnsi="Arial"/>
          <w:sz w:val="16"/>
          <w:szCs w:val="16"/>
          <w:color w:val="auto"/>
        </w:rPr>
        <w:t>In addition to the measures presented in our consolidated financial statements, we use the following key business metrics to help us evaluate our business, identify trends affecting our business, formulate business plans and make strategic decisions:</w:t>
      </w:r>
    </w:p>
    <w:p>
      <w:pPr>
        <w:spacing w:after="0" w:line="164"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2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Year or Month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184"/>
              <w:spacing w:after="0"/>
              <w:rPr>
                <w:sz w:val="20"/>
                <w:szCs w:val="20"/>
                <w:color w:val="auto"/>
              </w:rPr>
            </w:pPr>
            <w:r>
              <w:rPr>
                <w:rFonts w:ascii="Arial" w:cs="Arial" w:eastAsia="Arial" w:hAnsi="Arial"/>
                <w:sz w:val="13"/>
                <w:szCs w:val="13"/>
                <w:b w:val="1"/>
                <w:bCs w:val="1"/>
                <w:color w:val="auto"/>
              </w:rPr>
              <w:t>Three Months or Month Ended March 31,</w:t>
            </w:r>
          </w:p>
        </w:tc>
        <w:tc>
          <w:tcPr>
            <w:tcW w:w="0" w:type="dxa"/>
            <w:vAlign w:val="bottom"/>
          </w:tcPr>
          <w:p>
            <w:pPr>
              <w:spacing w:after="0"/>
              <w:rPr>
                <w:sz w:val="1"/>
                <w:szCs w:val="1"/>
                <w:color w:val="auto"/>
              </w:rPr>
            </w:pPr>
          </w:p>
        </w:tc>
      </w:tr>
      <w:tr>
        <w:trPr>
          <w:trHeight w:val="159"/>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for ARPU)</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47"/>
        </w:trPr>
        <w:tc>
          <w:tcPr>
            <w:tcW w:w="2180" w:type="dxa"/>
            <w:vAlign w:val="bottom"/>
            <w:shd w:val="clear" w:color="auto" w:fill="CCEEFF"/>
          </w:tcPr>
          <w:p>
            <w:pPr>
              <w:ind w:left="20"/>
              <w:spacing w:after="0" w:line="147" w:lineRule="exact"/>
              <w:rPr>
                <w:sz w:val="20"/>
                <w:szCs w:val="20"/>
                <w:color w:val="auto"/>
              </w:rPr>
            </w:pPr>
            <w:r>
              <w:rPr>
                <w:rFonts w:ascii="Arial" w:cs="Arial" w:eastAsia="Arial" w:hAnsi="Arial"/>
                <w:sz w:val="16"/>
                <w:szCs w:val="16"/>
                <w:color w:val="auto"/>
              </w:rPr>
              <w:t>Net Cumulative Funded</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shd w:val="clear" w:color="auto" w:fill="CCEEFF"/>
          </w:tcPr>
          <w:p>
            <w:pPr>
              <w:ind w:left="20"/>
              <w:spacing w:after="0" w:line="192" w:lineRule="exact"/>
              <w:rPr>
                <w:sz w:val="20"/>
                <w:szCs w:val="20"/>
                <w:color w:val="auto"/>
              </w:rPr>
            </w:pPr>
            <w:r>
              <w:rPr>
                <w:rFonts w:ascii="Arial" w:cs="Arial" w:eastAsia="Arial" w:hAnsi="Arial"/>
                <w:sz w:val="16"/>
                <w:szCs w:val="16"/>
                <w:color w:val="auto"/>
              </w:rPr>
              <w:t>Accounts</w:t>
            </w:r>
            <w:r>
              <w:rPr>
                <w:rFonts w:ascii="Arial" w:cs="Arial" w:eastAsia="Arial" w:hAnsi="Arial"/>
                <w:sz w:val="20"/>
                <w:szCs w:val="20"/>
                <w:color w:val="auto"/>
                <w:vertAlign w:val="superscript"/>
              </w:rPr>
              <w:t>(1)</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3"/>
        </w:trPr>
        <w:tc>
          <w:tcPr>
            <w:tcW w:w="2180" w:type="dxa"/>
            <w:vAlign w:val="bottom"/>
          </w:tcPr>
          <w:p>
            <w:pPr>
              <w:ind w:left="20"/>
              <w:spacing w:after="0" w:line="204" w:lineRule="exact"/>
              <w:rPr>
                <w:sz w:val="20"/>
                <w:szCs w:val="20"/>
                <w:color w:val="auto"/>
              </w:rPr>
            </w:pPr>
            <w:r>
              <w:rPr>
                <w:rFonts w:ascii="Arial" w:cs="Arial" w:eastAsia="Arial" w:hAnsi="Arial"/>
                <w:sz w:val="16"/>
                <w:szCs w:val="16"/>
                <w:color w:val="auto"/>
                <w:w w:val="98"/>
              </w:rPr>
              <w:t>Monthly Active Users (MAU)</w:t>
            </w:r>
            <w:r>
              <w:rPr>
                <w:rFonts w:ascii="Arial" w:cs="Arial" w:eastAsia="Arial" w:hAnsi="Arial"/>
                <w:sz w:val="20"/>
                <w:szCs w:val="20"/>
                <w:color w:val="auto"/>
                <w:w w:val="98"/>
                <w:vertAlign w:val="superscript"/>
              </w:rPr>
              <w:t>(2)</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55"/>
        </w:trPr>
        <w:tc>
          <w:tcPr>
            <w:tcW w:w="218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Assets Under Custody (AUC)</w:t>
            </w:r>
          </w:p>
        </w:tc>
        <w:tc>
          <w:tcPr>
            <w:tcW w:w="3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4,505.7</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8,359.5</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14,135.6</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62,978.5</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19,220.1</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80,932.4</w:t>
            </w:r>
          </w:p>
        </w:tc>
        <w:tc>
          <w:tcPr>
            <w:tcW w:w="0" w:type="dxa"/>
            <w:vAlign w:val="bottom"/>
          </w:tcPr>
          <w:p>
            <w:pPr>
              <w:spacing w:after="0"/>
              <w:rPr>
                <w:sz w:val="1"/>
                <w:szCs w:val="1"/>
                <w:color w:val="auto"/>
              </w:rPr>
            </w:pPr>
          </w:p>
        </w:tc>
      </w:tr>
      <w:tr>
        <w:trPr>
          <w:trHeight w:val="143"/>
        </w:trPr>
        <w:tc>
          <w:tcPr>
            <w:tcW w:w="2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(3)</w:t>
            </w:r>
          </w:p>
        </w:tc>
        <w:tc>
          <w:tcPr>
            <w:tcW w:w="34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20"/>
              <w:spacing w:after="0" w:line="167" w:lineRule="exact"/>
              <w:rPr>
                <w:sz w:val="20"/>
                <w:szCs w:val="20"/>
                <w:color w:val="auto"/>
              </w:rPr>
            </w:pPr>
            <w:r>
              <w:rPr>
                <w:rFonts w:ascii="Arial" w:cs="Arial" w:eastAsia="Arial" w:hAnsi="Arial"/>
                <w:sz w:val="16"/>
                <w:szCs w:val="16"/>
                <w:color w:val="auto"/>
              </w:rPr>
              <w:t>Average Revenues Per User</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20"/>
              <w:spacing w:after="0" w:line="196" w:lineRule="exact"/>
              <w:rPr>
                <w:sz w:val="20"/>
                <w:szCs w:val="20"/>
                <w:color w:val="auto"/>
              </w:rPr>
            </w:pPr>
            <w:r>
              <w:rPr>
                <w:rFonts w:ascii="Arial" w:cs="Arial" w:eastAsia="Arial" w:hAnsi="Arial"/>
                <w:sz w:val="16"/>
                <w:szCs w:val="16"/>
                <w:color w:val="auto"/>
              </w:rPr>
              <w:t>(ARPU)</w:t>
            </w:r>
            <w:r>
              <w:rPr>
                <w:rFonts w:ascii="Arial" w:cs="Arial" w:eastAsia="Arial" w:hAnsi="Arial"/>
                <w:sz w:val="20"/>
                <w:szCs w:val="20"/>
                <w:color w:val="auto"/>
                <w:vertAlign w:val="superscript"/>
              </w:rPr>
              <w:t>(4)</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7"/>
                <w:szCs w:val="17"/>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
              <w:spacing w:after="0"/>
              <w:rPr>
                <w:sz w:val="20"/>
                <w:szCs w:val="20"/>
                <w:color w:val="auto"/>
              </w:rPr>
            </w:pPr>
            <w:r>
              <w:rPr>
                <w:rFonts w:ascii="Arial" w:cs="Arial" w:eastAsia="Arial" w:hAnsi="Arial"/>
                <w:sz w:val="16"/>
                <w:szCs w:val="16"/>
                <w:color w:val="auto"/>
              </w:rPr>
              <w:t>66.5</w:t>
            </w:r>
          </w:p>
        </w:tc>
        <w:tc>
          <w:tcPr>
            <w:tcW w:w="80" w:type="dxa"/>
            <w:vAlign w:val="bottom"/>
          </w:tcPr>
          <w:p>
            <w:pPr>
              <w:spacing w:after="0"/>
              <w:rPr>
                <w:sz w:val="17"/>
                <w:szCs w:val="17"/>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108.9</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bl>
    <w:p>
      <w:pPr>
        <w:ind w:left="4"/>
        <w:spacing w:after="0" w:line="230" w:lineRule="auto"/>
        <w:rPr>
          <w:sz w:val="20"/>
          <w:szCs w:val="20"/>
          <w:color w:val="auto"/>
        </w:rPr>
      </w:pPr>
      <w:r>
        <w:rPr>
          <w:rFonts w:ascii="Arial" w:cs="Arial" w:eastAsia="Arial" w:hAnsi="Arial"/>
          <w:sz w:val="13"/>
          <w:szCs w:val="13"/>
          <w:color w:val="auto"/>
        </w:rPr>
        <w:t>________________</w:t>
      </w:r>
    </w:p>
    <w:p>
      <w:pPr>
        <w:jc w:val="both"/>
        <w:ind w:left="284" w:hanging="284"/>
        <w:spacing w:after="0" w:line="232" w:lineRule="auto"/>
        <w:tabs>
          <w:tab w:leader="none" w:pos="273" w:val="left"/>
        </w:tabs>
        <w:numPr>
          <w:ilvl w:val="0"/>
          <w:numId w:val="66"/>
        </w:numPr>
        <w:rPr>
          <w:rFonts w:ascii="Arial" w:cs="Arial" w:eastAsia="Arial" w:hAnsi="Arial"/>
          <w:sz w:val="13"/>
          <w:szCs w:val="13"/>
          <w:color w:val="auto"/>
        </w:rPr>
      </w:pPr>
      <w:r>
        <w:rPr>
          <w:rFonts w:ascii="Arial" w:cs="Arial" w:eastAsia="Arial" w:hAnsi="Arial"/>
          <w:sz w:val="13"/>
          <w:szCs w:val="13"/>
          <w:color w:val="auto"/>
        </w:rPr>
        <w:t>Net Cumulative Funded Accounts. We define Net Cumulative Funded Accounts as the total of Net Funded Accounts from inception to a stated date or period end. “Net Funded Accounts” is the total number of Funded Accounts for a stated period, excluding “churned users” and including “resurrected users” as of the end of that period. A “Funded Account” is a Robinhood account into which the account user makes an initial deposit or money transfer, of any amount, during the relevant period, which account is designed to provide a customer with access to any and all of the products offered on our platform. Users are considered “churned” if their accounts were previously Funded Accounts and their account balance (which is measured as the fair value of assets in the user’s account less the amount due from the user) drops to or below zero dollars (which negative balances typically result from Fraudulent Deposit Transactions and, less often, from margin loans) for 45 consecutive calendar days. Users are considered “resurrected” if they were considered churned users during and as of the end of the immediately preceding period, and had their account balance increase above zero (and are not considered churned users) in the current period. For more information about Fraudulent Deposit Transactions, see “—Key Components of our Results of Operations—Operating Expenses—Operations” below.</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64"/>
          </w:cols>
          <w:pgMar w:left="316" w:top="1425" w:right="319" w:bottom="1440" w:gutter="0" w:footer="0" w:header="0"/>
        </w:sectPr>
      </w:pPr>
    </w:p>
    <w:bookmarkStart w:id="156" w:name="page157"/>
    <w:bookmarkEnd w:id="156"/>
    <w:p>
      <w:pPr>
        <w:spacing w:after="0" w:line="6" w:lineRule="exact"/>
        <w:rPr>
          <w:sz w:val="20"/>
          <w:szCs w:val="20"/>
          <w:color w:val="auto"/>
        </w:rPr>
      </w:pPr>
    </w:p>
    <w:p>
      <w:pPr>
        <w:jc w:val="both"/>
        <w:ind w:left="284" w:right="20" w:hanging="284"/>
        <w:spacing w:after="0" w:line="249" w:lineRule="auto"/>
        <w:tabs>
          <w:tab w:leader="none" w:pos="273" w:val="left"/>
        </w:tabs>
        <w:numPr>
          <w:ilvl w:val="0"/>
          <w:numId w:val="67"/>
        </w:numPr>
        <w:rPr>
          <w:rFonts w:ascii="Arial" w:cs="Arial" w:eastAsia="Arial" w:hAnsi="Arial"/>
          <w:sz w:val="12"/>
          <w:szCs w:val="12"/>
          <w:color w:val="auto"/>
        </w:rPr>
      </w:pPr>
      <w:r>
        <w:rPr>
          <w:rFonts w:ascii="Arial" w:cs="Arial" w:eastAsia="Arial" w:hAnsi="Arial"/>
          <w:sz w:val="12"/>
          <w:szCs w:val="12"/>
          <w:color w:val="auto"/>
        </w:rPr>
        <w:t>Monthly Active Users (“MAU”). We define MAU as the number of Monthly Active Users during a specified calendar month. A “Monthly Active User” is a unique user who makes a debit card transaction, transitions between two different screens on a mobile device while logged into their account or who loads a page in a web browser, at any point during the relevant month. A user need not satisfy these conditions on a monthly or recurring basis or have a Funded Account to be included in MAU. Figures in the table reflect MAU for the last month of each period presented. We utilize MAU to measure how many customers interact with our products and services during a given month. MAU does not measure the frequency or duration of the interaction, but we consider it a useful indicator for engagement. Additionally, MAUs are positively correlated with, but are not indicative of the performance of revenue and other key performance indicators.</w:t>
      </w:r>
    </w:p>
    <w:p>
      <w:pPr>
        <w:spacing w:after="0" w:line="1" w:lineRule="exact"/>
        <w:rPr>
          <w:rFonts w:ascii="Arial" w:cs="Arial" w:eastAsia="Arial" w:hAnsi="Arial"/>
          <w:sz w:val="12"/>
          <w:szCs w:val="12"/>
          <w:color w:val="auto"/>
        </w:rPr>
      </w:pPr>
    </w:p>
    <w:p>
      <w:pPr>
        <w:ind w:left="284" w:hanging="284"/>
        <w:spacing w:after="0" w:line="238" w:lineRule="auto"/>
        <w:tabs>
          <w:tab w:leader="none" w:pos="273" w:val="left"/>
        </w:tabs>
        <w:numPr>
          <w:ilvl w:val="0"/>
          <w:numId w:val="67"/>
        </w:numPr>
        <w:rPr>
          <w:rFonts w:ascii="Arial" w:cs="Arial" w:eastAsia="Arial" w:hAnsi="Arial"/>
          <w:sz w:val="13"/>
          <w:szCs w:val="13"/>
          <w:color w:val="auto"/>
        </w:rPr>
      </w:pPr>
      <w:r>
        <w:rPr>
          <w:rFonts w:ascii="Arial" w:cs="Arial" w:eastAsia="Arial" w:hAnsi="Arial"/>
          <w:sz w:val="13"/>
          <w:szCs w:val="13"/>
          <w:color w:val="auto"/>
        </w:rPr>
        <w:t>Assets Under Custody (“AUC”). We define AUC as the sum of the fair value of all equities, options, cryptocurrency and cash held by users in their accounts, net of customer margin balances, as of a stated date or period end on a trade date basis. The following table sets out the components of AUC by type of asset:</w:t>
      </w:r>
    </w:p>
    <w:p>
      <w:pPr>
        <w:spacing w:after="0" w:line="22" w:lineRule="exact"/>
        <w:rPr>
          <w:sz w:val="20"/>
          <w:szCs w:val="20"/>
          <w:color w:val="auto"/>
        </w:rPr>
      </w:pPr>
    </w:p>
    <w:tbl>
      <w:tblPr>
        <w:tblLayout w:type="fixed"/>
        <w:tblInd w:w="284"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3"/>
                <w:szCs w:val="13"/>
                <w:b w:val="1"/>
                <w:bCs w:val="1"/>
                <w:color w:val="auto"/>
                <w:w w:val="97"/>
              </w:rPr>
              <w:t>Three Months or Month Ended March 31,</w:t>
            </w:r>
          </w:p>
        </w:tc>
      </w:tr>
      <w:tr>
        <w:trPr>
          <w:trHeight w:val="183"/>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r>
      <w:tr>
        <w:trPr>
          <w:trHeight w:val="188"/>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Equities</w:t>
            </w: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52,983.1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13,541.9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65,076.7</w:t>
            </w:r>
          </w:p>
        </w:tc>
      </w:tr>
      <w:tr>
        <w:trPr>
          <w:trHeight w:val="186"/>
        </w:trPr>
        <w:tc>
          <w:tcPr>
            <w:tcW w:w="5160" w:type="dxa"/>
            <w:vAlign w:val="bottom"/>
            <w:gridSpan w:val="2"/>
          </w:tcPr>
          <w:p>
            <w:pPr>
              <w:ind w:left="20"/>
              <w:spacing w:after="0"/>
              <w:rPr>
                <w:sz w:val="20"/>
                <w:szCs w:val="20"/>
                <w:color w:val="auto"/>
              </w:rPr>
            </w:pPr>
            <w:r>
              <w:rPr>
                <w:rFonts w:ascii="Arial" w:cs="Arial" w:eastAsia="Arial" w:hAnsi="Arial"/>
                <w:sz w:val="13"/>
                <w:szCs w:val="13"/>
                <w:color w:val="auto"/>
              </w:rPr>
              <w:t>Options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2,117.0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583.3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2,041.4</w:t>
            </w:r>
          </w:p>
        </w:tc>
      </w:tr>
      <w:tr>
        <w:trPr>
          <w:trHeight w:val="19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Cryptocurrencies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3,527.0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11,597.4</w:t>
            </w:r>
          </w:p>
        </w:tc>
      </w:tr>
      <w:tr>
        <w:trPr>
          <w:trHeight w:val="186"/>
        </w:trPr>
        <w:tc>
          <w:tcPr>
            <w:tcW w:w="5160" w:type="dxa"/>
            <w:vAlign w:val="bottom"/>
            <w:gridSpan w:val="2"/>
          </w:tcPr>
          <w:p>
            <w:pPr>
              <w:ind w:left="20"/>
              <w:spacing w:after="0"/>
              <w:rPr>
                <w:sz w:val="20"/>
                <w:szCs w:val="20"/>
                <w:color w:val="auto"/>
              </w:rPr>
            </w:pPr>
            <w:r>
              <w:rPr>
                <w:rFonts w:ascii="Arial" w:cs="Arial" w:eastAsia="Arial" w:hAnsi="Arial"/>
                <w:sz w:val="13"/>
                <w:szCs w:val="13"/>
                <w:color w:val="auto"/>
              </w:rPr>
              <w:t>Cash held by users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2,413.8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7,947.3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5,368.9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7,646.3</w:t>
            </w:r>
          </w:p>
        </w:tc>
      </w:tr>
      <w:tr>
        <w:trPr>
          <w:trHeight w:val="191"/>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Less: customer margin balances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(659.3)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(3,595.9)</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(754.7)</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(5,429.4)</w:t>
            </w:r>
          </w:p>
        </w:tc>
      </w:tr>
      <w:tr>
        <w:trPr>
          <w:trHeight w:val="188"/>
        </w:trPr>
        <w:tc>
          <w:tcPr>
            <w:tcW w:w="5160" w:type="dxa"/>
            <w:vAlign w:val="bottom"/>
            <w:gridSpan w:val="2"/>
          </w:tcPr>
          <w:p>
            <w:pPr>
              <w:ind w:left="20"/>
              <w:spacing w:after="0"/>
              <w:rPr>
                <w:sz w:val="20"/>
                <w:szCs w:val="20"/>
                <w:color w:val="auto"/>
              </w:rPr>
            </w:pPr>
            <w:r>
              <w:rPr>
                <w:rFonts w:ascii="Arial" w:cs="Arial" w:eastAsia="Arial" w:hAnsi="Arial"/>
                <w:sz w:val="13"/>
                <w:szCs w:val="13"/>
                <w:color w:val="auto"/>
              </w:rPr>
              <w:t>Assets Under Custody (AUC)</w:t>
            </w: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14,135.6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62,978.5</w:t>
            </w:r>
          </w:p>
        </w:tc>
        <w:tc>
          <w:tcPr>
            <w:tcW w:w="1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19,220.1</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80,932.4</w:t>
            </w: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left="284" w:right="20" w:hanging="284"/>
        <w:spacing w:after="0" w:line="234" w:lineRule="auto"/>
        <w:tabs>
          <w:tab w:leader="none" w:pos="273" w:val="left"/>
        </w:tabs>
        <w:numPr>
          <w:ilvl w:val="0"/>
          <w:numId w:val="68"/>
        </w:numPr>
        <w:rPr>
          <w:rFonts w:ascii="Arial" w:cs="Arial" w:eastAsia="Arial" w:hAnsi="Arial"/>
          <w:sz w:val="13"/>
          <w:szCs w:val="13"/>
          <w:color w:val="auto"/>
        </w:rPr>
      </w:pPr>
      <w:r>
        <w:rPr>
          <w:rFonts w:ascii="Arial" w:cs="Arial" w:eastAsia="Arial" w:hAnsi="Arial"/>
          <w:sz w:val="13"/>
          <w:szCs w:val="13"/>
          <w:color w:val="auto"/>
        </w:rPr>
        <w:t>Average Revenues Per User (“ARPU”): We define ARPU as total revenue for a given period (or, in the case of ARPU for a given cohort, total revenue generated by that cohort during a given year or period) divided by the average of Net Cumulative Funded Accounts (or, in the case of ARPU for a given cohort, the Net Cumulative Funded Accounts included in that cohort) as of the last day of that period and as of the last day of the immediately preceding period. In the case of ARPU for a three-month period, this figure is multiplied by four to annualize the figure for comparability. Figures in the table represent ARPU for each year or annualized three-month period presented.</w:t>
      </w:r>
    </w:p>
    <w:p>
      <w:pPr>
        <w:spacing w:after="0" w:line="124" w:lineRule="exact"/>
        <w:rPr>
          <w:rFonts w:ascii="Arial" w:cs="Arial" w:eastAsia="Arial" w:hAnsi="Arial"/>
          <w:sz w:val="13"/>
          <w:szCs w:val="13"/>
          <w:color w:val="auto"/>
        </w:rPr>
      </w:pPr>
    </w:p>
    <w:p>
      <w:pPr>
        <w:jc w:val="both"/>
        <w:ind w:left="564" w:right="20" w:hanging="278"/>
        <w:spacing w:after="0" w:line="265" w:lineRule="auto"/>
        <w:tabs>
          <w:tab w:leader="none" w:pos="560"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Cohort: </w:t>
      </w:r>
      <w:r>
        <w:rPr>
          <w:rFonts w:ascii="Arial" w:cs="Arial" w:eastAsia="Arial" w:hAnsi="Arial"/>
          <w:sz w:val="16"/>
          <w:szCs w:val="16"/>
          <w:color w:val="auto"/>
        </w:rPr>
        <w:t>We define “cohort” as a group of customers who funded their accounts for the first time on our platform during a specified calendar month,</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or year. Cohort metrics vary depending on activity on our platform and may fluctuate periodically based on levels of customer usage. Accordingly, performance of past cohorts should not be relied on as a prediction of future performance of other cohorts.</w:t>
      </w:r>
    </w:p>
    <w:p>
      <w:pPr>
        <w:spacing w:after="0" w:line="119" w:lineRule="exact"/>
        <w:rPr>
          <w:rFonts w:ascii="Arial" w:cs="Arial" w:eastAsia="Arial" w:hAnsi="Arial"/>
          <w:sz w:val="16"/>
          <w:szCs w:val="16"/>
          <w:color w:val="auto"/>
        </w:rPr>
      </w:pPr>
    </w:p>
    <w:p>
      <w:pPr>
        <w:jc w:val="both"/>
        <w:ind w:left="564" w:hanging="278"/>
        <w:spacing w:after="0" w:line="257" w:lineRule="auto"/>
        <w:tabs>
          <w:tab w:leader="none" w:pos="560"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Cumulative Net Deposits: </w:t>
      </w:r>
      <w:r>
        <w:rPr>
          <w:rFonts w:ascii="Arial" w:cs="Arial" w:eastAsia="Arial" w:hAnsi="Arial"/>
          <w:sz w:val="16"/>
          <w:szCs w:val="16"/>
          <w:color w:val="auto"/>
        </w:rPr>
        <w:t>We define “Cumulative Net Deposits” as the total of Net Deposits from inception to a stated date or period end. We define</w:t>
      </w:r>
      <w:r>
        <w:rPr>
          <w:rFonts w:ascii="Arial" w:cs="Arial" w:eastAsia="Arial" w:hAnsi="Arial"/>
          <w:sz w:val="16"/>
          <w:szCs w:val="16"/>
          <w:i w:val="1"/>
          <w:iCs w:val="1"/>
          <w:color w:val="auto"/>
        </w:rPr>
        <w:t xml:space="preserve"> </w:t>
      </w:r>
      <w:r>
        <w:rPr>
          <w:rFonts w:ascii="Arial" w:cs="Arial" w:eastAsia="Arial" w:hAnsi="Arial"/>
          <w:sz w:val="16"/>
          <w:szCs w:val="16"/>
          <w:color w:val="auto"/>
        </w:rPr>
        <w:t>“Net Deposits” as all cash deposits received from customers net of reversals, customer cash withdrawals and other equity and cash amounts transferred out of our platform (including in connection with debit card transactions and account transfers out of our platform through the Automated Customer Account Transfer Service (“ACATS”)) for a stated period. Cumulative Net Deposits includes, for periods prior to the adoption of our self-clearing platform in November 2018, account transfers into our platform made through ACATS.</w:t>
      </w:r>
    </w:p>
    <w:p>
      <w:pPr>
        <w:spacing w:after="0" w:line="138" w:lineRule="exact"/>
        <w:rPr>
          <w:rFonts w:ascii="Arial" w:cs="Arial" w:eastAsia="Arial" w:hAnsi="Arial"/>
          <w:sz w:val="16"/>
          <w:szCs w:val="16"/>
          <w:color w:val="auto"/>
        </w:rPr>
      </w:pPr>
    </w:p>
    <w:p>
      <w:pPr>
        <w:jc w:val="both"/>
        <w:ind w:left="564" w:hanging="278"/>
        <w:spacing w:after="0" w:line="254" w:lineRule="auto"/>
        <w:tabs>
          <w:tab w:leader="none" w:pos="560"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Revenue Payback Period</w:t>
      </w:r>
      <w:r>
        <w:rPr>
          <w:rFonts w:ascii="Arial" w:cs="Arial" w:eastAsia="Arial" w:hAnsi="Arial"/>
          <w:sz w:val="16"/>
          <w:szCs w:val="16"/>
          <w:color w:val="auto"/>
        </w:rPr>
        <w:t>: With respect to a given monthly cohort, we define “revenue payback period” as the number of months it takes for total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generated by that monthly cohort to equal or exceed the marketing expense incurred in the month the cohort was formed. For purposes of this calculation, marketing expense excludes indirect customer acquisition costs, as they are not directly related to efforts to acquire new customers. Indirect customer acquisition costs consists of expenses directly attributable to customer goodwill, gain/loss on stock referral inventory and compensation and benefits, including stock-based compensation for employees on our marketing team as well as allocated overhead attributed to the marketing team. In this prospectus, we also present “average revenue payback period” for a stated period, which represents the average of the revenue payback periods for all monthly cohorts within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64"/>
          </w:cols>
          <w:pgMar w:left="316" w:top="1440" w:right="319" w:bottom="1440" w:gutter="0" w:footer="0" w:header="0"/>
        </w:sectPr>
      </w:pPr>
    </w:p>
    <w:bookmarkStart w:id="157" w:name="page158"/>
    <w:bookmarkEnd w:id="157"/>
    <w:p>
      <w:pPr>
        <w:spacing w:after="0" w:line="4" w:lineRule="exact"/>
        <w:rPr>
          <w:sz w:val="20"/>
          <w:szCs w:val="20"/>
          <w:color w:val="auto"/>
        </w:rPr>
      </w:pPr>
    </w:p>
    <w:p>
      <w:pPr>
        <w:ind w:left="4"/>
        <w:spacing w:after="0"/>
        <w:rPr>
          <w:sz w:val="20"/>
          <w:szCs w:val="20"/>
          <w:color w:val="auto"/>
        </w:rPr>
      </w:pPr>
      <w:r>
        <w:rPr>
          <w:rFonts w:ascii="Arial" w:cs="Arial" w:eastAsia="Arial" w:hAnsi="Arial"/>
          <w:sz w:val="22"/>
          <w:szCs w:val="22"/>
          <w:color w:val="auto"/>
        </w:rPr>
        <w:t>Non-GAAP Financial Measures</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Adjusted EBITDA</w:t>
      </w:r>
    </w:p>
    <w:p>
      <w:pPr>
        <w:spacing w:after="0" w:line="179" w:lineRule="exact"/>
        <w:rPr>
          <w:sz w:val="20"/>
          <w:szCs w:val="20"/>
          <w:color w:val="auto"/>
        </w:rPr>
      </w:pPr>
    </w:p>
    <w:p>
      <w:pPr>
        <w:jc w:val="both"/>
        <w:ind w:left="4" w:firstLine="287"/>
        <w:spacing w:after="0" w:line="252" w:lineRule="auto"/>
        <w:rPr>
          <w:sz w:val="20"/>
          <w:szCs w:val="20"/>
          <w:color w:val="auto"/>
        </w:rPr>
      </w:pPr>
      <w:r>
        <w:rPr>
          <w:rFonts w:ascii="Arial" w:cs="Arial" w:eastAsia="Arial" w:hAnsi="Arial"/>
          <w:sz w:val="16"/>
          <w:szCs w:val="16"/>
          <w:color w:val="auto"/>
        </w:rPr>
        <w:t>We collect and analyze operating and financial data to evaluate the health of our business, allocate our resources and assess our performance. In addition to total net revenue, net income (loss) and other results under GAAP, we utilize non-GAAP calculations of adjusted earnings before interest, taxes, depreciation and amortization (“Adjusted EBITDA”). Adjusted EBITDA is defined as net income (loss), excluding (i) provision for (benefit from) income taxes, (ii) interest expense on credit facilities, (iii) depreciation and amortization, (iv) share-based compensation expenses, (v) change in fair value of convertible notes and warrant liability and (vi) certain legal and tax settlements, reserves and expenses.</w:t>
      </w:r>
    </w:p>
    <w:p>
      <w:pPr>
        <w:spacing w:after="0" w:line="145" w:lineRule="exact"/>
        <w:rPr>
          <w:sz w:val="20"/>
          <w:szCs w:val="20"/>
          <w:color w:val="auto"/>
        </w:rPr>
      </w:pPr>
    </w:p>
    <w:p>
      <w:pPr>
        <w:jc w:val="both"/>
        <w:ind w:left="4" w:firstLine="287"/>
        <w:spacing w:after="0" w:line="250" w:lineRule="auto"/>
        <w:rPr>
          <w:sz w:val="20"/>
          <w:szCs w:val="20"/>
          <w:color w:val="auto"/>
        </w:rPr>
      </w:pPr>
      <w:r>
        <w:rPr>
          <w:rFonts w:ascii="Arial" w:cs="Arial" w:eastAsia="Arial" w:hAnsi="Arial"/>
          <w:sz w:val="16"/>
          <w:szCs w:val="16"/>
          <w:color w:val="auto"/>
        </w:rPr>
        <w:t>The above items are excluded from our Adjusted EBITDA measure because these items are non-cash in nature, or because the amount and timing of these items is unpredictable, is not driven by core results of operations and renders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prospectus because it is a key measurement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 The following table presents a reconciliation of net income (loss), the most directly comparable GAAP measure, to Adjusted EBITDA:</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5"/>
            <w:vMerge w:val="restart"/>
          </w:tcPr>
          <w:p>
            <w:pPr>
              <w:ind w:left="160"/>
              <w:spacing w:after="0"/>
              <w:rPr>
                <w:sz w:val="20"/>
                <w:szCs w:val="20"/>
                <w:color w:val="auto"/>
              </w:rPr>
            </w:pPr>
            <w:r>
              <w:rPr>
                <w:rFonts w:ascii="Arial" w:cs="Arial" w:eastAsia="Arial" w:hAnsi="Arial"/>
                <w:sz w:val="13"/>
                <w:szCs w:val="13"/>
                <w:b w:val="1"/>
                <w:bCs w:val="1"/>
                <w:color w:val="auto"/>
              </w:rPr>
              <w:t>Year Ended December 31,</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right"/>
              <w:ind w:right="536"/>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rPr>
              <w:t>March 31,</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9"/>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(57,460)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(106,569)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(52,502)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(1,444,803)</w:t>
            </w:r>
          </w:p>
        </w:tc>
        <w:tc>
          <w:tcPr>
            <w:tcW w:w="0" w:type="dxa"/>
            <w:vAlign w:val="bottom"/>
          </w:tcPr>
          <w:p>
            <w:pPr>
              <w:spacing w:after="0"/>
              <w:rPr>
                <w:sz w:val="1"/>
                <w:szCs w:val="1"/>
                <w:color w:val="auto"/>
              </w:rPr>
            </w:pPr>
          </w:p>
        </w:tc>
      </w:tr>
      <w:tr>
        <w:trPr>
          <w:trHeight w:val="167"/>
        </w:trPr>
        <w:tc>
          <w:tcPr>
            <w:tcW w:w="3860" w:type="dxa"/>
            <w:vAlign w:val="bottom"/>
          </w:tcPr>
          <w:p>
            <w:pPr>
              <w:ind w:left="20"/>
              <w:spacing w:after="0"/>
              <w:rPr>
                <w:sz w:val="20"/>
                <w:szCs w:val="20"/>
                <w:color w:val="auto"/>
              </w:rPr>
            </w:pPr>
            <w:r>
              <w:rPr>
                <w:rFonts w:ascii="Arial" w:cs="Arial" w:eastAsia="Arial" w:hAnsi="Arial"/>
                <w:sz w:val="13"/>
                <w:szCs w:val="13"/>
                <w:color w:val="auto"/>
              </w:rPr>
              <w:t>Add: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expenses related to credit facilities</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2,799</w:t>
            </w:r>
          </w:p>
        </w:tc>
        <w:tc>
          <w:tcPr>
            <w:tcW w:w="0" w:type="dxa"/>
            <w:vAlign w:val="bottom"/>
          </w:tcPr>
          <w:p>
            <w:pPr>
              <w:spacing w:after="0"/>
              <w:rPr>
                <w:sz w:val="1"/>
                <w:szCs w:val="1"/>
                <w:color w:val="auto"/>
              </w:rPr>
            </w:pPr>
          </w:p>
        </w:tc>
      </w:tr>
      <w:tr>
        <w:trPr>
          <w:trHeight w:val="167"/>
        </w:trPr>
        <w:tc>
          <w:tcPr>
            <w:tcW w:w="3860" w:type="dxa"/>
            <w:vAlign w:val="bottom"/>
          </w:tcPr>
          <w:p>
            <w:pPr>
              <w:ind w:left="20"/>
              <w:spacing w:after="0"/>
              <w:rPr>
                <w:sz w:val="20"/>
                <w:szCs w:val="20"/>
                <w:color w:val="auto"/>
              </w:rPr>
            </w:pPr>
            <w:r>
              <w:rPr>
                <w:rFonts w:ascii="Arial" w:cs="Arial" w:eastAsia="Arial" w:hAnsi="Arial"/>
                <w:sz w:val="13"/>
                <w:szCs w:val="13"/>
                <w:color w:val="auto"/>
              </w:rPr>
              <w:t>Provision for (benefit from) income taxes</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11,779</w:t>
            </w:r>
          </w:p>
        </w:tc>
        <w:tc>
          <w:tcPr>
            <w:tcW w:w="0" w:type="dxa"/>
            <w:vAlign w:val="bottom"/>
          </w:tcPr>
          <w:p>
            <w:pPr>
              <w:spacing w:after="0"/>
              <w:rPr>
                <w:sz w:val="1"/>
                <w:szCs w:val="1"/>
                <w:color w:val="auto"/>
              </w:rPr>
            </w:pPr>
          </w:p>
        </w:tc>
      </w:tr>
      <w:tr>
        <w:trPr>
          <w:trHeight w:val="167"/>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5,444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9,938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3,821</w:t>
            </w:r>
          </w:p>
        </w:tc>
        <w:tc>
          <w:tcPr>
            <w:tcW w:w="0" w:type="dxa"/>
            <w:vAlign w:val="bottom"/>
          </w:tcPr>
          <w:p>
            <w:pPr>
              <w:spacing w:after="0"/>
              <w:rPr>
                <w:sz w:val="1"/>
                <w:szCs w:val="1"/>
                <w:color w:val="auto"/>
              </w:rPr>
            </w:pPr>
          </w:p>
        </w:tc>
      </w:tr>
      <w:tr>
        <w:trPr>
          <w:trHeight w:val="159"/>
        </w:trPr>
        <w:tc>
          <w:tcPr>
            <w:tcW w:w="3860" w:type="dxa"/>
            <w:vAlign w:val="bottom"/>
          </w:tcPr>
          <w:p>
            <w:pPr>
              <w:ind w:left="20"/>
              <w:spacing w:after="0"/>
              <w:rPr>
                <w:sz w:val="20"/>
                <w:szCs w:val="20"/>
                <w:color w:val="auto"/>
              </w:rPr>
            </w:pPr>
            <w:r>
              <w:rPr>
                <w:rFonts w:ascii="Arial" w:cs="Arial" w:eastAsia="Arial" w:hAnsi="Arial"/>
                <w:sz w:val="13"/>
                <w:szCs w:val="13"/>
                <w:color w:val="auto"/>
              </w:rPr>
              <w:t>EBITDA (non-GAAP)</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(5,345)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(54,401)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(101,152)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28,650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(49,356)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(1,426,404)</w:t>
            </w:r>
          </w:p>
        </w:tc>
        <w:tc>
          <w:tcPr>
            <w:tcW w:w="0" w:type="dxa"/>
            <w:vAlign w:val="bottom"/>
          </w:tcPr>
          <w:p>
            <w:pPr>
              <w:spacing w:after="0"/>
              <w:rPr>
                <w:sz w:val="1"/>
                <w:szCs w:val="1"/>
                <w:color w:val="auto"/>
              </w:rPr>
            </w:pPr>
          </w:p>
        </w:tc>
      </w:tr>
      <w:tr>
        <w:trPr>
          <w:trHeight w:val="167"/>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54,971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8,996</w:t>
            </w:r>
          </w:p>
        </w:tc>
        <w:tc>
          <w:tcPr>
            <w:tcW w:w="0" w:type="dxa"/>
            <w:vAlign w:val="bottom"/>
          </w:tcPr>
          <w:p>
            <w:pPr>
              <w:spacing w:after="0"/>
              <w:rPr>
                <w:sz w:val="1"/>
                <w:szCs w:val="1"/>
                <w:color w:val="auto"/>
              </w:rPr>
            </w:pPr>
          </w:p>
        </w:tc>
      </w:tr>
      <w:tr>
        <w:trPr>
          <w:trHeight w:val="167"/>
        </w:trPr>
        <w:tc>
          <w:tcPr>
            <w:tcW w:w="3860" w:type="dxa"/>
            <w:vAlign w:val="bottom"/>
          </w:tcPr>
          <w:p>
            <w:pPr>
              <w:ind w:left="20"/>
              <w:spacing w:after="0" w:line="168" w:lineRule="exact"/>
              <w:rPr>
                <w:sz w:val="20"/>
                <w:szCs w:val="20"/>
                <w:color w:val="auto"/>
              </w:rPr>
            </w:pPr>
            <w:r>
              <w:rPr>
                <w:rFonts w:ascii="Arial" w:cs="Arial" w:eastAsia="Arial" w:hAnsi="Arial"/>
                <w:sz w:val="13"/>
                <w:szCs w:val="13"/>
                <w:color w:val="auto"/>
              </w:rPr>
              <w:t>Change in fair value of convertible notes and warrant liability</w:t>
            </w:r>
            <w:r>
              <w:rPr>
                <w:rFonts w:ascii="Arial" w:cs="Arial" w:eastAsia="Arial" w:hAnsi="Arial"/>
                <w:sz w:val="16"/>
                <w:szCs w:val="16"/>
                <w:color w:val="auto"/>
                <w:vertAlign w:val="superscript"/>
              </w:rPr>
              <w:t>(1)</w:t>
            </w:r>
          </w:p>
        </w:tc>
        <w:tc>
          <w:tcPr>
            <w:tcW w:w="2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1,492,269</w:t>
            </w:r>
          </w:p>
        </w:tc>
        <w:tc>
          <w:tcPr>
            <w:tcW w:w="0" w:type="dxa"/>
            <w:vAlign w:val="bottom"/>
          </w:tcPr>
          <w:p>
            <w:pPr>
              <w:spacing w:after="0"/>
              <w:rPr>
                <w:sz w:val="1"/>
                <w:szCs w:val="1"/>
                <w:color w:val="auto"/>
              </w:rPr>
            </w:pPr>
          </w:p>
        </w:tc>
      </w:tr>
      <w:tr>
        <w:trPr>
          <w:trHeight w:val="167"/>
        </w:trPr>
        <w:tc>
          <w:tcPr>
            <w:tcW w:w="3860" w:type="dxa"/>
            <w:vAlign w:val="bottom"/>
            <w:shd w:val="clear" w:color="auto" w:fill="CCEEFF"/>
          </w:tcPr>
          <w:p>
            <w:pPr>
              <w:ind w:left="20"/>
              <w:spacing w:after="0" w:line="168" w:lineRule="exact"/>
              <w:rPr>
                <w:sz w:val="20"/>
                <w:szCs w:val="20"/>
                <w:color w:val="auto"/>
              </w:rPr>
            </w:pPr>
            <w:r>
              <w:rPr>
                <w:rFonts w:ascii="Arial" w:cs="Arial" w:eastAsia="Arial" w:hAnsi="Arial"/>
                <w:sz w:val="13"/>
                <w:szCs w:val="13"/>
                <w:color w:val="auto"/>
              </w:rPr>
              <w:t>Certain legal and tax settlements, reserves and expenses</w:t>
            </w:r>
            <w:r>
              <w:rPr>
                <w:rFonts w:ascii="Arial" w:cs="Arial" w:eastAsia="Arial" w:hAnsi="Arial"/>
                <w:sz w:val="16"/>
                <w:szCs w:val="16"/>
                <w:color w:val="auto"/>
                <w:vertAlign w:val="superscript"/>
              </w:rPr>
              <w:t>(2)</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39,910</w:t>
            </w:r>
          </w:p>
        </w:tc>
        <w:tc>
          <w:tcPr>
            <w:tcW w:w="0" w:type="dxa"/>
            <w:vAlign w:val="bottom"/>
          </w:tcPr>
          <w:p>
            <w:pPr>
              <w:spacing w:after="0"/>
              <w:rPr>
                <w:sz w:val="1"/>
                <w:szCs w:val="1"/>
                <w:color w:val="auto"/>
              </w:rPr>
            </w:pPr>
          </w:p>
        </w:tc>
      </w:tr>
      <w:tr>
        <w:trPr>
          <w:trHeight w:val="159"/>
        </w:trPr>
        <w:tc>
          <w:tcPr>
            <w:tcW w:w="3860" w:type="dxa"/>
            <w:vAlign w:val="bottom"/>
          </w:tcPr>
          <w:p>
            <w:pPr>
              <w:ind w:left="20"/>
              <w:spacing w:after="0"/>
              <w:rPr>
                <w:sz w:val="20"/>
                <w:szCs w:val="20"/>
                <w:color w:val="auto"/>
              </w:rPr>
            </w:pPr>
            <w:r>
              <w:rPr>
                <w:rFonts w:ascii="Arial" w:cs="Arial" w:eastAsia="Arial" w:hAnsi="Arial"/>
                <w:sz w:val="13"/>
                <w:szCs w:val="13"/>
                <w:color w:val="auto"/>
              </w:rPr>
              <w:t>Adjusted EBITDA (non-GAAP)</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(4,416)</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(74,485)</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154,580</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(46,944)</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114,771</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3"/>
                <w:szCs w:val="13"/>
                <w:color w:val="auto"/>
              </w:rPr>
              <w:t>_________________</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284" w:right="20" w:hanging="284"/>
        <w:spacing w:after="0" w:line="235" w:lineRule="auto"/>
        <w:tabs>
          <w:tab w:leader="none" w:pos="273" w:val="left"/>
        </w:tabs>
        <w:numPr>
          <w:ilvl w:val="0"/>
          <w:numId w:val="69"/>
        </w:numPr>
        <w:rPr>
          <w:rFonts w:ascii="Arial" w:cs="Arial" w:eastAsia="Arial" w:hAnsi="Arial"/>
          <w:sz w:val="13"/>
          <w:szCs w:val="13"/>
          <w:color w:val="auto"/>
        </w:rPr>
      </w:pPr>
      <w:r>
        <w:rPr>
          <w:rFonts w:ascii="Arial" w:cs="Arial" w:eastAsia="Arial" w:hAnsi="Arial"/>
          <w:sz w:val="13"/>
          <w:szCs w:val="13"/>
          <w:color w:val="auto"/>
        </w:rPr>
        <w:t>Change in fair value of convertible notes and warrant liability is the adjustment necessary to mark our convertible notes and warrants to fair market value. Please see "Note 5 - Fair Value of Financial Instruments" in our unaudited condensed consolidated financial statements and “Management’s Discussion and Analysis of Financial Condition and Results of Operations—Comparison of the Three Months Ended March 31, 2020 and 2021—Change in Fair Value of Convertible Notes and Warrant Liability” for more information.</w:t>
      </w:r>
    </w:p>
    <w:p>
      <w:pPr>
        <w:spacing w:after="0" w:line="38" w:lineRule="exact"/>
        <w:rPr>
          <w:rFonts w:ascii="Arial" w:cs="Arial" w:eastAsia="Arial" w:hAnsi="Arial"/>
          <w:sz w:val="13"/>
          <w:szCs w:val="13"/>
          <w:color w:val="auto"/>
        </w:rPr>
      </w:pPr>
    </w:p>
    <w:p>
      <w:pPr>
        <w:jc w:val="both"/>
        <w:ind w:left="284" w:right="20" w:hanging="284"/>
        <w:spacing w:after="0" w:line="234" w:lineRule="auto"/>
        <w:tabs>
          <w:tab w:leader="none" w:pos="273" w:val="left"/>
        </w:tabs>
        <w:numPr>
          <w:ilvl w:val="0"/>
          <w:numId w:val="69"/>
        </w:numPr>
        <w:rPr>
          <w:rFonts w:ascii="Arial" w:cs="Arial" w:eastAsia="Arial" w:hAnsi="Arial"/>
          <w:sz w:val="13"/>
          <w:szCs w:val="13"/>
          <w:color w:val="auto"/>
        </w:rPr>
      </w:pPr>
      <w:r>
        <w:rPr>
          <w:rFonts w:ascii="Arial" w:cs="Arial" w:eastAsia="Arial" w:hAnsi="Arial"/>
          <w:sz w:val="13"/>
          <w:szCs w:val="13"/>
          <w:color w:val="auto"/>
        </w:rPr>
        <w:t>Certain legal and tax settlements, reserves and expenses for the year ended December 31, 2020 includes (i) the payment of $65 million made by RHF to the SEC in connection with the settlement we entered into with the SEC, on a neither admit nor deny basis, following the investigation by the SEC’s Division of Enforcement into RHF’s best execution and PFOF practices, as well as statements concerning its source of revenue, (ii) the charge of $26.6 million for potential resolution of the FINRA Matters and (iii) the charge of $10 million for potential resolution of the NYDFS Matter.</w:t>
      </w:r>
    </w:p>
    <w:p>
      <w:pPr>
        <w:spacing w:after="0" w:line="38" w:lineRule="exact"/>
        <w:rPr>
          <w:rFonts w:ascii="Arial" w:cs="Arial" w:eastAsia="Arial" w:hAnsi="Arial"/>
          <w:sz w:val="13"/>
          <w:szCs w:val="13"/>
          <w:color w:val="auto"/>
        </w:rPr>
      </w:pPr>
    </w:p>
    <w:p>
      <w:pPr>
        <w:jc w:val="both"/>
        <w:ind w:left="284"/>
        <w:spacing w:after="0" w:line="234" w:lineRule="auto"/>
        <w:rPr>
          <w:rFonts w:ascii="Arial" w:cs="Arial" w:eastAsia="Arial" w:hAnsi="Arial"/>
          <w:sz w:val="13"/>
          <w:szCs w:val="13"/>
          <w:color w:val="auto"/>
        </w:rPr>
      </w:pPr>
      <w:r>
        <w:rPr>
          <w:rFonts w:ascii="Arial" w:cs="Arial" w:eastAsia="Arial" w:hAnsi="Arial"/>
          <w:sz w:val="13"/>
          <w:szCs w:val="13"/>
          <w:color w:val="auto"/>
        </w:rPr>
        <w:t>Certain legal and tax settlements, reserves and expenses for the three months ended March 31, 2021 includes additional charges of (i) $34.9 million in connection with the agreement-in-principle RHF had reached with FINRA to resolve, on an no admit, no deny basis, the FINRA Matters, and (ii) $5 million for the potential resolution of the NYDFS Matter. With respect to the FINRA Matters, the parties have since reached a resolution, in connection with which, among other things, RHF will pay a fine and customer restitution and engage an independent consultant. With respect to the NYDFS Matter, the parties have since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264"/>
          </w:cols>
          <w:pgMar w:left="316" w:top="1440" w:right="319" w:bottom="1440" w:gutter="0" w:footer="0" w:header="0"/>
        </w:sectPr>
      </w:pPr>
    </w:p>
    <w:bookmarkStart w:id="158" w:name="page159"/>
    <w:bookmarkEnd w:id="158"/>
    <w:p>
      <w:pPr>
        <w:spacing w:after="0" w:line="7" w:lineRule="exact"/>
        <w:rPr>
          <w:sz w:val="20"/>
          <w:szCs w:val="20"/>
          <w:color w:val="auto"/>
        </w:rPr>
      </w:pPr>
    </w:p>
    <w:p>
      <w:pPr>
        <w:ind w:left="280" w:right="20"/>
        <w:spacing w:after="0" w:line="238" w:lineRule="auto"/>
        <w:rPr>
          <w:sz w:val="20"/>
          <w:szCs w:val="20"/>
          <w:color w:val="auto"/>
        </w:rPr>
      </w:pPr>
      <w:r>
        <w:rPr>
          <w:rFonts w:ascii="Arial" w:cs="Arial" w:eastAsia="Arial" w:hAnsi="Arial"/>
          <w:sz w:val="13"/>
          <w:szCs w:val="13"/>
          <w:color w:val="auto"/>
        </w:rPr>
        <w:t>reached a settlement in principle, subject to final documentation, in connection with which, among other things, RHC will pay a monetary penalty and engage a monitor. For more information about these matters, see “Business—Legal Proceedings.”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Estimated Preliminary Results</w:t>
      </w:r>
    </w:p>
    <w:p>
      <w:pPr>
        <w:spacing w:after="0" w:line="17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Set forth below are certain estimated preliminary results as of and for the three months ended June 30, 2021, based solely on preliminary information currently available to management. We have provided ranges, rather than specific amounts, because these results are preliminary and subject to change. These ranges are based on the information currently available to us as of the date of this prospectus. Our actual unaudited financial results as of and for the three months ended June 30, 2021 are not yet available and our closing procedures for the three months ended June 30, 2021 are not yet completed. As such, our actual results for such period may vary from the estimated preliminary results set forth below and will not be finalized until after the completion of this offering.</w:t>
      </w:r>
    </w:p>
    <w:p>
      <w:pPr>
        <w:spacing w:after="0" w:line="148"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addition, the estimated preliminary results set forth below are forward-looking statements and are not guarantees of future performance and may differ from actual results. These estimates should not be viewed as a substitute for our full fiscal year or interim period financial statements prepared in accordance with GAAP. There can be no assurance that these estimates will be realized, and estimates are subject to risks and uncertainties. See “Risk Factors” and “Special Note Regarding Forward-Looking Statements” for additional information regarding factors that could result in differences between the preliminary estimated ranges of certain of our financial results that are presented below and the actual financial results we will report. These estimated preliminary results should be read in conjunction with “Management’s Discussion and Analysis of Financial Condition and Results of Operations” and the consolidated financial statements and related notes thereto for prior periods included elsewhere in this prospectus.</w:t>
      </w:r>
    </w:p>
    <w:p>
      <w:pPr>
        <w:spacing w:after="0" w:line="147"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The following estimated preliminary results have been prepared by, and are the responsibility of, management. Our independent registered public accounting firm, Ernst &amp; Young LLP, has not audited, reviewed or performed any procedures with respect to the preliminary financial results. Accordingly, Ernst &amp; Young LLP does not express an opinion or any other form of assurance with respect thereto.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3"/>
                <w:szCs w:val="13"/>
                <w:b w:val="1"/>
                <w:bCs w:val="1"/>
                <w:color w:val="auto"/>
                <w:w w:val="97"/>
              </w:rPr>
              <w:t>Three Months or Month Ended</w:t>
            </w:r>
          </w:p>
        </w:tc>
        <w:tc>
          <w:tcPr>
            <w:tcW w:w="1380" w:type="dxa"/>
            <w:vAlign w:val="bottom"/>
            <w:tcBorders>
              <w:bottom w:val="single" w:sz="8" w:color="auto"/>
            </w:tcBorders>
          </w:tcPr>
          <w:p>
            <w:pPr>
              <w:spacing w:after="0"/>
              <w:rPr>
                <w:sz w:val="14"/>
                <w:szCs w:val="14"/>
                <w:color w:val="auto"/>
              </w:rPr>
            </w:pPr>
          </w:p>
        </w:tc>
      </w:tr>
      <w:tr>
        <w:trPr>
          <w:trHeight w:val="159"/>
        </w:trPr>
        <w:tc>
          <w:tcPr>
            <w:tcW w:w="6360" w:type="dxa"/>
            <w:vAlign w:val="bottom"/>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30, 2020</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4"/>
          </w:tcPr>
          <w:p>
            <w:pPr>
              <w:jc w:val="right"/>
              <w:ind w:right="1125"/>
              <w:spacing w:after="0"/>
              <w:rPr>
                <w:sz w:val="20"/>
                <w:szCs w:val="20"/>
                <w:color w:val="auto"/>
              </w:rPr>
            </w:pPr>
            <w:r>
              <w:rPr>
                <w:rFonts w:ascii="Arial" w:cs="Arial" w:eastAsia="Arial" w:hAnsi="Arial"/>
                <w:sz w:val="13"/>
                <w:szCs w:val="13"/>
                <w:b w:val="1"/>
                <w:bCs w:val="1"/>
                <w:color w:val="auto"/>
              </w:rPr>
              <w:t>June 30, 2021</w:t>
            </w:r>
          </w:p>
        </w:tc>
      </w:tr>
      <w:tr>
        <w:trPr>
          <w:trHeight w:val="159"/>
        </w:trPr>
        <w:tc>
          <w:tcPr>
            <w:tcW w:w="6360" w:type="dxa"/>
            <w:vAlign w:val="bottom"/>
          </w:tcPr>
          <w:p>
            <w:pPr>
              <w:spacing w:after="0"/>
              <w:rPr>
                <w:sz w:val="13"/>
                <w:szCs w:val="13"/>
                <w:color w:val="auto"/>
              </w:rPr>
            </w:pPr>
          </w:p>
        </w:tc>
        <w:tc>
          <w:tcPr>
            <w:tcW w:w="1220" w:type="dxa"/>
            <w:vAlign w:val="bottom"/>
            <w:tcBorders>
              <w:bottom w:val="single" w:sz="8" w:color="auto"/>
            </w:tcBorders>
          </w:tcPr>
          <w:p>
            <w:pPr>
              <w:jc w:val="right"/>
              <w:ind w:right="166"/>
              <w:spacing w:after="0"/>
              <w:rPr>
                <w:sz w:val="20"/>
                <w:szCs w:val="20"/>
                <w:color w:val="auto"/>
              </w:rPr>
            </w:pPr>
            <w:r>
              <w:rPr>
                <w:rFonts w:ascii="Arial" w:cs="Arial" w:eastAsia="Arial" w:hAnsi="Arial"/>
                <w:sz w:val="13"/>
                <w:szCs w:val="13"/>
                <w:b w:val="1"/>
                <w:bCs w:val="1"/>
                <w:color w:val="auto"/>
              </w:rPr>
              <w:t>Actual</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8"/>
              </w:rPr>
              <w:t>Low (estimated)</w:t>
            </w: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125"/>
              <w:spacing w:after="0"/>
              <w:rPr>
                <w:sz w:val="20"/>
                <w:szCs w:val="20"/>
                <w:color w:val="auto"/>
              </w:rPr>
            </w:pPr>
            <w:r>
              <w:rPr>
                <w:rFonts w:ascii="Arial" w:cs="Arial" w:eastAsia="Arial" w:hAnsi="Arial"/>
                <w:sz w:val="13"/>
                <w:szCs w:val="13"/>
                <w:b w:val="1"/>
                <w:bCs w:val="1"/>
                <w:color w:val="auto"/>
                <w:w w:val="96"/>
              </w:rPr>
              <w:t>High (estimated)</w:t>
            </w:r>
          </w:p>
        </w:tc>
      </w:tr>
      <w:tr>
        <w:trPr>
          <w:trHeight w:val="159"/>
        </w:trPr>
        <w:tc>
          <w:tcPr>
            <w:tcW w:w="6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6"/>
              </w:rPr>
              <w:t>(unaudited, in millions)</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Selected Financial Data</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Revenue</w:t>
            </w:r>
          </w:p>
        </w:tc>
        <w:tc>
          <w:tcPr>
            <w:tcW w:w="1220" w:type="dxa"/>
            <w:vAlign w:val="bottom"/>
          </w:tcPr>
          <w:p>
            <w:pPr>
              <w:jc w:val="right"/>
              <w:ind w:right="1046"/>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244</w:t>
            </w:r>
          </w:p>
        </w:tc>
        <w:tc>
          <w:tcPr>
            <w:tcW w:w="340" w:type="dxa"/>
            <w:vAlign w:val="bottom"/>
            <w:gridSpan w:val="3"/>
          </w:tcPr>
          <w:p>
            <w:pPr>
              <w:jc w:val="right"/>
              <w:ind w:right="16"/>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7"/>
              <w:spacing w:after="0"/>
              <w:rPr>
                <w:sz w:val="20"/>
                <w:szCs w:val="20"/>
                <w:color w:val="auto"/>
              </w:rPr>
            </w:pPr>
            <w:r>
              <w:rPr>
                <w:rFonts w:ascii="Arial" w:cs="Arial" w:eastAsia="Arial" w:hAnsi="Arial"/>
                <w:sz w:val="16"/>
                <w:szCs w:val="16"/>
                <w:color w:val="auto"/>
              </w:rPr>
              <w:t>546</w:t>
            </w:r>
          </w:p>
        </w:tc>
        <w:tc>
          <w:tcPr>
            <w:tcW w:w="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
              <w:spacing w:after="0"/>
              <w:rPr>
                <w:sz w:val="20"/>
                <w:szCs w:val="20"/>
                <w:color w:val="auto"/>
              </w:rPr>
            </w:pPr>
            <w:r>
              <w:rPr>
                <w:rFonts w:ascii="Arial" w:cs="Arial" w:eastAsia="Arial" w:hAnsi="Arial"/>
                <w:sz w:val="16"/>
                <w:szCs w:val="16"/>
                <w:color w:val="auto"/>
              </w:rPr>
              <w:t>574</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220" w:type="dxa"/>
            <w:vAlign w:val="bottom"/>
            <w:shd w:val="clear" w:color="auto" w:fill="CCEEFF"/>
          </w:tcPr>
          <w:p>
            <w:pPr>
              <w:jc w:val="right"/>
              <w:ind w:right="1046"/>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186</w:t>
            </w:r>
          </w:p>
        </w:tc>
        <w:tc>
          <w:tcPr>
            <w:tcW w:w="340" w:type="dxa"/>
            <w:vAlign w:val="bottom"/>
            <w:gridSpan w:val="3"/>
            <w:shd w:val="clear" w:color="auto" w:fill="CCEEFF"/>
          </w:tcPr>
          <w:p>
            <w:pPr>
              <w:jc w:val="right"/>
              <w:ind w:right="16"/>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536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486</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20" w:type="dxa"/>
            <w:vAlign w:val="bottom"/>
          </w:tcPr>
          <w:p>
            <w:pPr>
              <w:jc w:val="right"/>
              <w:ind w:right="1046"/>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58</w:t>
            </w:r>
          </w:p>
        </w:tc>
        <w:tc>
          <w:tcPr>
            <w:tcW w:w="340" w:type="dxa"/>
            <w:vAlign w:val="bottom"/>
            <w:gridSpan w:val="3"/>
          </w:tcPr>
          <w:p>
            <w:pPr>
              <w:jc w:val="right"/>
              <w:ind w:right="16"/>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(537)</w:t>
            </w:r>
          </w:p>
        </w:tc>
        <w:tc>
          <w:tcPr>
            <w:tcW w:w="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Adjusted EBITDA (non-GAAP)</w:t>
            </w:r>
          </w:p>
        </w:tc>
        <w:tc>
          <w:tcPr>
            <w:tcW w:w="1220" w:type="dxa"/>
            <w:vAlign w:val="bottom"/>
          </w:tcPr>
          <w:p>
            <w:pPr>
              <w:jc w:val="right"/>
              <w:ind w:right="1046"/>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63</w:t>
            </w:r>
          </w:p>
        </w:tc>
        <w:tc>
          <w:tcPr>
            <w:tcW w:w="340" w:type="dxa"/>
            <w:vAlign w:val="bottom"/>
            <w:gridSpan w:val="3"/>
          </w:tcPr>
          <w:p>
            <w:pPr>
              <w:jc w:val="right"/>
              <w:ind w:right="16"/>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7"/>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
              <w:spacing w:after="0"/>
              <w:rPr>
                <w:sz w:val="20"/>
                <w:szCs w:val="20"/>
                <w:color w:val="auto"/>
              </w:rPr>
            </w:pPr>
            <w:r>
              <w:rPr>
                <w:rFonts w:ascii="Arial" w:cs="Arial" w:eastAsia="Arial" w:hAnsi="Arial"/>
                <w:sz w:val="16"/>
                <w:szCs w:val="16"/>
                <w:color w:val="auto"/>
              </w:rPr>
              <w:t>103</w:t>
            </w:r>
          </w:p>
        </w:tc>
      </w:tr>
      <w:tr>
        <w:trPr>
          <w:trHeight w:val="191"/>
        </w:trPr>
        <w:tc>
          <w:tcPr>
            <w:tcW w:w="6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3"/>
                <w:szCs w:val="13"/>
                <w:b w:val="1"/>
                <w:bCs w:val="1"/>
                <w:color w:val="auto"/>
              </w:rPr>
              <w:t>Three Months or Month Ended</w:t>
            </w:r>
          </w:p>
        </w:tc>
      </w:tr>
      <w:tr>
        <w:trPr>
          <w:trHeight w:val="159"/>
        </w:trPr>
        <w:tc>
          <w:tcPr>
            <w:tcW w:w="6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6"/>
              </w:rPr>
              <w:t>June 30, 2020</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125"/>
              <w:spacing w:after="0"/>
              <w:rPr>
                <w:sz w:val="20"/>
                <w:szCs w:val="20"/>
                <w:color w:val="auto"/>
              </w:rPr>
            </w:pPr>
            <w:r>
              <w:rPr>
                <w:rFonts w:ascii="Arial" w:cs="Arial" w:eastAsia="Arial" w:hAnsi="Arial"/>
                <w:sz w:val="13"/>
                <w:szCs w:val="13"/>
                <w:b w:val="1"/>
                <w:bCs w:val="1"/>
                <w:color w:val="auto"/>
                <w:w w:val="96"/>
              </w:rPr>
              <w:t>June 30, 2021</w:t>
            </w:r>
          </w:p>
        </w:tc>
      </w:tr>
      <w:tr>
        <w:trPr>
          <w:trHeight w:val="159"/>
        </w:trPr>
        <w:tc>
          <w:tcPr>
            <w:tcW w:w="6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Actual</w:t>
            </w:r>
          </w:p>
        </w:tc>
        <w:tc>
          <w:tcPr>
            <w:tcW w:w="200" w:type="dxa"/>
            <w:vAlign w:val="bottom"/>
          </w:tcPr>
          <w:p>
            <w:pPr>
              <w:spacing w:after="0"/>
              <w:rPr>
                <w:sz w:val="13"/>
                <w:szCs w:val="13"/>
                <w:color w:val="auto"/>
              </w:rPr>
            </w:pPr>
          </w:p>
        </w:tc>
        <w:tc>
          <w:tcPr>
            <w:tcW w:w="1380" w:type="dxa"/>
            <w:vAlign w:val="bottom"/>
          </w:tcPr>
          <w:p>
            <w:pPr>
              <w:jc w:val="center"/>
              <w:ind w:right="125"/>
              <w:spacing w:after="0"/>
              <w:rPr>
                <w:sz w:val="20"/>
                <w:szCs w:val="20"/>
                <w:color w:val="auto"/>
              </w:rPr>
            </w:pPr>
            <w:r>
              <w:rPr>
                <w:rFonts w:ascii="Arial" w:cs="Arial" w:eastAsia="Arial" w:hAnsi="Arial"/>
                <w:sz w:val="13"/>
                <w:szCs w:val="13"/>
                <w:b w:val="1"/>
                <w:bCs w:val="1"/>
                <w:color w:val="auto"/>
                <w:w w:val="99"/>
              </w:rPr>
              <w:t>Estimate</w:t>
            </w:r>
          </w:p>
        </w:tc>
      </w:tr>
      <w:tr>
        <w:trPr>
          <w:trHeight w:val="18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Key Performance Metrics</w:t>
            </w:r>
          </w:p>
        </w:tc>
        <w:tc>
          <w:tcPr>
            <w:tcW w:w="1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Net Cumulative Funded Accounts</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7"/>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Monthly Active Users (MAU)</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Assets Under Custody (AUC)</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3"/>
          </w:tcPr>
          <w:p>
            <w:pPr>
              <w:jc w:val="right"/>
              <w:ind w:right="16"/>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7"/>
              <w:spacing w:after="0"/>
              <w:rPr>
                <w:sz w:val="20"/>
                <w:szCs w:val="20"/>
                <w:color w:val="auto"/>
              </w:rPr>
            </w:pPr>
            <w:r>
              <w:rPr>
                <w:rFonts w:ascii="Arial" w:cs="Arial" w:eastAsia="Arial" w:hAnsi="Arial"/>
                <w:sz w:val="16"/>
                <w:szCs w:val="16"/>
                <w:color w:val="auto"/>
              </w:rPr>
              <w:t>33,422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5"/>
              <w:spacing w:after="0"/>
              <w:rPr>
                <w:sz w:val="20"/>
                <w:szCs w:val="20"/>
                <w:color w:val="auto"/>
              </w:rPr>
            </w:pPr>
            <w:r>
              <w:rPr>
                <w:rFonts w:ascii="Arial" w:cs="Arial" w:eastAsia="Arial" w:hAnsi="Arial"/>
                <w:sz w:val="16"/>
                <w:szCs w:val="16"/>
                <w:color w:val="auto"/>
              </w:rPr>
              <w:t>102,035</w:t>
            </w:r>
          </w:p>
        </w:tc>
      </w:tr>
    </w:tbl>
    <w:p>
      <w:pPr>
        <w:spacing w:after="0" w:line="31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For the three months ended June 30, 2021, we expect to report revenue of between $546 million and $574 million, as compared to $244 million for the three months ended June 30, 2020, representing an increase of 129% at the midpoint of this range. The expected increase in revenue is primarily driven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60"/>
          </w:cols>
          <w:pgMar w:left="320" w:top="1440" w:right="319" w:bottom="1440" w:gutter="0" w:footer="0" w:header="0"/>
        </w:sectPr>
      </w:pPr>
    </w:p>
    <w:bookmarkStart w:id="159" w:name="page160"/>
    <w:bookmarkEnd w:id="159"/>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130% increase in Net Cumulative Funded Accounts and increased trading activity related to options and cryptocurrencies, offset by a decrease in equities trading, relative to the three months ended June 30, 2020. We also saw increases in the 2021 period in margin and stock lending activity as well as an increase in Robinhood Gold subscribers. Trading activity was particularly high during the first two months of the 2021 period, returning to levels more in line with prior periods during the last few weeks of the quarter ended June 30, 2021, and remained at similar levels into the early part of the third quarter. We expect our revenue for the three months ending September 30, 2021 to be lower, as compared to the three months ended June 30, 2021, as a result of decreased levels of trading activity relative to the record highs in trading activity, particularly in cryptocurrencies, during the three months ended June 30, 2021, and expected seasonality.</w:t>
      </w:r>
    </w:p>
    <w:p>
      <w:pPr>
        <w:spacing w:after="0" w:line="15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For the three months ended June 30, 2021, we expect to report operating expenses of between $486 million and $536 million, as compared to $186 million for the three months ended June 30, 2020, representing an increase of 174% at the midpoint of this range. The expected increase in operating expenses is primarily driven by an increase in total headcount of approximately 190%, as well as an increase in cloud infrastructure to support increased activity on the platform and an increase in the Robinhood Referral Program as a result of significant user growth. We also saw an increase in legal settlements and reserves related to the settlement of the NYDFS Matter, an increase in Fraudulent Deposit Transactions, and chargebacks related to our cash management offering for the three months ended June 30, 2021. Upon effectiveness of our IPO, we expect to recognize a one-time cumulative share-based compensation expense of approximately $1 billion related to RSUs for which the time-based vesting condition was satisfied or partially satisfied as the performance condition was satisfied in this offering, which expense we expect to incur during the quarter in which the offering occurs.</w:t>
      </w:r>
    </w:p>
    <w:p>
      <w:pPr>
        <w:spacing w:after="0" w:line="15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For the three months ended June 30, 2021, we expect to report net loss of between $487 million and $537 million, as compared to net income of $58 million for the three months ended June 30, 2020. The net loss is primarily driven by the factors mentioned above as well as the change in fair value of convertible notes and warrant liability of $528 million (assuming an initial public offering price of $40.00, which is the mid-point of the estimated offering price range set forth on the cover page of this prospectus), which was marked-to-market as of the end of the three months ended June 30, 2021.</w:t>
      </w:r>
    </w:p>
    <w:p>
      <w:pPr>
        <w:spacing w:after="0" w:line="14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For the three months ended June 30, 2021, we expect to report Net Cumulative Funded Accounts of 22.5 million, as compared to 9.8 million for the three months ended June 30, 2020, representing an increase of 130%. For the month ended June 30, 2021, we expect to report MAU of 21.3 million, as compared to 10.2 million for the month ended June 30, 2020, representing an increase of 109%. As of June 30, 2021, we expect to report AUC of $102 billion, as compared to $33 billion as of June 30, 2020, representing an increase of 205%. The increase in these Key Performance Metrics resulted primarily from an increase in new users joining our platform, driven by general market interest trading. We anticipate the rate of growth in these Key Performance Metrics will be lower for the period ended September 30, 2021, as compared to the three months ended June 30, 2021, due to the exceptionally strong interest in trading, particularly in cryptocurrencies, we experienced in the three months ended June 30, 2021 and seasonality in overall trading activities.</w:t>
      </w:r>
    </w:p>
    <w:p>
      <w:pPr>
        <w:spacing w:after="0" w:line="15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experienced strong growth in new customers during the first six months of 2021. We do not know whether, over the long term, cohorts comprised of these new customers will have the same characteristics as our prior cohorts. To the extent these new customers do not grow their cumulative net deposits or trading frequency on our platform to the same extent as new customers that joined in prior periods, our ability to expand and grow our relationship with these customers will be impacted.</w:t>
      </w:r>
    </w:p>
    <w:p>
      <w:pPr>
        <w:spacing w:after="0" w:line="14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For the three months ended June 30, 2021, we expect to report Adjusted EBITDA of between $59 million and $103 million, as compared to $63 million for the three months ended June 30, 2020, representing an increase of approximately 29% at the midpoint of this range. The expected increase in Adjusted EBITDA was primarily due to revenue increases outpacing increases in operating expenses for the three months ended June 30, 2021. See below for a reconciliation of net income (loss), the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260"/>
          </w:cols>
          <w:pgMar w:left="320" w:top="1440" w:right="319" w:bottom="1440" w:gutter="0" w:footer="0" w:header="0"/>
        </w:sectPr>
      </w:pPr>
    </w:p>
    <w:bookmarkStart w:id="160" w:name="page161"/>
    <w:bookmarkEnd w:id="160"/>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directly comparable financial measure calculated and presented in accordance with GAAP, to Adjusted EBITDA.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 Ended</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360" w:type="dxa"/>
            <w:vAlign w:val="bottom"/>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30, 2020</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4"/>
          </w:tcPr>
          <w:p>
            <w:pPr>
              <w:jc w:val="right"/>
              <w:ind w:right="1122"/>
              <w:spacing w:after="0"/>
              <w:rPr>
                <w:sz w:val="20"/>
                <w:szCs w:val="20"/>
                <w:color w:val="auto"/>
              </w:rPr>
            </w:pPr>
            <w:r>
              <w:rPr>
                <w:rFonts w:ascii="Arial" w:cs="Arial" w:eastAsia="Arial" w:hAnsi="Arial"/>
                <w:sz w:val="13"/>
                <w:szCs w:val="13"/>
                <w:b w:val="1"/>
                <w:bCs w:val="1"/>
                <w:color w:val="auto"/>
              </w:rPr>
              <w:t>June 30, 2021</w:t>
            </w:r>
          </w:p>
        </w:tc>
        <w:tc>
          <w:tcPr>
            <w:tcW w:w="0" w:type="dxa"/>
            <w:vAlign w:val="bottom"/>
          </w:tcPr>
          <w:p>
            <w:pPr>
              <w:spacing w:after="0"/>
              <w:rPr>
                <w:sz w:val="1"/>
                <w:szCs w:val="1"/>
                <w:color w:val="auto"/>
              </w:rPr>
            </w:pPr>
          </w:p>
        </w:tc>
      </w:tr>
      <w:tr>
        <w:trPr>
          <w:trHeight w:val="159"/>
        </w:trPr>
        <w:tc>
          <w:tcPr>
            <w:tcW w:w="6360" w:type="dxa"/>
            <w:vAlign w:val="bottom"/>
          </w:tcPr>
          <w:p>
            <w:pPr>
              <w:ind w:left="20"/>
              <w:spacing w:after="0"/>
              <w:rPr>
                <w:sz w:val="20"/>
                <w:szCs w:val="20"/>
                <w:color w:val="auto"/>
              </w:rPr>
            </w:pPr>
            <w:r>
              <w:rPr>
                <w:rFonts w:ascii="Arial" w:cs="Arial" w:eastAsia="Arial" w:hAnsi="Arial"/>
                <w:sz w:val="13"/>
                <w:szCs w:val="13"/>
                <w:i w:val="1"/>
                <w:iCs w:val="1"/>
                <w:color w:val="auto"/>
              </w:rPr>
              <w:t>(in millions)</w:t>
            </w:r>
          </w:p>
        </w:tc>
        <w:tc>
          <w:tcPr>
            <w:tcW w:w="1260" w:type="dxa"/>
            <w:vAlign w:val="bottom"/>
          </w:tcPr>
          <w:p>
            <w:pPr>
              <w:jc w:val="right"/>
              <w:ind w:right="208"/>
              <w:spacing w:after="0"/>
              <w:rPr>
                <w:sz w:val="20"/>
                <w:szCs w:val="20"/>
                <w:color w:val="auto"/>
              </w:rPr>
            </w:pPr>
            <w:r>
              <w:rPr>
                <w:rFonts w:ascii="Arial" w:cs="Arial" w:eastAsia="Arial" w:hAnsi="Arial"/>
                <w:sz w:val="13"/>
                <w:szCs w:val="13"/>
                <w:b w:val="1"/>
                <w:bCs w:val="1"/>
                <w:color w:val="auto"/>
              </w:rPr>
              <w:t>Actual</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Low (Estimated)</w:t>
            </w:r>
          </w:p>
        </w:tc>
        <w:tc>
          <w:tcPr>
            <w:tcW w:w="200" w:type="dxa"/>
            <w:vAlign w:val="bottom"/>
          </w:tcPr>
          <w:p>
            <w:pPr>
              <w:spacing w:after="0"/>
              <w:rPr>
                <w:sz w:val="13"/>
                <w:szCs w:val="13"/>
                <w:color w:val="auto"/>
              </w:rPr>
            </w:pPr>
          </w:p>
        </w:tc>
        <w:tc>
          <w:tcPr>
            <w:tcW w:w="1380" w:type="dxa"/>
            <w:vAlign w:val="bottom"/>
          </w:tcPr>
          <w:p>
            <w:pPr>
              <w:jc w:val="right"/>
              <w:ind w:right="202"/>
              <w:spacing w:after="0"/>
              <w:rPr>
                <w:sz w:val="20"/>
                <w:szCs w:val="20"/>
                <w:color w:val="auto"/>
              </w:rPr>
            </w:pPr>
            <w:r>
              <w:rPr>
                <w:rFonts w:ascii="Arial" w:cs="Arial" w:eastAsia="Arial" w:hAnsi="Arial"/>
                <w:sz w:val="13"/>
                <w:szCs w:val="13"/>
                <w:b w:val="1"/>
                <w:bCs w:val="1"/>
                <w:color w:val="auto"/>
              </w:rPr>
              <w:t>High (Estimated)</w:t>
            </w:r>
          </w:p>
        </w:tc>
        <w:tc>
          <w:tcPr>
            <w:tcW w:w="0" w:type="dxa"/>
            <w:vAlign w:val="bottom"/>
          </w:tcPr>
          <w:p>
            <w:pPr>
              <w:spacing w:after="0"/>
              <w:rPr>
                <w:sz w:val="1"/>
                <w:szCs w:val="1"/>
                <w:color w:val="auto"/>
              </w:rPr>
            </w:pPr>
          </w:p>
        </w:tc>
      </w:tr>
      <w:tr>
        <w:trPr>
          <w:trHeight w:val="195"/>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60" w:type="dxa"/>
            <w:vAlign w:val="bottom"/>
            <w:tcBorders>
              <w:top w:val="single" w:sz="8" w:color="auto"/>
            </w:tcBorders>
            <w:shd w:val="clear" w:color="auto" w:fill="CCEEFF"/>
          </w:tcPr>
          <w:p>
            <w:pPr>
              <w:jc w:val="right"/>
              <w:ind w:right="1088"/>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Add:</w:t>
            </w:r>
          </w:p>
        </w:tc>
        <w:tc>
          <w:tcPr>
            <w:tcW w:w="126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expenses related to credit facilities</w:t>
            </w: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2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2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5"/>
        </w:trPr>
        <w:tc>
          <w:tcPr>
            <w:tcW w:w="6360" w:type="dxa"/>
            <w:vAlign w:val="bottom"/>
          </w:tcPr>
          <w:p>
            <w:pPr>
              <w:ind w:left="20"/>
              <w:spacing w:after="0"/>
              <w:rPr>
                <w:sz w:val="20"/>
                <w:szCs w:val="20"/>
                <w:color w:val="auto"/>
              </w:rPr>
            </w:pPr>
            <w:r>
              <w:rPr>
                <w:rFonts w:ascii="Arial" w:cs="Arial" w:eastAsia="Arial" w:hAnsi="Arial"/>
                <w:sz w:val="16"/>
                <w:szCs w:val="16"/>
                <w:color w:val="auto"/>
              </w:rPr>
              <w:t>EBITDA (non-GAAP)</w:t>
            </w:r>
          </w:p>
        </w:tc>
        <w:tc>
          <w:tcPr>
            <w:tcW w:w="1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line="204" w:lineRule="exact"/>
              <w:rPr>
                <w:sz w:val="20"/>
                <w:szCs w:val="20"/>
                <w:color w:val="auto"/>
              </w:rPr>
            </w:pPr>
            <w:r>
              <w:rPr>
                <w:rFonts w:ascii="Arial" w:cs="Arial" w:eastAsia="Arial" w:hAnsi="Arial"/>
                <w:sz w:val="16"/>
                <w:szCs w:val="16"/>
                <w:color w:val="auto"/>
              </w:rPr>
              <w:t xml:space="preserve">Change in fair value of convertible notes and warrant liability </w:t>
            </w:r>
            <w:r>
              <w:rPr>
                <w:rFonts w:ascii="Arial" w:cs="Arial" w:eastAsia="Arial" w:hAnsi="Arial"/>
                <w:sz w:val="20"/>
                <w:szCs w:val="20"/>
                <w:color w:val="auto"/>
                <w:vertAlign w:val="superscript"/>
              </w:rPr>
              <w:t>(1)</w:t>
            </w:r>
          </w:p>
        </w:tc>
        <w:tc>
          <w:tcPr>
            <w:tcW w:w="126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40" w:type="dxa"/>
            <w:vAlign w:val="bottom"/>
          </w:tcPr>
          <w:p>
            <w:pPr>
              <w:jc w:val="right"/>
              <w:ind w:right="4"/>
              <w:spacing w:after="0"/>
              <w:rPr>
                <w:sz w:val="20"/>
                <w:szCs w:val="20"/>
                <w:color w:val="auto"/>
              </w:rPr>
            </w:pPr>
            <w:r>
              <w:rPr>
                <w:rFonts w:ascii="Arial" w:cs="Arial" w:eastAsia="Arial" w:hAnsi="Arial"/>
                <w:sz w:val="16"/>
                <w:szCs w:val="16"/>
                <w:color w:val="auto"/>
              </w:rPr>
              <w:t>528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Certain legal and tax settlements, reserves and expenses</w:t>
            </w:r>
          </w:p>
        </w:tc>
        <w:tc>
          <w:tcPr>
            <w:tcW w:w="1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5"/>
        </w:trPr>
        <w:tc>
          <w:tcPr>
            <w:tcW w:w="6360" w:type="dxa"/>
            <w:vAlign w:val="bottom"/>
          </w:tcPr>
          <w:p>
            <w:pPr>
              <w:ind w:left="20"/>
              <w:spacing w:after="0"/>
              <w:rPr>
                <w:sz w:val="20"/>
                <w:szCs w:val="20"/>
                <w:color w:val="auto"/>
              </w:rPr>
            </w:pPr>
            <w:r>
              <w:rPr>
                <w:rFonts w:ascii="Arial" w:cs="Arial" w:eastAsia="Arial" w:hAnsi="Arial"/>
                <w:sz w:val="16"/>
                <w:szCs w:val="16"/>
                <w:color w:val="auto"/>
              </w:rPr>
              <w:t>Adjusted EBITDA (non-GAAP)</w:t>
            </w:r>
          </w:p>
        </w:tc>
        <w:tc>
          <w:tcPr>
            <w:tcW w:w="1260" w:type="dxa"/>
            <w:vAlign w:val="bottom"/>
            <w:tcBorders>
              <w:top w:val="single" w:sz="8" w:color="auto"/>
              <w:bottom w:val="single" w:sz="8" w:color="auto"/>
            </w:tcBorders>
          </w:tcPr>
          <w:p>
            <w:pPr>
              <w:jc w:val="right"/>
              <w:ind w:right="1088"/>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3"/>
                <w:szCs w:val="13"/>
                <w:color w:val="auto"/>
              </w:rPr>
              <w:t>________________</w:t>
            </w: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36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Assumes an initial public offering price of $40.00, which is the mid-point of the estimated offering price range set forth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260"/>
          </w:cols>
          <w:pgMar w:left="320" w:top="1440" w:right="319" w:bottom="1440" w:gutter="0" w:footer="0" w:header="0"/>
        </w:sectPr>
      </w:pPr>
    </w:p>
    <w:bookmarkStart w:id="161" w:name="page162"/>
    <w:bookmarkEnd w:id="161"/>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Key Factors Driving Our Performance</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Growing our Customer Base</w:t>
      </w:r>
    </w:p>
    <w:p>
      <w:pPr>
        <w:spacing w:after="0" w:line="179" w:lineRule="exact"/>
        <w:rPr>
          <w:sz w:val="20"/>
          <w:szCs w:val="20"/>
          <w:color w:val="auto"/>
        </w:rPr>
      </w:pPr>
    </w:p>
    <w:p>
      <w:pPr>
        <w:jc w:val="both"/>
        <w:ind w:firstLine="287"/>
        <w:spacing w:after="0" w:line="269" w:lineRule="auto"/>
        <w:rPr>
          <w:sz w:val="20"/>
          <w:szCs w:val="20"/>
          <w:color w:val="auto"/>
        </w:rPr>
      </w:pPr>
      <w:r>
        <w:rPr>
          <w:rFonts w:ascii="Arial" w:cs="Arial" w:eastAsia="Arial" w:hAnsi="Arial"/>
          <w:sz w:val="15"/>
          <w:szCs w:val="15"/>
          <w:color w:val="auto"/>
        </w:rPr>
        <w:t>Sustaining our growth requires continued adoption of our platform by new customers. We have grown rapidly over the last few years. In particular, for the years ended 2019 and 2020, Net Cumulative Funded Accounts were 5.1 million and 12.5 million, respectively, representing a 143% growth rate. In addition, for the three months ended March 31, 2021, during which we experienced high trading volume and account sign-ups, as well as high market volatility, particularly in certain market sectors, we had Net Cumulative Funded Accounts of 18.0 million, as compared to 7.2 million as of March 31, 2020, representing a 151% growth rate. We will continue to introduce products and features to attract new customers and we will seek to increase brand awareness and customer adoption of our platform through the Robinhood Referral Program and digital and broad-scale advertising. However, the circumstances that have accelerated the growth of our customer base in recent periods may not continue in the future, and we do not expect the growth rates in our Net Cumulative Funded Accounts to be sustainable in future periods as we achieve higher market adoption rates. See “—Our Business Model—New Customer Growth” above for more information.</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the Net Cumulative Funded Accounts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20" w:type="dxa"/>
            <w:vAlign w:val="bottom"/>
          </w:tcPr>
          <w:p>
            <w:pPr>
              <w:spacing w:after="0"/>
              <w:rPr>
                <w:sz w:val="13"/>
                <w:szCs w:val="13"/>
                <w:color w:val="auto"/>
              </w:rPr>
            </w:pPr>
          </w:p>
        </w:tc>
        <w:tc>
          <w:tcPr>
            <w:tcW w:w="3060" w:type="dxa"/>
            <w:vAlign w:val="bottom"/>
            <w:gridSpan w:val="4"/>
            <w:vMerge w:val="restart"/>
          </w:tcPr>
          <w:p>
            <w:pPr>
              <w:ind w:left="720"/>
              <w:spacing w:after="0"/>
              <w:rPr>
                <w:sz w:val="20"/>
                <w:szCs w:val="20"/>
                <w:color w:val="auto"/>
              </w:rPr>
            </w:pPr>
            <w:r>
              <w:rPr>
                <w:rFonts w:ascii="Arial" w:cs="Arial" w:eastAsia="Arial" w:hAnsi="Arial"/>
                <w:sz w:val="13"/>
                <w:szCs w:val="13"/>
                <w:b w:val="1"/>
                <w:bCs w:val="1"/>
                <w:color w:val="auto"/>
              </w:rPr>
              <w:t>Year Ended December 31,</w:t>
            </w:r>
          </w:p>
        </w:tc>
        <w:tc>
          <w:tcPr>
            <w:tcW w:w="2980" w:type="dxa"/>
            <w:vAlign w:val="bottom"/>
            <w:gridSpan w:val="4"/>
          </w:tcPr>
          <w:p>
            <w:pPr>
              <w:jc w:val="right"/>
              <w:ind w:right="783"/>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3060" w:type="dxa"/>
            <w:vAlign w:val="bottom"/>
            <w:gridSpan w:val="4"/>
            <w:vMerge w:val="continue"/>
          </w:tcPr>
          <w:p>
            <w:pPr>
              <w:spacing w:after="0"/>
              <w:rPr>
                <w:sz w:val="13"/>
                <w:szCs w:val="13"/>
                <w:color w:val="auto"/>
              </w:rPr>
            </w:pPr>
          </w:p>
        </w:tc>
        <w:tc>
          <w:tcPr>
            <w:tcW w:w="1940" w:type="dxa"/>
            <w:vAlign w:val="bottom"/>
            <w:gridSpan w:val="3"/>
          </w:tcPr>
          <w:p>
            <w:pPr>
              <w:ind w:left="1200"/>
              <w:spacing w:after="0"/>
              <w:rPr>
                <w:sz w:val="20"/>
                <w:szCs w:val="20"/>
                <w:color w:val="auto"/>
              </w:rPr>
            </w:pPr>
            <w:r>
              <w:rPr>
                <w:rFonts w:ascii="Arial" w:cs="Arial" w:eastAsia="Arial" w:hAnsi="Arial"/>
                <w:sz w:val="13"/>
                <w:szCs w:val="13"/>
                <w:b w:val="1"/>
                <w:bCs w:val="1"/>
                <w:color w:val="auto"/>
              </w:rPr>
              <w:t>March 31,</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144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95"/>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440" w:type="dxa"/>
            <w:vAlign w:val="bottom"/>
            <w:shd w:val="clear" w:color="auto" w:fill="CCEEFF"/>
          </w:tcPr>
          <w:p>
            <w:pPr>
              <w:jc w:val="center"/>
              <w:ind w:left="1025"/>
              <w:spacing w:after="0"/>
              <w:rPr>
                <w:sz w:val="20"/>
                <w:szCs w:val="20"/>
                <w:color w:val="auto"/>
              </w:rPr>
            </w:pPr>
            <w:r>
              <w:rPr>
                <w:rFonts w:ascii="Arial" w:cs="Arial" w:eastAsia="Arial" w:hAnsi="Arial"/>
                <w:sz w:val="16"/>
                <w:szCs w:val="16"/>
                <w:color w:val="auto"/>
                <w:w w:val="98"/>
              </w:rPr>
              <w:t>3.3</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ind w:left="983"/>
              <w:spacing w:after="0"/>
              <w:rPr>
                <w:sz w:val="20"/>
                <w:szCs w:val="20"/>
                <w:color w:val="auto"/>
              </w:rPr>
            </w:pPr>
            <w:r>
              <w:rPr>
                <w:rFonts w:ascii="Arial" w:cs="Arial" w:eastAsia="Arial" w:hAnsi="Arial"/>
                <w:sz w:val="16"/>
                <w:szCs w:val="16"/>
                <w:color w:val="auto"/>
                <w:w w:val="98"/>
              </w:rPr>
              <w:t>5.1</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ind w:left="1026"/>
              <w:spacing w:after="0"/>
              <w:rPr>
                <w:sz w:val="20"/>
                <w:szCs w:val="20"/>
                <w:color w:val="auto"/>
              </w:rPr>
            </w:pPr>
            <w:r>
              <w:rPr>
                <w:rFonts w:ascii="Arial" w:cs="Arial" w:eastAsia="Arial" w:hAnsi="Arial"/>
                <w:sz w:val="16"/>
                <w:szCs w:val="16"/>
                <w:color w:val="auto"/>
                <w:w w:val="98"/>
              </w:rPr>
              <w:t>5.1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6"/>
                <w:szCs w:val="16"/>
                <w:color w:val="auto"/>
              </w:rPr>
              <w:t>New funded accounts</w:t>
            </w:r>
          </w:p>
        </w:tc>
        <w:tc>
          <w:tcPr>
            <w:tcW w:w="1440" w:type="dxa"/>
            <w:vAlign w:val="bottom"/>
          </w:tcPr>
          <w:p>
            <w:pPr>
              <w:jc w:val="center"/>
              <w:ind w:left="1025"/>
              <w:spacing w:after="0"/>
              <w:rPr>
                <w:sz w:val="20"/>
                <w:szCs w:val="20"/>
                <w:color w:val="auto"/>
              </w:rPr>
            </w:pPr>
            <w:r>
              <w:rPr>
                <w:rFonts w:ascii="Arial" w:cs="Arial" w:eastAsia="Arial" w:hAnsi="Arial"/>
                <w:sz w:val="16"/>
                <w:szCs w:val="16"/>
                <w:color w:val="auto"/>
                <w:w w:val="98"/>
              </w:rPr>
              <w:t>2.3</w:t>
            </w:r>
          </w:p>
        </w:tc>
        <w:tc>
          <w:tcPr>
            <w:tcW w:w="100" w:type="dxa"/>
            <w:vAlign w:val="bottom"/>
          </w:tcPr>
          <w:p>
            <w:pPr>
              <w:spacing w:after="0"/>
              <w:rPr>
                <w:sz w:val="17"/>
                <w:szCs w:val="17"/>
                <w:color w:val="auto"/>
              </w:rPr>
            </w:pPr>
          </w:p>
        </w:tc>
        <w:tc>
          <w:tcPr>
            <w:tcW w:w="1440" w:type="dxa"/>
            <w:vAlign w:val="bottom"/>
          </w:tcPr>
          <w:p>
            <w:pPr>
              <w:jc w:val="center"/>
              <w:ind w:left="983"/>
              <w:spacing w:after="0"/>
              <w:rPr>
                <w:sz w:val="20"/>
                <w:szCs w:val="20"/>
                <w:color w:val="auto"/>
              </w:rPr>
            </w:pPr>
            <w:r>
              <w:rPr>
                <w:rFonts w:ascii="Arial" w:cs="Arial" w:eastAsia="Arial" w:hAnsi="Arial"/>
                <w:sz w:val="16"/>
                <w:szCs w:val="16"/>
                <w:color w:val="auto"/>
                <w:w w:val="98"/>
              </w:rPr>
              <w:t>8.0</w:t>
            </w:r>
          </w:p>
        </w:tc>
        <w:tc>
          <w:tcPr>
            <w:tcW w:w="80" w:type="dxa"/>
            <w:vAlign w:val="bottom"/>
          </w:tcPr>
          <w:p>
            <w:pPr>
              <w:spacing w:after="0"/>
              <w:rPr>
                <w:sz w:val="17"/>
                <w:szCs w:val="17"/>
                <w:color w:val="auto"/>
              </w:rPr>
            </w:pPr>
          </w:p>
        </w:tc>
        <w:tc>
          <w:tcPr>
            <w:tcW w:w="1440" w:type="dxa"/>
            <w:vAlign w:val="bottom"/>
          </w:tcPr>
          <w:p>
            <w:pPr>
              <w:jc w:val="center"/>
              <w:ind w:left="1026"/>
              <w:spacing w:after="0"/>
              <w:rPr>
                <w:sz w:val="20"/>
                <w:szCs w:val="20"/>
                <w:color w:val="auto"/>
              </w:rPr>
            </w:pPr>
            <w:r>
              <w:rPr>
                <w:rFonts w:ascii="Arial" w:cs="Arial" w:eastAsia="Arial" w:hAnsi="Arial"/>
                <w:sz w:val="16"/>
                <w:szCs w:val="16"/>
                <w:color w:val="auto"/>
                <w:w w:val="98"/>
              </w:rPr>
              <w:t>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Resurrected accounts</w:t>
            </w:r>
          </w:p>
        </w:tc>
        <w:tc>
          <w:tcPr>
            <w:tcW w:w="1440" w:type="dxa"/>
            <w:vAlign w:val="bottom"/>
            <w:shd w:val="clear" w:color="auto" w:fill="CCEEFF"/>
          </w:tcPr>
          <w:p>
            <w:pPr>
              <w:jc w:val="center"/>
              <w:ind w:left="1025"/>
              <w:spacing w:after="0"/>
              <w:rPr>
                <w:sz w:val="20"/>
                <w:szCs w:val="20"/>
                <w:color w:val="auto"/>
              </w:rPr>
            </w:pPr>
            <w:r>
              <w:rPr>
                <w:rFonts w:ascii="Arial" w:cs="Arial" w:eastAsia="Arial" w:hAnsi="Arial"/>
                <w:sz w:val="16"/>
                <w:szCs w:val="16"/>
                <w:color w:val="auto"/>
                <w:w w:val="98"/>
              </w:rPr>
              <w:t>0.2</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ind w:left="983"/>
              <w:spacing w:after="0"/>
              <w:rPr>
                <w:sz w:val="20"/>
                <w:szCs w:val="20"/>
                <w:color w:val="auto"/>
              </w:rPr>
            </w:pPr>
            <w:r>
              <w:rPr>
                <w:rFonts w:ascii="Arial" w:cs="Arial" w:eastAsia="Arial" w:hAnsi="Arial"/>
                <w:sz w:val="16"/>
                <w:szCs w:val="16"/>
                <w:color w:val="auto"/>
                <w:w w:val="98"/>
              </w:rPr>
              <w:t>0.3</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ind w:left="1026"/>
              <w:spacing w:after="0"/>
              <w:rPr>
                <w:sz w:val="20"/>
                <w:szCs w:val="20"/>
                <w:color w:val="auto"/>
              </w:rPr>
            </w:pPr>
            <w:r>
              <w:rPr>
                <w:rFonts w:ascii="Arial" w:cs="Arial" w:eastAsia="Arial" w:hAnsi="Arial"/>
                <w:sz w:val="16"/>
                <w:szCs w:val="16"/>
                <w:color w:val="auto"/>
                <w:w w:val="98"/>
              </w:rPr>
              <w:t>0.2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churned accounts</w:t>
            </w:r>
          </w:p>
        </w:tc>
        <w:tc>
          <w:tcPr>
            <w:tcW w:w="1440" w:type="dxa"/>
            <w:vAlign w:val="bottom"/>
            <w:tcBorders>
              <w:bottom w:val="single" w:sz="8" w:color="auto"/>
            </w:tcBorders>
          </w:tcPr>
          <w:p>
            <w:pPr>
              <w:jc w:val="center"/>
              <w:ind w:left="1005"/>
              <w:spacing w:after="0"/>
              <w:rPr>
                <w:sz w:val="20"/>
                <w:szCs w:val="20"/>
                <w:color w:val="auto"/>
              </w:rPr>
            </w:pPr>
            <w:r>
              <w:rPr>
                <w:rFonts w:ascii="Arial" w:cs="Arial" w:eastAsia="Arial" w:hAnsi="Arial"/>
                <w:sz w:val="16"/>
                <w:szCs w:val="16"/>
                <w:color w:val="auto"/>
                <w:w w:val="97"/>
              </w:rPr>
              <w:t>(0.7)</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ind w:left="963"/>
              <w:spacing w:after="0"/>
              <w:rPr>
                <w:sz w:val="20"/>
                <w:szCs w:val="20"/>
                <w:color w:val="auto"/>
              </w:rPr>
            </w:pPr>
            <w:r>
              <w:rPr>
                <w:rFonts w:ascii="Arial" w:cs="Arial" w:eastAsia="Arial" w:hAnsi="Arial"/>
                <w:sz w:val="16"/>
                <w:szCs w:val="16"/>
                <w:color w:val="auto"/>
                <w:w w:val="97"/>
              </w:rPr>
              <w:t>(0.9)</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ind w:left="1006"/>
              <w:spacing w:after="0"/>
              <w:rPr>
                <w:sz w:val="20"/>
                <w:szCs w:val="20"/>
                <w:color w:val="auto"/>
              </w:rPr>
            </w:pPr>
            <w:r>
              <w:rPr>
                <w:rFonts w:ascii="Arial" w:cs="Arial" w:eastAsia="Arial" w:hAnsi="Arial"/>
                <w:sz w:val="16"/>
                <w:szCs w:val="16"/>
                <w:color w:val="auto"/>
                <w:w w:val="97"/>
              </w:rPr>
              <w:t>(0.1)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5"/>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ind w:left="1003"/>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ind w:left="1200"/>
              <w:spacing w:after="0"/>
              <w:rPr>
                <w:sz w:val="20"/>
                <w:szCs w:val="20"/>
                <w:color w:val="auto"/>
              </w:rPr>
            </w:pPr>
            <w:r>
              <w:rPr>
                <w:rFonts w:ascii="Arial" w:cs="Arial" w:eastAsia="Arial" w:hAnsi="Arial"/>
                <w:sz w:val="16"/>
                <w:szCs w:val="16"/>
                <w:color w:val="auto"/>
                <w:w w:val="98"/>
              </w:rPr>
              <w:t>7.2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Expanding Our Relationship with Existing Customers</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revenue has continued to grow as we have introduced new products and features to our customers and as our customers have increased their usage of our platform. As discussed in “—Overview” and “—Key Performance Metrics” above, we have experienced significant increases in revenue, DAU, MAU, AUC and Net Cumulative Funded Accounts over the past year. However, the circumstances that have accelerated the growth of our business may not continue in the future. We aim to grow with our customers over time and to grow our relationship with our customers as they build and manage their wealth. Our ability to expand our relationship with our customers will be an important contributor to our long-term growth. See “—Our Business Model—Customer Relationship Expansion” above for more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Investing in Our Platform</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intend to continue to invest in our platform capabilities and regulatory and compliance functions to support new and existing customers and products that we believe will drive our growth. As our customer base and platform functionalities expand, areas of investment priority include product innovation, educational content, technology and infrastructure improvements and customer support. We believe these investments will contribute to our long-term growth.</w:t>
      </w:r>
    </w:p>
    <w:p>
      <w:pPr>
        <w:spacing w:after="0" w:line="14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Additionally, we strive to strengthen our relationships with our customers by responding to customer feedback not only through the introduction of new products, but also through improvements to our existing products and services. For example, in response to customer feedback and concerns about longer wait times for customer support, in 2020 we more than tripled the number of our dedicated customer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260"/>
          </w:cols>
          <w:pgMar w:left="320" w:top="1440" w:right="319" w:bottom="1440" w:gutter="0" w:footer="0" w:header="0"/>
        </w:sectPr>
      </w:pPr>
    </w:p>
    <w:bookmarkStart w:id="162" w:name="page163"/>
    <w:bookmarkEnd w:id="162"/>
    <w:p>
      <w:pPr>
        <w:spacing w:after="0" w:line="2"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professionals and began a roll-out of our live, phone-based voice support option to serve customers with respect to certain time-sensitive options trading issues, and have continued, and expect to continue, to expand phone-based support to more use cases. See “Business—Harnessing Our Platform—Customer Support.” Additionally, in response to the March 2020 outages, we upgraded our platform infrastructure to improve our overall stability and made investments to scale our system load capacity so that we can handle multiples of peak historical trading and usage volumes going forward.</w:t>
      </w:r>
    </w:p>
    <w:p>
      <w:pPr>
        <w:spacing w:after="0" w:line="15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expect to increase the headcount number of our engineering and customer service by more than double and our regulatory and compliance professionals by more than triple by end of fiscal year 2021, compared to fiscal year 2020. These additional employees will be staffed on projects to enhance platform capabilities, drive product innovation and improve customer support, as well as to undertake regulatory and compliance functions. As of March 31, 2021, we had added approximately 20% of the expected additional headcount of our engineering and customer service and almost 30% of the expected additional headcount of our regulatory and compliance professionals.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Customer Interest in Investing and Saving</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Our results of operations are impacted by the overall health of the economy and retail investing and saving behaviors, which include the following key drivers:</w:t>
      </w:r>
    </w:p>
    <w:p>
      <w:pPr>
        <w:spacing w:after="0" w:line="135" w:lineRule="exact"/>
        <w:rPr>
          <w:sz w:val="20"/>
          <w:szCs w:val="20"/>
          <w:color w:val="auto"/>
        </w:rPr>
      </w:pPr>
    </w:p>
    <w:p>
      <w:pPr>
        <w:ind w:left="560" w:right="20" w:hanging="278"/>
        <w:spacing w:after="0" w:line="280" w:lineRule="auto"/>
        <w:tabs>
          <w:tab w:leader="none" w:pos="556"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Seasonality</w:t>
      </w:r>
      <w:r>
        <w:rPr>
          <w:rFonts w:ascii="Arial" w:cs="Arial" w:eastAsia="Arial" w:hAnsi="Arial"/>
          <w:sz w:val="16"/>
          <w:szCs w:val="16"/>
          <w:color w:val="auto"/>
        </w:rPr>
        <w:t>. We believe investment activity will vary throughout a calendar year. Given traditional consumer behavior, we expect to see more new</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 the first calendar quarter.</w:t>
      </w:r>
    </w:p>
    <w:p>
      <w:pPr>
        <w:spacing w:after="0" w:line="108" w:lineRule="exact"/>
        <w:rPr>
          <w:rFonts w:ascii="Arial" w:cs="Arial" w:eastAsia="Arial" w:hAnsi="Arial"/>
          <w:sz w:val="16"/>
          <w:szCs w:val="16"/>
          <w:color w:val="auto"/>
        </w:rPr>
      </w:pPr>
    </w:p>
    <w:p>
      <w:pPr>
        <w:jc w:val="both"/>
        <w:ind w:left="560" w:hanging="278"/>
        <w:spacing w:after="0" w:line="259" w:lineRule="auto"/>
        <w:tabs>
          <w:tab w:leader="none" w:pos="556"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Consumer Behavior</w:t>
      </w:r>
      <w:r>
        <w:rPr>
          <w:rFonts w:ascii="Arial" w:cs="Arial" w:eastAsia="Arial" w:hAnsi="Arial"/>
          <w:sz w:val="16"/>
          <w:szCs w:val="16"/>
          <w:color w:val="auto"/>
        </w:rPr>
        <w:t>. Consumer behavior varies over time and is affected by numerous conditions. For example, behavior may be impacted by social or</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factors such as changes in disposable income levels, general interest in investing and stock market volatility. There may also be high profile initial public offerings, or idiosyncratic events impacting single companies, that impact consumer behavior. These shifts in consumer behavior may influence interest in our products over time.</w:t>
      </w:r>
    </w:p>
    <w:p>
      <w:pPr>
        <w:spacing w:after="0" w:line="125" w:lineRule="exact"/>
        <w:rPr>
          <w:rFonts w:ascii="Arial" w:cs="Arial" w:eastAsia="Arial" w:hAnsi="Arial"/>
          <w:sz w:val="16"/>
          <w:szCs w:val="16"/>
          <w:color w:val="auto"/>
        </w:rPr>
      </w:pPr>
    </w:p>
    <w:p>
      <w:pPr>
        <w:jc w:val="both"/>
        <w:ind w:left="560" w:hanging="278"/>
        <w:spacing w:after="0" w:line="257" w:lineRule="auto"/>
        <w:tabs>
          <w:tab w:leader="none" w:pos="556"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Market Trends</w:t>
      </w:r>
      <w:r>
        <w:rPr>
          <w:rFonts w:ascii="Arial" w:cs="Arial" w:eastAsia="Arial" w:hAnsi="Arial"/>
          <w:sz w:val="16"/>
          <w:szCs w:val="16"/>
          <w:color w:val="auto"/>
        </w:rPr>
        <w:t>. As financial markets grow and contract, our customers’ investing, saving, and spending behaviors are affected. Although our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history has coincided with a period of general macroeconomic growth in the United States, particularly in the U.S. equity markets, stimulating growth in overall investment activity on our platform, we may be impacted by any slowdowns in growth or downturns in the U.S. equity markets. For example, we saw trading activity slow in the month ending October 31, 2020, coinciding with a downturn in the broader U.S. equity market, and as a result transaction-based revenue decreased 9% from the month prior.</w:t>
      </w:r>
    </w:p>
    <w:p>
      <w:pPr>
        <w:spacing w:after="0" w:line="138" w:lineRule="exact"/>
        <w:rPr>
          <w:rFonts w:ascii="Arial" w:cs="Arial" w:eastAsia="Arial" w:hAnsi="Arial"/>
          <w:sz w:val="16"/>
          <w:szCs w:val="16"/>
          <w:color w:val="auto"/>
        </w:rPr>
      </w:pPr>
    </w:p>
    <w:p>
      <w:pPr>
        <w:jc w:val="both"/>
        <w:ind w:left="560" w:right="20" w:hanging="278"/>
        <w:spacing w:after="0" w:line="254" w:lineRule="auto"/>
        <w:tabs>
          <w:tab w:leader="none" w:pos="556"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Macroeconomic Events</w:t>
      </w:r>
      <w:r>
        <w:rPr>
          <w:rFonts w:ascii="Arial" w:cs="Arial" w:eastAsia="Arial" w:hAnsi="Arial"/>
          <w:sz w:val="16"/>
          <w:szCs w:val="16"/>
          <w:color w:val="auto"/>
        </w:rPr>
        <w:t>. Customer behavior is impacted by the overall macroeconomic environment, which is influenced by events such as the ongoing</w:t>
      </w:r>
      <w:r>
        <w:rPr>
          <w:rFonts w:ascii="Arial" w:cs="Arial" w:eastAsia="Arial" w:hAnsi="Arial"/>
          <w:sz w:val="16"/>
          <w:szCs w:val="16"/>
          <w:i w:val="1"/>
          <w:iCs w:val="1"/>
          <w:color w:val="auto"/>
        </w:rPr>
        <w:t xml:space="preserve"> </w:t>
      </w:r>
      <w:r>
        <w:rPr>
          <w:rFonts w:ascii="Arial" w:cs="Arial" w:eastAsia="Arial" w:hAnsi="Arial"/>
          <w:sz w:val="16"/>
          <w:szCs w:val="16"/>
          <w:color w:val="auto"/>
        </w:rPr>
        <w:t>COVID-19 pandemic (including COVID-19 vaccine development and responsive measures taken by the U.S. government) as well as its effects on both global business and individuals’ behavior. Since the onset of the COVID-19 pandemic in March 2020, we have seen substantial growth in our customer base, retention, engagement and trading activity metrics. It is uncertain whether these trends and behavioral shifts will continue as reopening measures continue, and we may not be able to maintain the customer base we gained, or the rate of growth in our customer base that we experienced, throughout the COVID-19 pandemic. Other macroeconomic conditions that could impact customer behavior include employment rates, natural disasters and other political or economic events.</w:t>
      </w:r>
    </w:p>
    <w:p>
      <w:pPr>
        <w:spacing w:after="0" w:line="147"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For more information about how market trends and macroeconomic events can adversely impact our results of operations, see “Risk Factors—Risks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260"/>
          </w:cols>
          <w:pgMar w:left="320" w:top="1440" w:right="319" w:bottom="1440" w:gutter="0" w:footer="0" w:header="0"/>
        </w:sectPr>
      </w:pPr>
    </w:p>
    <w:bookmarkStart w:id="163" w:name="page164"/>
    <w:bookmarkEnd w:id="163"/>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Key Components of our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Transaction-based revenues</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Transaction-based revenues consist of amount earned from routing customer orders for options, equities and cryptocurrencies to market makers. When customers place orders for equities, options or cryptocurrencies on our platform, we route these orders to market makers and we receive consideration from those brokers. With respect to equities and options trading, such fees are known as PFOF. With respect to cryptocurrency trading, we receive “Transaction Rebates.” In the case of equities, the fees we receive are typically based on the size of the publicly quoted bid-ask spread for the security being traded; that is, we receive a fixed percentage of the difference between the publicly quoted bid and ask at the time the trade is executed. For options, our fee is on a per contract basis based on the underlying security. In the case of cryptocurrencies, our rebate is a fixed percentage of the notional order value. Within each asset class, whether equities, options or cryptocurrencies, the transaction-based revenue we earn is calculated in an identical manner among all participating market makers. We route equity and option orders in priority to participating market makers that we believe are most likely to give our customers the best execution, based on historical performance, and we do not consider transaction fees when routing orders. For cryptocurrency orders, we route to various market makers that we believe offer competitive pricing, and we do not consider Transaction Rebates when routing cryptocurrency orders.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interest revenues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interest revenues consist of interest revenues less interest expenses.</w:t>
      </w:r>
    </w:p>
    <w:p>
      <w:pPr>
        <w:spacing w:after="0" w:line="163"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We earn interest revenues and incur interest expenses on securities lending transactions. We also earn interest revenues on margin loans to users, as well as on our segregated cash, cash and cash equivalents, and deposits with clearing organizations. We also incur interest expenses in connection with our revolving credit facilities.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revenues</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Other revenues primarily consist of Robinhood Gold, a monthly paid subscription service that provides users with premium features such as enhanced instant deposits, professional research, Nasdaq Level II market data and, upon approval, access to margin investing. Other revenues also include proxy rebate revenues and miscellaneous fees charged to users.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Brokerage and transaction</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Brokerage and transaction costs primarily consist of fees paid to centralized clearinghouses, regulatory fees, market data expenses, compensation and benefits, including share-based compensation, for employees engaged in clearing and brokerage functions and allocated overhead. A large portion of our brokerage and transaction costs are variable and tied to trading and transaction volumes on our platform.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Technology and development</w:t>
      </w:r>
    </w:p>
    <w:p>
      <w:pPr>
        <w:spacing w:after="0" w:line="19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Technology and development costs primarily consist of compensation and benefits, including share-based compensation, for engineering, data science and design personnel, costs incurred to support and improve our platform and develop new products, costs associated with computer hardware and software, including amortization of internally developed software, and allocated overhead. We intend to continue to invest in technology and development for the foreseeable future as we focus on developing new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260"/>
          </w:cols>
          <w:pgMar w:left="320" w:top="1440" w:right="319" w:bottom="1440" w:gutter="0" w:footer="0" w:header="0"/>
        </w:sectPr>
      </w:pPr>
    </w:p>
    <w:bookmarkStart w:id="164" w:name="page165"/>
    <w:bookmarkEnd w:id="164"/>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enhancements on our platform, while also developing new products to serve the needs of our customers.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Operations costs primarily consist of customer service related expenses, including compensation and benefits, which includes share-based compensation, for employees engaged in customer support, third-party customer service vendors, customer onboarding and account verification as well as allocated overhead. We plan to continue to invest in customer service-related expenses, including the costs associated with expanding our customer support functions, such as phone-based voice support, to adequately support the significant growth in our user base.</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Operations costs also include our provision for credit losses in connection with unrecoverable receivables due to Fraudulent Deposit Transactions. “Fraudulent Deposit Transactions” occur when users initiate deposits into their accounts, make unsuccessful trades on our platform using a short-term extension of credit from us, and then repatriate or reverse the deposits, resulting in a loss to us of the credited amount. The provision for credit loss is equal to the unsecured receivable balance owed by users, i.e., the difference between the amount due from users and the fair value of the assets in the users account, and we write-off the receivable balance when it has become outstanding for over 180 days. We seek to reduce Fraudulent Deposit Transactions by deploying and iterating on machine learning models that identify high-risk users and transactions on our platform. In addition, upon identifying high risk users and transactions, we seek to prevent further losses by introducing friction into the user experience (for example, by not offering the identified customer access to instant funds) or implementing restrictions to mitigate the risk of these transactions (such as temporarily restricting withdrawals). While the total number of Fraudulent Deposit Transactions and the average dollar amount of each Fraudulent Deposit Transaction has increased over the periods presented, the percentage of total Net Funded Accounts that have made Fraudulent Deposit Transactions has decreased due to the efforts described above. Due to the fraudulent nature of these transactions, recourse and collection of the funds is limited. The provision for credit losses also includes an immaterial amount of losses related to our margin lending and proxy rebate activities.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w:t>
      </w:r>
    </w:p>
    <w:p>
      <w:pPr>
        <w:spacing w:after="0" w:line="179"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Marketing costs primarily consist of expenses associated with the Robinhood Referral Program, production and placement of advertisements in various media outlets, including online and on television, and customer goodwill, which primarily relates to costs to remediate losses experienced by our customers due to service interruptions on our platform and reimbursement of direct losses that happen due to unauthorized activity that is not the fault of our customer. Marketing costs also include compensation and benefits, including share-based compensation, for employees engaged in the marketing function and allocated overhead. We plan to continue to invest in marketing efforts through the Robinhood Referral Program and other media outlets to support growing our user base. See “—Our Business Model—New Customer Growth” above for more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9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General and administrative costs primarily consist of compensation and benefits, including share-based compensation, for certain executives as well as employees engaged in legal, finance, human resources, risk, and compliance. General and administrative costs also include legal settlements and professional fees, such as, but not limited to, legal, audit and accounting fees, as well as allocated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260"/>
          </w:cols>
          <w:pgMar w:left="320" w:top="1440" w:right="319" w:bottom="1440" w:gutter="0" w:footer="0" w:header="0"/>
        </w:sectPr>
      </w:pPr>
    </w:p>
    <w:bookmarkStart w:id="165" w:name="page166"/>
    <w:bookmarkEnd w:id="165"/>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Results of Operations</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our consolidated statements of operations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gridSpan w:val="7"/>
            <w:vMerge w:val="restart"/>
          </w:tcPr>
          <w:p>
            <w:pPr>
              <w:jc w:val="right"/>
              <w:ind w:right="191"/>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00" w:type="dxa"/>
            <w:vAlign w:val="bottom"/>
            <w:gridSpan w:val="8"/>
          </w:tcPr>
          <w:p>
            <w:pPr>
              <w:ind w:left="30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7"/>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3"/>
                <w:szCs w:val="13"/>
                <w:b w:val="1"/>
                <w:bCs w:val="1"/>
                <w:color w:val="auto"/>
                <w:w w:val="99"/>
              </w:rPr>
              <w:t>March 31,</w:t>
            </w:r>
          </w:p>
        </w:tc>
        <w:tc>
          <w:tcPr>
            <w:tcW w:w="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40" w:type="dxa"/>
            <w:vAlign w:val="bottom"/>
            <w:gridSpan w:val="2"/>
          </w:tcPr>
          <w:p>
            <w:pPr>
              <w:ind w:left="200"/>
              <w:spacing w:after="0"/>
              <w:rPr>
                <w:sz w:val="20"/>
                <w:szCs w:val="20"/>
                <w:color w:val="auto"/>
              </w:rPr>
            </w:pPr>
            <w:r>
              <w:rPr>
                <w:rFonts w:ascii="Arial" w:cs="Arial" w:eastAsia="Arial" w:hAnsi="Arial"/>
                <w:sz w:val="14"/>
                <w:szCs w:val="14"/>
                <w:color w:val="auto"/>
              </w:rPr>
              <w:t>Transaction-based revenues</w:t>
            </w:r>
          </w:p>
        </w:tc>
        <w:tc>
          <w:tcPr>
            <w:tcW w:w="780" w:type="dxa"/>
            <w:vAlign w:val="bottom"/>
            <w:gridSpan w:val="2"/>
          </w:tcPr>
          <w:p>
            <w:pPr>
              <w:jc w:val="right"/>
              <w:ind w:right="364"/>
              <w:spacing w:after="0"/>
              <w:rPr>
                <w:sz w:val="20"/>
                <w:szCs w:val="20"/>
                <w:color w:val="auto"/>
              </w:rPr>
            </w:pPr>
            <w:r>
              <w:rPr>
                <w:rFonts w:ascii="Arial" w:cs="Arial" w:eastAsia="Arial" w:hAnsi="Arial"/>
                <w:sz w:val="14"/>
                <w:szCs w:val="14"/>
                <w:color w:val="auto"/>
              </w:rPr>
              <w:t>$</w:t>
            </w:r>
          </w:p>
        </w:tc>
        <w:tc>
          <w:tcPr>
            <w:tcW w:w="800" w:type="dxa"/>
            <w:vAlign w:val="bottom"/>
            <w:gridSpan w:val="4"/>
          </w:tcPr>
          <w:p>
            <w:pPr>
              <w:jc w:val="right"/>
              <w:ind w:right="60"/>
              <w:spacing w:after="0"/>
              <w:rPr>
                <w:sz w:val="20"/>
                <w:szCs w:val="20"/>
                <w:color w:val="auto"/>
              </w:rPr>
            </w:pPr>
            <w:r>
              <w:rPr>
                <w:rFonts w:ascii="Arial" w:cs="Arial" w:eastAsia="Arial" w:hAnsi="Arial"/>
                <w:sz w:val="14"/>
                <w:szCs w:val="14"/>
                <w:color w:val="auto"/>
              </w:rPr>
              <w:t>170,831</w:t>
            </w:r>
          </w:p>
        </w:tc>
        <w:tc>
          <w:tcPr>
            <w:tcW w:w="100" w:type="dxa"/>
            <w:vAlign w:val="bottom"/>
          </w:tcPr>
          <w:p>
            <w:pPr>
              <w:spacing w:after="0"/>
              <w:rPr>
                <w:sz w:val="16"/>
                <w:szCs w:val="16"/>
                <w:color w:val="auto"/>
              </w:rPr>
            </w:pPr>
          </w:p>
        </w:tc>
        <w:tc>
          <w:tcPr>
            <w:tcW w:w="480" w:type="dxa"/>
            <w:vAlign w:val="bottom"/>
          </w:tcPr>
          <w:p>
            <w:pPr>
              <w:jc w:val="right"/>
              <w:ind w:right="314"/>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
              <w:spacing w:after="0"/>
              <w:rPr>
                <w:sz w:val="20"/>
                <w:szCs w:val="20"/>
                <w:color w:val="auto"/>
              </w:rPr>
            </w:pPr>
            <w:r>
              <w:rPr>
                <w:rFonts w:ascii="Arial" w:cs="Arial" w:eastAsia="Arial" w:hAnsi="Arial"/>
                <w:sz w:val="14"/>
                <w:szCs w:val="14"/>
                <w:color w:val="auto"/>
              </w:rPr>
              <w:t>720,133</w:t>
            </w:r>
          </w:p>
        </w:tc>
        <w:tc>
          <w:tcPr>
            <w:tcW w:w="80" w:type="dxa"/>
            <w:vAlign w:val="bottom"/>
          </w:tcPr>
          <w:p>
            <w:pPr>
              <w:spacing w:after="0"/>
              <w:rPr>
                <w:sz w:val="16"/>
                <w:szCs w:val="16"/>
                <w:color w:val="auto"/>
              </w:rPr>
            </w:pPr>
          </w:p>
        </w:tc>
        <w:tc>
          <w:tcPr>
            <w:tcW w:w="440" w:type="dxa"/>
            <w:vAlign w:val="bottom"/>
          </w:tcPr>
          <w:p>
            <w:pPr>
              <w:jc w:val="right"/>
              <w:ind w:right="274"/>
              <w:spacing w:after="0"/>
              <w:rPr>
                <w:sz w:val="20"/>
                <w:szCs w:val="20"/>
                <w:color w:val="auto"/>
              </w:rPr>
            </w:pPr>
            <w:r>
              <w:rPr>
                <w:rFonts w:ascii="Arial" w:cs="Arial" w:eastAsia="Arial" w:hAnsi="Arial"/>
                <w:sz w:val="14"/>
                <w:szCs w:val="14"/>
                <w:color w:val="auto"/>
              </w:rPr>
              <w:t>$</w:t>
            </w:r>
          </w:p>
        </w:tc>
        <w:tc>
          <w:tcPr>
            <w:tcW w:w="880" w:type="dxa"/>
            <w:vAlign w:val="bottom"/>
            <w:gridSpan w:val="4"/>
          </w:tcPr>
          <w:p>
            <w:pPr>
              <w:jc w:val="right"/>
              <w:spacing w:after="0"/>
              <w:rPr>
                <w:sz w:val="20"/>
                <w:szCs w:val="20"/>
                <w:color w:val="auto"/>
              </w:rPr>
            </w:pPr>
            <w:r>
              <w:rPr>
                <w:rFonts w:ascii="Arial" w:cs="Arial" w:eastAsia="Arial" w:hAnsi="Arial"/>
                <w:sz w:val="14"/>
                <w:szCs w:val="14"/>
                <w:color w:val="auto"/>
              </w:rPr>
              <w:t>95,631</w:t>
            </w:r>
          </w:p>
        </w:tc>
        <w:tc>
          <w:tcPr>
            <w:tcW w:w="100" w:type="dxa"/>
            <w:vAlign w:val="bottom"/>
          </w:tcPr>
          <w:p>
            <w:pPr>
              <w:spacing w:after="0"/>
              <w:rPr>
                <w:sz w:val="16"/>
                <w:szCs w:val="16"/>
                <w:color w:val="auto"/>
              </w:rPr>
            </w:pPr>
          </w:p>
        </w:tc>
        <w:tc>
          <w:tcPr>
            <w:tcW w:w="460" w:type="dxa"/>
            <w:vAlign w:val="bottom"/>
          </w:tcPr>
          <w:p>
            <w:pPr>
              <w:jc w:val="right"/>
              <w:ind w:right="294"/>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420,439</w:t>
            </w:r>
          </w:p>
        </w:tc>
        <w:tc>
          <w:tcPr>
            <w:tcW w:w="0" w:type="dxa"/>
            <w:vAlign w:val="bottom"/>
          </w:tcPr>
          <w:p>
            <w:pPr>
              <w:spacing w:after="0"/>
              <w:rPr>
                <w:sz w:val="1"/>
                <w:szCs w:val="1"/>
                <w:color w:val="auto"/>
              </w:rPr>
            </w:pPr>
          </w:p>
        </w:tc>
      </w:tr>
      <w:tr>
        <w:trPr>
          <w:trHeight w:val="194"/>
        </w:trPr>
        <w:tc>
          <w:tcPr>
            <w:tcW w:w="54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interest revenues</w:t>
            </w: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70,639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177,437</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24,016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62,497</w:t>
            </w:r>
          </w:p>
        </w:tc>
        <w:tc>
          <w:tcPr>
            <w:tcW w:w="0" w:type="dxa"/>
            <w:vAlign w:val="bottom"/>
          </w:tcPr>
          <w:p>
            <w:pPr>
              <w:spacing w:after="0"/>
              <w:rPr>
                <w:sz w:val="1"/>
                <w:szCs w:val="1"/>
                <w:color w:val="auto"/>
              </w:rPr>
            </w:pPr>
          </w:p>
        </w:tc>
      </w:tr>
      <w:tr>
        <w:trPr>
          <w:trHeight w:val="188"/>
        </w:trPr>
        <w:tc>
          <w:tcPr>
            <w:tcW w:w="544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revenues</w:t>
            </w:r>
          </w:p>
        </w:tc>
        <w:tc>
          <w:tcPr>
            <w:tcW w:w="2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36,063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61,263</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6"/>
              </w:rPr>
              <w:t>7,903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39,238</w:t>
            </w:r>
          </w:p>
        </w:tc>
        <w:tc>
          <w:tcPr>
            <w:tcW w:w="0" w:type="dxa"/>
            <w:vAlign w:val="bottom"/>
          </w:tcPr>
          <w:p>
            <w:pPr>
              <w:spacing w:after="0"/>
              <w:rPr>
                <w:sz w:val="1"/>
                <w:szCs w:val="1"/>
                <w:color w:val="auto"/>
              </w:rPr>
            </w:pPr>
          </w:p>
        </w:tc>
      </w:tr>
      <w:tr>
        <w:trPr>
          <w:trHeight w:val="186"/>
        </w:trPr>
        <w:tc>
          <w:tcPr>
            <w:tcW w:w="280" w:type="dxa"/>
            <w:vAlign w:val="bottom"/>
            <w:shd w:val="clear" w:color="auto" w:fill="CCEEFF"/>
          </w:tcPr>
          <w:p>
            <w:pPr>
              <w:spacing w:after="0"/>
              <w:rPr>
                <w:sz w:val="16"/>
                <w:szCs w:val="16"/>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net revenues</w:t>
            </w: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277,533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958,833</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127,550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522,174</w:t>
            </w:r>
          </w:p>
        </w:tc>
        <w:tc>
          <w:tcPr>
            <w:tcW w:w="0" w:type="dxa"/>
            <w:vAlign w:val="bottom"/>
          </w:tcPr>
          <w:p>
            <w:pPr>
              <w:spacing w:after="0"/>
              <w:rPr>
                <w:sz w:val="1"/>
                <w:szCs w:val="1"/>
                <w:color w:val="auto"/>
              </w:rPr>
            </w:pPr>
          </w:p>
        </w:tc>
      </w:tr>
      <w:tr>
        <w:trPr>
          <w:trHeight w:val="191"/>
        </w:trPr>
        <w:tc>
          <w:tcPr>
            <w:tcW w:w="5440" w:type="dxa"/>
            <w:vAlign w:val="bottom"/>
            <w:gridSpan w:val="2"/>
          </w:tcPr>
          <w:p>
            <w:pPr>
              <w:ind w:left="20"/>
              <w:spacing w:after="0" w:line="191" w:lineRule="exact"/>
              <w:rPr>
                <w:sz w:val="20"/>
                <w:szCs w:val="20"/>
                <w:color w:val="auto"/>
              </w:rPr>
            </w:pPr>
            <w:r>
              <w:rPr>
                <w:rFonts w:ascii="Arial" w:cs="Arial" w:eastAsia="Arial" w:hAnsi="Arial"/>
                <w:sz w:val="14"/>
                <w:szCs w:val="14"/>
                <w:color w:val="auto"/>
              </w:rPr>
              <w:t>Operating expenses:</w:t>
            </w:r>
            <w:r>
              <w:rPr>
                <w:rFonts w:ascii="Arial" w:cs="Arial" w:eastAsia="Arial" w:hAnsi="Arial"/>
                <w:sz w:val="18"/>
                <w:szCs w:val="18"/>
                <w:color w:val="auto"/>
                <w:vertAlign w:val="superscript"/>
              </w:rPr>
              <w:t>(1)</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Brokerage and transaction</w:t>
            </w: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45,459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111,083</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20,404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41,004</w:t>
            </w:r>
          </w:p>
        </w:tc>
        <w:tc>
          <w:tcPr>
            <w:tcW w:w="0" w:type="dxa"/>
            <w:vAlign w:val="bottom"/>
          </w:tcPr>
          <w:p>
            <w:pPr>
              <w:spacing w:after="0"/>
              <w:rPr>
                <w:sz w:val="1"/>
                <w:szCs w:val="1"/>
                <w:color w:val="auto"/>
              </w:rPr>
            </w:pPr>
          </w:p>
        </w:tc>
      </w:tr>
      <w:tr>
        <w:trPr>
          <w:trHeight w:val="188"/>
        </w:trPr>
        <w:tc>
          <w:tcPr>
            <w:tcW w:w="5440" w:type="dxa"/>
            <w:vAlign w:val="bottom"/>
            <w:gridSpan w:val="2"/>
          </w:tcPr>
          <w:p>
            <w:pPr>
              <w:ind w:left="200"/>
              <w:spacing w:after="0"/>
              <w:rPr>
                <w:sz w:val="20"/>
                <w:szCs w:val="20"/>
                <w:color w:val="auto"/>
              </w:rPr>
            </w:pPr>
            <w:r>
              <w:rPr>
                <w:rFonts w:ascii="Arial" w:cs="Arial" w:eastAsia="Arial" w:hAnsi="Arial"/>
                <w:sz w:val="14"/>
                <w:szCs w:val="14"/>
                <w:color w:val="auto"/>
              </w:rPr>
              <w:t>Technology and development</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4"/>
                <w:szCs w:val="14"/>
                <w:color w:val="auto"/>
              </w:rPr>
              <w:t>94,932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4"/>
                <w:szCs w:val="14"/>
                <w:color w:val="auto"/>
              </w:rPr>
              <w:t>215,630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color w:val="auto"/>
              </w:rPr>
              <w:t>33,205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116,858</w:t>
            </w:r>
          </w:p>
        </w:tc>
        <w:tc>
          <w:tcPr>
            <w:tcW w:w="0" w:type="dxa"/>
            <w:vAlign w:val="bottom"/>
          </w:tcPr>
          <w:p>
            <w:pPr>
              <w:spacing w:after="0"/>
              <w:rPr>
                <w:sz w:val="1"/>
                <w:szCs w:val="1"/>
                <w:color w:val="auto"/>
              </w:rPr>
            </w:pPr>
          </w:p>
        </w:tc>
      </w:tr>
      <w:tr>
        <w:trPr>
          <w:trHeight w:val="194"/>
        </w:trPr>
        <w:tc>
          <w:tcPr>
            <w:tcW w:w="54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Operations</w:t>
            </w: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33,869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137,905</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21,813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66,564</w:t>
            </w:r>
          </w:p>
        </w:tc>
        <w:tc>
          <w:tcPr>
            <w:tcW w:w="0" w:type="dxa"/>
            <w:vAlign w:val="bottom"/>
          </w:tcPr>
          <w:p>
            <w:pPr>
              <w:spacing w:after="0"/>
              <w:rPr>
                <w:sz w:val="1"/>
                <w:szCs w:val="1"/>
                <w:color w:val="auto"/>
              </w:rPr>
            </w:pPr>
          </w:p>
        </w:tc>
      </w:tr>
      <w:tr>
        <w:trPr>
          <w:trHeight w:val="188"/>
        </w:trPr>
        <w:tc>
          <w:tcPr>
            <w:tcW w:w="5440" w:type="dxa"/>
            <w:vAlign w:val="bottom"/>
            <w:gridSpan w:val="2"/>
          </w:tcPr>
          <w:p>
            <w:pPr>
              <w:ind w:left="200"/>
              <w:spacing w:after="0"/>
              <w:rPr>
                <w:sz w:val="20"/>
                <w:szCs w:val="20"/>
                <w:color w:val="auto"/>
              </w:rPr>
            </w:pPr>
            <w:r>
              <w:rPr>
                <w:rFonts w:ascii="Arial" w:cs="Arial" w:eastAsia="Arial" w:hAnsi="Arial"/>
                <w:sz w:val="14"/>
                <w:szCs w:val="14"/>
                <w:color w:val="auto"/>
              </w:rPr>
              <w:t>Marketing</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4"/>
                <w:szCs w:val="14"/>
                <w:color w:val="auto"/>
              </w:rPr>
              <w:t>124,699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4"/>
                <w:szCs w:val="14"/>
                <w:color w:val="auto"/>
              </w:rPr>
              <w:t>185,741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color w:val="auto"/>
              </w:rPr>
              <w:t>69,922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102,248</w:t>
            </w:r>
          </w:p>
        </w:tc>
        <w:tc>
          <w:tcPr>
            <w:tcW w:w="0" w:type="dxa"/>
            <w:vAlign w:val="bottom"/>
          </w:tcPr>
          <w:p>
            <w:pPr>
              <w:spacing w:after="0"/>
              <w:rPr>
                <w:sz w:val="1"/>
                <w:szCs w:val="1"/>
                <w:color w:val="auto"/>
              </w:rPr>
            </w:pPr>
          </w:p>
        </w:tc>
      </w:tr>
      <w:tr>
        <w:trPr>
          <w:trHeight w:val="191"/>
        </w:trPr>
        <w:tc>
          <w:tcPr>
            <w:tcW w:w="54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General and administrative</w:t>
            </w:r>
          </w:p>
        </w:tc>
        <w:tc>
          <w:tcPr>
            <w:tcW w:w="26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85,504</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4"/>
                <w:szCs w:val="14"/>
                <w:color w:val="auto"/>
              </w:rPr>
              <w:t>294,694</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34,651</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137,114</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5160" w:type="dxa"/>
            <w:vAlign w:val="bottom"/>
          </w:tcPr>
          <w:p>
            <w:pPr>
              <w:ind w:left="120"/>
              <w:spacing w:after="0"/>
              <w:rPr>
                <w:sz w:val="20"/>
                <w:szCs w:val="20"/>
                <w:color w:val="auto"/>
              </w:rPr>
            </w:pPr>
            <w:r>
              <w:rPr>
                <w:rFonts w:ascii="Arial" w:cs="Arial" w:eastAsia="Arial" w:hAnsi="Arial"/>
                <w:sz w:val="14"/>
                <w:szCs w:val="14"/>
                <w:color w:val="auto"/>
              </w:rPr>
              <w:t>Total operating expenses</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4"/>
                <w:szCs w:val="14"/>
                <w:color w:val="auto"/>
              </w:rPr>
              <w:t>384,463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4"/>
                <w:szCs w:val="14"/>
                <w:color w:val="auto"/>
              </w:rPr>
              <w:t>945,053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color w:val="auto"/>
              </w:rPr>
              <w:t>179,995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463,788</w:t>
            </w:r>
          </w:p>
        </w:tc>
        <w:tc>
          <w:tcPr>
            <w:tcW w:w="0" w:type="dxa"/>
            <w:vAlign w:val="bottom"/>
          </w:tcPr>
          <w:p>
            <w:pPr>
              <w:spacing w:after="0"/>
              <w:rPr>
                <w:sz w:val="1"/>
                <w:szCs w:val="1"/>
                <w:color w:val="auto"/>
              </w:rPr>
            </w:pPr>
          </w:p>
        </w:tc>
      </w:tr>
      <w:tr>
        <w:trPr>
          <w:trHeight w:val="194"/>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fair value of convertible notes and warrant liability</w:t>
            </w: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1,492,269</w:t>
            </w:r>
          </w:p>
        </w:tc>
        <w:tc>
          <w:tcPr>
            <w:tcW w:w="0" w:type="dxa"/>
            <w:vAlign w:val="bottom"/>
          </w:tcPr>
          <w:p>
            <w:pPr>
              <w:spacing w:after="0"/>
              <w:rPr>
                <w:sz w:val="1"/>
                <w:szCs w:val="1"/>
                <w:color w:val="auto"/>
              </w:rPr>
            </w:pPr>
          </w:p>
        </w:tc>
      </w:tr>
      <w:tr>
        <w:trPr>
          <w:trHeight w:val="188"/>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expense (income), net</w:t>
            </w:r>
          </w:p>
        </w:tc>
        <w:tc>
          <w:tcPr>
            <w:tcW w:w="2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657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8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before income tax</w:t>
            </w: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(107,587)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13,830</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(52,588)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(1,433,024)</w:t>
            </w:r>
          </w:p>
        </w:tc>
        <w:tc>
          <w:tcPr>
            <w:tcW w:w="0" w:type="dxa"/>
            <w:vAlign w:val="bottom"/>
          </w:tcPr>
          <w:p>
            <w:pPr>
              <w:spacing w:after="0"/>
              <w:rPr>
                <w:sz w:val="1"/>
                <w:szCs w:val="1"/>
                <w:color w:val="auto"/>
              </w:rPr>
            </w:pPr>
          </w:p>
        </w:tc>
      </w:tr>
      <w:tr>
        <w:trPr>
          <w:trHeight w:val="188"/>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(1,018)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6,381</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11,779</w:t>
            </w:r>
          </w:p>
        </w:tc>
        <w:tc>
          <w:tcPr>
            <w:tcW w:w="0" w:type="dxa"/>
            <w:vAlign w:val="bottom"/>
          </w:tcPr>
          <w:p>
            <w:pPr>
              <w:spacing w:after="0"/>
              <w:rPr>
                <w:sz w:val="1"/>
                <w:szCs w:val="1"/>
                <w:color w:val="auto"/>
              </w:rPr>
            </w:pPr>
          </w:p>
        </w:tc>
      </w:tr>
      <w:tr>
        <w:trPr>
          <w:trHeight w:val="20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780" w:type="dxa"/>
            <w:vAlign w:val="bottom"/>
            <w:gridSpan w:val="2"/>
            <w:shd w:val="clear" w:color="auto" w:fill="CCEEFF"/>
          </w:tcPr>
          <w:p>
            <w:pPr>
              <w:jc w:val="right"/>
              <w:ind w:right="364"/>
              <w:spacing w:after="0"/>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(106,569)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14"/>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7,449</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4"/>
              <w:spacing w:after="0"/>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(52,502)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4"/>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(1,444,803)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_______________</w:t>
            </w:r>
          </w:p>
        </w:tc>
        <w:tc>
          <w:tcPr>
            <w:tcW w:w="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4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440" w:type="dxa"/>
            <w:vAlign w:val="bottom"/>
            <w:gridSpan w:val="2"/>
          </w:tcPr>
          <w:p>
            <w:pPr>
              <w:spacing w:after="0"/>
              <w:rPr>
                <w:sz w:val="20"/>
                <w:szCs w:val="20"/>
                <w:color w:val="auto"/>
              </w:rPr>
            </w:pPr>
            <w:r>
              <w:rPr>
                <w:rFonts w:ascii="Arial" w:cs="Arial" w:eastAsia="Arial" w:hAnsi="Arial"/>
                <w:sz w:val="13"/>
                <w:szCs w:val="13"/>
                <w:color w:val="auto"/>
              </w:rPr>
              <w:t>(1)  Includes share-based compensation expense as follows:</w:t>
            </w: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gridSpan w:val="7"/>
            <w:vMerge w:val="restart"/>
          </w:tcPr>
          <w:p>
            <w:pPr>
              <w:jc w:val="right"/>
              <w:ind w:right="74"/>
              <w:spacing w:after="0"/>
              <w:rPr>
                <w:sz w:val="20"/>
                <w:szCs w:val="20"/>
                <w:color w:val="auto"/>
              </w:rPr>
            </w:pPr>
            <w:r>
              <w:rPr>
                <w:rFonts w:ascii="Arial" w:cs="Arial" w:eastAsia="Arial" w:hAnsi="Arial"/>
                <w:sz w:val="11"/>
                <w:szCs w:val="11"/>
                <w:b w:val="1"/>
                <w:bCs w:val="1"/>
                <w:color w:val="auto"/>
              </w:rPr>
              <w:t>Year Ended December 31,</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40" w:type="dxa"/>
            <w:vAlign w:val="bottom"/>
            <w:gridSpan w:val="6"/>
          </w:tcPr>
          <w:p>
            <w:pPr>
              <w:jc w:val="right"/>
              <w:ind w:right="254"/>
              <w:spacing w:after="0" w:line="117" w:lineRule="exact"/>
              <w:rPr>
                <w:sz w:val="20"/>
                <w:szCs w:val="20"/>
                <w:color w:val="auto"/>
              </w:rPr>
            </w:pPr>
            <w:r>
              <w:rPr>
                <w:rFonts w:ascii="Arial" w:cs="Arial" w:eastAsia="Arial" w:hAnsi="Arial"/>
                <w:sz w:val="11"/>
                <w:szCs w:val="11"/>
                <w:b w:val="1"/>
                <w:bCs w:val="1"/>
                <w:color w:val="auto"/>
              </w:rPr>
              <w:t>Three Months Ended</w:t>
            </w: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7"/>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5"/>
          </w:tcPr>
          <w:p>
            <w:pPr>
              <w:ind w:left="300"/>
              <w:spacing w:after="0"/>
              <w:rPr>
                <w:sz w:val="20"/>
                <w:szCs w:val="20"/>
                <w:color w:val="auto"/>
              </w:rPr>
            </w:pPr>
            <w:r>
              <w:rPr>
                <w:rFonts w:ascii="Arial" w:cs="Arial" w:eastAsia="Arial" w:hAnsi="Arial"/>
                <w:sz w:val="11"/>
                <w:szCs w:val="11"/>
                <w:b w:val="1"/>
                <w:bCs w:val="1"/>
                <w:color w:val="auto"/>
              </w:rPr>
              <w:t>March 31,</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Brokerage and transaction</w:t>
            </w: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20" w:type="dxa"/>
            <w:vAlign w:val="bottom"/>
            <w:gridSpan w:val="3"/>
            <w:shd w:val="clear" w:color="auto" w:fill="CCEEFF"/>
          </w:tcPr>
          <w:p>
            <w:pPr>
              <w:jc w:val="right"/>
              <w:ind w:right="112"/>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5160" w:type="dxa"/>
            <w:vAlign w:val="bottom"/>
          </w:tcPr>
          <w:p>
            <w:pPr>
              <w:ind w:left="120"/>
              <w:spacing w:after="0"/>
              <w:rPr>
                <w:sz w:val="20"/>
                <w:szCs w:val="20"/>
                <w:color w:val="auto"/>
              </w:rPr>
            </w:pPr>
            <w:r>
              <w:rPr>
                <w:rFonts w:ascii="Arial" w:cs="Arial" w:eastAsia="Arial" w:hAnsi="Arial"/>
                <w:sz w:val="13"/>
                <w:szCs w:val="13"/>
                <w:color w:val="auto"/>
              </w:rPr>
              <w:t>Technology and development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9,499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1,308</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Operations</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5160" w:type="dxa"/>
            <w:vAlign w:val="bottom"/>
          </w:tcPr>
          <w:p>
            <w:pPr>
              <w:ind w:left="120"/>
              <w:spacing w:after="0"/>
              <w:rPr>
                <w:sz w:val="20"/>
                <w:szCs w:val="20"/>
                <w:color w:val="auto"/>
              </w:rPr>
            </w:pPr>
            <w:r>
              <w:rPr>
                <w:rFonts w:ascii="Arial" w:cs="Arial" w:eastAsia="Arial" w:hAnsi="Arial"/>
                <w:sz w:val="13"/>
                <w:szCs w:val="13"/>
                <w:color w:val="auto"/>
              </w:rPr>
              <w:t>Marketing</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613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37</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2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16,517</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5,405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3"/>
                <w:szCs w:val="13"/>
                <w:color w:val="auto"/>
              </w:rPr>
              <w:t>672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7,642</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5160" w:type="dxa"/>
            <w:vAlign w:val="bottom"/>
          </w:tcPr>
          <w:p>
            <w:pPr>
              <w:ind w:left="300"/>
              <w:spacing w:after="0"/>
              <w:rPr>
                <w:sz w:val="20"/>
                <w:szCs w:val="20"/>
                <w:color w:val="auto"/>
              </w:rPr>
            </w:pPr>
            <w:r>
              <w:rPr>
                <w:rFonts w:ascii="Arial" w:cs="Arial" w:eastAsia="Arial" w:hAnsi="Arial"/>
                <w:sz w:val="13"/>
                <w:szCs w:val="13"/>
                <w:color w:val="auto"/>
              </w:rPr>
              <w:t>Total share-based compensation expense</w:t>
            </w: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26,667</w:t>
            </w:r>
          </w:p>
        </w:tc>
        <w:tc>
          <w:tcPr>
            <w:tcW w:w="3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24,330</w:t>
            </w:r>
          </w:p>
        </w:tc>
        <w:tc>
          <w:tcPr>
            <w:tcW w:w="340" w:type="dxa"/>
            <w:vAlign w:val="bottom"/>
            <w:gridSpan w:val="2"/>
          </w:tcPr>
          <w:p>
            <w:pPr>
              <w:jc w:val="right"/>
              <w:ind w:right="8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2,412</w:t>
            </w:r>
          </w:p>
        </w:tc>
        <w:tc>
          <w:tcPr>
            <w:tcW w:w="420" w:type="dxa"/>
            <w:vAlign w:val="bottom"/>
            <w:gridSpan w:val="3"/>
          </w:tcPr>
          <w:p>
            <w:pPr>
              <w:jc w:val="right"/>
              <w:ind w:right="11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8,996</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280" w:right="20"/>
        <w:spacing w:after="0" w:line="238" w:lineRule="auto"/>
        <w:rPr>
          <w:sz w:val="20"/>
          <w:szCs w:val="20"/>
          <w:color w:val="auto"/>
        </w:rPr>
      </w:pPr>
      <w:r>
        <w:rPr>
          <w:rFonts w:ascii="Arial" w:cs="Arial" w:eastAsia="Arial" w:hAnsi="Arial"/>
          <w:sz w:val="13"/>
          <w:szCs w:val="13"/>
          <w:color w:val="auto"/>
        </w:rPr>
        <w:t>We have not recognized share-based compensation for awards with performance-based conditions because the qualifying event, such as an IPO, had not occurred and, therefore, could not be considered probable. See Share-based compensation disclosed in Note 1 our consolidated financial statements included elsewhere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260"/>
          </w:cols>
          <w:pgMar w:left="320" w:top="1440" w:right="319" w:bottom="1440" w:gutter="0" w:footer="0" w:header="0"/>
        </w:sectPr>
      </w:pPr>
    </w:p>
    <w:bookmarkStart w:id="166" w:name="page167"/>
    <w:bookmarkEnd w:id="166"/>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Comparison of the Three Months Ended March 31, 2020 and 2021</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Transaction-based 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center"/>
              <w:ind w:left="444"/>
              <w:spacing w:after="0"/>
              <w:rPr>
                <w:sz w:val="20"/>
                <w:szCs w:val="20"/>
                <w:color w:val="auto"/>
              </w:rPr>
            </w:pPr>
            <w:r>
              <w:rPr>
                <w:rFonts w:ascii="Arial" w:cs="Arial" w:eastAsia="Arial" w:hAnsi="Arial"/>
                <w:sz w:val="13"/>
                <w:szCs w:val="13"/>
                <w:b w:val="1"/>
                <w:bCs w:val="1"/>
                <w:color w:val="auto"/>
                <w:w w:val="97"/>
              </w:rPr>
              <w:t>Three Months Ended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5"/>
        </w:trPr>
        <w:tc>
          <w:tcPr>
            <w:tcW w:w="66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3"/>
                <w:szCs w:val="13"/>
                <w:b w:val="1"/>
                <w:bCs w:val="1"/>
                <w:color w:val="auto"/>
                <w:w w:val="96"/>
              </w:rPr>
              <w:t>March 31,</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 Change</w:t>
            </w:r>
          </w:p>
        </w:tc>
      </w:tr>
      <w:tr>
        <w:trPr>
          <w:trHeight w:val="18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Transaction-based revenues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03"/>
        </w:trPr>
        <w:tc>
          <w:tcPr>
            <w:tcW w:w="6600" w:type="dxa"/>
            <w:vAlign w:val="bottom"/>
          </w:tcPr>
          <w:p>
            <w:pPr>
              <w:ind w:left="100"/>
              <w:spacing w:after="0"/>
              <w:rPr>
                <w:sz w:val="20"/>
                <w:szCs w:val="20"/>
                <w:color w:val="auto"/>
              </w:rPr>
            </w:pPr>
            <w:r>
              <w:rPr>
                <w:rFonts w:ascii="Arial" w:cs="Arial" w:eastAsia="Arial" w:hAnsi="Arial"/>
                <w:sz w:val="16"/>
                <w:szCs w:val="16"/>
                <w:color w:val="auto"/>
              </w:rPr>
              <w:t>Options</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59,760</w:t>
            </w:r>
          </w:p>
        </w:tc>
        <w:tc>
          <w:tcPr>
            <w:tcW w:w="140" w:type="dxa"/>
            <w:vAlign w:val="bottom"/>
          </w:tcPr>
          <w:p>
            <w:pPr>
              <w:spacing w:after="0"/>
              <w:rPr>
                <w:sz w:val="17"/>
                <w:szCs w:val="17"/>
                <w:color w:val="auto"/>
              </w:rPr>
            </w:pPr>
          </w:p>
        </w:tc>
        <w:tc>
          <w:tcPr>
            <w:tcW w:w="560" w:type="dxa"/>
            <w:vAlign w:val="bottom"/>
          </w:tcPr>
          <w:p>
            <w:pPr>
              <w:jc w:val="right"/>
              <w:ind w:right="38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197,860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231 %</w:t>
            </w: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31,589</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133,301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322 %</w:t>
            </w:r>
          </w:p>
        </w:tc>
      </w:tr>
      <w:tr>
        <w:trPr>
          <w:trHeight w:val="203"/>
        </w:trPr>
        <w:tc>
          <w:tcPr>
            <w:tcW w:w="6600" w:type="dxa"/>
            <w:vAlign w:val="bottom"/>
          </w:tcPr>
          <w:p>
            <w:pPr>
              <w:ind w:left="100"/>
              <w:spacing w:after="0"/>
              <w:rPr>
                <w:sz w:val="20"/>
                <w:szCs w:val="20"/>
                <w:color w:val="auto"/>
              </w:rPr>
            </w:pPr>
            <w:r>
              <w:rPr>
                <w:rFonts w:ascii="Arial" w:cs="Arial" w:eastAsia="Arial" w:hAnsi="Arial"/>
                <w:sz w:val="16"/>
                <w:szCs w:val="16"/>
                <w:color w:val="auto"/>
              </w:rPr>
              <w:t>Cryptocurrencies</w:t>
            </w:r>
          </w:p>
        </w:tc>
        <w:tc>
          <w:tcPr>
            <w:tcW w:w="340" w:type="dxa"/>
            <w:vAlign w:val="bottom"/>
          </w:tcPr>
          <w:p>
            <w:pPr>
              <w:spacing w:after="0"/>
              <w:rPr>
                <w:sz w:val="17"/>
                <w:szCs w:val="17"/>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4,238</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87,587</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1,967 %</w:t>
            </w: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44</w:t>
            </w:r>
          </w:p>
        </w:tc>
        <w:tc>
          <w:tcPr>
            <w:tcW w:w="1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1,691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3,743 %</w:t>
            </w:r>
          </w:p>
        </w:tc>
      </w:tr>
      <w:tr>
        <w:trPr>
          <w:trHeight w:val="195"/>
        </w:trPr>
        <w:tc>
          <w:tcPr>
            <w:tcW w:w="6600" w:type="dxa"/>
            <w:vAlign w:val="bottom"/>
          </w:tcPr>
          <w:p>
            <w:pPr>
              <w:ind w:left="400"/>
              <w:spacing w:after="0"/>
              <w:rPr>
                <w:sz w:val="20"/>
                <w:szCs w:val="20"/>
                <w:color w:val="auto"/>
              </w:rPr>
            </w:pPr>
            <w:r>
              <w:rPr>
                <w:rFonts w:ascii="Arial" w:cs="Arial" w:eastAsia="Arial" w:hAnsi="Arial"/>
                <w:sz w:val="16"/>
                <w:szCs w:val="16"/>
                <w:color w:val="auto"/>
              </w:rPr>
              <w:t>Total transaction-based revenues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95,631</w:t>
            </w:r>
          </w:p>
        </w:tc>
        <w:tc>
          <w:tcPr>
            <w:tcW w:w="1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420,439</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340 %</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67"/>
        </w:trPr>
        <w:tc>
          <w:tcPr>
            <w:tcW w:w="660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rPr>
              <w:t>Transaction-based revenues as a % of revenue: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03"/>
        </w:trPr>
        <w:tc>
          <w:tcPr>
            <w:tcW w:w="6600" w:type="dxa"/>
            <w:vAlign w:val="bottom"/>
          </w:tcPr>
          <w:p>
            <w:pPr>
              <w:ind w:left="100"/>
              <w:spacing w:after="0"/>
              <w:rPr>
                <w:sz w:val="20"/>
                <w:szCs w:val="20"/>
                <w:color w:val="auto"/>
              </w:rPr>
            </w:pPr>
            <w:r>
              <w:rPr>
                <w:rFonts w:ascii="Arial" w:cs="Arial" w:eastAsia="Arial" w:hAnsi="Arial"/>
                <w:sz w:val="16"/>
                <w:szCs w:val="16"/>
                <w:color w:val="auto"/>
              </w:rPr>
              <w:t>Options</w:t>
            </w:r>
          </w:p>
        </w:tc>
        <w:tc>
          <w:tcPr>
            <w:tcW w:w="340" w:type="dxa"/>
            <w:vAlign w:val="bottom"/>
          </w:tcPr>
          <w:p>
            <w:pPr>
              <w:spacing w:after="0"/>
              <w:rPr>
                <w:sz w:val="17"/>
                <w:szCs w:val="17"/>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6600" w:type="dxa"/>
            <w:vAlign w:val="bottom"/>
          </w:tcPr>
          <w:p>
            <w:pPr>
              <w:ind w:left="100"/>
              <w:spacing w:after="0"/>
              <w:rPr>
                <w:sz w:val="20"/>
                <w:szCs w:val="20"/>
                <w:color w:val="auto"/>
              </w:rPr>
            </w:pPr>
            <w:r>
              <w:rPr>
                <w:rFonts w:ascii="Arial" w:cs="Arial" w:eastAsia="Arial" w:hAnsi="Arial"/>
                <w:sz w:val="16"/>
                <w:szCs w:val="16"/>
                <w:color w:val="auto"/>
              </w:rPr>
              <w:t>Cryptocurrencies</w:t>
            </w:r>
          </w:p>
        </w:tc>
        <w:tc>
          <w:tcPr>
            <w:tcW w:w="340" w:type="dxa"/>
            <w:vAlign w:val="bottom"/>
          </w:tcPr>
          <w:p>
            <w:pPr>
              <w:spacing w:after="0"/>
              <w:rPr>
                <w:sz w:val="17"/>
                <w:szCs w:val="17"/>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5"/>
        </w:trPr>
        <w:tc>
          <w:tcPr>
            <w:tcW w:w="6600" w:type="dxa"/>
            <w:vAlign w:val="bottom"/>
          </w:tcPr>
          <w:p>
            <w:pPr>
              <w:ind w:left="400"/>
              <w:spacing w:after="0"/>
              <w:rPr>
                <w:sz w:val="20"/>
                <w:szCs w:val="20"/>
                <w:color w:val="auto"/>
              </w:rPr>
            </w:pPr>
            <w:r>
              <w:rPr>
                <w:rFonts w:ascii="Arial" w:cs="Arial" w:eastAsia="Arial" w:hAnsi="Arial"/>
                <w:sz w:val="16"/>
                <w:szCs w:val="16"/>
                <w:color w:val="auto"/>
              </w:rPr>
              <w:t>Total transaction-based revenues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Transaction-based revenues increased by $324.8 million, or 340%, for the three months ended March 31, 2021, compared to the year prior. The increase was driven by a 151% increase in Net Cumulative Funded Accounts, which resulted in higher daily average revenue trades in options, equities and cryptocurrencies. Our daily average revenue trades for the quarter for options, equities and cryptocurrencies increased from 0.4 million to 1.1 million, an increase of 188%, 1.3 million to 5.1 million, an increase of 291%, and 0.1 million to 1.4 million, an increase of 1,375%. Increased interest in personal finance and investing, and several high-profile securities and cryptocurrencies, encouraged an unprecedented number of first-time retail investors to become our users and begin trading on our platform. We have seen substantial growth in our user base, engagement and trading activity metrics. We define “daily average revenue trades” as the total number of revenue generating trades executed during a given period divided by the number of trading days in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260"/>
          </w:cols>
          <w:pgMar w:left="320" w:top="1440" w:right="319" w:bottom="1440" w:gutter="0" w:footer="0" w:header="0"/>
        </w:sectPr>
      </w:pPr>
    </w:p>
    <w:bookmarkStart w:id="167" w:name="page168"/>
    <w:bookmarkEnd w:id="167"/>
    <w:p>
      <w:pPr>
        <w:spacing w:after="0"/>
        <w:rPr>
          <w:sz w:val="20"/>
          <w:szCs w:val="20"/>
          <w:color w:val="auto"/>
        </w:rPr>
      </w:pPr>
      <w:r>
        <w:rPr>
          <w:rFonts w:ascii="Arial" w:cs="Arial" w:eastAsia="Arial" w:hAnsi="Arial"/>
          <w:sz w:val="16"/>
          <w:szCs w:val="16"/>
          <w:i w:val="1"/>
          <w:iCs w:val="1"/>
          <w:color w:val="auto"/>
        </w:rPr>
        <w:t>Net interest revenues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center"/>
              <w:ind w:left="424"/>
              <w:spacing w:after="0"/>
              <w:rPr>
                <w:sz w:val="20"/>
                <w:szCs w:val="20"/>
                <w:color w:val="auto"/>
              </w:rPr>
            </w:pPr>
            <w:r>
              <w:rPr>
                <w:rFonts w:ascii="Arial" w:cs="Arial" w:eastAsia="Arial" w:hAnsi="Arial"/>
                <w:sz w:val="13"/>
                <w:szCs w:val="13"/>
                <w:b w:val="1"/>
                <w:bCs w:val="1"/>
                <w:color w:val="auto"/>
                <w:w w:val="97"/>
              </w:rPr>
              <w:t>Three Months Ended</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3"/>
                <w:szCs w:val="13"/>
                <w:b w:val="1"/>
                <w:bCs w:val="1"/>
                <w:color w:val="auto"/>
                <w:w w:val="99"/>
              </w:rPr>
              <w:t>March 31,</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8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revenues: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00"/>
              <w:spacing w:after="0"/>
              <w:rPr>
                <w:sz w:val="20"/>
                <w:szCs w:val="20"/>
                <w:color w:val="auto"/>
              </w:rPr>
            </w:pPr>
            <w:r>
              <w:rPr>
                <w:rFonts w:ascii="Arial" w:cs="Arial" w:eastAsia="Arial" w:hAnsi="Arial"/>
                <w:sz w:val="16"/>
                <w:szCs w:val="16"/>
                <w:color w:val="auto"/>
              </w:rPr>
              <w:t>Securities lending</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6,505</w:t>
            </w:r>
          </w:p>
        </w:tc>
        <w:tc>
          <w:tcPr>
            <w:tcW w:w="140" w:type="dxa"/>
            <w:vAlign w:val="bottom"/>
          </w:tcPr>
          <w:p>
            <w:pPr>
              <w:spacing w:after="0"/>
              <w:rPr>
                <w:sz w:val="17"/>
                <w:szCs w:val="17"/>
                <w:color w:val="auto"/>
              </w:rPr>
            </w:pPr>
          </w:p>
        </w:tc>
        <w:tc>
          <w:tcPr>
            <w:tcW w:w="580" w:type="dxa"/>
            <w:vAlign w:val="bottom"/>
          </w:tcPr>
          <w:p>
            <w:pPr>
              <w:jc w:val="right"/>
              <w:ind w:right="4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35,626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448 %</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Margin interest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7,829</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27,731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0" w:type="dxa"/>
            <w:vAlign w:val="bottom"/>
          </w:tcPr>
          <w:p>
            <w:pPr>
              <w:spacing w:after="0"/>
              <w:rPr>
                <w:sz w:val="1"/>
                <w:szCs w:val="1"/>
                <w:color w:val="auto"/>
              </w:rPr>
            </w:pPr>
          </w:p>
        </w:tc>
      </w:tr>
      <w:tr>
        <w:trPr>
          <w:trHeight w:val="203"/>
        </w:trPr>
        <w:tc>
          <w:tcPr>
            <w:tcW w:w="6600" w:type="dxa"/>
            <w:vAlign w:val="bottom"/>
          </w:tcPr>
          <w:p>
            <w:pPr>
              <w:ind w:left="100"/>
              <w:spacing w:after="0"/>
              <w:rPr>
                <w:sz w:val="20"/>
                <w:szCs w:val="20"/>
                <w:color w:val="auto"/>
              </w:rPr>
            </w:pPr>
            <w:r>
              <w:rPr>
                <w:rFonts w:ascii="Arial" w:cs="Arial" w:eastAsia="Arial" w:hAnsi="Arial"/>
                <w:sz w:val="16"/>
                <w:szCs w:val="16"/>
                <w:color w:val="auto"/>
              </w:rPr>
              <w:t>Interest on segregated cash and securities</w:t>
            </w:r>
          </w:p>
        </w:tc>
        <w:tc>
          <w:tcPr>
            <w:tcW w:w="340" w:type="dxa"/>
            <w:vAlign w:val="bottom"/>
          </w:tcPr>
          <w:p>
            <w:pPr>
              <w:spacing w:after="0"/>
              <w:rPr>
                <w:sz w:val="17"/>
                <w:szCs w:val="17"/>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9,196</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1,110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interest revenue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1,990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829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Interest expenses related to credit facilities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(1,504)</w:t>
            </w: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(2,799)</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20"/>
        </w:trPr>
        <w:tc>
          <w:tcPr>
            <w:tcW w:w="6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net interest revenues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24,016</w:t>
            </w: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62,497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interest revenues as a % of total net revenues: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Securities lending</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00"/>
              <w:spacing w:after="0"/>
              <w:rPr>
                <w:sz w:val="20"/>
                <w:szCs w:val="20"/>
                <w:color w:val="auto"/>
              </w:rPr>
            </w:pPr>
            <w:r>
              <w:rPr>
                <w:rFonts w:ascii="Arial" w:cs="Arial" w:eastAsia="Arial" w:hAnsi="Arial"/>
                <w:sz w:val="16"/>
                <w:szCs w:val="16"/>
                <w:color w:val="auto"/>
              </w:rPr>
              <w:t>Margin interest</w:t>
            </w:r>
          </w:p>
        </w:tc>
        <w:tc>
          <w:tcPr>
            <w:tcW w:w="340" w:type="dxa"/>
            <w:vAlign w:val="bottom"/>
          </w:tcPr>
          <w:p>
            <w:pPr>
              <w:spacing w:after="0"/>
              <w:rPr>
                <w:sz w:val="17"/>
                <w:szCs w:val="17"/>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on segregated cash and securities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00"/>
              <w:spacing w:after="0"/>
              <w:rPr>
                <w:sz w:val="20"/>
                <w:szCs w:val="20"/>
                <w:color w:val="auto"/>
              </w:rPr>
            </w:pPr>
            <w:r>
              <w:rPr>
                <w:rFonts w:ascii="Arial" w:cs="Arial" w:eastAsia="Arial" w:hAnsi="Arial"/>
                <w:sz w:val="16"/>
                <w:szCs w:val="16"/>
                <w:color w:val="auto"/>
              </w:rPr>
              <w:t>Other interest revenue</w:t>
            </w:r>
          </w:p>
        </w:tc>
        <w:tc>
          <w:tcPr>
            <w:tcW w:w="340" w:type="dxa"/>
            <w:vAlign w:val="bottom"/>
          </w:tcPr>
          <w:p>
            <w:pPr>
              <w:spacing w:after="0"/>
              <w:rPr>
                <w:sz w:val="17"/>
                <w:szCs w:val="17"/>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expenses related to credit facilities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400"/>
              <w:spacing w:after="0"/>
              <w:rPr>
                <w:sz w:val="20"/>
                <w:szCs w:val="20"/>
                <w:color w:val="auto"/>
              </w:rPr>
            </w:pPr>
            <w:r>
              <w:rPr>
                <w:rFonts w:ascii="Arial" w:cs="Arial" w:eastAsia="Arial" w:hAnsi="Arial"/>
                <w:sz w:val="16"/>
                <w:szCs w:val="16"/>
                <w:color w:val="auto"/>
              </w:rPr>
              <w:t>Total net interest revenues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Net interest revenues increased by $38.5 million, or 160%, for the three months ended March 31, 2021, compared to the year prior. The increase was primarily due to higher interest revenues earned through securities lending activities and on margin loans to users, offset by lower interest revenue earned on segregated cash and securities, and increased interest expense related to our revolving credit facilities.</w:t>
      </w:r>
    </w:p>
    <w:p>
      <w:pPr>
        <w:spacing w:after="0" w:line="14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Net interest revenues earned from securities lending transactions increased $29.1 million as we grew our securities lending program, which benefited from higher returns on hard-to-borrow securities. Securities loaned increased 236% to $2.0 billion, while securities borrowed remained relatively flat. Interest revenue earned on margin borrowings increased by $19.9 million due to an increase in both the number of margin borrowers and average per-user margin balance. Margin receivables outstanding, net of allowance for credit losses, increased from $661.3 million due from 0.1 million users to $5.4 billion due from 0.5 million users. The first $1,000 in margin borrowed by each user is not charged interest while margin over $1,000 borrowed was charged at 5% annual percentage rate until December 2020 when we lowered this rate to 2.5%. Interest revenue earned on segregated cash and securities balances decreased $8.1 million due to the decrease in the Federal Reserve's benchmark target rate to near zero.</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3"/>
          </w:tcPr>
          <w:p>
            <w:pPr>
              <w:jc w:val="center"/>
              <w:ind w:left="430"/>
              <w:spacing w:after="0"/>
              <w:rPr>
                <w:sz w:val="20"/>
                <w:szCs w:val="20"/>
                <w:color w:val="auto"/>
              </w:rPr>
            </w:pPr>
            <w:r>
              <w:rPr>
                <w:rFonts w:ascii="Arial" w:cs="Arial" w:eastAsia="Arial" w:hAnsi="Arial"/>
                <w:sz w:val="13"/>
                <w:szCs w:val="13"/>
                <w:b w:val="1"/>
                <w:bCs w:val="1"/>
                <w:color w:val="auto"/>
                <w:w w:val="97"/>
              </w:rPr>
              <w:t>Three Months Ended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55"/>
        </w:trPr>
        <w:tc>
          <w:tcPr>
            <w:tcW w:w="66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3"/>
                <w:szCs w:val="13"/>
                <w:b w:val="1"/>
                <w:bCs w:val="1"/>
                <w:color w:val="auto"/>
                <w:w w:val="99"/>
              </w:rPr>
              <w:t>March 31,</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 Change</w:t>
            </w:r>
          </w:p>
        </w:tc>
      </w:tr>
      <w:tr>
        <w:trPr>
          <w:trHeight w:val="195"/>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7,903</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39,238</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396 %</w:t>
            </w:r>
          </w:p>
        </w:tc>
      </w:tr>
      <w:tr>
        <w:trPr>
          <w:trHeight w:val="203"/>
        </w:trPr>
        <w:tc>
          <w:tcPr>
            <w:tcW w:w="6600" w:type="dxa"/>
            <w:vAlign w:val="bottom"/>
          </w:tcPr>
          <w:p>
            <w:pPr>
              <w:ind w:left="20"/>
              <w:spacing w:after="0"/>
              <w:rPr>
                <w:sz w:val="20"/>
                <w:szCs w:val="20"/>
                <w:color w:val="auto"/>
              </w:rPr>
            </w:pPr>
            <w:r>
              <w:rPr>
                <w:rFonts w:ascii="Arial" w:cs="Arial" w:eastAsia="Arial" w:hAnsi="Arial"/>
                <w:sz w:val="16"/>
                <w:szCs w:val="16"/>
                <w:color w:val="auto"/>
              </w:rPr>
              <w:t>Other revenues as a % of total net revenues</w:t>
            </w:r>
          </w:p>
        </w:tc>
        <w:tc>
          <w:tcPr>
            <w:tcW w:w="340" w:type="dxa"/>
            <w:vAlign w:val="bottom"/>
          </w:tcPr>
          <w:p>
            <w:pPr>
              <w:spacing w:after="0"/>
              <w:rPr>
                <w:sz w:val="17"/>
                <w:szCs w:val="17"/>
                <w:color w:val="auto"/>
              </w:rPr>
            </w:pPr>
          </w:p>
        </w:tc>
        <w:tc>
          <w:tcPr>
            <w:tcW w:w="1080" w:type="dxa"/>
            <w:vAlign w:val="bottom"/>
          </w:tcPr>
          <w:p>
            <w:pPr>
              <w:jc w:val="right"/>
              <w:ind w:right="30"/>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154"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Other revenues increased by $ 31.3 million, or 396%, for the three months ended March 31, 2021, compared to the year prior. The increase was due to an increase in subscription revenue of $13.8 million driven by an increase in paid subscribers to Robinhood Gold from 0.3 million to 1.4 million, and an increase of $12.6 million primarily relating to ACATS fees charged to users for facilitating the transfer of their account to another broker-dealer.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60"/>
          </w:cols>
          <w:pgMar w:left="320" w:top="1425" w:right="319" w:bottom="1440" w:gutter="0" w:footer="0" w:header="0"/>
        </w:sectPr>
      </w:pPr>
    </w:p>
    <w:bookmarkStart w:id="168" w:name="page169"/>
    <w:bookmarkEnd w:id="168"/>
    <w:p>
      <w:pPr>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5"/>
        </w:trPr>
        <w:tc>
          <w:tcPr>
            <w:tcW w:w="64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3"/>
                <w:szCs w:val="13"/>
                <w:b w:val="1"/>
                <w:bCs w:val="1"/>
                <w:color w:val="auto"/>
              </w:rPr>
              <w:t>March 31,</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 Change</w:t>
            </w:r>
          </w:p>
        </w:tc>
      </w:tr>
      <w:tr>
        <w:trPr>
          <w:trHeight w:val="18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3"/>
        </w:trPr>
        <w:tc>
          <w:tcPr>
            <w:tcW w:w="6420" w:type="dxa"/>
            <w:vAlign w:val="bottom"/>
          </w:tcPr>
          <w:p>
            <w:pPr>
              <w:ind w:left="200"/>
              <w:spacing w:after="0"/>
              <w:rPr>
                <w:sz w:val="20"/>
                <w:szCs w:val="20"/>
                <w:color w:val="auto"/>
              </w:rPr>
            </w:pPr>
            <w:r>
              <w:rPr>
                <w:rFonts w:ascii="Arial" w:cs="Arial" w:eastAsia="Arial" w:hAnsi="Arial"/>
                <w:sz w:val="16"/>
                <w:szCs w:val="16"/>
                <w:color w:val="auto"/>
              </w:rPr>
              <w:t>Brokerage and transaction</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6"/>
              <w:spacing w:after="0"/>
              <w:rPr>
                <w:sz w:val="20"/>
                <w:szCs w:val="20"/>
                <w:color w:val="auto"/>
              </w:rPr>
            </w:pPr>
            <w:r>
              <w:rPr>
                <w:rFonts w:ascii="Arial" w:cs="Arial" w:eastAsia="Arial" w:hAnsi="Arial"/>
                <w:sz w:val="16"/>
                <w:szCs w:val="16"/>
                <w:color w:val="auto"/>
              </w:rPr>
              <w:t>20,404</w:t>
            </w:r>
          </w:p>
        </w:tc>
        <w:tc>
          <w:tcPr>
            <w:tcW w:w="100" w:type="dxa"/>
            <w:vAlign w:val="bottom"/>
          </w:tcPr>
          <w:p>
            <w:pPr>
              <w:spacing w:after="0"/>
              <w:rPr>
                <w:sz w:val="17"/>
                <w:szCs w:val="17"/>
                <w:color w:val="auto"/>
              </w:rPr>
            </w:pPr>
          </w:p>
        </w:tc>
        <w:tc>
          <w:tcPr>
            <w:tcW w:w="620" w:type="dxa"/>
            <w:vAlign w:val="bottom"/>
          </w:tcPr>
          <w:p>
            <w:pPr>
              <w:jc w:val="right"/>
              <w:ind w:right="4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41,004</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101 %</w:t>
            </w:r>
          </w:p>
        </w:tc>
      </w:tr>
      <w:tr>
        <w:trPr>
          <w:trHeight w:val="203"/>
        </w:trPr>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Technology and development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33,205</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116,858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252 %</w:t>
            </w:r>
          </w:p>
        </w:tc>
      </w:tr>
      <w:tr>
        <w:trPr>
          <w:trHeight w:val="203"/>
        </w:trPr>
        <w:tc>
          <w:tcPr>
            <w:tcW w:w="642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360" w:type="dxa"/>
            <w:vAlign w:val="bottom"/>
          </w:tcPr>
          <w:p>
            <w:pPr>
              <w:spacing w:after="0"/>
              <w:rPr>
                <w:sz w:val="17"/>
                <w:szCs w:val="17"/>
                <w:color w:val="auto"/>
              </w:rPr>
            </w:pPr>
          </w:p>
        </w:tc>
        <w:tc>
          <w:tcPr>
            <w:tcW w:w="1180" w:type="dxa"/>
            <w:vAlign w:val="bottom"/>
          </w:tcPr>
          <w:p>
            <w:pPr>
              <w:jc w:val="right"/>
              <w:ind w:right="26"/>
              <w:spacing w:after="0"/>
              <w:rPr>
                <w:sz w:val="20"/>
                <w:szCs w:val="20"/>
                <w:color w:val="auto"/>
              </w:rPr>
            </w:pPr>
            <w:r>
              <w:rPr>
                <w:rFonts w:ascii="Arial" w:cs="Arial" w:eastAsia="Arial" w:hAnsi="Arial"/>
                <w:sz w:val="16"/>
                <w:szCs w:val="16"/>
                <w:color w:val="auto"/>
              </w:rPr>
              <w:t>21,813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66,564</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205 %</w:t>
            </w:r>
          </w:p>
        </w:tc>
      </w:tr>
      <w:tr>
        <w:trPr>
          <w:trHeight w:val="203"/>
        </w:trPr>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Marketing</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69,922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102,248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03"/>
        </w:trPr>
        <w:tc>
          <w:tcPr>
            <w:tcW w:w="64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34,651</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137,114</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296 %</w:t>
            </w:r>
          </w:p>
        </w:tc>
      </w:tr>
      <w:tr>
        <w:trPr>
          <w:trHeight w:val="199"/>
        </w:trPr>
        <w:tc>
          <w:tcPr>
            <w:tcW w:w="6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179,995</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463,788</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ind w:left="20"/>
              <w:spacing w:after="0"/>
              <w:rPr>
                <w:sz w:val="20"/>
                <w:szCs w:val="20"/>
                <w:color w:val="auto"/>
              </w:rPr>
            </w:pPr>
            <w:r>
              <w:rPr>
                <w:rFonts w:ascii="Arial" w:cs="Arial" w:eastAsia="Arial" w:hAnsi="Arial"/>
                <w:sz w:val="16"/>
                <w:szCs w:val="16"/>
                <w:color w:val="auto"/>
              </w:rPr>
              <w:t>Percent of net revenues:</w:t>
            </w: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Brokerage and transaction</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200"/>
              <w:spacing w:after="0"/>
              <w:rPr>
                <w:sz w:val="20"/>
                <w:szCs w:val="20"/>
                <w:color w:val="auto"/>
              </w:rPr>
            </w:pPr>
            <w:r>
              <w:rPr>
                <w:rFonts w:ascii="Arial" w:cs="Arial" w:eastAsia="Arial" w:hAnsi="Arial"/>
                <w:sz w:val="16"/>
                <w:szCs w:val="16"/>
                <w:color w:val="auto"/>
              </w:rPr>
              <w:t>Technology and development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Operations</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200"/>
              <w:spacing w:after="0"/>
              <w:rPr>
                <w:sz w:val="20"/>
                <w:szCs w:val="20"/>
                <w:color w:val="auto"/>
              </w:rPr>
            </w:pPr>
            <w:r>
              <w:rPr>
                <w:rFonts w:ascii="Arial" w:cs="Arial" w:eastAsia="Arial" w:hAnsi="Arial"/>
                <w:sz w:val="16"/>
                <w:szCs w:val="16"/>
                <w:color w:val="auto"/>
              </w:rPr>
              <w:t>Marketing</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420" w:type="dxa"/>
            <w:vAlign w:val="bottom"/>
          </w:tcPr>
          <w:p>
            <w:pPr>
              <w:ind w:left="40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6"/>
                <w:szCs w:val="16"/>
                <w:i w:val="1"/>
                <w:iCs w:val="1"/>
                <w:color w:val="auto"/>
              </w:rPr>
              <w:t>Brokerage and transaction</w:t>
            </w: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6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5"/>
          </w:tcPr>
          <w:p>
            <w:pPr>
              <w:jc w:val="right"/>
              <w:ind w:right="20"/>
              <w:spacing w:after="0"/>
              <w:rPr>
                <w:sz w:val="20"/>
                <w:szCs w:val="20"/>
                <w:color w:val="auto"/>
              </w:rPr>
            </w:pPr>
            <w:r>
              <w:rPr>
                <w:rFonts w:ascii="Arial" w:cs="Arial" w:eastAsia="Arial" w:hAnsi="Arial"/>
                <w:sz w:val="13"/>
                <w:szCs w:val="13"/>
                <w:b w:val="1"/>
                <w:bCs w:val="1"/>
                <w:color w:val="auto"/>
              </w:rPr>
              <w:t>Three Months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3"/>
                <w:szCs w:val="13"/>
                <w:b w:val="1"/>
                <w:bCs w:val="1"/>
                <w:color w:val="auto"/>
              </w:rPr>
              <w:t>March 31,</w:t>
            </w: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4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2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95"/>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 data fees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5,096</w:t>
            </w:r>
          </w:p>
        </w:tc>
        <w:tc>
          <w:tcPr>
            <w:tcW w:w="78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10,021</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4,925</w:t>
            </w:r>
          </w:p>
        </w:tc>
        <w:tc>
          <w:tcPr>
            <w:tcW w:w="0" w:type="dxa"/>
            <w:vAlign w:val="bottom"/>
          </w:tcPr>
          <w:p>
            <w:pPr>
              <w:spacing w:after="0"/>
              <w:rPr>
                <w:sz w:val="1"/>
                <w:szCs w:val="1"/>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Clearing fees</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8,219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9,332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Fractional share transactions</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5,728</w:t>
            </w:r>
          </w:p>
        </w:tc>
        <w:tc>
          <w:tcPr>
            <w:tcW w:w="0" w:type="dxa"/>
            <w:vAlign w:val="bottom"/>
          </w:tcPr>
          <w:p>
            <w:pPr>
              <w:spacing w:after="0"/>
              <w:rPr>
                <w:sz w:val="1"/>
                <w:szCs w:val="1"/>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Bank charges</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1,468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5,661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compensation, benefits and overhead</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Regulatory fees</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2,079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2,043</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4,301</w:t>
            </w: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2,258</w:t>
            </w:r>
          </w:p>
        </w:tc>
        <w:tc>
          <w:tcPr>
            <w:tcW w:w="0" w:type="dxa"/>
            <w:vAlign w:val="bottom"/>
          </w:tcPr>
          <w:p>
            <w:pPr>
              <w:spacing w:after="0"/>
              <w:rPr>
                <w:sz w:val="1"/>
                <w:szCs w:val="1"/>
                <w:color w:val="auto"/>
              </w:rPr>
            </w:pPr>
          </w:p>
        </w:tc>
      </w:tr>
      <w:tr>
        <w:trPr>
          <w:trHeight w:val="195"/>
        </w:trPr>
        <w:tc>
          <w:tcPr>
            <w:tcW w:w="6420" w:type="dxa"/>
            <w:vAlign w:val="bottom"/>
          </w:tcPr>
          <w:p>
            <w:pPr>
              <w:ind w:left="400"/>
              <w:spacing w:after="0"/>
              <w:rPr>
                <w:sz w:val="20"/>
                <w:szCs w:val="20"/>
                <w:color w:val="auto"/>
              </w:rPr>
            </w:pPr>
            <w:r>
              <w:rPr>
                <w:rFonts w:ascii="Arial" w:cs="Arial" w:eastAsia="Arial" w:hAnsi="Arial"/>
                <w:sz w:val="16"/>
                <w:szCs w:val="16"/>
                <w:color w:val="auto"/>
              </w:rPr>
              <w:t>Total</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20,404</w:t>
            </w:r>
          </w:p>
        </w:tc>
        <w:tc>
          <w:tcPr>
            <w:tcW w:w="78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41,004</w:t>
            </w: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20,600</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Brokerage and transaction costs increased by $20.6 million, or 101%, for the three months ended March 31, 2021, compared to the year prior. The increase was primarily due to an increase of $5.7 million in losses attributable to the market price fluctuations that impacted fractional share transactions, an increase of $4.9 million in market data fees, an increase of $4.2 million in bank fees and an increase of $1.1 million in clearing fees. These increases were in line with the growth in our user base and higher trading volumes on a per user basis. See “Business—Regulation—Brokerage Regulation and Regulatory Capital and Deposit Requirements” for more information. Additionally, employee compensation and benefits, including share-based compensation, and allocated overhead increased $1.5 million as we continued to grow our brokerage teams to support the growth of our user base and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60"/>
          </w:cols>
          <w:pgMar w:left="320" w:top="1426" w:right="319" w:bottom="1440" w:gutter="0" w:footer="0" w:header="0"/>
        </w:sectPr>
      </w:pPr>
    </w:p>
    <w:bookmarkStart w:id="169" w:name="page170"/>
    <w:bookmarkEnd w:id="169"/>
    <w:p>
      <w:pPr>
        <w:spacing w:after="0"/>
        <w:rPr>
          <w:sz w:val="20"/>
          <w:szCs w:val="20"/>
          <w:color w:val="auto"/>
        </w:rPr>
      </w:pPr>
      <w:r>
        <w:rPr>
          <w:rFonts w:ascii="Arial" w:cs="Arial" w:eastAsia="Arial" w:hAnsi="Arial"/>
          <w:sz w:val="16"/>
          <w:szCs w:val="16"/>
          <w:i w:val="1"/>
          <w:iCs w:val="1"/>
          <w:color w:val="auto"/>
        </w:rPr>
        <w:t>Technology and development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5"/>
        </w:trPr>
        <w:tc>
          <w:tcPr>
            <w:tcW w:w="6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March 31,</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66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 Change</w:t>
            </w:r>
          </w:p>
        </w:tc>
      </w:tr>
      <w:tr>
        <w:trPr>
          <w:trHeight w:val="195"/>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Cloud infrastructure and other software services</w:t>
            </w: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11,832</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59,984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48,152</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Employee compensation, benefits and overhead</w:t>
            </w:r>
          </w:p>
        </w:tc>
        <w:tc>
          <w:tcPr>
            <w:tcW w:w="360" w:type="dxa"/>
            <w:vAlign w:val="bottom"/>
          </w:tcPr>
          <w:p>
            <w:pPr>
              <w:spacing w:after="0"/>
              <w:rPr>
                <w:sz w:val="17"/>
                <w:szCs w:val="17"/>
                <w:color w:val="auto"/>
              </w:rPr>
            </w:pPr>
          </w:p>
        </w:tc>
        <w:tc>
          <w:tcPr>
            <w:tcW w:w="1100" w:type="dxa"/>
            <w:vAlign w:val="bottom"/>
          </w:tcPr>
          <w:p>
            <w:pPr>
              <w:jc w:val="right"/>
              <w:ind w:right="47"/>
              <w:spacing w:after="0"/>
              <w:rPr>
                <w:sz w:val="20"/>
                <w:szCs w:val="20"/>
                <w:color w:val="auto"/>
              </w:rPr>
            </w:pPr>
            <w:r>
              <w:rPr>
                <w:rFonts w:ascii="Arial" w:cs="Arial" w:eastAsia="Arial" w:hAnsi="Arial"/>
                <w:sz w:val="16"/>
                <w:szCs w:val="16"/>
                <w:color w:val="auto"/>
              </w:rPr>
              <w:t>19,731</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52,888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33,157</w:t>
            </w: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1,642</w:t>
            </w: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3,986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2,344</w:t>
            </w:r>
          </w:p>
        </w:tc>
      </w:tr>
      <w:tr>
        <w:trPr>
          <w:trHeight w:val="195"/>
        </w:trPr>
        <w:tc>
          <w:tcPr>
            <w:tcW w:w="6680" w:type="dxa"/>
            <w:vAlign w:val="bottom"/>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7"/>
              <w:spacing w:after="0"/>
              <w:rPr>
                <w:sz w:val="20"/>
                <w:szCs w:val="20"/>
                <w:color w:val="auto"/>
              </w:rPr>
            </w:pPr>
            <w:r>
              <w:rPr>
                <w:rFonts w:ascii="Arial" w:cs="Arial" w:eastAsia="Arial" w:hAnsi="Arial"/>
                <w:sz w:val="16"/>
                <w:szCs w:val="16"/>
                <w:color w:val="auto"/>
              </w:rPr>
              <w:t>33,205</w:t>
            </w:r>
          </w:p>
        </w:tc>
        <w:tc>
          <w:tcPr>
            <w:tcW w:w="120" w:type="dxa"/>
            <w:vAlign w:val="bottom"/>
          </w:tcPr>
          <w:p>
            <w:pPr>
              <w:spacing w:after="0"/>
              <w:rPr>
                <w:sz w:val="16"/>
                <w:szCs w:val="16"/>
                <w:color w:val="auto"/>
              </w:rPr>
            </w:pPr>
          </w:p>
        </w:tc>
        <w:tc>
          <w:tcPr>
            <w:tcW w:w="580" w:type="dxa"/>
            <w:vAlign w:val="bottom"/>
          </w:tcPr>
          <w:p>
            <w:pPr>
              <w:jc w:val="right"/>
              <w:ind w:right="4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116,858</w:t>
            </w:r>
          </w:p>
        </w:tc>
        <w:tc>
          <w:tcPr>
            <w:tcW w:w="80" w:type="dxa"/>
            <w:vAlign w:val="bottom"/>
          </w:tcPr>
          <w:p>
            <w:pPr>
              <w:spacing w:after="0"/>
              <w:rPr>
                <w:sz w:val="16"/>
                <w:szCs w:val="16"/>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83,653</w:t>
            </w:r>
          </w:p>
        </w:tc>
      </w:tr>
    </w:tbl>
    <w:p>
      <w:pPr>
        <w:spacing w:after="0" w:line="154"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Technology and development costs increased by $83.7 million, or 252%, for the three months ended March 31, 2021, compared to the year prior. The increase was primarily due to an increase of $48.2 million in costs for cloud infrastructure due to increased capacity requirements for our platform and other software services utilized in delivering our products. Additionally, we experienced an increase of $33.2 million in employee compensation and benefits, including share-based compensation, net of capitalized costs for internally developed software, and allocated overhead as we continued to grow our engineering, data science, and design teams to support the growth of our user base and develop new products.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5"/>
        </w:trPr>
        <w:tc>
          <w:tcPr>
            <w:tcW w:w="6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March 31,</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66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 Change</w:t>
            </w:r>
          </w:p>
        </w:tc>
      </w:tr>
      <w:tr>
        <w:trPr>
          <w:trHeight w:val="195"/>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compensation, benefits and overhead</w:t>
            </w: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5,770</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22,377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16,607</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Provision for credit losses</w:t>
            </w:r>
          </w:p>
        </w:tc>
        <w:tc>
          <w:tcPr>
            <w:tcW w:w="360" w:type="dxa"/>
            <w:vAlign w:val="bottom"/>
          </w:tcPr>
          <w:p>
            <w:pPr>
              <w:spacing w:after="0"/>
              <w:rPr>
                <w:sz w:val="17"/>
                <w:szCs w:val="17"/>
                <w:color w:val="auto"/>
              </w:rPr>
            </w:pP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9,948</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16,403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6,455</w:t>
            </w: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Third-party customer support</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3,539</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15,714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12,175</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Customer onboarding</w:t>
            </w:r>
          </w:p>
        </w:tc>
        <w:tc>
          <w:tcPr>
            <w:tcW w:w="360" w:type="dxa"/>
            <w:vAlign w:val="bottom"/>
          </w:tcPr>
          <w:p>
            <w:pPr>
              <w:spacing w:after="0"/>
              <w:rPr>
                <w:sz w:val="17"/>
                <w:szCs w:val="17"/>
                <w:color w:val="auto"/>
              </w:rPr>
            </w:pP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2,110</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4,840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2,730</w:t>
            </w: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7,230</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6,784</w:t>
            </w:r>
          </w:p>
        </w:tc>
      </w:tr>
      <w:tr>
        <w:trPr>
          <w:trHeight w:val="195"/>
        </w:trPr>
        <w:tc>
          <w:tcPr>
            <w:tcW w:w="6680" w:type="dxa"/>
            <w:vAlign w:val="bottom"/>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21,813</w:t>
            </w:r>
          </w:p>
        </w:tc>
        <w:tc>
          <w:tcPr>
            <w:tcW w:w="120" w:type="dxa"/>
            <w:vAlign w:val="bottom"/>
          </w:tcPr>
          <w:p>
            <w:pPr>
              <w:spacing w:after="0"/>
              <w:rPr>
                <w:sz w:val="16"/>
                <w:szCs w:val="16"/>
                <w:color w:val="auto"/>
              </w:rPr>
            </w:pPr>
          </w:p>
        </w:tc>
        <w:tc>
          <w:tcPr>
            <w:tcW w:w="580" w:type="dxa"/>
            <w:vAlign w:val="bottom"/>
          </w:tcPr>
          <w:p>
            <w:pPr>
              <w:jc w:val="right"/>
              <w:ind w:right="4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66,564</w:t>
            </w:r>
          </w:p>
        </w:tc>
        <w:tc>
          <w:tcPr>
            <w:tcW w:w="80" w:type="dxa"/>
            <w:vAlign w:val="bottom"/>
          </w:tcPr>
          <w:p>
            <w:pPr>
              <w:spacing w:after="0"/>
              <w:rPr>
                <w:sz w:val="16"/>
                <w:szCs w:val="16"/>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44,751</w:t>
            </w:r>
          </w:p>
        </w:tc>
      </w:tr>
    </w:tbl>
    <w:p>
      <w:pPr>
        <w:spacing w:after="0" w:line="154" w:lineRule="exact"/>
        <w:rPr>
          <w:sz w:val="20"/>
          <w:szCs w:val="20"/>
          <w:color w:val="auto"/>
        </w:rPr>
      </w:pPr>
    </w:p>
    <w:p>
      <w:pPr>
        <w:jc w:val="both"/>
        <w:ind w:right="20" w:firstLine="287"/>
        <w:spacing w:after="0" w:line="271" w:lineRule="auto"/>
        <w:rPr>
          <w:sz w:val="20"/>
          <w:szCs w:val="20"/>
          <w:color w:val="auto"/>
        </w:rPr>
      </w:pPr>
      <w:r>
        <w:rPr>
          <w:rFonts w:ascii="Arial" w:cs="Arial" w:eastAsia="Arial" w:hAnsi="Arial"/>
          <w:sz w:val="15"/>
          <w:szCs w:val="15"/>
          <w:color w:val="auto"/>
        </w:rPr>
        <w:t>Operations costs increased by $44.8 million, or 205%, for the three months ended March 31, 2021, compared to the year prior. The increase was due to an increase of $16.6 million in compensation and benefits expense, including share-based compensation, and allocated overhead for customer support and other operations employees as we increased the related personnel headcount by 286% from the same period in the year prior. Costs related to third-party customer support vendors and customer onboarding increased $12.2 million and $2.7 million as we continued to make investments to support our growing user base. Additionally, our provision for credit losses increased $6.5 million, from $9.9 million to $ 16.4 million, mainly driven by Fraudulent Deposit Transactions as the number of accounts making Fraudulent Deposit Transactions stayed relatively consistent period over period while loss incurred per account increased.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55"/>
        </w:trPr>
        <w:tc>
          <w:tcPr>
            <w:tcW w:w="6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March 31,</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66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 Change</w:t>
            </w:r>
          </w:p>
        </w:tc>
      </w:tr>
      <w:tr>
        <w:trPr>
          <w:trHeight w:val="195"/>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Robinhood Referral Program</w:t>
            </w: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25,994</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57,905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31,911</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Digital and paid marketing efforts</w:t>
            </w:r>
          </w:p>
        </w:tc>
        <w:tc>
          <w:tcPr>
            <w:tcW w:w="360" w:type="dxa"/>
            <w:vAlign w:val="bottom"/>
          </w:tcPr>
          <w:p>
            <w:pPr>
              <w:spacing w:after="0"/>
              <w:rPr>
                <w:sz w:val="17"/>
                <w:szCs w:val="17"/>
                <w:color w:val="auto"/>
              </w:rPr>
            </w:pP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38,796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32,928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(5,868)</w:t>
            </w: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compensation, benefits and overhead</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798</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6,570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5,772</w:t>
            </w:r>
          </w:p>
        </w:tc>
      </w:tr>
      <w:tr>
        <w:trPr>
          <w:trHeight w:val="20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4,334</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4,845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511</w:t>
            </w:r>
          </w:p>
        </w:tc>
      </w:tr>
      <w:tr>
        <w:trPr>
          <w:trHeight w:val="195"/>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69,922</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102,248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32,326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60"/>
          </w:cols>
          <w:pgMar w:left="320" w:top="1425" w:right="319" w:bottom="1440" w:gutter="0" w:footer="0" w:header="0"/>
        </w:sectPr>
      </w:pPr>
    </w:p>
    <w:bookmarkStart w:id="170" w:name="page171"/>
    <w:bookmarkEnd w:id="170"/>
    <w:p>
      <w:pPr>
        <w:spacing w:after="0" w:line="2"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Marketing costs increased by $ 32.3 million, or 46%, for the three months ended March 31, 2021, compared to the year prior. The increase was primarily due to an increase of $ 31.9 million in costs associated with our Robinhood Referral Program, which are comprised of the fair value of awards earned in the current period, changes in estimate of unclaimed awards earned in the current and prior periods, fair value adjustments of shares held to support the program, and reversals related to awards that expire unclaimed. The fair value adjustments of shares held to support the program were immaterial for the periods presented. The following table summarizes the Robinhood Referral Program liability activity for the periods indicated:</w:t>
      </w:r>
    </w:p>
    <w:p>
      <w:pPr>
        <w:sectPr>
          <w:pgSz w:w="11900" w:h="16838" w:orient="portrait"/>
          <w:cols w:equalWidth="0" w:num="1">
            <w:col w:w="11260"/>
          </w:cols>
          <w:pgMar w:left="320" w:top="1440" w:right="319" w:bottom="1440" w:gutter="0" w:footer="0" w:header="0"/>
        </w:sect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144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Fair value of current period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44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Changes in estimate of unclaimed awards for current and prior periods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Reversals related to unclaimed, expired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44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Claimed awards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320"/>
        <w:spacing w:after="0"/>
        <w:rPr>
          <w:sz w:val="20"/>
          <w:szCs w:val="20"/>
          <w:color w:val="auto"/>
        </w:rPr>
      </w:pPr>
      <w:r>
        <w:rPr>
          <w:rFonts w:ascii="Arial" w:cs="Arial" w:eastAsia="Arial" w:hAnsi="Arial"/>
          <w:sz w:val="13"/>
          <w:szCs w:val="13"/>
          <w:b w:val="1"/>
          <w:bCs w:val="1"/>
          <w:color w:val="auto"/>
        </w:rPr>
        <w:t>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2021</w:t>
            </w:r>
          </w:p>
        </w:tc>
      </w:tr>
      <w:tr>
        <w:trPr>
          <w:trHeight w:val="207"/>
        </w:trPr>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303</w:t>
            </w:r>
          </w:p>
        </w:tc>
        <w:tc>
          <w:tcPr>
            <w:tcW w:w="80" w:type="dxa"/>
            <w:vAlign w:val="bottom"/>
          </w:tcPr>
          <w:p>
            <w:pPr>
              <w:spacing w:after="0"/>
              <w:rPr>
                <w:sz w:val="18"/>
                <w:szCs w:val="18"/>
                <w:color w:val="auto"/>
              </w:rPr>
            </w:pPr>
          </w:p>
        </w:tc>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695</w:t>
            </w:r>
          </w:p>
        </w:tc>
      </w:tr>
      <w:tr>
        <w:trPr>
          <w:trHeight w:val="227"/>
        </w:trPr>
        <w:tc>
          <w:tcPr>
            <w:tcW w:w="380" w:type="dxa"/>
            <w:vAlign w:val="bottom"/>
          </w:tcPr>
          <w:p>
            <w:pPr>
              <w:spacing w:after="0"/>
              <w:rPr>
                <w:sz w:val="19"/>
                <w:szCs w:val="19"/>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28,978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61,535</w:t>
            </w:r>
          </w:p>
        </w:tc>
      </w:tr>
      <w:tr>
        <w:trPr>
          <w:trHeight w:val="227"/>
        </w:trPr>
        <w:tc>
          <w:tcPr>
            <w:tcW w:w="380" w:type="dxa"/>
            <w:vAlign w:val="bottom"/>
          </w:tcPr>
          <w:p>
            <w:pPr>
              <w:spacing w:after="0"/>
              <w:rPr>
                <w:sz w:val="19"/>
                <w:szCs w:val="19"/>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(408)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(2,034)</w:t>
            </w:r>
          </w:p>
        </w:tc>
      </w:tr>
      <w:tr>
        <w:trPr>
          <w:trHeight w:val="227"/>
        </w:trPr>
        <w:tc>
          <w:tcPr>
            <w:tcW w:w="380" w:type="dxa"/>
            <w:vAlign w:val="bottom"/>
          </w:tcPr>
          <w:p>
            <w:pPr>
              <w:spacing w:after="0"/>
              <w:rPr>
                <w:sz w:val="19"/>
                <w:szCs w:val="19"/>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(2,576)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(1,597)</w:t>
            </w:r>
          </w:p>
        </w:tc>
      </w:tr>
      <w:tr>
        <w:trPr>
          <w:trHeight w:val="227"/>
        </w:trPr>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(25,652)</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(53,930)</w:t>
            </w:r>
          </w:p>
        </w:tc>
      </w:tr>
      <w:tr>
        <w:trPr>
          <w:trHeight w:val="207"/>
        </w:trPr>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645</w:t>
            </w:r>
          </w:p>
        </w:tc>
        <w:tc>
          <w:tcPr>
            <w:tcW w:w="80" w:type="dxa"/>
            <w:vAlign w:val="bottom"/>
          </w:tcPr>
          <w:p>
            <w:pPr>
              <w:spacing w:after="0"/>
              <w:rPr>
                <w:sz w:val="18"/>
                <w:szCs w:val="18"/>
                <w:color w:val="auto"/>
              </w:rPr>
            </w:pPr>
          </w:p>
        </w:tc>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4,669</w:t>
            </w:r>
          </w:p>
        </w:tc>
      </w:tr>
    </w:tbl>
    <w:p>
      <w:pPr>
        <w:spacing w:after="0" w:line="154" w:lineRule="exact"/>
        <w:rPr>
          <w:sz w:val="20"/>
          <w:szCs w:val="20"/>
          <w:color w:val="auto"/>
        </w:rPr>
      </w:pPr>
    </w:p>
    <w:p>
      <w:pPr>
        <w:sectPr>
          <w:pgSz w:w="11900" w:h="16838" w:orient="portrait"/>
          <w:cols w:equalWidth="0" w:num="2">
            <w:col w:w="7300" w:space="720"/>
            <w:col w:w="3240"/>
          </w:cols>
          <w:pgMar w:left="320" w:top="1440" w:right="319" w:bottom="1440" w:gutter="0" w:footer="0" w:header="0"/>
          <w:type w:val="continuous"/>
        </w:sectPr>
      </w:pPr>
    </w:p>
    <w:p>
      <w:pPr>
        <w:jc w:val="both"/>
        <w:ind w:right="20" w:firstLine="287"/>
        <w:spacing w:after="0" w:line="254" w:lineRule="auto"/>
        <w:rPr>
          <w:sz w:val="20"/>
          <w:szCs w:val="20"/>
          <w:color w:val="auto"/>
        </w:rPr>
      </w:pPr>
      <w:r>
        <w:rPr>
          <w:rFonts w:ascii="Arial" w:cs="Arial" w:eastAsia="Arial" w:hAnsi="Arial"/>
          <w:sz w:val="16"/>
          <w:szCs w:val="16"/>
          <w:color w:val="auto"/>
        </w:rPr>
        <w:t>Additionally, there was an increase of $5.8 million in compensation and benefits, including share-based compensation, and allocated overhead for employees engaged in our marketing function. The increase was partially offset by a decrease of $5.9 million in digital advertising cost as we adjusted our channel mix towards channels that were showing greater efficiency.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5"/>
        </w:trPr>
        <w:tc>
          <w:tcPr>
            <w:tcW w:w="6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March 31,</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66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 Change</w:t>
            </w:r>
          </w:p>
        </w:tc>
      </w:tr>
      <w:tr>
        <w:trPr>
          <w:trHeight w:val="195"/>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compensation, benefits and overhead</w:t>
            </w: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17,689</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48,062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30,373</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Legal settlements or reserves</w:t>
            </w:r>
          </w:p>
        </w:tc>
        <w:tc>
          <w:tcPr>
            <w:tcW w:w="3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42,160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42,160</w:t>
            </w: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14,934</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38,441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23,507</w:t>
            </w:r>
          </w:p>
        </w:tc>
      </w:tr>
      <w:tr>
        <w:trPr>
          <w:trHeight w:val="20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2,028</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8,451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6,423</w:t>
            </w:r>
          </w:p>
        </w:tc>
      </w:tr>
      <w:tr>
        <w:trPr>
          <w:trHeight w:val="195"/>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34,651</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137,114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102,463</w:t>
            </w:r>
          </w:p>
        </w:tc>
      </w:tr>
    </w:tbl>
    <w:p>
      <w:pPr>
        <w:spacing w:after="0" w:line="15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General and administrative costs increased by $102.5 million, or 296%, for the three months ended March 31, 2021, compared to the year prior. The increase was primarily due to an increase of $30.4 million in compensation and benefits, including share-based compensation, and allocated overhead for general and administrative personnel, and an increase of $23.5 million in professional fees, to support the growth of our business. In addition, legal settlements and reserves increased by $42.2 million as discussed in Note 14 to our unaudited condensed consolidated financial statements and elsewhere in this prospectus.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 in Fair Value of Convertible Notes and Warrant Liability</w:t>
      </w:r>
    </w:p>
    <w:p>
      <w:pPr>
        <w:spacing w:after="0" w:line="202" w:lineRule="exact"/>
        <w:rPr>
          <w:sz w:val="20"/>
          <w:szCs w:val="20"/>
          <w:color w:val="auto"/>
        </w:rPr>
      </w:pPr>
    </w:p>
    <w:p>
      <w:pPr>
        <w:jc w:val="center"/>
        <w:ind w:left="5180"/>
        <w:spacing w:after="0"/>
        <w:rPr>
          <w:sz w:val="20"/>
          <w:szCs w:val="20"/>
          <w:color w:val="auto"/>
        </w:rPr>
      </w:pPr>
      <w:r>
        <w:rPr>
          <w:rFonts w:ascii="Arial" w:cs="Arial" w:eastAsia="Arial" w:hAnsi="Arial"/>
          <w:sz w:val="13"/>
          <w:szCs w:val="13"/>
          <w:b w:val="1"/>
          <w:bCs w:val="1"/>
          <w:color w:val="auto"/>
        </w:rPr>
        <w:t>Three Months Ended</w:t>
      </w:r>
    </w:p>
    <w:p>
      <w:pPr>
        <w:jc w:val="center"/>
        <w:ind w:left="5180"/>
        <w:spacing w:after="0"/>
        <w:rPr>
          <w:sz w:val="20"/>
          <w:szCs w:val="20"/>
          <w:color w:val="auto"/>
        </w:rPr>
      </w:pPr>
      <w:r>
        <w:rPr>
          <w:rFonts w:ascii="Arial" w:cs="Arial" w:eastAsia="Arial" w:hAnsi="Arial"/>
          <w:sz w:val="13"/>
          <w:szCs w:val="13"/>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10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 Change</w:t>
            </w:r>
          </w:p>
        </w:tc>
      </w:tr>
      <w:tr>
        <w:trPr>
          <w:trHeight w:val="19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convertible notes and warrant liability</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6"/>
                <w:szCs w:val="16"/>
                <w:color w:val="auto"/>
                <w:w w:val="89"/>
              </w:rPr>
              <w:t>$</w:t>
            </w:r>
          </w:p>
        </w:tc>
        <w:tc>
          <w:tcPr>
            <w:tcW w:w="8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  $</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1,492,269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1,492,269</w:t>
            </w:r>
          </w:p>
        </w:tc>
      </w:tr>
    </w:tbl>
    <w:p>
      <w:pPr>
        <w:spacing w:after="0" w:line="155"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Change in fair value convertible notes and warrant liability was due to the mark-to-market adjustment of the convertible notes issued and warrant granted in February 2021, as discussed in Note 5 - Fair Value of Financial Instruments in our unaudited condensed consolidated financial statements.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260"/>
          </w:cols>
          <w:pgMar w:left="320" w:top="1440" w:right="319" w:bottom="1440" w:gutter="0" w:footer="0" w:header="0"/>
          <w:type w:val="continuous"/>
        </w:sectPr>
      </w:pPr>
    </w:p>
    <w:bookmarkStart w:id="171" w:name="page172"/>
    <w:bookmarkEnd w:id="171"/>
    <w:p>
      <w:pPr>
        <w:spacing w:after="0" w:line="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completion of this offering, we anticipate the mark-to-market charge to be approximately $528.1 million for the quarter in which this offering occurs, assuming an initial public offering price of our Class A common stock of $40.00 per share, which is the midpoint of the estimated offering price range set forth on the cover page of this prospectus.</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Provision for (Benefit from) Income Taxes</w:t>
      </w:r>
    </w:p>
    <w:p>
      <w:pPr>
        <w:spacing w:after="0" w:line="190" w:lineRule="exact"/>
        <w:rPr>
          <w:sz w:val="20"/>
          <w:szCs w:val="20"/>
          <w:color w:val="auto"/>
        </w:rPr>
      </w:pPr>
    </w:p>
    <w:p>
      <w:pPr>
        <w:jc w:val="center"/>
        <w:ind w:left="5180"/>
        <w:spacing w:after="0"/>
        <w:rPr>
          <w:sz w:val="20"/>
          <w:szCs w:val="20"/>
          <w:color w:val="auto"/>
        </w:rPr>
      </w:pPr>
      <w:r>
        <w:rPr>
          <w:rFonts w:ascii="Arial" w:cs="Arial" w:eastAsia="Arial" w:hAnsi="Arial"/>
          <w:sz w:val="13"/>
          <w:szCs w:val="13"/>
          <w:b w:val="1"/>
          <w:bCs w:val="1"/>
          <w:color w:val="auto"/>
        </w:rPr>
        <w:t>Three Months Ended</w:t>
      </w:r>
    </w:p>
    <w:p>
      <w:pPr>
        <w:jc w:val="center"/>
        <w:ind w:left="5180"/>
        <w:spacing w:after="0"/>
        <w:rPr>
          <w:sz w:val="20"/>
          <w:szCs w:val="20"/>
          <w:color w:val="auto"/>
        </w:rPr>
      </w:pPr>
      <w:r>
        <w:rPr>
          <w:rFonts w:ascii="Arial" w:cs="Arial" w:eastAsia="Arial" w:hAnsi="Arial"/>
          <w:sz w:val="13"/>
          <w:szCs w:val="13"/>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 Change</w:t>
            </w:r>
          </w:p>
        </w:tc>
      </w:tr>
      <w:tr>
        <w:trPr>
          <w:trHeight w:val="19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11,779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11,865</w:t>
            </w:r>
          </w:p>
        </w:tc>
      </w:tr>
    </w:tbl>
    <w:p>
      <w:pPr>
        <w:spacing w:after="0" w:line="15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Provision for income taxes increased by $11.9 million, for the three months ended March 31, 2021, compared to the year prior. The increase was primarily due to the growth of the business.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Comparison of the Years Ended December 31, 2019 and 2020</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Transaction-based revenues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743"/>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5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 Change</w:t>
            </w:r>
          </w:p>
        </w:tc>
      </w:tr>
      <w:tr>
        <w:trPr>
          <w:trHeight w:val="18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Transaction-based revenues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3"/>
        </w:trPr>
        <w:tc>
          <w:tcPr>
            <w:tcW w:w="6420" w:type="dxa"/>
            <w:vAlign w:val="bottom"/>
          </w:tcPr>
          <w:p>
            <w:pPr>
              <w:ind w:left="100"/>
              <w:spacing w:after="0"/>
              <w:rPr>
                <w:sz w:val="20"/>
                <w:szCs w:val="20"/>
                <w:color w:val="auto"/>
              </w:rPr>
            </w:pPr>
            <w:r>
              <w:rPr>
                <w:rFonts w:ascii="Arial" w:cs="Arial" w:eastAsia="Arial" w:hAnsi="Arial"/>
                <w:sz w:val="16"/>
                <w:szCs w:val="16"/>
                <w:color w:val="auto"/>
              </w:rPr>
              <w:t>Options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25"/>
              <w:spacing w:after="0"/>
              <w:rPr>
                <w:sz w:val="20"/>
                <w:szCs w:val="20"/>
                <w:color w:val="auto"/>
              </w:rPr>
            </w:pPr>
            <w:r>
              <w:rPr>
                <w:rFonts w:ascii="Arial" w:cs="Arial" w:eastAsia="Arial" w:hAnsi="Arial"/>
                <w:sz w:val="16"/>
                <w:szCs w:val="16"/>
                <w:color w:val="auto"/>
              </w:rPr>
              <w:t>110,656</w:t>
            </w:r>
          </w:p>
        </w:tc>
        <w:tc>
          <w:tcPr>
            <w:tcW w:w="100" w:type="dxa"/>
            <w:vAlign w:val="bottom"/>
          </w:tcPr>
          <w:p>
            <w:pPr>
              <w:spacing w:after="0"/>
              <w:rPr>
                <w:sz w:val="17"/>
                <w:szCs w:val="17"/>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440,070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298 %</w:t>
            </w:r>
          </w:p>
        </w:tc>
      </w:tr>
      <w:tr>
        <w:trPr>
          <w:trHeight w:val="203"/>
        </w:trPr>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50,688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251,200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396 %</w:t>
            </w:r>
          </w:p>
        </w:tc>
      </w:tr>
      <w:tr>
        <w:trPr>
          <w:trHeight w:val="203"/>
        </w:trPr>
        <w:tc>
          <w:tcPr>
            <w:tcW w:w="6420" w:type="dxa"/>
            <w:vAlign w:val="bottom"/>
          </w:tcPr>
          <w:p>
            <w:pPr>
              <w:ind w:left="100"/>
              <w:spacing w:after="0"/>
              <w:rPr>
                <w:sz w:val="20"/>
                <w:szCs w:val="20"/>
                <w:color w:val="auto"/>
              </w:rPr>
            </w:pPr>
            <w:r>
              <w:rPr>
                <w:rFonts w:ascii="Arial" w:cs="Arial" w:eastAsia="Arial" w:hAnsi="Arial"/>
                <w:sz w:val="16"/>
                <w:szCs w:val="16"/>
                <w:color w:val="auto"/>
              </w:rPr>
              <w:t>Cryptocurrencies</w:t>
            </w:r>
          </w:p>
        </w:tc>
        <w:tc>
          <w:tcPr>
            <w:tcW w:w="360" w:type="dxa"/>
            <w:vAlign w:val="bottom"/>
          </w:tcPr>
          <w:p>
            <w:pPr>
              <w:spacing w:after="0"/>
              <w:rPr>
                <w:sz w:val="17"/>
                <w:szCs w:val="17"/>
                <w:color w:val="auto"/>
              </w:rPr>
            </w:pPr>
          </w:p>
        </w:tc>
        <w:tc>
          <w:tcPr>
            <w:tcW w:w="1180" w:type="dxa"/>
            <w:vAlign w:val="bottom"/>
          </w:tcPr>
          <w:p>
            <w:pPr>
              <w:jc w:val="right"/>
              <w:ind w:right="125"/>
              <w:spacing w:after="0"/>
              <w:rPr>
                <w:sz w:val="20"/>
                <w:szCs w:val="20"/>
                <w:color w:val="auto"/>
              </w:rPr>
            </w:pPr>
            <w:r>
              <w:rPr>
                <w:rFonts w:ascii="Arial" w:cs="Arial" w:eastAsia="Arial" w:hAnsi="Arial"/>
                <w:sz w:val="16"/>
                <w:szCs w:val="16"/>
                <w:color w:val="auto"/>
              </w:rPr>
              <w:t>9,487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26,708</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182 %</w:t>
            </w:r>
          </w:p>
        </w:tc>
      </w:tr>
      <w:tr>
        <w:trPr>
          <w:trHeight w:val="203"/>
        </w:trPr>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2,155</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195"/>
        </w:trPr>
        <w:tc>
          <w:tcPr>
            <w:tcW w:w="6420" w:type="dxa"/>
            <w:vAlign w:val="bottom"/>
          </w:tcPr>
          <w:p>
            <w:pPr>
              <w:ind w:left="400"/>
              <w:spacing w:after="0"/>
              <w:rPr>
                <w:sz w:val="20"/>
                <w:szCs w:val="20"/>
                <w:color w:val="auto"/>
              </w:rPr>
            </w:pPr>
            <w:r>
              <w:rPr>
                <w:rFonts w:ascii="Arial" w:cs="Arial" w:eastAsia="Arial" w:hAnsi="Arial"/>
                <w:sz w:val="16"/>
                <w:szCs w:val="16"/>
                <w:color w:val="auto"/>
              </w:rPr>
              <w:t>Total transaction-based revenues</w:t>
            </w: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6"/>
                <w:szCs w:val="16"/>
                <w:color w:val="auto"/>
              </w:rPr>
              <w:t>170,831</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6"/>
                <w:szCs w:val="16"/>
                <w:color w:val="auto"/>
              </w:rPr>
              <w:t>720,133</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322 %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Transaction-based revenues as a % of total net revenues:</w:t>
            </w: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CCEEFF"/>
            </w:tcBorders>
            <w:shd w:val="clear" w:color="auto" w:fill="CCEEFF"/>
          </w:tcPr>
          <w:p>
            <w:pPr>
              <w:spacing w:after="0"/>
              <w:rPr>
                <w:sz w:val="16"/>
                <w:szCs w:val="16"/>
                <w:color w:val="auto"/>
              </w:rPr>
            </w:pPr>
          </w:p>
        </w:tc>
      </w:tr>
      <w:tr>
        <w:trPr>
          <w:trHeight w:val="203"/>
        </w:trPr>
        <w:tc>
          <w:tcPr>
            <w:tcW w:w="6420" w:type="dxa"/>
            <w:vAlign w:val="bottom"/>
          </w:tcPr>
          <w:p>
            <w:pPr>
              <w:ind w:left="100"/>
              <w:spacing w:after="0"/>
              <w:rPr>
                <w:sz w:val="20"/>
                <w:szCs w:val="20"/>
                <w:color w:val="auto"/>
              </w:rPr>
            </w:pPr>
            <w:r>
              <w:rPr>
                <w:rFonts w:ascii="Arial" w:cs="Arial" w:eastAsia="Arial" w:hAnsi="Arial"/>
                <w:sz w:val="16"/>
                <w:szCs w:val="16"/>
                <w:color w:val="auto"/>
              </w:rPr>
              <w:t>Options</w:t>
            </w:r>
          </w:p>
        </w:tc>
        <w:tc>
          <w:tcPr>
            <w:tcW w:w="154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46 %</w:t>
            </w:r>
          </w:p>
        </w:tc>
        <w:tc>
          <w:tcPr>
            <w:tcW w:w="1640" w:type="dxa"/>
            <w:vAlign w:val="bottom"/>
          </w:tcPr>
          <w:p>
            <w:pPr>
              <w:spacing w:after="0"/>
              <w:rPr>
                <w:sz w:val="17"/>
                <w:szCs w:val="17"/>
                <w:color w:val="auto"/>
              </w:rPr>
            </w:pPr>
          </w:p>
        </w:tc>
      </w:tr>
      <w:tr>
        <w:trPr>
          <w:trHeight w:val="203"/>
        </w:trPr>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Equities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640" w:type="dxa"/>
            <w:vAlign w:val="bottom"/>
            <w:shd w:val="clear" w:color="auto" w:fill="CCEEFF"/>
          </w:tcPr>
          <w:p>
            <w:pPr>
              <w:spacing w:after="0"/>
              <w:rPr>
                <w:sz w:val="17"/>
                <w:szCs w:val="17"/>
                <w:color w:val="auto"/>
              </w:rPr>
            </w:pPr>
          </w:p>
        </w:tc>
      </w:tr>
      <w:tr>
        <w:trPr>
          <w:trHeight w:val="203"/>
        </w:trPr>
        <w:tc>
          <w:tcPr>
            <w:tcW w:w="6420" w:type="dxa"/>
            <w:vAlign w:val="bottom"/>
          </w:tcPr>
          <w:p>
            <w:pPr>
              <w:ind w:left="100"/>
              <w:spacing w:after="0"/>
              <w:rPr>
                <w:sz w:val="20"/>
                <w:szCs w:val="20"/>
                <w:color w:val="auto"/>
              </w:rPr>
            </w:pPr>
            <w:r>
              <w:rPr>
                <w:rFonts w:ascii="Arial" w:cs="Arial" w:eastAsia="Arial" w:hAnsi="Arial"/>
                <w:sz w:val="16"/>
                <w:szCs w:val="16"/>
                <w:color w:val="auto"/>
              </w:rPr>
              <w:t>Cryptocurrencies</w:t>
            </w:r>
          </w:p>
        </w:tc>
        <w:tc>
          <w:tcPr>
            <w:tcW w:w="154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3 %</w:t>
            </w:r>
          </w:p>
        </w:tc>
        <w:tc>
          <w:tcPr>
            <w:tcW w:w="1640" w:type="dxa"/>
            <w:vAlign w:val="bottom"/>
          </w:tcPr>
          <w:p>
            <w:pPr>
              <w:spacing w:after="0"/>
              <w:rPr>
                <w:sz w:val="17"/>
                <w:szCs w:val="17"/>
                <w:color w:val="auto"/>
              </w:rPr>
            </w:pPr>
          </w:p>
        </w:tc>
      </w:tr>
      <w:tr>
        <w:trPr>
          <w:trHeight w:val="203"/>
        </w:trPr>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3200" w:type="dxa"/>
            <w:vAlign w:val="bottom"/>
            <w:gridSpan w:val="2"/>
            <w:shd w:val="clear" w:color="auto" w:fill="CCEEFF"/>
          </w:tcPr>
          <w:p>
            <w:pPr>
              <w:jc w:val="right"/>
              <w:ind w:right="1660"/>
              <w:spacing w:after="0"/>
              <w:rPr>
                <w:sz w:val="20"/>
                <w:szCs w:val="20"/>
                <w:color w:val="auto"/>
              </w:rPr>
            </w:pPr>
            <w:r>
              <w:rPr>
                <w:rFonts w:ascii="Arial" w:cs="Arial" w:eastAsia="Arial" w:hAnsi="Arial"/>
                <w:sz w:val="16"/>
                <w:szCs w:val="16"/>
                <w:color w:val="auto"/>
              </w:rPr>
              <w:t>— %</w:t>
            </w:r>
          </w:p>
        </w:tc>
      </w:tr>
      <w:tr>
        <w:trPr>
          <w:trHeight w:val="203"/>
        </w:trPr>
        <w:tc>
          <w:tcPr>
            <w:tcW w:w="6420" w:type="dxa"/>
            <w:vAlign w:val="bottom"/>
          </w:tcPr>
          <w:p>
            <w:pPr>
              <w:ind w:left="400"/>
              <w:spacing w:after="0"/>
              <w:rPr>
                <w:sz w:val="20"/>
                <w:szCs w:val="20"/>
                <w:color w:val="auto"/>
              </w:rPr>
            </w:pPr>
            <w:r>
              <w:rPr>
                <w:rFonts w:ascii="Arial" w:cs="Arial" w:eastAsia="Arial" w:hAnsi="Arial"/>
                <w:sz w:val="16"/>
                <w:szCs w:val="16"/>
                <w:color w:val="auto"/>
              </w:rPr>
              <w:t>Total transaction-based revenues</w:t>
            </w:r>
          </w:p>
        </w:tc>
        <w:tc>
          <w:tcPr>
            <w:tcW w:w="154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75 %</w:t>
            </w:r>
          </w:p>
        </w:tc>
        <w:tc>
          <w:tcPr>
            <w:tcW w:w="1640" w:type="dxa"/>
            <w:vAlign w:val="bottom"/>
          </w:tcPr>
          <w:p>
            <w:pPr>
              <w:spacing w:after="0"/>
              <w:rPr>
                <w:sz w:val="17"/>
                <w:szCs w:val="17"/>
                <w:color w:val="auto"/>
              </w:rPr>
            </w:pPr>
          </w:p>
        </w:tc>
      </w:tr>
    </w:tbl>
    <w:p>
      <w:pPr>
        <w:spacing w:after="0" w:line="154"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Transaction-based revenues increased by $549.3 million, or 322%, for the year ended December 31, 2020, compared to the year prior. The increase was driven by a 143% increase in Net Cumulative Funded Accounts, which resulted in higher daily average revenue trades (as defined above) in options, equities and cryptocurrencies. Our daily average revenue trades for options, equities and cryptocurrencies increased from 0.2 million to 0.6 million, an increase of 306%, 0.6 million to 2.2 million, an increase of 274%, and less than 0.1 million to 0.1 million, an increase of 175%. Increased interest in personal finance and investing, low interest rates and a positive market environment, especially in the U.S. equities markets, encouraged an unprecedented number of first-time retail investors to become our users and begin trading on our platform. We have seen substantial growth in our user base, retention, engagement and trading activity metrics, as well as continued gains and periodic all-time highs achieved by the equity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260"/>
          </w:cols>
          <w:pgMar w:left="320" w:top="1440" w:right="31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i w:val="1"/>
          <w:iCs w:val="1"/>
          <w:color w:val="auto"/>
        </w:rPr>
        <w:t>Net interest revenues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43"/>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5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 Change</w:t>
            </w:r>
          </w:p>
        </w:tc>
      </w:tr>
      <w:tr>
        <w:trPr>
          <w:trHeight w:val="18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revenues:</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3"/>
        </w:trPr>
        <w:tc>
          <w:tcPr>
            <w:tcW w:w="6420" w:type="dxa"/>
            <w:vAlign w:val="bottom"/>
          </w:tcPr>
          <w:p>
            <w:pPr>
              <w:ind w:left="100"/>
              <w:spacing w:after="0"/>
              <w:rPr>
                <w:sz w:val="20"/>
                <w:szCs w:val="20"/>
                <w:color w:val="auto"/>
              </w:rPr>
            </w:pPr>
            <w:r>
              <w:rPr>
                <w:rFonts w:ascii="Arial" w:cs="Arial" w:eastAsia="Arial" w:hAnsi="Arial"/>
                <w:sz w:val="16"/>
                <w:szCs w:val="16"/>
                <w:color w:val="auto"/>
              </w:rPr>
              <w:t>Securities lending</w:t>
            </w: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6,380</w:t>
            </w:r>
          </w:p>
        </w:tc>
        <w:tc>
          <w:tcPr>
            <w:tcW w:w="100" w:type="dxa"/>
            <w:vAlign w:val="bottom"/>
          </w:tcPr>
          <w:p>
            <w:pPr>
              <w:spacing w:after="0"/>
              <w:rPr>
                <w:sz w:val="17"/>
                <w:szCs w:val="17"/>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98,165</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1439 %</w:t>
            </w:r>
          </w:p>
        </w:tc>
      </w:tr>
      <w:tr>
        <w:trPr>
          <w:trHeight w:val="203"/>
        </w:trPr>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Margin interest</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19,104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66,781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250 %</w:t>
            </w:r>
          </w:p>
        </w:tc>
      </w:tr>
      <w:tr>
        <w:trPr>
          <w:trHeight w:val="203"/>
        </w:trPr>
        <w:tc>
          <w:tcPr>
            <w:tcW w:w="6420" w:type="dxa"/>
            <w:vAlign w:val="bottom"/>
          </w:tcPr>
          <w:p>
            <w:pPr>
              <w:ind w:left="100"/>
              <w:spacing w:after="0"/>
              <w:rPr>
                <w:sz w:val="20"/>
                <w:szCs w:val="20"/>
                <w:color w:val="auto"/>
              </w:rPr>
            </w:pPr>
            <w:r>
              <w:rPr>
                <w:rFonts w:ascii="Arial" w:cs="Arial" w:eastAsia="Arial" w:hAnsi="Arial"/>
                <w:sz w:val="16"/>
                <w:szCs w:val="16"/>
                <w:color w:val="auto"/>
              </w:rPr>
              <w:t>Interest on segregated cash and securities</w:t>
            </w:r>
          </w:p>
        </w:tc>
        <w:tc>
          <w:tcPr>
            <w:tcW w:w="380" w:type="dxa"/>
            <w:vAlign w:val="bottom"/>
          </w:tcPr>
          <w:p>
            <w:pPr>
              <w:spacing w:after="0"/>
              <w:rPr>
                <w:sz w:val="17"/>
                <w:szCs w:val="17"/>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36,281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13,401</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(63)%</w:t>
            </w:r>
          </w:p>
        </w:tc>
      </w:tr>
      <w:tr>
        <w:trPr>
          <w:trHeight w:val="203"/>
        </w:trPr>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interest revenue</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9,865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3,972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3"/>
        </w:trPr>
        <w:tc>
          <w:tcPr>
            <w:tcW w:w="64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Interest expenses related to credit facilities</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(991)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(4,882)</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393 %</w:t>
            </w:r>
          </w:p>
        </w:tc>
      </w:tr>
      <w:tr>
        <w:trPr>
          <w:trHeight w:val="199"/>
        </w:trPr>
        <w:tc>
          <w:tcPr>
            <w:tcW w:w="6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net interest revenues</w:t>
            </w: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70,639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177,437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151 %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ind w:left="20"/>
              <w:spacing w:after="0"/>
              <w:rPr>
                <w:sz w:val="20"/>
                <w:szCs w:val="20"/>
                <w:color w:val="auto"/>
              </w:rPr>
            </w:pPr>
            <w:r>
              <w:rPr>
                <w:rFonts w:ascii="Arial" w:cs="Arial" w:eastAsia="Arial" w:hAnsi="Arial"/>
                <w:sz w:val="16"/>
                <w:szCs w:val="16"/>
                <w:color w:val="auto"/>
              </w:rPr>
              <w:t>Net interest revenues as a % of total net revenues:</w:t>
            </w: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640" w:type="dxa"/>
            <w:vAlign w:val="bottom"/>
          </w:tcPr>
          <w:p>
            <w:pPr>
              <w:spacing w:after="0"/>
              <w:rPr>
                <w:sz w:val="15"/>
                <w:szCs w:val="15"/>
                <w:color w:val="auto"/>
              </w:rPr>
            </w:pPr>
          </w:p>
        </w:tc>
      </w:tr>
      <w:tr>
        <w:trPr>
          <w:trHeight w:val="203"/>
        </w:trPr>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Securities lending</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640" w:type="dxa"/>
            <w:vAlign w:val="bottom"/>
            <w:shd w:val="clear" w:color="auto" w:fill="CCEEFF"/>
          </w:tcPr>
          <w:p>
            <w:pPr>
              <w:spacing w:after="0"/>
              <w:rPr>
                <w:sz w:val="17"/>
                <w:szCs w:val="17"/>
                <w:color w:val="auto"/>
              </w:rPr>
            </w:pPr>
          </w:p>
        </w:tc>
      </w:tr>
      <w:tr>
        <w:trPr>
          <w:trHeight w:val="203"/>
        </w:trPr>
        <w:tc>
          <w:tcPr>
            <w:tcW w:w="6420" w:type="dxa"/>
            <w:vAlign w:val="bottom"/>
          </w:tcPr>
          <w:p>
            <w:pPr>
              <w:ind w:left="100"/>
              <w:spacing w:after="0"/>
              <w:rPr>
                <w:sz w:val="20"/>
                <w:szCs w:val="20"/>
                <w:color w:val="auto"/>
              </w:rPr>
            </w:pPr>
            <w:r>
              <w:rPr>
                <w:rFonts w:ascii="Arial" w:cs="Arial" w:eastAsia="Arial" w:hAnsi="Arial"/>
                <w:sz w:val="16"/>
                <w:szCs w:val="16"/>
                <w:color w:val="auto"/>
              </w:rPr>
              <w:t>Margin interest</w:t>
            </w:r>
          </w:p>
        </w:tc>
        <w:tc>
          <w:tcPr>
            <w:tcW w:w="154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7 %</w:t>
            </w:r>
          </w:p>
        </w:tc>
        <w:tc>
          <w:tcPr>
            <w:tcW w:w="1640" w:type="dxa"/>
            <w:vAlign w:val="bottom"/>
          </w:tcPr>
          <w:p>
            <w:pPr>
              <w:spacing w:after="0"/>
              <w:rPr>
                <w:sz w:val="17"/>
                <w:szCs w:val="17"/>
                <w:color w:val="auto"/>
              </w:rPr>
            </w:pPr>
          </w:p>
        </w:tc>
      </w:tr>
      <w:tr>
        <w:trPr>
          <w:trHeight w:val="203"/>
        </w:trPr>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on segregated cash and securities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640" w:type="dxa"/>
            <w:vAlign w:val="bottom"/>
            <w:shd w:val="clear" w:color="auto" w:fill="CCEEFF"/>
          </w:tcPr>
          <w:p>
            <w:pPr>
              <w:spacing w:after="0"/>
              <w:rPr>
                <w:sz w:val="17"/>
                <w:szCs w:val="17"/>
                <w:color w:val="auto"/>
              </w:rPr>
            </w:pPr>
          </w:p>
        </w:tc>
      </w:tr>
      <w:tr>
        <w:trPr>
          <w:trHeight w:val="203"/>
        </w:trPr>
        <w:tc>
          <w:tcPr>
            <w:tcW w:w="6420" w:type="dxa"/>
            <w:vAlign w:val="bottom"/>
          </w:tcPr>
          <w:p>
            <w:pPr>
              <w:ind w:left="100"/>
              <w:spacing w:after="0"/>
              <w:rPr>
                <w:sz w:val="20"/>
                <w:szCs w:val="20"/>
                <w:color w:val="auto"/>
              </w:rPr>
            </w:pPr>
            <w:r>
              <w:rPr>
                <w:rFonts w:ascii="Arial" w:cs="Arial" w:eastAsia="Arial" w:hAnsi="Arial"/>
                <w:sz w:val="16"/>
                <w:szCs w:val="16"/>
                <w:color w:val="auto"/>
              </w:rPr>
              <w:t>Other interest revenue</w:t>
            </w:r>
          </w:p>
        </w:tc>
        <w:tc>
          <w:tcPr>
            <w:tcW w:w="154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1 %</w:t>
            </w:r>
          </w:p>
        </w:tc>
        <w:tc>
          <w:tcPr>
            <w:tcW w:w="1640" w:type="dxa"/>
            <w:vAlign w:val="bottom"/>
          </w:tcPr>
          <w:p>
            <w:pPr>
              <w:spacing w:after="0"/>
              <w:rPr>
                <w:sz w:val="17"/>
                <w:szCs w:val="17"/>
                <w:color w:val="auto"/>
              </w:rPr>
            </w:pPr>
          </w:p>
        </w:tc>
      </w:tr>
      <w:tr>
        <w:trPr>
          <w:trHeight w:val="203"/>
        </w:trPr>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expenses related to credit facilities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40" w:type="dxa"/>
            <w:vAlign w:val="bottom"/>
            <w:shd w:val="clear" w:color="auto" w:fill="CCEEFF"/>
          </w:tcPr>
          <w:p>
            <w:pPr>
              <w:spacing w:after="0"/>
              <w:rPr>
                <w:sz w:val="17"/>
                <w:szCs w:val="17"/>
                <w:color w:val="auto"/>
              </w:rPr>
            </w:pPr>
          </w:p>
        </w:tc>
      </w:tr>
      <w:tr>
        <w:trPr>
          <w:trHeight w:val="195"/>
        </w:trPr>
        <w:tc>
          <w:tcPr>
            <w:tcW w:w="6420" w:type="dxa"/>
            <w:vAlign w:val="bottom"/>
          </w:tcPr>
          <w:p>
            <w:pPr>
              <w:ind w:left="400"/>
              <w:spacing w:after="0"/>
              <w:rPr>
                <w:sz w:val="20"/>
                <w:szCs w:val="20"/>
                <w:color w:val="auto"/>
              </w:rPr>
            </w:pPr>
            <w:r>
              <w:rPr>
                <w:rFonts w:ascii="Arial" w:cs="Arial" w:eastAsia="Arial" w:hAnsi="Arial"/>
                <w:sz w:val="16"/>
                <w:szCs w:val="16"/>
                <w:color w:val="auto"/>
              </w:rPr>
              <w:t>Total net interest revenues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1640" w:type="dxa"/>
            <w:vAlign w:val="bottom"/>
          </w:tcPr>
          <w:p>
            <w:pPr>
              <w:spacing w:after="0"/>
              <w:rPr>
                <w:sz w:val="16"/>
                <w:szCs w:val="16"/>
                <w:color w:val="auto"/>
              </w:rPr>
            </w:pPr>
          </w:p>
        </w:tc>
      </w:tr>
      <w:tr>
        <w:trPr>
          <w:trHeight w:val="20"/>
        </w:trPr>
        <w:tc>
          <w:tcPr>
            <w:tcW w:w="6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Net interest revenues increased by $106.8 million, or 151%, for the year ended December 31, 2020, compared to the year prior. The increase was primarily due to higher interest revenues earned through securities lending activities and on margin loans to users, offset by lower interest revenue earned on segregated cash and securities, and increased interest expense related to our revolving credit facilities.</w:t>
      </w:r>
    </w:p>
    <w:p>
      <w:pPr>
        <w:spacing w:after="0" w:line="14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Net interest revenues earned from securities lending transactions increased $91.8 million as we grew our securities lending program, which benefited from higher rates earned on hard-to-borrow securities. Securities loaned increased 185%, to $1.9 billion, while securities borrowed remained flat at $0.4 million. Interest revenue earned on margin borrowings increased by $47.7 million due to an increase in both the number of margin borrowers and average per-user margin balance. Margin receivables outstanding, net of allowance for credit losses, increased from $637.3 million due from 0.1 million users to $3.3 billion due from 0.3 million users. The first $1,000 in margin borrowed by each user is not charged interest while margin over $1,000 was charged at 5% annual percentage rate until December 2020 when we lowered this rate to 2.5%. Interest revenue earned on segregated cash and securities balances decreased $22.9 million due to the decrease in the Federal Reserve's benchmark target rate to near zero.</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40" w:type="dxa"/>
            <w:vAlign w:val="bottom"/>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1540" w:type="dxa"/>
            <w:vAlign w:val="bottom"/>
          </w:tcPr>
          <w:p>
            <w:pPr>
              <w:spacing w:after="0"/>
              <w:rPr>
                <w:sz w:val="14"/>
                <w:szCs w:val="14"/>
                <w:color w:val="auto"/>
              </w:rPr>
            </w:pPr>
          </w:p>
        </w:tc>
      </w:tr>
      <w:tr>
        <w:trPr>
          <w:trHeight w:val="15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 Change</w:t>
            </w:r>
          </w:p>
        </w:tc>
      </w:tr>
      <w:tr>
        <w:trPr>
          <w:trHeight w:val="195"/>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36,063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46"/>
              <w:spacing w:after="0"/>
              <w:rPr>
                <w:sz w:val="20"/>
                <w:szCs w:val="20"/>
                <w:color w:val="auto"/>
              </w:rPr>
            </w:pPr>
            <w:r>
              <w:rPr>
                <w:rFonts w:ascii="Arial" w:cs="Arial" w:eastAsia="Arial" w:hAnsi="Arial"/>
                <w:sz w:val="16"/>
                <w:szCs w:val="16"/>
                <w:color w:val="auto"/>
              </w:rPr>
              <w:t>61,263</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Other revenues as a % of total net revenues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pacing w:after="0" w:line="154"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Other revenues increased by $25.2 million, or 70%, for the year ended December 31, 2020, compared to the year prior. The increase was primarily due to an increase in paid subscribers to Robinhood Gold from 0.2 million to 0.9 million, resulting in $9.8 million in increased subscription revenue and higher proxy rebate revenue of $7.5 million resulting from the growth in our user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260"/>
          </w:cols>
          <w:pgMar w:left="320" w:top="1425" w:right="319" w:bottom="1440" w:gutter="0" w:footer="0" w:header="0"/>
        </w:sectPr>
      </w:pPr>
    </w:p>
    <w:bookmarkStart w:id="173" w:name="page174"/>
    <w:bookmarkEnd w:id="173"/>
    <w:p>
      <w:pPr>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743"/>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5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 Change</w:t>
            </w:r>
          </w:p>
        </w:tc>
      </w:tr>
      <w:tr>
        <w:trPr>
          <w:trHeight w:val="18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3"/>
        </w:trPr>
        <w:tc>
          <w:tcPr>
            <w:tcW w:w="6420" w:type="dxa"/>
            <w:vAlign w:val="bottom"/>
          </w:tcPr>
          <w:p>
            <w:pPr>
              <w:ind w:left="200"/>
              <w:spacing w:after="0"/>
              <w:rPr>
                <w:sz w:val="20"/>
                <w:szCs w:val="20"/>
                <w:color w:val="auto"/>
              </w:rPr>
            </w:pPr>
            <w:r>
              <w:rPr>
                <w:rFonts w:ascii="Arial" w:cs="Arial" w:eastAsia="Arial" w:hAnsi="Arial"/>
                <w:sz w:val="16"/>
                <w:szCs w:val="16"/>
                <w:color w:val="auto"/>
              </w:rPr>
              <w:t>Brokerage and transaction</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24"/>
              <w:spacing w:after="0"/>
              <w:rPr>
                <w:sz w:val="20"/>
                <w:szCs w:val="20"/>
                <w:color w:val="auto"/>
              </w:rPr>
            </w:pPr>
            <w:r>
              <w:rPr>
                <w:rFonts w:ascii="Arial" w:cs="Arial" w:eastAsia="Arial" w:hAnsi="Arial"/>
                <w:sz w:val="16"/>
                <w:szCs w:val="16"/>
                <w:color w:val="auto"/>
              </w:rPr>
              <w:t>45,459</w:t>
            </w:r>
          </w:p>
        </w:tc>
        <w:tc>
          <w:tcPr>
            <w:tcW w:w="100" w:type="dxa"/>
            <w:vAlign w:val="bottom"/>
          </w:tcPr>
          <w:p>
            <w:pPr>
              <w:spacing w:after="0"/>
              <w:rPr>
                <w:sz w:val="17"/>
                <w:szCs w:val="17"/>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111,083</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144 %</w:t>
            </w:r>
          </w:p>
        </w:tc>
      </w:tr>
      <w:tr>
        <w:trPr>
          <w:trHeight w:val="203"/>
        </w:trPr>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Technology and development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94,932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215,630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03"/>
        </w:trPr>
        <w:tc>
          <w:tcPr>
            <w:tcW w:w="642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360" w:type="dxa"/>
            <w:vAlign w:val="bottom"/>
          </w:tcPr>
          <w:p>
            <w:pPr>
              <w:spacing w:after="0"/>
              <w:rPr>
                <w:sz w:val="17"/>
                <w:szCs w:val="17"/>
                <w:color w:val="auto"/>
              </w:rPr>
            </w:pPr>
          </w:p>
        </w:tc>
        <w:tc>
          <w:tcPr>
            <w:tcW w:w="1180" w:type="dxa"/>
            <w:vAlign w:val="bottom"/>
          </w:tcPr>
          <w:p>
            <w:pPr>
              <w:jc w:val="right"/>
              <w:ind w:right="124"/>
              <w:spacing w:after="0"/>
              <w:rPr>
                <w:sz w:val="20"/>
                <w:szCs w:val="20"/>
                <w:color w:val="auto"/>
              </w:rPr>
            </w:pPr>
            <w:r>
              <w:rPr>
                <w:rFonts w:ascii="Arial" w:cs="Arial" w:eastAsia="Arial" w:hAnsi="Arial"/>
                <w:sz w:val="16"/>
                <w:szCs w:val="16"/>
                <w:color w:val="auto"/>
              </w:rPr>
              <w:t>33,869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137,905</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307 %</w:t>
            </w:r>
          </w:p>
        </w:tc>
      </w:tr>
      <w:tr>
        <w:trPr>
          <w:trHeight w:val="203"/>
        </w:trPr>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Marketing</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124,699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185,741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03"/>
        </w:trPr>
        <w:tc>
          <w:tcPr>
            <w:tcW w:w="64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85,504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294,694</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245 %</w:t>
            </w:r>
          </w:p>
        </w:tc>
      </w:tr>
      <w:tr>
        <w:trPr>
          <w:trHeight w:val="199"/>
        </w:trPr>
        <w:tc>
          <w:tcPr>
            <w:tcW w:w="6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384,463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945,053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146 %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ind w:left="20"/>
              <w:spacing w:after="0"/>
              <w:rPr>
                <w:sz w:val="20"/>
                <w:szCs w:val="20"/>
                <w:color w:val="auto"/>
              </w:rPr>
            </w:pPr>
            <w:r>
              <w:rPr>
                <w:rFonts w:ascii="Arial" w:cs="Arial" w:eastAsia="Arial" w:hAnsi="Arial"/>
                <w:sz w:val="16"/>
                <w:szCs w:val="16"/>
                <w:color w:val="auto"/>
              </w:rPr>
              <w:t>Percent of net revenues:</w:t>
            </w:r>
          </w:p>
        </w:tc>
        <w:tc>
          <w:tcPr>
            <w:tcW w:w="3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Brokerage and transaction</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6420" w:type="dxa"/>
            <w:vAlign w:val="bottom"/>
          </w:tcPr>
          <w:p>
            <w:pPr>
              <w:ind w:left="200"/>
              <w:spacing w:after="0"/>
              <w:rPr>
                <w:sz w:val="20"/>
                <w:szCs w:val="20"/>
                <w:color w:val="auto"/>
              </w:rPr>
            </w:pPr>
            <w:r>
              <w:rPr>
                <w:rFonts w:ascii="Arial" w:cs="Arial" w:eastAsia="Arial" w:hAnsi="Arial"/>
                <w:sz w:val="16"/>
                <w:szCs w:val="16"/>
                <w:color w:val="auto"/>
              </w:rPr>
              <w:t>Technology and development</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Operations</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6420" w:type="dxa"/>
            <w:vAlign w:val="bottom"/>
          </w:tcPr>
          <w:p>
            <w:pPr>
              <w:ind w:left="200"/>
              <w:spacing w:after="0"/>
              <w:rPr>
                <w:sz w:val="20"/>
                <w:szCs w:val="20"/>
                <w:color w:val="auto"/>
              </w:rPr>
            </w:pPr>
            <w:r>
              <w:rPr>
                <w:rFonts w:ascii="Arial" w:cs="Arial" w:eastAsia="Arial" w:hAnsi="Arial"/>
                <w:sz w:val="16"/>
                <w:szCs w:val="16"/>
                <w:color w:val="auto"/>
              </w:rPr>
              <w:t>Marketing</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6420" w:type="dxa"/>
            <w:vAlign w:val="bottom"/>
          </w:tcPr>
          <w:p>
            <w:pPr>
              <w:ind w:left="400"/>
              <w:spacing w:after="0"/>
              <w:rPr>
                <w:sz w:val="20"/>
                <w:szCs w:val="20"/>
                <w:color w:val="auto"/>
              </w:rPr>
            </w:pPr>
            <w:r>
              <w:rPr>
                <w:rFonts w:ascii="Arial" w:cs="Arial" w:eastAsia="Arial" w:hAnsi="Arial"/>
                <w:sz w:val="16"/>
                <w:szCs w:val="16"/>
                <w:color w:val="auto"/>
              </w:rPr>
              <w:t>Total operating expenses</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47"/>
        </w:trPr>
        <w:tc>
          <w:tcPr>
            <w:tcW w:w="6420" w:type="dxa"/>
            <w:vAlign w:val="bottom"/>
          </w:tcPr>
          <w:p>
            <w:pPr>
              <w:spacing w:after="0"/>
              <w:rPr>
                <w:sz w:val="20"/>
                <w:szCs w:val="20"/>
                <w:color w:val="auto"/>
              </w:rPr>
            </w:pPr>
            <w:r>
              <w:rPr>
                <w:rFonts w:ascii="Arial" w:cs="Arial" w:eastAsia="Arial" w:hAnsi="Arial"/>
                <w:sz w:val="16"/>
                <w:szCs w:val="16"/>
                <w:i w:val="1"/>
                <w:iCs w:val="1"/>
                <w:color w:val="auto"/>
              </w:rPr>
              <w:t>Brokerage and transaction</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6"/>
        </w:trPr>
        <w:tc>
          <w:tcPr>
            <w:tcW w:w="6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8"/>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5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 Change</w:t>
            </w:r>
          </w:p>
        </w:tc>
      </w:tr>
      <w:tr>
        <w:trPr>
          <w:trHeight w:val="195"/>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Clearing fees</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14,882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46,480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31,598</w:t>
            </w: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Market data fees</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11,697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21,327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9,630</w:t>
            </w: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Regulatory fees</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4,780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15,308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10,528</w:t>
            </w: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Employee compensation, benefits and overhead</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5,297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7,209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1,912</w:t>
            </w: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Bank charges</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2,565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7,104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4,539</w:t>
            </w:r>
          </w:p>
        </w:tc>
      </w:tr>
      <w:tr>
        <w:trPr>
          <w:trHeight w:val="20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6,238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13,655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7,417</w:t>
            </w:r>
          </w:p>
        </w:tc>
      </w:tr>
      <w:tr>
        <w:trPr>
          <w:trHeight w:val="195"/>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45,459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111,083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65,624</w:t>
            </w:r>
          </w:p>
        </w:tc>
      </w:tr>
    </w:tbl>
    <w:p>
      <w:pPr>
        <w:spacing w:after="0" w:line="167"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Brokerage and transaction costs increased by $65.6 million, or 144%, for the year ended December 31, 2020, compared to the year prior. The increase was primarily due to an increase of $ 31.6 million in clearing fees, an increase of $10.5 million in regulatory fees, an increase of $9.6 million in market data fees, an increase of $4.5 million in bank charges and an increase of $1.9 million in employee compensation and benefits, including share-based compensation, and allocated overhead. These increases were in line with the growth in our user base and higher trading volumes on a per-user basis.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Technology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 Change</w:t>
            </w:r>
          </w:p>
        </w:tc>
      </w:tr>
      <w:tr>
        <w:trPr>
          <w:trHeight w:val="19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compensation, benefits and overhead</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127,287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62,256</w:t>
            </w:r>
          </w:p>
        </w:tc>
      </w:tr>
      <w:tr>
        <w:trPr>
          <w:trHeight w:val="203"/>
        </w:trPr>
        <w:tc>
          <w:tcPr>
            <w:tcW w:w="6720" w:type="dxa"/>
            <w:vAlign w:val="bottom"/>
          </w:tcPr>
          <w:p>
            <w:pPr>
              <w:ind w:left="20"/>
              <w:spacing w:after="0"/>
              <w:rPr>
                <w:sz w:val="20"/>
                <w:szCs w:val="20"/>
                <w:color w:val="auto"/>
              </w:rPr>
            </w:pPr>
            <w:r>
              <w:rPr>
                <w:rFonts w:ascii="Arial" w:cs="Arial" w:eastAsia="Arial" w:hAnsi="Arial"/>
                <w:sz w:val="16"/>
                <w:szCs w:val="16"/>
                <w:color w:val="auto"/>
              </w:rPr>
              <w:t>Cloud infrastructure and other software services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26,759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80,806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54,047</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7,537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4,395</w:t>
            </w:r>
          </w:p>
        </w:tc>
      </w:tr>
      <w:tr>
        <w:trPr>
          <w:trHeight w:val="195"/>
        </w:trPr>
        <w:tc>
          <w:tcPr>
            <w:tcW w:w="6720" w:type="dxa"/>
            <w:vAlign w:val="bottom"/>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94,932</w:t>
            </w:r>
          </w:p>
        </w:tc>
        <w:tc>
          <w:tcPr>
            <w:tcW w:w="100" w:type="dxa"/>
            <w:vAlign w:val="bottom"/>
          </w:tcPr>
          <w:p>
            <w:pPr>
              <w:spacing w:after="0"/>
              <w:rPr>
                <w:sz w:val="16"/>
                <w:szCs w:val="16"/>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215,630</w:t>
            </w:r>
          </w:p>
        </w:tc>
        <w:tc>
          <w:tcPr>
            <w:tcW w:w="80" w:type="dxa"/>
            <w:vAlign w:val="bottom"/>
          </w:tcPr>
          <w:p>
            <w:pPr>
              <w:spacing w:after="0"/>
              <w:rPr>
                <w:sz w:val="16"/>
                <w:szCs w:val="16"/>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120,698</w:t>
            </w:r>
          </w:p>
        </w:tc>
      </w:tr>
    </w:tbl>
    <w:p>
      <w:pPr>
        <w:spacing w:after="0" w:line="166"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Technology and development costs increased by $120.7 million, or 127%, for the year ended December 31, 2020, compared to the year prior. The increase was primarily due to an increase of $62.3 million in employee compensation and benefits, including share-based compensation, net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60"/>
          </w:cols>
          <w:pgMar w:left="320" w:top="1426" w:right="319" w:bottom="1440" w:gutter="0" w:footer="0" w:header="0"/>
        </w:sectPr>
      </w:pPr>
    </w:p>
    <w:bookmarkStart w:id="174" w:name="page175"/>
    <w:bookmarkEnd w:id="174"/>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capitalized costs for internally developed software, and allocated overhead as we continued to grow our engineering, data science, and design teams to support the growth of our user base and develop new products. We also experienced an increase of $54.0 million in costs for cloud infrastructure and other software services utilized in delivering our products as a result of overall growth in customer accounts and related activities.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 Change</w:t>
            </w:r>
          </w:p>
        </w:tc>
      </w:tr>
      <w:tr>
        <w:trPr>
          <w:trHeight w:val="19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credit losses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59,134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48,025</w:t>
            </w:r>
          </w:p>
        </w:tc>
      </w:tr>
      <w:tr>
        <w:trPr>
          <w:trHeight w:val="203"/>
        </w:trPr>
        <w:tc>
          <w:tcPr>
            <w:tcW w:w="6720" w:type="dxa"/>
            <w:vAlign w:val="bottom"/>
          </w:tcPr>
          <w:p>
            <w:pPr>
              <w:ind w:left="20"/>
              <w:spacing w:after="0"/>
              <w:rPr>
                <w:sz w:val="20"/>
                <w:szCs w:val="20"/>
                <w:color w:val="auto"/>
              </w:rPr>
            </w:pPr>
            <w:r>
              <w:rPr>
                <w:rFonts w:ascii="Arial" w:cs="Arial" w:eastAsia="Arial" w:hAnsi="Arial"/>
                <w:sz w:val="16"/>
                <w:szCs w:val="16"/>
                <w:color w:val="auto"/>
              </w:rPr>
              <w:t>Employee compensation, benefits and overhead</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35,011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24,209</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Third-party customer support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29,206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21,299</w:t>
            </w:r>
          </w:p>
        </w:tc>
      </w:tr>
      <w:tr>
        <w:trPr>
          <w:trHeight w:val="203"/>
        </w:trPr>
        <w:tc>
          <w:tcPr>
            <w:tcW w:w="6720" w:type="dxa"/>
            <w:vAlign w:val="bottom"/>
          </w:tcPr>
          <w:p>
            <w:pPr>
              <w:ind w:left="20"/>
              <w:spacing w:after="0"/>
              <w:rPr>
                <w:sz w:val="20"/>
                <w:szCs w:val="20"/>
                <w:color w:val="auto"/>
              </w:rPr>
            </w:pPr>
            <w:r>
              <w:rPr>
                <w:rFonts w:ascii="Arial" w:cs="Arial" w:eastAsia="Arial" w:hAnsi="Arial"/>
                <w:sz w:val="16"/>
                <w:szCs w:val="16"/>
                <w:color w:val="auto"/>
              </w:rPr>
              <w:t>Customer onboarding</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8,504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5,655</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6,050</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4,848</w:t>
            </w:r>
          </w:p>
        </w:tc>
      </w:tr>
      <w:tr>
        <w:trPr>
          <w:trHeight w:val="195"/>
        </w:trPr>
        <w:tc>
          <w:tcPr>
            <w:tcW w:w="6720" w:type="dxa"/>
            <w:vAlign w:val="bottom"/>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33,869</w:t>
            </w:r>
          </w:p>
        </w:tc>
        <w:tc>
          <w:tcPr>
            <w:tcW w:w="100" w:type="dxa"/>
            <w:vAlign w:val="bottom"/>
          </w:tcPr>
          <w:p>
            <w:pPr>
              <w:spacing w:after="0"/>
              <w:rPr>
                <w:sz w:val="16"/>
                <w:szCs w:val="16"/>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137,905</w:t>
            </w:r>
          </w:p>
        </w:tc>
        <w:tc>
          <w:tcPr>
            <w:tcW w:w="80" w:type="dxa"/>
            <w:vAlign w:val="bottom"/>
          </w:tcPr>
          <w:p>
            <w:pPr>
              <w:spacing w:after="0"/>
              <w:rPr>
                <w:sz w:val="16"/>
                <w:szCs w:val="16"/>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104,036</w:t>
            </w:r>
          </w:p>
        </w:tc>
      </w:tr>
    </w:tbl>
    <w:p>
      <w:pPr>
        <w:spacing w:after="0" w:line="154"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Operations costs increased by $104.0 million, or 307%, for the year ended December 31, 2020, compared to the year prior. The increase was primarily due to an increase in provision for credit losses of $48.0 million, from $11.1 million to $59.1 million, mainly driven by Fraudulent Deposit Transactions and, to a lesser extent, losses on margin borrowings, which have both increased, on a total account and loss per account basis, with the growth of our user base. We also incurred additional compensation and benefits expense, including share-based compensation, and allocated overhead of $24.2 million for customer support and other operations employees as we more than tripled the number of our dedicated customer support professionals from the year prior. Costs related to third-party customer support vendors and customer onboarding increased $21.3 million and $5.7 million as a result of the growth in our user base.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 Change</w:t>
            </w:r>
          </w:p>
        </w:tc>
      </w:tr>
      <w:tr>
        <w:trPr>
          <w:trHeight w:val="19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Robinhood Referral Program</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79,061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50,311</w:t>
            </w:r>
          </w:p>
        </w:tc>
      </w:tr>
      <w:tr>
        <w:trPr>
          <w:trHeight w:val="203"/>
        </w:trPr>
        <w:tc>
          <w:tcPr>
            <w:tcW w:w="6720" w:type="dxa"/>
            <w:vAlign w:val="bottom"/>
          </w:tcPr>
          <w:p>
            <w:pPr>
              <w:ind w:left="20"/>
              <w:spacing w:after="0"/>
              <w:rPr>
                <w:sz w:val="20"/>
                <w:szCs w:val="20"/>
                <w:color w:val="auto"/>
              </w:rPr>
            </w:pPr>
            <w:r>
              <w:rPr>
                <w:rFonts w:ascii="Arial" w:cs="Arial" w:eastAsia="Arial" w:hAnsi="Arial"/>
                <w:sz w:val="16"/>
                <w:szCs w:val="16"/>
                <w:color w:val="auto"/>
              </w:rPr>
              <w:t>Customer goodwill</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13,529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12,395</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compensation, benefits and overhead</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8,944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6,213</w:t>
            </w:r>
          </w:p>
        </w:tc>
      </w:tr>
      <w:tr>
        <w:trPr>
          <w:trHeight w:val="203"/>
        </w:trPr>
        <w:tc>
          <w:tcPr>
            <w:tcW w:w="6720" w:type="dxa"/>
            <w:vAlign w:val="bottom"/>
          </w:tcPr>
          <w:p>
            <w:pPr>
              <w:ind w:left="20"/>
              <w:spacing w:after="0"/>
              <w:rPr>
                <w:sz w:val="20"/>
                <w:szCs w:val="20"/>
                <w:color w:val="auto"/>
              </w:rPr>
            </w:pPr>
            <w:r>
              <w:rPr>
                <w:rFonts w:ascii="Arial" w:cs="Arial" w:eastAsia="Arial" w:hAnsi="Arial"/>
                <w:sz w:val="16"/>
                <w:szCs w:val="16"/>
                <w:color w:val="auto"/>
              </w:rPr>
              <w:t>Digital and paid marketing efforts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90,373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77,729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(12,644)</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6,478</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4,797</w:t>
            </w:r>
          </w:p>
        </w:tc>
      </w:tr>
      <w:tr>
        <w:trPr>
          <w:trHeight w:val="195"/>
        </w:trPr>
        <w:tc>
          <w:tcPr>
            <w:tcW w:w="6720" w:type="dxa"/>
            <w:vAlign w:val="bottom"/>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124,669</w:t>
            </w:r>
          </w:p>
        </w:tc>
        <w:tc>
          <w:tcPr>
            <w:tcW w:w="100" w:type="dxa"/>
            <w:vAlign w:val="bottom"/>
          </w:tcPr>
          <w:p>
            <w:pPr>
              <w:spacing w:after="0"/>
              <w:rPr>
                <w:sz w:val="16"/>
                <w:szCs w:val="16"/>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185,741</w:t>
            </w:r>
          </w:p>
        </w:tc>
        <w:tc>
          <w:tcPr>
            <w:tcW w:w="80" w:type="dxa"/>
            <w:vAlign w:val="bottom"/>
          </w:tcPr>
          <w:p>
            <w:pPr>
              <w:spacing w:after="0"/>
              <w:rPr>
                <w:sz w:val="16"/>
                <w:szCs w:val="16"/>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61,072</w:t>
            </w:r>
          </w:p>
        </w:tc>
      </w:tr>
    </w:tbl>
    <w:p>
      <w:pPr>
        <w:spacing w:after="0" w:line="154"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Marketing costs increased by $61.0 million, or 49%, for the year ended December 31, 2020, compared to the year prior. The increase was primarily due to an increase of $ 50.3 million in costs associated with our Robinhood Referral Program, which are comprised of the fair value of awards earned in the current period, changes in estimate of unclaimed awards earned in the current and prior periods, fair value adjustments of shares held to support the program and reversals related to awards that expire unclaimed. The fair value adjustments of shares held to support the program were immaterial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260"/>
          </w:cols>
          <w:pgMar w:left="320" w:top="1440" w:right="319" w:bottom="1440" w:gutter="0" w:footer="0" w:header="0"/>
        </w:sectPr>
      </w:pPr>
    </w:p>
    <w:bookmarkStart w:id="175" w:name="page176"/>
    <w:bookmarkEnd w:id="175"/>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periods presented. The following table summarizes the Robinhood Referral Program liability activity for the periods indicated:</w:t>
      </w:r>
    </w:p>
    <w:p>
      <w:pPr>
        <w:sectPr>
          <w:pgSz w:w="11900" w:h="16838" w:orient="portrait"/>
          <w:cols w:equalWidth="0" w:num="1">
            <w:col w:w="11260"/>
          </w:cols>
          <w:pgMar w:left="320" w:top="1440" w:right="319" w:bottom="1440" w:gutter="0" w:footer="0" w:header="0"/>
        </w:sect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144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Fair value of current period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44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Changes in estimate of unclaimed awards for current and prior periods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Reversals related to unclaimed, expired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44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Claimed awards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r>
      <w:tr>
        <w:trPr>
          <w:trHeight w:val="207"/>
        </w:trPr>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978</w:t>
            </w:r>
          </w:p>
        </w:tc>
        <w:tc>
          <w:tcPr>
            <w:tcW w:w="80" w:type="dxa"/>
            <w:vAlign w:val="bottom"/>
          </w:tcPr>
          <w:p>
            <w:pPr>
              <w:spacing w:after="0"/>
              <w:rPr>
                <w:sz w:val="18"/>
                <w:szCs w:val="18"/>
                <w:color w:val="auto"/>
              </w:rPr>
            </w:pPr>
          </w:p>
        </w:tc>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303</w:t>
            </w:r>
          </w:p>
        </w:tc>
      </w:tr>
      <w:tr>
        <w:trPr>
          <w:trHeight w:val="227"/>
        </w:trPr>
        <w:tc>
          <w:tcPr>
            <w:tcW w:w="38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37,893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85,849</w:t>
            </w:r>
          </w:p>
        </w:tc>
      </w:tr>
      <w:tr>
        <w:trPr>
          <w:trHeight w:val="227"/>
        </w:trPr>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927</w:t>
            </w:r>
          </w:p>
        </w:tc>
      </w:tr>
      <w:tr>
        <w:trPr>
          <w:trHeight w:val="227"/>
        </w:trPr>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(7,715)</w:t>
            </w:r>
          </w:p>
        </w:tc>
      </w:tr>
      <w:tr>
        <w:trPr>
          <w:trHeight w:val="227"/>
        </w:trPr>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(29,426)</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(78,669)</w:t>
            </w:r>
          </w:p>
        </w:tc>
      </w:tr>
      <w:tr>
        <w:trPr>
          <w:trHeight w:val="207"/>
        </w:trPr>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303</w:t>
            </w:r>
          </w:p>
        </w:tc>
        <w:tc>
          <w:tcPr>
            <w:tcW w:w="80" w:type="dxa"/>
            <w:vAlign w:val="bottom"/>
          </w:tcPr>
          <w:p>
            <w:pPr>
              <w:spacing w:after="0"/>
              <w:rPr>
                <w:sz w:val="18"/>
                <w:szCs w:val="18"/>
                <w:color w:val="auto"/>
              </w:rPr>
            </w:pPr>
          </w:p>
        </w:tc>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695</w:t>
            </w:r>
          </w:p>
        </w:tc>
      </w:tr>
    </w:tbl>
    <w:p>
      <w:pPr>
        <w:spacing w:after="0" w:line="154" w:lineRule="exact"/>
        <w:rPr>
          <w:sz w:val="20"/>
          <w:szCs w:val="20"/>
          <w:color w:val="auto"/>
        </w:rPr>
      </w:pPr>
    </w:p>
    <w:p>
      <w:pPr>
        <w:sectPr>
          <w:pgSz w:w="11900" w:h="16838" w:orient="portrait"/>
          <w:cols w:equalWidth="0" w:num="2">
            <w:col w:w="7300" w:space="720"/>
            <w:col w:w="3240"/>
          </w:cols>
          <w:pgMar w:left="320" w:top="1440" w:right="319" w:bottom="1440" w:gutter="0" w:footer="0" w:header="0"/>
          <w:type w:val="continuous"/>
        </w:sectPr>
      </w:pPr>
    </w:p>
    <w:p>
      <w:pPr>
        <w:jc w:val="both"/>
        <w:ind w:firstLine="287"/>
        <w:spacing w:after="0" w:line="252" w:lineRule="auto"/>
        <w:rPr>
          <w:sz w:val="20"/>
          <w:szCs w:val="20"/>
          <w:color w:val="auto"/>
        </w:rPr>
      </w:pPr>
      <w:r>
        <w:rPr>
          <w:rFonts w:ascii="Arial" w:cs="Arial" w:eastAsia="Arial" w:hAnsi="Arial"/>
          <w:sz w:val="16"/>
          <w:szCs w:val="16"/>
          <w:color w:val="auto"/>
        </w:rPr>
        <w:t>Additionally, customer goodwill related to costs to remediate losses experienced by our users due to service interruptions and unauthorized activity on our platform increased $12.4 million. We also incurred additional compensation and benefits expense, including share-based compensation, and allocated overhead, of $6.2 million for marketing personnel. The increase was partially offset by a decrease in digital and paid marketing efforts of $12.6 million as we strategically focused our marketing efforts through the Robinhood Referral Program, which generally has lower direct expense rates as compared to other marketing methods.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 Change</w:t>
            </w:r>
          </w:p>
        </w:tc>
      </w:tr>
      <w:tr>
        <w:trPr>
          <w:trHeight w:val="19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Legal settlements or reserves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105,494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104,085</w:t>
            </w:r>
          </w:p>
        </w:tc>
      </w:tr>
      <w:tr>
        <w:trPr>
          <w:trHeight w:val="203"/>
        </w:trPr>
        <w:tc>
          <w:tcPr>
            <w:tcW w:w="672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90,055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67,504</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compensation, benefits and overhead</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84,884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33,859</w:t>
            </w:r>
          </w:p>
        </w:tc>
      </w:tr>
      <w:tr>
        <w:trPr>
          <w:trHeight w:val="20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14,261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3,742</w:t>
            </w:r>
          </w:p>
        </w:tc>
      </w:tr>
      <w:tr>
        <w:trPr>
          <w:trHeight w:val="195"/>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85,504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294,694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209,190</w:t>
            </w:r>
          </w:p>
        </w:tc>
      </w:tr>
    </w:tbl>
    <w:p>
      <w:pPr>
        <w:spacing w:after="0" w:line="15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General and administrative costs increased by $209.2 million, or 245%, for the year ended December 31, 2020, compared to the year prior. The increase was primarily due to a total of $101.6 million in certain legal settlements or reserves as discussed in Note 14 to our consolidated financial statements and elsewhere in this prospectus. Additionally, compensation and benefits, excluding share-based compensation, and allocated overhead for general and administrative personnel increased $45.0 million, offset by lower share-based compensation of $11.1 million related to the 2020 Tender Offer as compared to the 2019 Tender Offer, for a net change of $33.9 million, along with an increase of $3.7 million in professional fees.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Provision for (Benefit from) Income Taxes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 Change</w:t>
            </w:r>
          </w:p>
        </w:tc>
      </w:tr>
      <w:tr>
        <w:trPr>
          <w:trHeight w:val="19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6,381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7,399</w:t>
            </w:r>
          </w:p>
        </w:tc>
      </w:tr>
    </w:tbl>
    <w:p>
      <w:pPr>
        <w:spacing w:after="0" w:line="15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Provision for income taxes increased by $7.4 million, for the year ended December 31, 2020, compared to the year ended December 31, 2019. The increase was primarily due to the growth of the business and the accrual of non-deductible regulatory settlements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60"/>
          </w:cols>
          <w:pgMar w:left="320" w:top="1440" w:right="319" w:bottom="1440" w:gutter="0" w:footer="0" w:header="0"/>
          <w:type w:val="continuous"/>
        </w:sectPr>
      </w:pPr>
    </w:p>
    <w:bookmarkStart w:id="176" w:name="page177"/>
    <w:bookmarkEnd w:id="176"/>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Quarterly Results of Operations</w:t>
      </w:r>
    </w:p>
    <w:p>
      <w:pPr>
        <w:spacing w:after="0" w:line="17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following table sets forth our unaudited quarterly consolidated statements of operations data for each of the quarters presented. The unaudited quarterly statements of operations data have been prepared on the same basis as our audited consolidated financial statements included elsewhere in this prospectus and include all adjustments and reflect, in our opinion, all adjustments of a normal, recurring nature that are necessary for the fair statement of the results of operations for these periods. Our historical results are not necessarily indicative of the results that may be expected in the future. The results of a particular quarter or other interim period are not necessarily indicative of the results for a full fiscal year or any other period. The following unaudited quarterly consolidated results of operations should be read in conjunction with our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260"/>
          </w:cols>
          <w:pgMar w:left="320" w:top="1440" w:right="319" w:bottom="1440" w:gutter="0" w:footer="0" w:header="0"/>
        </w:sectPr>
      </w:pPr>
    </w:p>
    <w:bookmarkStart w:id="177" w:name="page178"/>
    <w:bookmarkEnd w:id="177"/>
    <w:p>
      <w:pPr>
        <w:spacing w:after="0"/>
        <w:rPr>
          <w:sz w:val="20"/>
          <w:szCs w:val="20"/>
          <w:color w:val="auto"/>
        </w:rPr>
      </w:pPr>
      <w:r>
        <w:rPr>
          <w:rFonts w:ascii="Arial" w:cs="Arial" w:eastAsia="Arial" w:hAnsi="Arial"/>
          <w:sz w:val="19"/>
          <w:szCs w:val="19"/>
          <w:b w:val="1"/>
          <w:bCs w:val="1"/>
          <w:i w:val="1"/>
          <w:iCs w:val="1"/>
          <w:color w:val="auto"/>
        </w:rPr>
        <w:t>Quarterly 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4"/>
              </w:rPr>
              <w:t>Three Months Ended</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35"/>
        </w:trPr>
        <w:tc>
          <w:tcPr>
            <w:tcW w:w="2300" w:type="dxa"/>
            <w:vAlign w:val="bottom"/>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0"/>
                <w:szCs w:val="10"/>
                <w:b w:val="1"/>
                <w:bCs w:val="1"/>
                <w:color w:val="auto"/>
              </w:rPr>
              <w:t>Mar. 31, 2019</w:t>
            </w:r>
          </w:p>
        </w:tc>
        <w:tc>
          <w:tcPr>
            <w:tcW w:w="1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0"/>
                <w:szCs w:val="10"/>
                <w:b w:val="1"/>
                <w:bCs w:val="1"/>
                <w:color w:val="auto"/>
              </w:rPr>
              <w:t>Jun. 30, 2019</w:t>
            </w:r>
          </w:p>
        </w:tc>
        <w:tc>
          <w:tcPr>
            <w:tcW w:w="12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0"/>
                <w:szCs w:val="10"/>
                <w:b w:val="1"/>
                <w:bCs w:val="1"/>
                <w:color w:val="auto"/>
              </w:rPr>
              <w:t>Sept. 30, 2019</w:t>
            </w:r>
          </w:p>
        </w:tc>
        <w:tc>
          <w:tcPr>
            <w:tcW w:w="100" w:type="dxa"/>
            <w:vAlign w:val="bottom"/>
          </w:tcPr>
          <w:p>
            <w:pPr>
              <w:spacing w:after="0"/>
              <w:rPr>
                <w:sz w:val="11"/>
                <w:szCs w:val="11"/>
                <w:color w:val="auto"/>
              </w:rPr>
            </w:pPr>
          </w:p>
        </w:tc>
        <w:tc>
          <w:tcPr>
            <w:tcW w:w="800" w:type="dxa"/>
            <w:vAlign w:val="bottom"/>
          </w:tcPr>
          <w:p>
            <w:pPr>
              <w:jc w:val="right"/>
              <w:ind w:right="112"/>
              <w:spacing w:after="0"/>
              <w:rPr>
                <w:sz w:val="20"/>
                <w:szCs w:val="20"/>
                <w:color w:val="auto"/>
              </w:rPr>
            </w:pPr>
            <w:r>
              <w:rPr>
                <w:rFonts w:ascii="Arial" w:cs="Arial" w:eastAsia="Arial" w:hAnsi="Arial"/>
                <w:sz w:val="10"/>
                <w:szCs w:val="10"/>
                <w:b w:val="1"/>
                <w:bCs w:val="1"/>
                <w:color w:val="auto"/>
                <w:w w:val="98"/>
              </w:rPr>
              <w:t>Dec. 31, 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Mar. 31, 2020</w:t>
            </w:r>
          </w:p>
        </w:tc>
        <w:tc>
          <w:tcPr>
            <w:tcW w:w="1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0"/>
                <w:szCs w:val="10"/>
                <w:b w:val="1"/>
                <w:bCs w:val="1"/>
                <w:color w:val="auto"/>
              </w:rPr>
              <w:t>Jun. 30, 2020</w:t>
            </w:r>
          </w:p>
        </w:tc>
        <w:tc>
          <w:tcPr>
            <w:tcW w:w="100" w:type="dxa"/>
            <w:vAlign w:val="bottom"/>
          </w:tcPr>
          <w:p>
            <w:pPr>
              <w:spacing w:after="0"/>
              <w:rPr>
                <w:sz w:val="11"/>
                <w:szCs w:val="11"/>
                <w:color w:val="auto"/>
              </w:rPr>
            </w:pP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Sept. 30, 2020</w:t>
            </w:r>
          </w:p>
        </w:tc>
        <w:tc>
          <w:tcPr>
            <w:tcW w:w="120" w:type="dxa"/>
            <w:vAlign w:val="bottom"/>
          </w:tcPr>
          <w:p>
            <w:pPr>
              <w:spacing w:after="0"/>
              <w:rPr>
                <w:sz w:val="11"/>
                <w:szCs w:val="11"/>
                <w:color w:val="auto"/>
              </w:rPr>
            </w:pP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Dec. 31, 2020</w:t>
            </w:r>
          </w:p>
        </w:tc>
        <w:tc>
          <w:tcPr>
            <w:tcW w:w="80" w:type="dxa"/>
            <w:vAlign w:val="bottom"/>
          </w:tcPr>
          <w:p>
            <w:pPr>
              <w:spacing w:after="0"/>
              <w:rPr>
                <w:sz w:val="11"/>
                <w:szCs w:val="11"/>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b w:val="1"/>
                <w:bCs w:val="1"/>
                <w:color w:val="auto"/>
                <w:w w:val="98"/>
              </w:rPr>
              <w:t>March 31, 2021</w:t>
            </w:r>
          </w:p>
        </w:tc>
      </w:tr>
      <w:tr>
        <w:trPr>
          <w:trHeight w:val="131"/>
        </w:trPr>
        <w:tc>
          <w:tcPr>
            <w:tcW w:w="2300" w:type="dxa"/>
            <w:vAlign w:val="bottom"/>
            <w:tcBorders>
              <w:top w:val="single" w:sz="8" w:color="CCEEFF"/>
            </w:tcBorders>
            <w:shd w:val="clear" w:color="auto" w:fill="CCEEFF"/>
          </w:tcPr>
          <w:p>
            <w:pPr>
              <w:ind w:left="20"/>
              <w:spacing w:after="0" w:line="112" w:lineRule="exact"/>
              <w:rPr>
                <w:sz w:val="20"/>
                <w:szCs w:val="20"/>
                <w:color w:val="auto"/>
              </w:rPr>
            </w:pPr>
            <w:r>
              <w:rPr>
                <w:rFonts w:ascii="Arial" w:cs="Arial" w:eastAsia="Arial" w:hAnsi="Arial"/>
                <w:sz w:val="10"/>
                <w:szCs w:val="10"/>
                <w:color w:val="auto"/>
              </w:rPr>
              <w:t>Revenues:</w:t>
            </w: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r>
      <w:tr>
        <w:trPr>
          <w:trHeight w:val="133"/>
        </w:trPr>
        <w:tc>
          <w:tcPr>
            <w:tcW w:w="2300" w:type="dxa"/>
            <w:vAlign w:val="bottom"/>
          </w:tcPr>
          <w:p>
            <w:pPr>
              <w:ind w:left="200"/>
              <w:spacing w:after="0"/>
              <w:rPr>
                <w:sz w:val="20"/>
                <w:szCs w:val="20"/>
                <w:color w:val="auto"/>
              </w:rPr>
            </w:pPr>
            <w:r>
              <w:rPr>
                <w:rFonts w:ascii="Arial" w:cs="Arial" w:eastAsia="Arial" w:hAnsi="Arial"/>
                <w:sz w:val="10"/>
                <w:szCs w:val="10"/>
                <w:color w:val="auto"/>
              </w:rPr>
              <w:t>Transaction-based revenues</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33,851</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44,800</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48,841</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43,339</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95,631</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187,413</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201,807</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235,282</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420,439</w:t>
            </w:r>
          </w:p>
        </w:tc>
      </w:tr>
      <w:tr>
        <w:trPr>
          <w:trHeight w:val="153"/>
        </w:trPr>
        <w:tc>
          <w:tcPr>
            <w:tcW w:w="23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Net interest revenues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11,533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15,618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21,946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24,016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39,998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50,406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63,017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62,497</w:t>
            </w:r>
          </w:p>
        </w:tc>
      </w:tr>
      <w:tr>
        <w:trPr>
          <w:trHeight w:val="135"/>
        </w:trPr>
        <w:tc>
          <w:tcPr>
            <w:tcW w:w="2300" w:type="dxa"/>
            <w:vAlign w:val="bottom"/>
            <w:tcBorders>
              <w:bottom w:val="single" w:sz="8" w:color="CCEEFF"/>
            </w:tcBorders>
          </w:tcPr>
          <w:p>
            <w:pPr>
              <w:ind w:left="200"/>
              <w:spacing w:after="0"/>
              <w:rPr>
                <w:sz w:val="20"/>
                <w:szCs w:val="20"/>
                <w:color w:val="auto"/>
              </w:rPr>
            </w:pPr>
            <w:r>
              <w:rPr>
                <w:rFonts w:ascii="Arial" w:cs="Arial" w:eastAsia="Arial" w:hAnsi="Arial"/>
                <w:sz w:val="10"/>
                <w:szCs w:val="10"/>
                <w:color w:val="auto"/>
              </w:rPr>
              <w:t>Other revenues</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10,772</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11,314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6,693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7,284</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7,903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16,800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17,317</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19,243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39,238</w:t>
            </w:r>
          </w:p>
        </w:tc>
      </w:tr>
      <w:tr>
        <w:trPr>
          <w:trHeight w:val="143"/>
        </w:trPr>
        <w:tc>
          <w:tcPr>
            <w:tcW w:w="2300" w:type="dxa"/>
            <w:vAlign w:val="bottom"/>
            <w:shd w:val="clear" w:color="auto" w:fill="CCEEFF"/>
          </w:tcPr>
          <w:p>
            <w:pPr>
              <w:ind w:left="400"/>
              <w:spacing w:after="0"/>
              <w:rPr>
                <w:sz w:val="20"/>
                <w:szCs w:val="20"/>
                <w:color w:val="auto"/>
              </w:rPr>
            </w:pPr>
            <w:r>
              <w:rPr>
                <w:rFonts w:ascii="Arial" w:cs="Arial" w:eastAsia="Arial" w:hAnsi="Arial"/>
                <w:sz w:val="10"/>
                <w:szCs w:val="10"/>
                <w:color w:val="auto"/>
              </w:rPr>
              <w:t>Total net revenues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56,156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71,732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77,480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72,165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127,550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244,211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269,530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317,542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522,174</w:t>
            </w:r>
          </w:p>
        </w:tc>
      </w:tr>
      <w:tr>
        <w:trPr>
          <w:trHeight w:val="143"/>
        </w:trPr>
        <w:tc>
          <w:tcPr>
            <w:tcW w:w="2300" w:type="dxa"/>
            <w:vAlign w:val="bottom"/>
          </w:tcPr>
          <w:p>
            <w:pPr>
              <w:ind w:left="20"/>
              <w:spacing w:after="0"/>
              <w:rPr>
                <w:sz w:val="20"/>
                <w:szCs w:val="20"/>
                <w:color w:val="auto"/>
              </w:rPr>
            </w:pPr>
            <w:r>
              <w:rPr>
                <w:rFonts w:ascii="Arial" w:cs="Arial" w:eastAsia="Arial" w:hAnsi="Arial"/>
                <w:sz w:val="10"/>
                <w:szCs w:val="10"/>
                <w:color w:val="auto"/>
              </w:rPr>
              <w:t>Operating expenses:</w:t>
            </w:r>
            <w:r>
              <w:rPr>
                <w:rFonts w:ascii="Arial" w:cs="Arial" w:eastAsia="Arial" w:hAnsi="Arial"/>
                <w:sz w:val="12"/>
                <w:szCs w:val="12"/>
                <w:color w:val="auto"/>
                <w:vertAlign w:val="superscript"/>
              </w:rPr>
              <w:t>(1)</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3"/>
        </w:trPr>
        <w:tc>
          <w:tcPr>
            <w:tcW w:w="23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Brokerage and transaction</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8,225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11,142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12,713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13,379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20,404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28,612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31,444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30,623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41,004</w:t>
            </w:r>
          </w:p>
        </w:tc>
      </w:tr>
      <w:tr>
        <w:trPr>
          <w:trHeight w:val="133"/>
        </w:trPr>
        <w:tc>
          <w:tcPr>
            <w:tcW w:w="2300" w:type="dxa"/>
            <w:vAlign w:val="bottom"/>
          </w:tcPr>
          <w:p>
            <w:pPr>
              <w:ind w:left="200"/>
              <w:spacing w:after="0"/>
              <w:rPr>
                <w:sz w:val="20"/>
                <w:szCs w:val="20"/>
                <w:color w:val="auto"/>
              </w:rPr>
            </w:pPr>
            <w:r>
              <w:rPr>
                <w:rFonts w:ascii="Arial" w:cs="Arial" w:eastAsia="Arial" w:hAnsi="Arial"/>
                <w:sz w:val="10"/>
                <w:szCs w:val="10"/>
                <w:color w:val="auto"/>
              </w:rPr>
              <w:t>Technology and development</w:t>
            </w:r>
          </w:p>
        </w:tc>
        <w:tc>
          <w:tcPr>
            <w:tcW w:w="12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16,304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18,239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29,580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30,809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33,205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44,971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55,491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81,963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116,858</w:t>
            </w:r>
          </w:p>
        </w:tc>
      </w:tr>
      <w:tr>
        <w:trPr>
          <w:trHeight w:val="153"/>
        </w:trPr>
        <w:tc>
          <w:tcPr>
            <w:tcW w:w="23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Operations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6,058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8,984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7,436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11,391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21,813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30,464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40,962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44,666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66,564</w:t>
            </w:r>
          </w:p>
        </w:tc>
      </w:tr>
      <w:tr>
        <w:trPr>
          <w:trHeight w:val="133"/>
        </w:trPr>
        <w:tc>
          <w:tcPr>
            <w:tcW w:w="2300" w:type="dxa"/>
            <w:vAlign w:val="bottom"/>
          </w:tcPr>
          <w:p>
            <w:pPr>
              <w:ind w:left="200"/>
              <w:spacing w:after="0"/>
              <w:rPr>
                <w:sz w:val="20"/>
                <w:szCs w:val="20"/>
                <w:color w:val="auto"/>
              </w:rPr>
            </w:pPr>
            <w:r>
              <w:rPr>
                <w:rFonts w:ascii="Arial" w:cs="Arial" w:eastAsia="Arial" w:hAnsi="Arial"/>
                <w:sz w:val="10"/>
                <w:szCs w:val="10"/>
                <w:color w:val="auto"/>
              </w:rPr>
              <w:t>Marketing</w:t>
            </w:r>
          </w:p>
        </w:tc>
        <w:tc>
          <w:tcPr>
            <w:tcW w:w="12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27,672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28,211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27,825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40,991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69,922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43,510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39,088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33,221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102,248</w:t>
            </w:r>
          </w:p>
        </w:tc>
      </w:tr>
      <w:tr>
        <w:trPr>
          <w:trHeight w:val="145"/>
        </w:trPr>
        <w:tc>
          <w:tcPr>
            <w:tcW w:w="23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General and administrative</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9,944</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16,498</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38,127</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20,935</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34,651</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38,636</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113,494</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107,913</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137,114</w:t>
            </w:r>
          </w:p>
        </w:tc>
      </w:tr>
      <w:tr>
        <w:trPr>
          <w:trHeight w:val="135"/>
        </w:trPr>
        <w:tc>
          <w:tcPr>
            <w:tcW w:w="2300" w:type="dxa"/>
            <w:vAlign w:val="bottom"/>
            <w:tcBorders>
              <w:bottom w:val="single" w:sz="8" w:color="CCEEFF"/>
            </w:tcBorders>
          </w:tcPr>
          <w:p>
            <w:pPr>
              <w:ind w:left="400"/>
              <w:spacing w:after="0"/>
              <w:rPr>
                <w:sz w:val="20"/>
                <w:szCs w:val="20"/>
                <w:color w:val="auto"/>
              </w:rPr>
            </w:pPr>
            <w:r>
              <w:rPr>
                <w:rFonts w:ascii="Arial" w:cs="Arial" w:eastAsia="Arial" w:hAnsi="Arial"/>
                <w:sz w:val="10"/>
                <w:szCs w:val="10"/>
                <w:color w:val="auto"/>
              </w:rPr>
              <w:t>Total operating expenses</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68,203</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83,074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115,681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117,505</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179,995</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186,193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280,479</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298,386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463,788</w:t>
            </w:r>
          </w:p>
        </w:tc>
      </w:tr>
      <w:tr>
        <w:trPr>
          <w:trHeight w:val="93"/>
        </w:trPr>
        <w:tc>
          <w:tcPr>
            <w:tcW w:w="2300" w:type="dxa"/>
            <w:vAlign w:val="bottom"/>
            <w:shd w:val="clear" w:color="auto" w:fill="CCEEFF"/>
          </w:tcPr>
          <w:p>
            <w:pPr>
              <w:ind w:left="20"/>
              <w:spacing w:after="0" w:line="93" w:lineRule="exact"/>
              <w:rPr>
                <w:sz w:val="20"/>
                <w:szCs w:val="20"/>
                <w:color w:val="auto"/>
              </w:rPr>
            </w:pPr>
            <w:r>
              <w:rPr>
                <w:rFonts w:ascii="Arial" w:cs="Arial" w:eastAsia="Arial" w:hAnsi="Arial"/>
                <w:sz w:val="10"/>
                <w:szCs w:val="10"/>
                <w:color w:val="auto"/>
                <w:w w:val="96"/>
              </w:rPr>
              <w:t>Change in fair value of convertible notes and warrant</w:t>
            </w: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r>
      <w:tr>
        <w:trPr>
          <w:trHeight w:val="134"/>
        </w:trPr>
        <w:tc>
          <w:tcPr>
            <w:tcW w:w="2300" w:type="dxa"/>
            <w:vAlign w:val="bottom"/>
            <w:shd w:val="clear" w:color="auto" w:fill="CCEEFF"/>
          </w:tcPr>
          <w:p>
            <w:pPr>
              <w:ind w:left="160"/>
              <w:spacing w:after="0"/>
              <w:rPr>
                <w:sz w:val="20"/>
                <w:szCs w:val="20"/>
                <w:color w:val="auto"/>
              </w:rPr>
            </w:pPr>
            <w:r>
              <w:rPr>
                <w:rFonts w:ascii="Arial" w:cs="Arial" w:eastAsia="Arial" w:hAnsi="Arial"/>
                <w:sz w:val="10"/>
                <w:szCs w:val="10"/>
                <w:color w:val="auto"/>
              </w:rPr>
              <w:t>liability</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1,492,269</w:t>
            </w:r>
          </w:p>
        </w:tc>
      </w:tr>
      <w:tr>
        <w:trPr>
          <w:trHeight w:val="135"/>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Other expense (income), net</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107</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115</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280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155</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45</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(859)</w:t>
            </w:r>
          </w:p>
        </w:tc>
      </w:tr>
      <w:tr>
        <w:trPr>
          <w:trHeight w:val="143"/>
        </w:trPr>
        <w:tc>
          <w:tcPr>
            <w:tcW w:w="23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(loss) before income tax</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(11,457)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(38,481)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(45,495)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(52,588)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58,118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19,294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(1,433,024)</w:t>
            </w:r>
          </w:p>
        </w:tc>
      </w:tr>
      <w:tr>
        <w:trPr>
          <w:trHeight w:val="135"/>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Provision for (benefit from) income taxes</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(853)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(86)</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(333)</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6,266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11,779</w:t>
            </w:r>
          </w:p>
        </w:tc>
      </w:tr>
      <w:tr>
        <w:trPr>
          <w:trHeight w:val="143"/>
        </w:trPr>
        <w:tc>
          <w:tcPr>
            <w:tcW w:w="23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(38,426)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(44,642)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(52,502)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57,584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13,028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(1,444,803)</w:t>
            </w:r>
          </w:p>
        </w:tc>
      </w:tr>
    </w:tbl>
    <w:p>
      <w:pPr>
        <w:spacing w:after="0" w:line="9" w:lineRule="exact"/>
        <w:rPr>
          <w:sz w:val="20"/>
          <w:szCs w:val="20"/>
          <w:color w:val="auto"/>
        </w:rPr>
      </w:pPr>
    </w:p>
    <w:p>
      <w:pPr>
        <w:sectPr>
          <w:pgSz w:w="11900" w:h="16838" w:orient="portrait"/>
          <w:cols w:equalWidth="0" w:num="1">
            <w:col w:w="11260"/>
          </w:cols>
          <w:pgMar w:left="320" w:top="1426" w:right="319" w:bottom="1440" w:gutter="0" w:footer="0" w:header="0"/>
        </w:sectPr>
      </w:pPr>
    </w:p>
    <w:p>
      <w:pPr>
        <w:ind w:left="160" w:hanging="142"/>
        <w:spacing w:after="0" w:line="219" w:lineRule="auto"/>
        <w:rPr>
          <w:sz w:val="20"/>
          <w:szCs w:val="20"/>
          <w:color w:val="auto"/>
        </w:rPr>
      </w:pPr>
      <w:r>
        <w:rPr>
          <w:rFonts w:ascii="Arial" w:cs="Arial" w:eastAsia="Arial" w:hAnsi="Arial"/>
          <w:sz w:val="10"/>
          <w:szCs w:val="10"/>
          <w:color w:val="auto"/>
        </w:rPr>
        <w:t>Net income (loss) attributable to common stockholders: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Basic</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0"/>
          <w:szCs w:val="10"/>
          <w:color w:val="auto"/>
        </w:rPr>
        <w:t>Diluted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(12,099)</w:t>
            </w:r>
          </w:p>
        </w:tc>
        <w:tc>
          <w:tcPr>
            <w:tcW w:w="8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(11,402)</w:t>
            </w:r>
          </w:p>
        </w:tc>
        <w:tc>
          <w:tcPr>
            <w:tcW w:w="8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(38,426)</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(44,642)</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(52,502)</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22,783</w:t>
            </w:r>
          </w:p>
        </w:tc>
        <w:tc>
          <w:tcPr>
            <w:tcW w:w="10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(10,661)</w:t>
            </w:r>
          </w:p>
        </w:tc>
        <w:tc>
          <w:tcPr>
            <w:tcW w:w="80" w:type="dxa"/>
            <w:vAlign w:val="bottom"/>
          </w:tcPr>
          <w:p>
            <w:pPr>
              <w:spacing w:after="0"/>
              <w:rPr>
                <w:sz w:val="11"/>
                <w:szCs w:val="1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4,624</w:t>
            </w:r>
          </w:p>
        </w:tc>
        <w:tc>
          <w:tcPr>
            <w:tcW w:w="10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(1,444,803)</w:t>
            </w:r>
          </w:p>
        </w:tc>
      </w:tr>
      <w:tr>
        <w:trPr>
          <w:trHeight w:val="24"/>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16"/>
        </w:trPr>
        <w:tc>
          <w:tcPr>
            <w:tcW w:w="920" w:type="dxa"/>
            <w:vAlign w:val="bottom"/>
          </w:tcPr>
          <w:p>
            <w:pPr>
              <w:jc w:val="right"/>
              <w:spacing w:after="0"/>
              <w:rPr>
                <w:sz w:val="20"/>
                <w:szCs w:val="20"/>
                <w:color w:val="auto"/>
              </w:rPr>
            </w:pPr>
            <w:r>
              <w:rPr>
                <w:rFonts w:ascii="Arial" w:cs="Arial" w:eastAsia="Arial" w:hAnsi="Arial"/>
                <w:sz w:val="10"/>
                <w:szCs w:val="10"/>
                <w:color w:val="auto"/>
              </w:rPr>
              <w:t>(12,099)</w:t>
            </w: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(11,402)</w:t>
            </w: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(38,426)</w:t>
            </w: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(44,642)</w:t>
            </w: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(52,502)</w:t>
            </w: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22,783</w:t>
            </w:r>
          </w:p>
        </w:tc>
        <w:tc>
          <w:tcPr>
            <w:tcW w:w="1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(10,661)</w:t>
            </w:r>
          </w:p>
        </w:tc>
        <w:tc>
          <w:tcPr>
            <w:tcW w:w="80" w:type="dxa"/>
            <w:vAlign w:val="bottom"/>
          </w:tcPr>
          <w:p>
            <w:pPr>
              <w:spacing w:after="0"/>
              <w:rPr>
                <w:sz w:val="10"/>
                <w:szCs w:val="10"/>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4,624</w:t>
            </w:r>
          </w:p>
        </w:tc>
        <w:tc>
          <w:tcPr>
            <w:tcW w:w="1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(1,444,803)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-199390</wp:posOffset>
            </wp:positionV>
            <wp:extent cx="7148195" cy="1060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0604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12700</wp:posOffset>
            </wp:positionV>
            <wp:extent cx="7148195" cy="167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6700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1760" w:space="540"/>
            <w:col w:w="8960"/>
          </w:cols>
          <w:pgMar w:left="320" w:top="1426" w:right="319" w:bottom="1440" w:gutter="0" w:footer="0" w:header="0"/>
          <w:type w:val="continuous"/>
        </w:sectPr>
      </w:pPr>
    </w:p>
    <w:p>
      <w:pPr>
        <w:ind w:left="20"/>
        <w:spacing w:after="0"/>
        <w:rPr>
          <w:sz w:val="20"/>
          <w:szCs w:val="20"/>
          <w:color w:val="auto"/>
        </w:rPr>
      </w:pPr>
      <w:r>
        <w:rPr>
          <w:rFonts w:ascii="Arial" w:cs="Arial" w:eastAsia="Arial" w:hAnsi="Arial"/>
          <w:sz w:val="8"/>
          <w:szCs w:val="8"/>
          <w:color w:val="auto"/>
        </w:rPr>
        <w:t>Net income (loss) per share attributable to common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stockholders:</w:t>
      </w:r>
    </w:p>
    <w:p>
      <w:pPr>
        <w:sectPr>
          <w:pgSz w:w="11900" w:h="16838" w:orient="portrait"/>
          <w:cols w:equalWidth="0" w:num="1">
            <w:col w:w="11260"/>
          </w:cols>
          <w:pgMar w:left="320" w:top="1426" w:right="319" w:bottom="1440" w:gutter="0" w:footer="0" w:header="0"/>
          <w:type w:val="continuous"/>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0"/>
          <w:szCs w:val="10"/>
          <w:color w:val="auto"/>
        </w:rPr>
        <w:t>Basic</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0"/>
          <w:szCs w:val="10"/>
          <w:color w:val="auto"/>
        </w:rPr>
        <w:t>Diluted</w:t>
      </w:r>
    </w:p>
    <w:p>
      <w:pPr>
        <w:spacing w:after="0" w:line="29" w:lineRule="exact"/>
        <w:rPr>
          <w:sz w:val="20"/>
          <w:szCs w:val="20"/>
          <w:color w:val="auto"/>
        </w:rPr>
      </w:pPr>
    </w:p>
    <w:p>
      <w:pPr>
        <w:ind w:left="160" w:hanging="142"/>
        <w:spacing w:after="0" w:line="212" w:lineRule="auto"/>
        <w:rPr>
          <w:sz w:val="20"/>
          <w:szCs w:val="20"/>
          <w:color w:val="auto"/>
        </w:rPr>
      </w:pPr>
      <w:r>
        <w:rPr>
          <w:rFonts w:ascii="Arial" w:cs="Arial" w:eastAsia="Arial" w:hAnsi="Arial"/>
          <w:sz w:val="10"/>
          <w:szCs w:val="10"/>
          <w:color w:val="auto"/>
        </w:rPr>
        <w:t>Weighted-average shares used to compute net income (loss) per share attributable to common stockholders: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(0.06)</w:t>
            </w:r>
          </w:p>
        </w:tc>
        <w:tc>
          <w:tcPr>
            <w:tcW w:w="8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(0.05)</w:t>
            </w:r>
          </w:p>
        </w:tc>
        <w:tc>
          <w:tcPr>
            <w:tcW w:w="8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(0.17)</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(0.20)</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(0.23)</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0.10</w:t>
            </w:r>
          </w:p>
        </w:tc>
        <w:tc>
          <w:tcPr>
            <w:tcW w:w="10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(0.05)</w:t>
            </w:r>
          </w:p>
        </w:tc>
        <w:tc>
          <w:tcPr>
            <w:tcW w:w="80" w:type="dxa"/>
            <w:vAlign w:val="bottom"/>
          </w:tcPr>
          <w:p>
            <w:pPr>
              <w:spacing w:after="0"/>
              <w:rPr>
                <w:sz w:val="11"/>
                <w:szCs w:val="1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0.02</w:t>
            </w:r>
          </w:p>
        </w:tc>
        <w:tc>
          <w:tcPr>
            <w:tcW w:w="10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(6.26)</w:t>
            </w:r>
          </w:p>
        </w:tc>
      </w:tr>
      <w:tr>
        <w:trPr>
          <w:trHeight w:val="24"/>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27"/>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(0.06)</w:t>
            </w:r>
          </w:p>
        </w:tc>
        <w:tc>
          <w:tcPr>
            <w:tcW w:w="8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(0.05)</w:t>
            </w:r>
          </w:p>
        </w:tc>
        <w:tc>
          <w:tcPr>
            <w:tcW w:w="8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(0.17)</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(0.20)</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(0.23)</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0.09</w:t>
            </w:r>
          </w:p>
        </w:tc>
        <w:tc>
          <w:tcPr>
            <w:tcW w:w="10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(0.05)</w:t>
            </w:r>
          </w:p>
        </w:tc>
        <w:tc>
          <w:tcPr>
            <w:tcW w:w="80" w:type="dxa"/>
            <w:vAlign w:val="bottom"/>
          </w:tcPr>
          <w:p>
            <w:pPr>
              <w:spacing w:after="0"/>
              <w:rPr>
                <w:sz w:val="11"/>
                <w:szCs w:val="1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0.02</w:t>
            </w:r>
          </w:p>
        </w:tc>
        <w:tc>
          <w:tcPr>
            <w:tcW w:w="10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(6.26)</w:t>
            </w:r>
          </w:p>
        </w:tc>
      </w:tr>
      <w:tr>
        <w:trPr>
          <w:trHeight w:val="24"/>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-135890</wp:posOffset>
            </wp:positionV>
            <wp:extent cx="7148195" cy="1212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2160" w:space="140"/>
            <w:col w:w="8960"/>
          </w:cols>
          <w:pgMar w:left="320" w:top="1426" w:right="31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Basic</w:t>
            </w:r>
          </w:p>
        </w:tc>
        <w:tc>
          <w:tcPr>
            <w:tcW w:w="1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rPr>
              <w:t>219,049,083</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rPr>
              <w:t>221,593,866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222,300,000</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223,845,043</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0"/>
                <w:szCs w:val="10"/>
                <w:color w:val="auto"/>
              </w:rPr>
              <w:t>224,780,085</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0"/>
                <w:szCs w:val="10"/>
                <w:color w:val="auto"/>
              </w:rPr>
              <w:t>225,091,413</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gridSpan w:val="3"/>
            <w:shd w:val="clear" w:color="auto" w:fill="CCEEFF"/>
          </w:tcPr>
          <w:p>
            <w:pPr>
              <w:jc w:val="right"/>
              <w:ind w:right="7"/>
              <w:spacing w:after="0"/>
              <w:rPr>
                <w:sz w:val="20"/>
                <w:szCs w:val="20"/>
                <w:color w:val="auto"/>
              </w:rPr>
            </w:pPr>
            <w:r>
              <w:rPr>
                <w:rFonts w:ascii="Arial" w:cs="Arial" w:eastAsia="Arial" w:hAnsi="Arial"/>
                <w:sz w:val="10"/>
                <w:szCs w:val="10"/>
                <w:color w:val="auto"/>
              </w:rPr>
              <w:t>225,997,444</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gridSpan w:val="3"/>
            <w:shd w:val="clear" w:color="auto" w:fill="CCEEFF"/>
          </w:tcPr>
          <w:p>
            <w:pPr>
              <w:jc w:val="right"/>
              <w:ind w:right="7"/>
              <w:spacing w:after="0"/>
              <w:rPr>
                <w:sz w:val="20"/>
                <w:szCs w:val="20"/>
                <w:color w:val="auto"/>
              </w:rPr>
            </w:pPr>
            <w:r>
              <w:rPr>
                <w:rFonts w:ascii="Arial" w:cs="Arial" w:eastAsia="Arial" w:hAnsi="Arial"/>
                <w:sz w:val="10"/>
                <w:szCs w:val="10"/>
                <w:color w:val="auto"/>
              </w:rPr>
              <w:t>227,115,364</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230,685,464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30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Diluted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ind w:right="7"/>
              <w:spacing w:after="0" w:line="112" w:lineRule="exact"/>
              <w:rPr>
                <w:sz w:val="20"/>
                <w:szCs w:val="20"/>
                <w:color w:val="auto"/>
              </w:rPr>
            </w:pPr>
            <w:r>
              <w:rPr>
                <w:rFonts w:ascii="Arial" w:cs="Arial" w:eastAsia="Arial" w:hAnsi="Arial"/>
                <w:sz w:val="10"/>
                <w:szCs w:val="10"/>
                <w:color w:val="auto"/>
              </w:rPr>
              <w:t>219,049,083</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right"/>
              <w:ind w:right="7"/>
              <w:spacing w:after="0" w:line="112" w:lineRule="exact"/>
              <w:rPr>
                <w:sz w:val="20"/>
                <w:szCs w:val="20"/>
                <w:color w:val="auto"/>
              </w:rPr>
            </w:pPr>
            <w:r>
              <w:rPr>
                <w:rFonts w:ascii="Arial" w:cs="Arial" w:eastAsia="Arial" w:hAnsi="Arial"/>
                <w:sz w:val="10"/>
                <w:szCs w:val="10"/>
                <w:color w:val="auto"/>
              </w:rPr>
              <w:t>221,593,866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60"/>
              <w:spacing w:after="0" w:line="112" w:lineRule="exact"/>
              <w:rPr>
                <w:sz w:val="20"/>
                <w:szCs w:val="20"/>
                <w:color w:val="auto"/>
              </w:rPr>
            </w:pPr>
            <w:r>
              <w:rPr>
                <w:rFonts w:ascii="Arial" w:cs="Arial" w:eastAsia="Arial" w:hAnsi="Arial"/>
                <w:sz w:val="10"/>
                <w:szCs w:val="10"/>
                <w:color w:val="auto"/>
              </w:rPr>
              <w:t>222,300,000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223,845,043</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tcPr>
          <w:p>
            <w:pPr>
              <w:jc w:val="right"/>
              <w:spacing w:after="0" w:line="112" w:lineRule="exact"/>
              <w:rPr>
                <w:sz w:val="20"/>
                <w:szCs w:val="20"/>
                <w:color w:val="auto"/>
              </w:rPr>
            </w:pPr>
            <w:r>
              <w:rPr>
                <w:rFonts w:ascii="Arial" w:cs="Arial" w:eastAsia="Arial" w:hAnsi="Arial"/>
                <w:sz w:val="10"/>
                <w:szCs w:val="10"/>
                <w:color w:val="auto"/>
              </w:rPr>
              <w:t>224,780,085</w:t>
            </w:r>
          </w:p>
        </w:tc>
        <w:tc>
          <w:tcPr>
            <w:tcW w:w="960" w:type="dxa"/>
            <w:vAlign w:val="bottom"/>
            <w:gridSpan w:val="4"/>
          </w:tcPr>
          <w:p>
            <w:pPr>
              <w:jc w:val="right"/>
              <w:spacing w:after="0" w:line="112" w:lineRule="exact"/>
              <w:rPr>
                <w:sz w:val="20"/>
                <w:szCs w:val="20"/>
                <w:color w:val="auto"/>
              </w:rPr>
            </w:pPr>
            <w:r>
              <w:rPr>
                <w:rFonts w:ascii="Arial" w:cs="Arial" w:eastAsia="Arial" w:hAnsi="Arial"/>
                <w:sz w:val="10"/>
                <w:szCs w:val="10"/>
                <w:color w:val="auto"/>
              </w:rPr>
              <w:t>244,338,145</w:t>
            </w:r>
          </w:p>
        </w:tc>
        <w:tc>
          <w:tcPr>
            <w:tcW w:w="1060" w:type="dxa"/>
            <w:vAlign w:val="bottom"/>
            <w:gridSpan w:val="5"/>
          </w:tcPr>
          <w:p>
            <w:pPr>
              <w:jc w:val="right"/>
              <w:ind w:right="7"/>
              <w:spacing w:after="0" w:line="112" w:lineRule="exact"/>
              <w:rPr>
                <w:sz w:val="20"/>
                <w:szCs w:val="20"/>
                <w:color w:val="auto"/>
              </w:rPr>
            </w:pPr>
            <w:r>
              <w:rPr>
                <w:rFonts w:ascii="Arial" w:cs="Arial" w:eastAsia="Arial" w:hAnsi="Arial"/>
                <w:sz w:val="10"/>
                <w:szCs w:val="10"/>
                <w:color w:val="auto"/>
              </w:rPr>
              <w:t>225,997,444</w:t>
            </w:r>
          </w:p>
        </w:tc>
        <w:tc>
          <w:tcPr>
            <w:tcW w:w="80" w:type="dxa"/>
            <w:vAlign w:val="bottom"/>
          </w:tcPr>
          <w:p>
            <w:pPr>
              <w:spacing w:after="0"/>
              <w:rPr>
                <w:sz w:val="9"/>
                <w:szCs w:val="9"/>
                <w:color w:val="auto"/>
              </w:rPr>
            </w:pPr>
          </w:p>
        </w:tc>
        <w:tc>
          <w:tcPr>
            <w:tcW w:w="920" w:type="dxa"/>
            <w:vAlign w:val="bottom"/>
            <w:gridSpan w:val="3"/>
          </w:tcPr>
          <w:p>
            <w:pPr>
              <w:jc w:val="right"/>
              <w:ind w:right="7"/>
              <w:spacing w:after="0" w:line="112" w:lineRule="exact"/>
              <w:rPr>
                <w:sz w:val="20"/>
                <w:szCs w:val="20"/>
                <w:color w:val="auto"/>
              </w:rPr>
            </w:pPr>
            <w:r>
              <w:rPr>
                <w:rFonts w:ascii="Arial" w:cs="Arial" w:eastAsia="Arial" w:hAnsi="Arial"/>
                <w:sz w:val="10"/>
                <w:szCs w:val="10"/>
                <w:color w:val="auto"/>
              </w:rPr>
              <w:t>245,008,423</w:t>
            </w:r>
          </w:p>
        </w:tc>
        <w:tc>
          <w:tcPr>
            <w:tcW w:w="100" w:type="dxa"/>
            <w:vAlign w:val="bottom"/>
          </w:tcPr>
          <w:p>
            <w:pPr>
              <w:spacing w:after="0"/>
              <w:rPr>
                <w:sz w:val="9"/>
                <w:szCs w:val="9"/>
                <w:color w:val="auto"/>
              </w:rPr>
            </w:pPr>
          </w:p>
        </w:tc>
        <w:tc>
          <w:tcPr>
            <w:tcW w:w="920" w:type="dxa"/>
            <w:vAlign w:val="bottom"/>
            <w:gridSpan w:val="2"/>
          </w:tcPr>
          <w:p>
            <w:pPr>
              <w:jc w:val="right"/>
              <w:ind w:right="60"/>
              <w:spacing w:after="0" w:line="112" w:lineRule="exact"/>
              <w:rPr>
                <w:sz w:val="20"/>
                <w:szCs w:val="20"/>
                <w:color w:val="auto"/>
              </w:rPr>
            </w:pPr>
            <w:r>
              <w:rPr>
                <w:rFonts w:ascii="Arial" w:cs="Arial" w:eastAsia="Arial" w:hAnsi="Arial"/>
                <w:sz w:val="10"/>
                <w:szCs w:val="10"/>
                <w:color w:val="auto"/>
              </w:rPr>
              <w:t>230,685,464</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3"/>
                <w:szCs w:val="13"/>
                <w:color w:val="auto"/>
              </w:rPr>
              <w:t>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3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80" w:type="dxa"/>
            <w:vAlign w:val="bottom"/>
            <w:gridSpan w:val="9"/>
          </w:tcPr>
          <w:p>
            <w:pPr>
              <w:spacing w:after="0"/>
              <w:rPr>
                <w:sz w:val="20"/>
                <w:szCs w:val="20"/>
                <w:color w:val="auto"/>
              </w:rPr>
            </w:pPr>
            <w:r>
              <w:rPr>
                <w:rFonts w:ascii="Arial" w:cs="Arial" w:eastAsia="Arial" w:hAnsi="Arial"/>
                <w:sz w:val="13"/>
                <w:szCs w:val="13"/>
                <w:color w:val="auto"/>
                <w:w w:val="99"/>
              </w:rPr>
              <w:t>(1)  Includes share-based compensation expense as follows: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w w:val="97"/>
              </w:rPr>
              <w:t>Three Months Ended</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0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Mar. 31, 2019</w:t>
            </w: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w w:val="93"/>
              </w:rPr>
              <w:t>Jun. 30, 2019</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0"/>
                <w:szCs w:val="10"/>
                <w:b w:val="1"/>
                <w:bCs w:val="1"/>
                <w:color w:val="auto"/>
                <w:w w:val="93"/>
              </w:rPr>
              <w:t>Sept. 30, 2019</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67"/>
              <w:spacing w:after="0"/>
              <w:rPr>
                <w:sz w:val="20"/>
                <w:szCs w:val="20"/>
                <w:color w:val="auto"/>
              </w:rPr>
            </w:pPr>
            <w:r>
              <w:rPr>
                <w:rFonts w:ascii="Arial" w:cs="Arial" w:eastAsia="Arial" w:hAnsi="Arial"/>
                <w:sz w:val="10"/>
                <w:szCs w:val="10"/>
                <w:b w:val="1"/>
                <w:bCs w:val="1"/>
                <w:color w:val="auto"/>
                <w:w w:val="95"/>
              </w:rPr>
              <w:t>Dec. 31, 2019</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67"/>
              <w:spacing w:after="0"/>
              <w:rPr>
                <w:sz w:val="20"/>
                <w:szCs w:val="20"/>
                <w:color w:val="auto"/>
              </w:rPr>
            </w:pPr>
            <w:r>
              <w:rPr>
                <w:rFonts w:ascii="Arial" w:cs="Arial" w:eastAsia="Arial" w:hAnsi="Arial"/>
                <w:sz w:val="10"/>
                <w:szCs w:val="10"/>
                <w:b w:val="1"/>
                <w:bCs w:val="1"/>
                <w:color w:val="auto"/>
                <w:w w:val="93"/>
              </w:rPr>
              <w:t>Mar. 31, 2020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w w:val="99"/>
              </w:rPr>
              <w:t>Jun. 30, 2020</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w w:val="93"/>
              </w:rPr>
              <w:t>Sept. 30, 2020</w:t>
            </w:r>
          </w:p>
        </w:tc>
        <w:tc>
          <w:tcPr>
            <w:tcW w:w="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0"/>
                <w:szCs w:val="10"/>
                <w:b w:val="1"/>
                <w:bCs w:val="1"/>
                <w:color w:val="auto"/>
              </w:rPr>
              <w:t>Dec. 31, 2020</w:t>
            </w: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0"/>
                <w:szCs w:val="10"/>
                <w:b w:val="1"/>
                <w:bCs w:val="1"/>
                <w:color w:val="auto"/>
              </w:rPr>
              <w:t>March 31, 2021</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Brokerage and transaction</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24</w:t>
            </w:r>
          </w:p>
        </w:tc>
        <w:tc>
          <w:tcPr>
            <w:tcW w:w="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375</w:t>
            </w:r>
          </w:p>
        </w:tc>
        <w:tc>
          <w:tcPr>
            <w:tcW w:w="6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3"/>
            <w:shd w:val="clear" w:color="auto" w:fill="CCEEFF"/>
          </w:tcPr>
          <w:p>
            <w:pPr>
              <w:jc w:val="right"/>
              <w:ind w:right="12"/>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2020" w:type="dxa"/>
            <w:vAlign w:val="bottom"/>
          </w:tcPr>
          <w:p>
            <w:pPr>
              <w:ind w:left="120"/>
              <w:spacing w:after="0"/>
              <w:rPr>
                <w:sz w:val="20"/>
                <w:szCs w:val="20"/>
                <w:color w:val="auto"/>
              </w:rPr>
            </w:pPr>
            <w:r>
              <w:rPr>
                <w:rFonts w:ascii="Arial" w:cs="Arial" w:eastAsia="Arial" w:hAnsi="Arial"/>
                <w:sz w:val="11"/>
                <w:szCs w:val="11"/>
                <w:color w:val="auto"/>
              </w:rPr>
              <w:t>Technology and development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991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1,002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5,971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1,535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1"/>
                <w:szCs w:val="11"/>
                <w:color w:val="auto"/>
              </w:rPr>
              <w:t>824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2"/>
              <w:spacing w:after="0"/>
              <w:rPr>
                <w:sz w:val="20"/>
                <w:szCs w:val="20"/>
                <w:color w:val="auto"/>
              </w:rPr>
            </w:pPr>
            <w:r>
              <w:rPr>
                <w:rFonts w:ascii="Arial" w:cs="Arial" w:eastAsia="Arial" w:hAnsi="Arial"/>
                <w:sz w:val="11"/>
                <w:szCs w:val="11"/>
                <w:color w:val="auto"/>
              </w:rPr>
              <w:t>992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14,492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1,308</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Operations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80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2020" w:type="dxa"/>
            <w:vAlign w:val="bottom"/>
          </w:tcPr>
          <w:p>
            <w:pPr>
              <w:ind w:left="120"/>
              <w:spacing w:after="0"/>
              <w:rPr>
                <w:sz w:val="20"/>
                <w:szCs w:val="20"/>
                <w:color w:val="auto"/>
              </w:rPr>
            </w:pPr>
            <w:r>
              <w:rPr>
                <w:rFonts w:ascii="Arial" w:cs="Arial" w:eastAsia="Arial" w:hAnsi="Arial"/>
                <w:sz w:val="11"/>
                <w:szCs w:val="11"/>
                <w:color w:val="auto"/>
              </w:rPr>
              <w:t>Marketing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59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2"/>
              <w:spacing w:after="0"/>
              <w:rPr>
                <w:sz w:val="20"/>
                <w:szCs w:val="20"/>
                <w:color w:val="auto"/>
              </w:rPr>
            </w:pPr>
            <w:r>
              <w:rPr>
                <w:rFonts w:ascii="Arial" w:cs="Arial" w:eastAsia="Arial" w:hAnsi="Arial"/>
                <w:sz w:val="11"/>
                <w:szCs w:val="11"/>
                <w:color w:val="auto"/>
              </w:rPr>
              <w:t>40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558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2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General and administrative</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402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431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13,682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2,002</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672</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1"/>
                <w:szCs w:val="11"/>
                <w:color w:val="auto"/>
              </w:rPr>
              <w:t>520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3"/>
            <w:shd w:val="clear" w:color="auto" w:fill="CCEEFF"/>
          </w:tcPr>
          <w:p>
            <w:pPr>
              <w:jc w:val="right"/>
              <w:ind w:right="12"/>
              <w:spacing w:after="0"/>
              <w:rPr>
                <w:sz w:val="20"/>
                <w:szCs w:val="20"/>
                <w:color w:val="auto"/>
              </w:rPr>
            </w:pPr>
            <w:r>
              <w:rPr>
                <w:rFonts w:ascii="Arial" w:cs="Arial" w:eastAsia="Arial" w:hAnsi="Arial"/>
                <w:sz w:val="11"/>
                <w:szCs w:val="11"/>
                <w:color w:val="auto"/>
              </w:rPr>
              <w:t>528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3,685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7,642</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80" w:type="dxa"/>
            <w:vAlign w:val="bottom"/>
          </w:tcPr>
          <w:p>
            <w:pPr>
              <w:spacing w:after="0"/>
              <w:rPr>
                <w:sz w:val="8"/>
                <w:szCs w:val="8"/>
                <w:color w:val="auto"/>
              </w:rPr>
            </w:pPr>
          </w:p>
        </w:tc>
        <w:tc>
          <w:tcPr>
            <w:tcW w:w="2020" w:type="dxa"/>
            <w:vAlign w:val="bottom"/>
          </w:tcPr>
          <w:p>
            <w:pPr>
              <w:ind w:left="300"/>
              <w:spacing w:after="0" w:line="94" w:lineRule="exact"/>
              <w:rPr>
                <w:sz w:val="20"/>
                <w:szCs w:val="20"/>
                <w:color w:val="auto"/>
              </w:rPr>
            </w:pPr>
            <w:r>
              <w:rPr>
                <w:rFonts w:ascii="Arial" w:cs="Arial" w:eastAsia="Arial" w:hAnsi="Arial"/>
                <w:sz w:val="10"/>
                <w:szCs w:val="10"/>
                <w:color w:val="auto"/>
              </w:rPr>
              <w:t>Total share-based compensation</w:t>
            </w:r>
          </w:p>
        </w:tc>
        <w:tc>
          <w:tcPr>
            <w:tcW w:w="140" w:type="dxa"/>
            <w:vAlign w:val="bottom"/>
            <w:vMerge w:val="restart"/>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1,450</w:t>
            </w:r>
          </w:p>
        </w:tc>
        <w:tc>
          <w:tcPr>
            <w:tcW w:w="4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vMerge w:val="restart"/>
          </w:tcPr>
          <w:p>
            <w:pPr>
              <w:jc w:val="right"/>
              <w:ind w:right="7"/>
              <w:spacing w:after="0"/>
              <w:rPr>
                <w:sz w:val="20"/>
                <w:szCs w:val="20"/>
                <w:color w:val="auto"/>
              </w:rPr>
            </w:pPr>
            <w:r>
              <w:rPr>
                <w:rFonts w:ascii="Arial" w:cs="Arial" w:eastAsia="Arial" w:hAnsi="Arial"/>
                <w:sz w:val="11"/>
                <w:szCs w:val="11"/>
                <w:color w:val="auto"/>
              </w:rPr>
              <w:t>1,477</w:t>
            </w:r>
          </w:p>
        </w:tc>
        <w:tc>
          <w:tcPr>
            <w:tcW w:w="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vMerge w:val="restart"/>
          </w:tcPr>
          <w:p>
            <w:pPr>
              <w:jc w:val="right"/>
              <w:ind w:right="7"/>
              <w:spacing w:after="0"/>
              <w:rPr>
                <w:sz w:val="20"/>
                <w:szCs w:val="20"/>
                <w:color w:val="auto"/>
              </w:rPr>
            </w:pPr>
            <w:r>
              <w:rPr>
                <w:rFonts w:ascii="Arial" w:cs="Arial" w:eastAsia="Arial" w:hAnsi="Arial"/>
                <w:sz w:val="11"/>
                <w:szCs w:val="11"/>
                <w:color w:val="auto"/>
              </w:rPr>
              <w:t>20,167</w:t>
            </w:r>
          </w:p>
        </w:tc>
        <w:tc>
          <w:tcPr>
            <w:tcW w:w="6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w w:val="97"/>
              </w:rPr>
              <w:t>$</w:t>
            </w:r>
          </w:p>
        </w:tc>
        <w:tc>
          <w:tcPr>
            <w:tcW w:w="740" w:type="dxa"/>
            <w:vAlign w:val="bottom"/>
            <w:vMerge w:val="restart"/>
          </w:tcPr>
          <w:p>
            <w:pPr>
              <w:jc w:val="right"/>
              <w:ind w:right="7"/>
              <w:spacing w:after="0"/>
              <w:rPr>
                <w:sz w:val="20"/>
                <w:szCs w:val="20"/>
                <w:color w:val="auto"/>
              </w:rPr>
            </w:pPr>
            <w:r>
              <w:rPr>
                <w:rFonts w:ascii="Arial" w:cs="Arial" w:eastAsia="Arial" w:hAnsi="Arial"/>
                <w:sz w:val="11"/>
                <w:szCs w:val="11"/>
                <w:color w:val="auto"/>
              </w:rPr>
              <w:t>3,573</w:t>
            </w:r>
          </w:p>
        </w:tc>
        <w:tc>
          <w:tcPr>
            <w:tcW w:w="100" w:type="dxa"/>
            <w:vAlign w:val="bottom"/>
          </w:tcPr>
          <w:p>
            <w:pPr>
              <w:spacing w:after="0"/>
              <w:rPr>
                <w:sz w:val="8"/>
                <w:szCs w:val="8"/>
                <w:color w:val="auto"/>
              </w:rPr>
            </w:pP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w w:val="97"/>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2,412</w:t>
            </w: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vMerge w:val="restart"/>
          </w:tcPr>
          <w:p>
            <w:pPr>
              <w:jc w:val="right"/>
              <w:ind w:right="12"/>
              <w:spacing w:after="0"/>
              <w:rPr>
                <w:sz w:val="20"/>
                <w:szCs w:val="20"/>
                <w:color w:val="auto"/>
              </w:rPr>
            </w:pPr>
            <w:r>
              <w:rPr>
                <w:rFonts w:ascii="Arial" w:cs="Arial" w:eastAsia="Arial" w:hAnsi="Arial"/>
                <w:sz w:val="11"/>
                <w:szCs w:val="11"/>
                <w:color w:val="auto"/>
              </w:rPr>
              <w:t>1,365</w:t>
            </w:r>
          </w:p>
        </w:tc>
        <w:tc>
          <w:tcPr>
            <w:tcW w:w="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3"/>
            <w:vMerge w:val="restart"/>
          </w:tcPr>
          <w:p>
            <w:pPr>
              <w:jc w:val="right"/>
              <w:ind w:right="12"/>
              <w:spacing w:after="0"/>
              <w:rPr>
                <w:sz w:val="20"/>
                <w:szCs w:val="20"/>
                <w:color w:val="auto"/>
              </w:rPr>
            </w:pPr>
            <w:r>
              <w:rPr>
                <w:rFonts w:ascii="Arial" w:cs="Arial" w:eastAsia="Arial" w:hAnsi="Arial"/>
                <w:sz w:val="11"/>
                <w:szCs w:val="11"/>
                <w:color w:val="auto"/>
              </w:rPr>
              <w:t>1,571</w:t>
            </w:r>
          </w:p>
        </w:tc>
        <w:tc>
          <w:tcPr>
            <w:tcW w:w="80" w:type="dxa"/>
            <w:vAlign w:val="bottom"/>
          </w:tcPr>
          <w:p>
            <w:pPr>
              <w:spacing w:after="0"/>
              <w:rPr>
                <w:sz w:val="8"/>
                <w:szCs w:val="8"/>
                <w:color w:val="auto"/>
              </w:rPr>
            </w:pPr>
          </w:p>
        </w:tc>
        <w:tc>
          <w:tcPr>
            <w:tcW w:w="220" w:type="dxa"/>
            <w:vAlign w:val="bottom"/>
            <w:vMerge w:val="restart"/>
          </w:tcPr>
          <w:p>
            <w:pPr>
              <w:jc w:val="right"/>
              <w:ind w:right="87"/>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8"/>
                <w:szCs w:val="8"/>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18,982</w:t>
            </w:r>
          </w:p>
        </w:tc>
        <w:tc>
          <w:tcPr>
            <w:tcW w:w="100" w:type="dxa"/>
            <w:vAlign w:val="bottom"/>
          </w:tcPr>
          <w:p>
            <w:pPr>
              <w:spacing w:after="0"/>
              <w:rPr>
                <w:sz w:val="8"/>
                <w:szCs w:val="8"/>
                <w:color w:val="auto"/>
              </w:rPr>
            </w:pPr>
          </w:p>
        </w:tc>
        <w:tc>
          <w:tcPr>
            <w:tcW w:w="260" w:type="dxa"/>
            <w:vAlign w:val="bottom"/>
            <w:vMerge w:val="restart"/>
          </w:tcPr>
          <w:p>
            <w:pPr>
              <w:jc w:val="right"/>
              <w:ind w:right="127"/>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8"/>
                <w:szCs w:val="8"/>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8,996</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2020" w:type="dxa"/>
            <w:vAlign w:val="bottom"/>
          </w:tcPr>
          <w:p>
            <w:pPr>
              <w:ind w:left="440"/>
              <w:spacing w:after="0" w:line="125" w:lineRule="exact"/>
              <w:rPr>
                <w:sz w:val="20"/>
                <w:szCs w:val="20"/>
                <w:color w:val="auto"/>
              </w:rPr>
            </w:pPr>
            <w:r>
              <w:rPr>
                <w:rFonts w:ascii="Arial" w:cs="Arial" w:eastAsia="Arial" w:hAnsi="Arial"/>
                <w:sz w:val="11"/>
                <w:szCs w:val="11"/>
                <w:color w:val="auto"/>
              </w:rPr>
              <w:t>expense</w:t>
            </w:r>
          </w:p>
        </w:tc>
        <w:tc>
          <w:tcPr>
            <w:tcW w:w="140" w:type="dxa"/>
            <w:vAlign w:val="bottom"/>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tcBorders>
              <w:bottom w:val="single" w:sz="8" w:color="auto"/>
            </w:tcBorders>
            <w:gridSpan w:val="2"/>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gridSpan w:val="2"/>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1544955</wp:posOffset>
            </wp:positionH>
            <wp:positionV relativeFrom="paragraph">
              <wp:posOffset>15240</wp:posOffset>
            </wp:positionV>
            <wp:extent cx="532701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27015" cy="7620"/>
                    </a:xfrm>
                    <a:prstGeom prst="rect">
                      <a:avLst/>
                    </a:prstGeom>
                    <a:noFill/>
                  </pic:spPr>
                </pic:pic>
              </a:graphicData>
            </a:graphic>
          </wp:anchor>
        </w:drawing>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_______________</w:t>
      </w:r>
    </w:p>
    <w:p>
      <w:pPr>
        <w:spacing w:after="0" w:line="12" w:lineRule="exact"/>
        <w:rPr>
          <w:sz w:val="20"/>
          <w:szCs w:val="20"/>
          <w:color w:val="auto"/>
        </w:rPr>
      </w:pPr>
    </w:p>
    <w:p>
      <w:pPr>
        <w:ind w:left="280" w:right="20"/>
        <w:spacing w:after="0" w:line="238" w:lineRule="auto"/>
        <w:rPr>
          <w:sz w:val="20"/>
          <w:szCs w:val="20"/>
          <w:color w:val="auto"/>
        </w:rPr>
      </w:pPr>
      <w:r>
        <w:rPr>
          <w:rFonts w:ascii="Arial" w:cs="Arial" w:eastAsia="Arial" w:hAnsi="Arial"/>
          <w:sz w:val="13"/>
          <w:szCs w:val="13"/>
          <w:color w:val="auto"/>
        </w:rPr>
        <w:t>We have not recognized share-based compensation for awards with performance-based conditions because the qualifying event, such as an IPO, had not occurred and, therefore, could not be considered probable. See Share-based compensation disclosed in Note 1 to our consolidated financial statements included elsewhere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260"/>
          </w:cols>
          <w:pgMar w:left="320" w:top="1426" w:right="31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9"/>
          <w:szCs w:val="19"/>
          <w:b w:val="1"/>
          <w:bCs w:val="1"/>
          <w:i w:val="1"/>
          <w:iCs w:val="1"/>
          <w:color w:val="auto"/>
        </w:rPr>
        <w:t>Quarterly Consolidated Statements of Operations, as a percentage of revenue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auto"/>
                <w:w w:val="97"/>
              </w:rPr>
              <w:t>Three Months Ended</w:t>
            </w: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40" w:type="dxa"/>
            <w:vAlign w:val="bottom"/>
            <w:gridSpan w:val="2"/>
          </w:tcPr>
          <w:p>
            <w:pPr>
              <w:ind w:left="160"/>
              <w:spacing w:after="0"/>
              <w:rPr>
                <w:sz w:val="20"/>
                <w:szCs w:val="20"/>
                <w:color w:val="auto"/>
              </w:rPr>
            </w:pPr>
            <w:r>
              <w:rPr>
                <w:rFonts w:ascii="Arial" w:cs="Arial" w:eastAsia="Arial" w:hAnsi="Arial"/>
                <w:sz w:val="10"/>
                <w:szCs w:val="10"/>
                <w:b w:val="1"/>
                <w:bCs w:val="1"/>
                <w:color w:val="auto"/>
              </w:rPr>
              <w:t>Mar. 31, 2019</w:t>
            </w: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Jun. 30, 2019</w:t>
            </w:r>
          </w:p>
        </w:tc>
        <w:tc>
          <w:tcPr>
            <w:tcW w:w="1060" w:type="dxa"/>
            <w:vAlign w:val="bottom"/>
            <w:gridSpan w:val="2"/>
          </w:tcPr>
          <w:p>
            <w:pPr>
              <w:ind w:left="160"/>
              <w:spacing w:after="0"/>
              <w:rPr>
                <w:sz w:val="20"/>
                <w:szCs w:val="20"/>
                <w:color w:val="auto"/>
              </w:rPr>
            </w:pPr>
            <w:r>
              <w:rPr>
                <w:rFonts w:ascii="Arial" w:cs="Arial" w:eastAsia="Arial" w:hAnsi="Arial"/>
                <w:sz w:val="10"/>
                <w:szCs w:val="10"/>
                <w:b w:val="1"/>
                <w:bCs w:val="1"/>
                <w:color w:val="auto"/>
              </w:rPr>
              <w:t>Sept. 30, 2019</w:t>
            </w: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 31, 2019</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Mar. 31, 2020</w:t>
            </w: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Jun. 30, 2020</w:t>
            </w:r>
          </w:p>
        </w:tc>
        <w:tc>
          <w:tcPr>
            <w:tcW w:w="106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 30, 2020</w:t>
            </w:r>
          </w:p>
        </w:tc>
        <w:tc>
          <w:tcPr>
            <w:tcW w:w="106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 31, 2020</w:t>
            </w:r>
          </w:p>
        </w:tc>
        <w:tc>
          <w:tcPr>
            <w:tcW w:w="980" w:type="dxa"/>
            <w:vAlign w:val="bottom"/>
          </w:tcPr>
          <w:p>
            <w:pPr>
              <w:jc w:val="right"/>
              <w:ind w:right="97"/>
              <w:spacing w:after="0"/>
              <w:rPr>
                <w:sz w:val="20"/>
                <w:szCs w:val="20"/>
                <w:color w:val="auto"/>
              </w:rPr>
            </w:pPr>
            <w:r>
              <w:rPr>
                <w:rFonts w:ascii="Arial" w:cs="Arial" w:eastAsia="Arial" w:hAnsi="Arial"/>
                <w:sz w:val="10"/>
                <w:szCs w:val="10"/>
                <w:b w:val="1"/>
                <w:bCs w:val="1"/>
                <w:color w:val="auto"/>
              </w:rPr>
              <w:t>March 31, 2021</w:t>
            </w:r>
          </w:p>
        </w:tc>
        <w:tc>
          <w:tcPr>
            <w:tcW w:w="0" w:type="dxa"/>
            <w:vAlign w:val="bottom"/>
          </w:tcPr>
          <w:p>
            <w:pPr>
              <w:spacing w:after="0"/>
              <w:rPr>
                <w:sz w:val="1"/>
                <w:szCs w:val="1"/>
                <w:color w:val="auto"/>
              </w:rPr>
            </w:pPr>
          </w:p>
        </w:tc>
      </w:tr>
      <w:tr>
        <w:trPr>
          <w:trHeight w:val="155"/>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Revenues:</w:t>
            </w: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200"/>
              <w:spacing w:after="0"/>
              <w:rPr>
                <w:sz w:val="20"/>
                <w:szCs w:val="20"/>
                <w:color w:val="auto"/>
              </w:rPr>
            </w:pPr>
            <w:r>
              <w:rPr>
                <w:rFonts w:ascii="Arial" w:cs="Arial" w:eastAsia="Arial" w:hAnsi="Arial"/>
                <w:sz w:val="13"/>
                <w:szCs w:val="13"/>
                <w:color w:val="auto"/>
              </w:rPr>
              <w:t>Transaction-based revenues</w:t>
            </w:r>
          </w:p>
        </w:tc>
        <w:tc>
          <w:tcPr>
            <w:tcW w:w="940" w:type="dxa"/>
            <w:vAlign w:val="bottom"/>
          </w:tcPr>
          <w:p>
            <w:pPr>
              <w:jc w:val="right"/>
              <w:spacing w:after="0"/>
              <w:rPr>
                <w:sz w:val="20"/>
                <w:szCs w:val="20"/>
                <w:color w:val="auto"/>
              </w:rPr>
            </w:pPr>
            <w:r>
              <w:rPr>
                <w:rFonts w:ascii="Arial" w:cs="Arial" w:eastAsia="Arial" w:hAnsi="Arial"/>
                <w:sz w:val="13"/>
                <w:szCs w:val="13"/>
                <w:color w:val="auto"/>
              </w:rPr>
              <w:t>60 %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62 %</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63 %</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60 %</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75 %</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77 %</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75 %</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74 %</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81 %</w:t>
            </w: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interest revenues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22 %</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28 %</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30 %</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167"/>
        </w:trPr>
        <w:tc>
          <w:tcPr>
            <w:tcW w:w="18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Other revenues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16 %</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9 %</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10 %</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6 %</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7 %</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6 %</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6 %</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159"/>
        </w:trPr>
        <w:tc>
          <w:tcPr>
            <w:tcW w:w="1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net revenues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67"/>
        </w:trPr>
        <w:tc>
          <w:tcPr>
            <w:tcW w:w="188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Brokerage and transaction</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136"/>
        </w:trPr>
        <w:tc>
          <w:tcPr>
            <w:tcW w:w="1880" w:type="dxa"/>
            <w:vAlign w:val="bottom"/>
          </w:tcPr>
          <w:p>
            <w:pPr>
              <w:ind w:left="200"/>
              <w:spacing w:after="0" w:line="136" w:lineRule="exact"/>
              <w:rPr>
                <w:sz w:val="20"/>
                <w:szCs w:val="20"/>
                <w:color w:val="auto"/>
              </w:rPr>
            </w:pPr>
            <w:r>
              <w:rPr>
                <w:rFonts w:ascii="Arial" w:cs="Arial" w:eastAsia="Arial" w:hAnsi="Arial"/>
                <w:sz w:val="13"/>
                <w:szCs w:val="13"/>
                <w:color w:val="auto"/>
              </w:rPr>
              <w:t>Technology and</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29 %</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25 %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38 %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43 %</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26 %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18 %</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26 %</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51"/>
        </w:trPr>
        <w:tc>
          <w:tcPr>
            <w:tcW w:w="1880" w:type="dxa"/>
            <w:vAlign w:val="bottom"/>
          </w:tcPr>
          <w:p>
            <w:pPr>
              <w:ind w:left="200"/>
              <w:spacing w:after="0"/>
              <w:rPr>
                <w:sz w:val="20"/>
                <w:szCs w:val="20"/>
                <w:color w:val="auto"/>
              </w:rPr>
            </w:pPr>
            <w:r>
              <w:rPr>
                <w:rFonts w:ascii="Arial" w:cs="Arial" w:eastAsia="Arial" w:hAnsi="Arial"/>
                <w:sz w:val="13"/>
                <w:szCs w:val="13"/>
                <w:color w:val="auto"/>
              </w:rPr>
              <w:t>development</w:t>
            </w: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Operations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14 %</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67"/>
        </w:trPr>
        <w:tc>
          <w:tcPr>
            <w:tcW w:w="1880" w:type="dxa"/>
            <w:vAlign w:val="bottom"/>
          </w:tcPr>
          <w:p>
            <w:pPr>
              <w:ind w:left="200"/>
              <w:spacing w:after="0"/>
              <w:rPr>
                <w:sz w:val="20"/>
                <w:szCs w:val="20"/>
                <w:color w:val="auto"/>
              </w:rPr>
            </w:pPr>
            <w:r>
              <w:rPr>
                <w:rFonts w:ascii="Arial" w:cs="Arial" w:eastAsia="Arial" w:hAnsi="Arial"/>
                <w:sz w:val="13"/>
                <w:szCs w:val="13"/>
                <w:color w:val="auto"/>
              </w:rPr>
              <w:t>Marketing</w:t>
            </w:r>
          </w:p>
        </w:tc>
        <w:tc>
          <w:tcPr>
            <w:tcW w:w="940" w:type="dxa"/>
            <w:vAlign w:val="bottom"/>
          </w:tcPr>
          <w:p>
            <w:pPr>
              <w:jc w:val="right"/>
              <w:spacing w:after="0"/>
              <w:rPr>
                <w:sz w:val="20"/>
                <w:szCs w:val="20"/>
                <w:color w:val="auto"/>
              </w:rPr>
            </w:pPr>
            <w:r>
              <w:rPr>
                <w:rFonts w:ascii="Arial" w:cs="Arial" w:eastAsia="Arial" w:hAnsi="Arial"/>
                <w:sz w:val="13"/>
                <w:szCs w:val="13"/>
                <w:color w:val="auto"/>
              </w:rPr>
              <w:t>49 %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39 %</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36 %</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57 %</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55 %</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18 %</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15 %</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10 %</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General and administrative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49 %</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28 %</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27 %</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41 %</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34 %</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0" w:type="dxa"/>
            <w:vAlign w:val="bottom"/>
          </w:tcPr>
          <w:p>
            <w:pPr>
              <w:spacing w:after="0"/>
              <w:rPr>
                <w:sz w:val="1"/>
                <w:szCs w:val="1"/>
                <w:color w:val="auto"/>
              </w:rPr>
            </w:pPr>
          </w:p>
        </w:tc>
      </w:tr>
      <w:tr>
        <w:trPr>
          <w:trHeight w:val="159"/>
        </w:trPr>
        <w:tc>
          <w:tcPr>
            <w:tcW w:w="18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w w:val="99"/>
              </w:rPr>
              <w:t>Total operating expenses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121 %</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116 %</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149 %</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163 %</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141 %</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76 %</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104 %</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94 %</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116"/>
        </w:trPr>
        <w:tc>
          <w:tcPr>
            <w:tcW w:w="188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Change in fair value of</w:t>
            </w: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shd w:val="clear" w:color="auto" w:fill="CCEEFF"/>
          </w:tcPr>
          <w:p>
            <w:pPr>
              <w:ind w:left="160"/>
              <w:spacing w:after="0" w:line="119" w:lineRule="exact"/>
              <w:rPr>
                <w:sz w:val="20"/>
                <w:szCs w:val="20"/>
                <w:color w:val="auto"/>
              </w:rPr>
            </w:pPr>
            <w:r>
              <w:rPr>
                <w:rFonts w:ascii="Arial" w:cs="Arial" w:eastAsia="Arial" w:hAnsi="Arial"/>
                <w:sz w:val="13"/>
                <w:szCs w:val="13"/>
                <w:color w:val="auto"/>
                <w:w w:val="99"/>
              </w:rPr>
              <w:t>convertible notes and warrant</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286 %</w:t>
            </w:r>
          </w:p>
        </w:tc>
        <w:tc>
          <w:tcPr>
            <w:tcW w:w="0" w:type="dxa"/>
            <w:vAlign w:val="bottom"/>
          </w:tcPr>
          <w:p>
            <w:pPr>
              <w:spacing w:after="0"/>
              <w:rPr>
                <w:sz w:val="1"/>
                <w:szCs w:val="1"/>
                <w:color w:val="auto"/>
              </w:rPr>
            </w:pPr>
          </w:p>
        </w:tc>
      </w:tr>
      <w:tr>
        <w:trPr>
          <w:trHeight w:val="151"/>
        </w:trPr>
        <w:tc>
          <w:tcPr>
            <w:tcW w:w="18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liability</w:t>
            </w:r>
          </w:p>
        </w:tc>
        <w:tc>
          <w:tcPr>
            <w:tcW w:w="1040" w:type="dxa"/>
            <w:vAlign w:val="bottom"/>
            <w:gridSpan w:val="2"/>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20"/>
              <w:spacing w:after="0"/>
              <w:rPr>
                <w:sz w:val="20"/>
                <w:szCs w:val="20"/>
                <w:color w:val="auto"/>
              </w:rPr>
            </w:pPr>
            <w:r>
              <w:rPr>
                <w:rFonts w:ascii="Arial" w:cs="Arial" w:eastAsia="Arial" w:hAnsi="Arial"/>
                <w:sz w:val="13"/>
                <w:szCs w:val="13"/>
                <w:color w:val="auto"/>
              </w:rPr>
              <w:t>Other expense (income), net</w:t>
            </w:r>
          </w:p>
        </w:tc>
        <w:tc>
          <w:tcPr>
            <w:tcW w:w="940" w:type="dxa"/>
            <w:vAlign w:val="bottom"/>
          </w:tcPr>
          <w:p>
            <w:pPr>
              <w:jc w:val="right"/>
              <w:spacing w:after="0"/>
              <w:rPr>
                <w:sz w:val="20"/>
                <w:szCs w:val="20"/>
                <w:color w:val="auto"/>
              </w:rPr>
            </w:pPr>
            <w:r>
              <w:rPr>
                <w:rFonts w:ascii="Arial" w:cs="Arial" w:eastAsia="Arial" w:hAnsi="Arial"/>
                <w:sz w:val="13"/>
                <w:szCs w:val="13"/>
                <w:color w:val="auto"/>
              </w:rPr>
              <w:t>1 %</w:t>
            </w:r>
          </w:p>
        </w:tc>
        <w:tc>
          <w:tcPr>
            <w:tcW w:w="1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1 %</w:t>
            </w:r>
          </w:p>
        </w:tc>
        <w:tc>
          <w:tcPr>
            <w:tcW w:w="1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9"/>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9"/>
              </w:rPr>
              <w:t>Income (loss) before income tax</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24 %</w:t>
            </w: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6 %</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36"/>
        </w:trPr>
        <w:tc>
          <w:tcPr>
            <w:tcW w:w="1880" w:type="dxa"/>
            <w:vAlign w:val="bottom"/>
          </w:tcPr>
          <w:p>
            <w:pPr>
              <w:ind w:left="20"/>
              <w:spacing w:after="0" w:line="136" w:lineRule="exact"/>
              <w:rPr>
                <w:sz w:val="20"/>
                <w:szCs w:val="20"/>
                <w:color w:val="auto"/>
              </w:rPr>
            </w:pPr>
            <w:r>
              <w:rPr>
                <w:rFonts w:ascii="Arial" w:cs="Arial" w:eastAsia="Arial" w:hAnsi="Arial"/>
                <w:sz w:val="13"/>
                <w:szCs w:val="13"/>
                <w:color w:val="auto"/>
              </w:rPr>
              <w:t>Provision for (benefit from)</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2 %</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151"/>
        </w:trPr>
        <w:tc>
          <w:tcPr>
            <w:tcW w:w="1880" w:type="dxa"/>
            <w:vAlign w:val="bottom"/>
          </w:tcPr>
          <w:p>
            <w:pPr>
              <w:ind w:left="160"/>
              <w:spacing w:after="0"/>
              <w:rPr>
                <w:sz w:val="20"/>
                <w:szCs w:val="20"/>
                <w:color w:val="auto"/>
              </w:rPr>
            </w:pPr>
            <w:r>
              <w:rPr>
                <w:rFonts w:ascii="Arial" w:cs="Arial" w:eastAsia="Arial" w:hAnsi="Arial"/>
                <w:sz w:val="13"/>
                <w:szCs w:val="13"/>
                <w:color w:val="auto"/>
              </w:rPr>
              <w:t>income taxes</w:t>
            </w:r>
          </w:p>
        </w:tc>
        <w:tc>
          <w:tcPr>
            <w:tcW w:w="104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Quarterly Trends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Transaction-based revenues</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Transaction-based revenues have generally increased sequentially in each of the periods presented, other than the fourth quarter of 2019, due to growth in our user base which resulted in higher trading volume on a per-user basis. In the first half of 2020, we saw a significant increase in the number of new accounts opened by first-time investors, as a result of increased interest in personal finance and investing, low interest rates and a positive market environment, especially in the U.S. equity markets. Throughout the remainder of 2020 and the first quarter of 2021, we maintained substantial growth in our user base, retention, engagement and trading activity metrics, as well as gains and periodic all-time highs achieved by the equity markets.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interest revenues</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Net interest revenues have generally increased sequentially in each of the periods presented, other than the fourth quarter of 2019, due to continued growth of our securities lending activities and increases in both the number of margin borrowers and average per-user margin balance. Net interest revenues decreased slightly in the first quarter of 2021 primarily due to an increase in interest expense incurred by borrowing on our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260"/>
          </w:cols>
          <w:pgMar w:left="320" w:top="1426" w:right="319" w:bottom="1440" w:gutter="0" w:footer="0" w:header="0"/>
        </w:sectPr>
      </w:pPr>
    </w:p>
    <w:bookmarkStart w:id="179" w:name="page180"/>
    <w:bookmarkEnd w:id="179"/>
    <w:p>
      <w:pPr>
        <w:spacing w:after="0"/>
        <w:rPr>
          <w:sz w:val="20"/>
          <w:szCs w:val="20"/>
          <w:color w:val="auto"/>
        </w:rPr>
      </w:pPr>
      <w:r>
        <w:rPr>
          <w:rFonts w:ascii="Arial" w:cs="Arial" w:eastAsia="Arial" w:hAnsi="Arial"/>
          <w:sz w:val="16"/>
          <w:szCs w:val="16"/>
          <w:i w:val="1"/>
          <w:iCs w:val="1"/>
          <w:color w:val="auto"/>
        </w:rPr>
        <w:t>Other revenues</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On a quarterly basis, other revenues generally increased in 2020 and the first quarter of 2021 compared to the corresponding quarterly periods of 2019 primarily due to an increase in subscribers to Robinhood Gold and higher proxy rebate revenue as a result of the growth in our user base. The first quarter of 2021 also had higher revenues due to ACATS fees charged to users for facilitating the transfer of their account to another broker-dealer. The decrease in other revenues in the second half of 2019 was primarily due to a change in the subscription fee structure for Robinhood Gold, from a tiered pricing model to a lower, flat-rate pricing model, effective as of the second quarter of 2019. Proxy rebate revenue is impacted by seasonality, with the second quarter historically the highest as that coincides with a large number of shareholder meetings.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Brokerage and transactions</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Brokerage and transaction costs have generally increased sequentially in each of the periods presented, other than the fourth quarter of 2020, which benefited from decreases in certain regulatory fee rates. The increases were primarily driven by higher clearing fees, regulatory fees and market data fees due to growth in our user base and higher trading volumes. The increase in the first quarter of 2021 was also due to an increase of $5.7 million in losses attributable to the market price fluctuation of inventory held in fractional shares.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Technology and development</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Technology and development costs increased sequentially in each of the periods presented. The increases were primarily driven by higher employee compensation and benefits as we continued to grow our engineering, data science and design teams. We also experienced increases in costs for cloud infrastructure and other software services utilized in delivering our products. The third quarter of 2019 and the fourth quarter of 2020 included share-based compensation related to the 2019 and 2020 Tender Offers.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Operations</w:t>
      </w:r>
    </w:p>
    <w:p>
      <w:pPr>
        <w:spacing w:after="0" w:line="19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Operations costs have generally increased sequentially in each of the periods presented, other than the third quarter of 2019. The increases were primarily due to increases in provision for credit losses, mainly driven by Fraudulent Deposit Transactions and, to a lesser extent, losses on margin borrowings, both of which have generally increased every quarter due to the growth of our user base. Additionally, operations costs increased due to our increased investments in customer service for our users.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Marketing costs increased sequentially through the first quarter of 2020, which was followed by sequential decreases through the fourth quarter of 2020. The increases were primarily driven by expenses associated with the Robinhood Referral Program and paid digital and broad-scale advertising. Marketing costs trended downward after the first quarter of 2020 as we strategically focused our marketing efforts through the Robinhood Referral Program, which generally has lower direct expense rates as compared to other marketing methods. The significant increase in the first quarter of 2021 was in line with the growth in our user base, which drove a significant increase in expenses related to the Robinhood Referral Program, and our digital and paid marketing efforts to drive higher brand awareness.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General and administrative costs have generally increased sequentially in each of the periods presented, other than the fourth quarter of 2019 and 2020, primarily due to higher professional fees and compensation and benefits for general and administrative personnel to support the growth of our business. The third quarter of 2020 included a $65.0 million legal settlement, the fourth quarter of 2020 included a $36.6 million legal reserve, and the first quarter of 2021 included an aggregate legal reserve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260"/>
          </w:cols>
          <w:pgMar w:left="320" w:top="1425" w:right="319" w:bottom="1440" w:gutter="0" w:footer="0" w:header="0"/>
        </w:sectPr>
      </w:pPr>
    </w:p>
    <w:bookmarkStart w:id="180" w:name="page181"/>
    <w:bookmarkEnd w:id="180"/>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$39.9 million as discussed in Note 13 to our consolidated financial statements and elsewhere in this prospectus.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fair value of convertible notes and warrant liability</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Change in fair value convertible notes and warrant liability was due to the mark-to-market adjustment of the convertible notes issued and warrant granted in February 2021, as discussed in Note 5 - Fair Value of Financial Instruments in our unaudited condensed consolidated financial statements. Following the completion of this offering, we anticipate the mark-to-market charge to be approximately $528.1 million for the quarter in which this offering occurs, assuming an initial public offering price of our Class A common stock of $40.00 per share, which is the midpoint of the estimated offering price range set forth on the cover page of this prospectus.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Liquidity and Capital Resources</w:t>
      </w:r>
    </w:p>
    <w:p>
      <w:pPr>
        <w:spacing w:after="0" w:line="17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Since inception, we have financed operations primarily through issuances of preferred stock, borrowings from credit facilities and cash flow from operating activities.</w:t>
      </w:r>
    </w:p>
    <w:p>
      <w:pPr>
        <w:spacing w:after="0" w:line="139" w:lineRule="exact"/>
        <w:rPr>
          <w:sz w:val="20"/>
          <w:szCs w:val="20"/>
          <w:color w:val="auto"/>
        </w:rPr>
      </w:pPr>
    </w:p>
    <w:p>
      <w:pPr>
        <w:jc w:val="both"/>
        <w:ind w:firstLine="287"/>
        <w:spacing w:after="0" w:line="249" w:lineRule="auto"/>
        <w:rPr>
          <w:sz w:val="20"/>
          <w:szCs w:val="20"/>
          <w:color w:val="auto"/>
        </w:rPr>
      </w:pPr>
      <w:r>
        <w:rPr>
          <w:rFonts w:ascii="Arial" w:cs="Arial" w:eastAsia="Arial" w:hAnsi="Arial"/>
          <w:sz w:val="16"/>
          <w:szCs w:val="16"/>
          <w:color w:val="auto"/>
        </w:rPr>
        <w:t>As of March 31, 2021, our primary sources of liquidity were our cash and cash equivalents of $4.79 billion and our revolving credit facilities. In February 2021, we issued two tranches of convertible notes, consisting of $2.53 billion aggregate principal amount of Tranche I convertible notes, as well as related warrants to purchase our equity securities with an aggregate maximum purchase price of $379.8 million, and $1.02 billion aggregate principal amount of Tranche II convertible notes. As of March 31, 2021, we had $2.55 billion aggregate amount of Tranche I convertible notes and $1.03 billion aggregate amount of Tranche II convertible notes, in each case including accrued interest.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Following this offering and until the tenth anniversary of their issue date, outstanding warrants will be exercisable for shares of our Class A common stock at an exercise price equal to the lower of (i) 70% of the cash price per share paid by investors in this offering and (ii) $38.29. For more information about our convertible notes and our warrants, see “Certain Relationships and Related Person Transactions—Convertible Note and Warrant Financings.” Based on our current level of operations, we believe our available cash, available borrowings, and cash provided by operations will be adequate to meet our future liquidity needs for more than the next 12 months. Our future capital requirements will depend on many factors, including but not limited to our growth rate, headcount, sales and marketing activities, research and development efforts, capital expenditures, the introduction of new products and offerings, and potential merger and acquisition activity, other strategic initiatives, volatility in the market or in certain securities and trading volume of our customers.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 See “Risk Factors—Risks Related to Our Business—</w:t>
      </w:r>
      <w:r>
        <w:rPr>
          <w:rFonts w:ascii="Arial" w:cs="Arial" w:eastAsia="Arial" w:hAnsi="Arial"/>
          <w:sz w:val="16"/>
          <w:szCs w:val="16"/>
          <w:i w:val="1"/>
          <w:iCs w:val="1"/>
          <w:color w:val="auto"/>
        </w:rPr>
        <w:t>We may require additional capital to satisfy our</w:t>
      </w:r>
      <w:r>
        <w:rPr>
          <w:rFonts w:ascii="Arial" w:cs="Arial" w:eastAsia="Arial" w:hAnsi="Arial"/>
          <w:sz w:val="16"/>
          <w:szCs w:val="16"/>
          <w:color w:val="auto"/>
        </w:rPr>
        <w:t xml:space="preserve"> </w:t>
      </w:r>
      <w:r>
        <w:rPr>
          <w:rFonts w:ascii="Arial" w:cs="Arial" w:eastAsia="Arial" w:hAnsi="Arial"/>
          <w:sz w:val="16"/>
          <w:szCs w:val="16"/>
          <w:i w:val="1"/>
          <w:iCs w:val="1"/>
          <w:color w:val="auto"/>
        </w:rPr>
        <w:t>liquidity needs and support business growth and objectives, and this capital might not be available to use on reasonable terms, if at all, may result in stockholder dilution, and may be delayed or prohibited by applicable regulations.”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Credit Facilities</w:t>
      </w:r>
    </w:p>
    <w:p>
      <w:pPr>
        <w:spacing w:after="0" w:line="19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In April 2021, RHS entered into a $2.2 billion committed and secured revolving line of credit, subject to certain borrowing base limitations, with a maturity date of April 15, 2022 (the “April 2021 Credit Facility”). Borrowings from the April 2021 Credit Facility must be specified to be Tranche A, Tranche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260"/>
          </w:cols>
          <w:pgMar w:left="320" w:top="1440" w:right="319" w:bottom="1440" w:gutter="0" w:footer="0" w:header="0"/>
        </w:sectPr>
      </w:pPr>
    </w:p>
    <w:bookmarkStart w:id="181" w:name="page182"/>
    <w:bookmarkEnd w:id="181"/>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Tranche C or a combination thereof. Tranche A loans are secured by users’ securities and used, among other things, to finance margin loans. Tranche B loans are secured by the right to the return from NSCC of NSCC Margin Deposits and cash and property in a designated collateral account and used for the purpose of satisfying NSCC Deposit Requirements. Tranche C loans are secured by the right to the return of eligible funds from any reserve account of the Borrower and cash and property in a designated collateral account and used for the purpose of satisfying reserve requirements under Rule 15c3-3 of the Securities Exchange Act. Interest for this line of credit is determined at the time a loan is initiated and the applicable interest rate is calculated as a per annum rate equal to 1.25% for Tranche A loans and 2.50% for Tranche B and Tranche C loans, plus the Short-Term Funding Rate at the applicable time. The Short-Term Funding Rate is equal to the greatest of (i) the Eurodollar Rate for a one-month interest period on such day, (ii) the Federal Funds Effective Rate and (iii) the Overnight Bank Funding Rate in effect on such day. This agreement contains customary covenants restricting RHS’s ability to incur debt, incur liens and undergo certain fundamental changes. Additionally, we are obligated to pay a commitment fee calculated as a per annum rate equal to 0.50% on any unused amount of the April 2021 Credit Facility.</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October 2019, RHM entered into a $200.0 million committed and unsecured revolving line of credit with a syndicate of banks (the “October 2019 Credit Facility”) maturing in October 2023. In October 2020, RHM amended the October 2019 Credit Facility to, among other things, increase the aggregate committed and unsecured revolving line of credit amount to $600.0 million with a maturity date of October 29, 2024. In April 2021, RHM further increased the aggregate credit amount available under the October 2019 Credit Facility to $625.0 million. Loans under the October 2019 Credit Facility bear interest, at our option, at a per annum rate of either (a) the Eurodollar Rate plus 1.00% or (b) the Alternative Base Rate. The Eurodollar Rate is equal to the Eurodollar Base Rate, which is derived from London Interbank Offered Rate (“LIBOR”), multiplied by the Statutory Reserve Rate at the applicable time. The Alternative Base Rate is the greatest of (i) the prime rate then in effect, (ii) the Federal Reserve Bank of New York rate then in effect plus 0.50% and (iii) the Eurodollar Rate at such time for a one month interest period plus 1.00%. If LIBOR is unavailable or if we and the administrative agent elect, the Eurodollar Rate will be replaced by a rate calculated with reference to the Secured Overnight Financing Rate as set forth in the October 2019 Credit Facility agreement or an alternate benchmark rate selected by us and the administrative agent. There were no outstanding borrowings under the October 2019 Credit Facility at December 31, 2020 and 2019. There were no outstanding borrowings under the October 2019 Credit Facility at March 31, 2021. Additionally, RHM is obligated to pay a commitment fee calculated as a per annum rate equal to 0.10% on any unused amount of the October 2019 Credit Facility.</w:t>
      </w:r>
    </w:p>
    <w:p>
      <w:pPr>
        <w:spacing w:after="0" w:line="150"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September 2019, RHS entered into a $400.0 million committed and secured line of credit with a maturity date of September 25, 2020 (the “September 2019 Credit Facility”). In June 2020, RHS amended the September 2019 Credit Facility and increased the aggregate committed and secured revolving line of credit amount to $550.0 million with a maturity date of June 5, 2021. This line of credit was primarily collateralized by users’ securities held as collateral for users’ margin loans. Interest for this line of credit was determined at the time a loan was initiated and the applicable interest rate under this line of credit was calculated as a per annum rate equal to 1.25% plus the federal funds rate at the applicable time. There were no outstanding borrowings under the September 2019 Credit Facility at December 31, 2020 and 2019, or at March 31, 2021. Additionally, RHS was obligated to pay a commitment fee calculated as a per annum rate equal to 0.35% on any unused amount of the credit facility. The September 2019 Credit Facility was terminated in April 2021, in connection with RHS’s entry into the April 2021 Credit Facility.</w:t>
      </w:r>
    </w:p>
    <w:p>
      <w:pPr>
        <w:spacing w:after="0" w:line="15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June 2019, RHS entered into a $250.0 million committed and secured line of credit with a maturity date of June 12, 2020 (the “June 2019 Credit Facility”). This line of credit was primarily collateralized by users’ securities held as collateral for users’ margin loans. Interest for this line of credit was determined at the time a loan was initiated and the applicable interest rate was calculated as a per annum rate equal to 1.25% plus the federal funds rate at the applicable time. Additionally, RHS was obligated to pay a commitment fee calculated as a per annum rate equal to 0.35% on any unused amount of the credit facility. The June 2019 Credit Facility was terminated in September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260"/>
          </w:cols>
          <w:pgMar w:left="320" w:top="1440" w:right="319" w:bottom="1440" w:gutter="0" w:footer="0" w:header="0"/>
        </w:sectPr>
      </w:pPr>
    </w:p>
    <w:bookmarkStart w:id="182" w:name="page183"/>
    <w:bookmarkEnd w:id="182"/>
    <w:p>
      <w:pPr>
        <w:spacing w:after="0" w:line="2"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The agreements for the October 2019 Credit Facility and the September 2019 Credit Facility contain customary covenants restricting our ability to incur debt, incur liens and undergo certain fundamental changes. We were in compliance with all covenants under these facilities, to the extent outstanding, as of December 31, 2020 and 2019 and as of March 31, 2021.</w:t>
      </w:r>
    </w:p>
    <w:p>
      <w:pPr>
        <w:spacing w:after="0" w:line="157"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Shortly prior to the completion of this offering, we expect to borrow approximately $342.1 million under our revolving credit facilities to fund our tax withholding and remittance obligations related to the IPO-Vesting Time-Based RSU Settlement and IPO-Vesting Market-Based RSU Settlement, and we intend to use a portion of the net proceeds from this offering to repay such borrowings under our revolving credit facilities. See “Use of Proceeds.”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Flows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 activities: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40" w:type="dxa"/>
            <w:vAlign w:val="bottom"/>
            <w:gridSpan w:val="5"/>
            <w:vMerge w:val="restart"/>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Pr>
          <w:p>
            <w:pPr>
              <w:spacing w:after="0"/>
              <w:rPr>
                <w:sz w:val="13"/>
                <w:szCs w:val="13"/>
                <w:color w:val="auto"/>
              </w:rPr>
            </w:pPr>
          </w:p>
        </w:tc>
        <w:tc>
          <w:tcPr>
            <w:tcW w:w="1780" w:type="dxa"/>
            <w:vAlign w:val="bottom"/>
            <w:gridSpan w:val="3"/>
          </w:tcPr>
          <w:p>
            <w:pPr>
              <w:jc w:val="center"/>
              <w:ind w:left="448"/>
              <w:spacing w:after="0"/>
              <w:rPr>
                <w:sz w:val="20"/>
                <w:szCs w:val="20"/>
                <w:color w:val="auto"/>
              </w:rPr>
            </w:pPr>
            <w:r>
              <w:rPr>
                <w:rFonts w:ascii="Arial" w:cs="Arial" w:eastAsia="Arial" w:hAnsi="Arial"/>
                <w:sz w:val="13"/>
                <w:szCs w:val="13"/>
                <w:b w:val="1"/>
                <w:bCs w:val="1"/>
                <w:color w:val="auto"/>
                <w:w w:val="97"/>
              </w:rPr>
              <w:t>Three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4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center"/>
              <w:ind w:left="468"/>
              <w:spacing w:after="0"/>
              <w:rPr>
                <w:sz w:val="20"/>
                <w:szCs w:val="20"/>
                <w:color w:val="auto"/>
              </w:rPr>
            </w:pPr>
            <w:r>
              <w:rPr>
                <w:rFonts w:ascii="Arial" w:cs="Arial" w:eastAsia="Arial" w:hAnsi="Arial"/>
                <w:sz w:val="13"/>
                <w:szCs w:val="13"/>
                <w:b w:val="1"/>
                <w:bCs w:val="1"/>
                <w:color w:val="auto"/>
                <w:w w:val="99"/>
              </w:rPr>
              <w:t>March 31,</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8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1,260,085</w:t>
            </w:r>
          </w:p>
        </w:tc>
        <w:tc>
          <w:tcPr>
            <w:tcW w:w="10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1,876,254</w:t>
            </w:r>
          </w:p>
        </w:tc>
        <w:tc>
          <w:tcPr>
            <w:tcW w:w="10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8"/>
              <w:spacing w:after="0"/>
              <w:rPr>
                <w:sz w:val="20"/>
                <w:szCs w:val="20"/>
                <w:color w:val="auto"/>
              </w:rPr>
            </w:pPr>
            <w:r>
              <w:rPr>
                <w:rFonts w:ascii="Arial" w:cs="Arial" w:eastAsia="Arial" w:hAnsi="Arial"/>
                <w:sz w:val="16"/>
                <w:szCs w:val="16"/>
                <w:color w:val="auto"/>
              </w:rPr>
              <w:t>2,144,695</w:t>
            </w:r>
          </w:p>
        </w:tc>
        <w:tc>
          <w:tcPr>
            <w:tcW w:w="80" w:type="dxa"/>
            <w:vAlign w:val="bottom"/>
          </w:tcPr>
          <w:p>
            <w:pPr>
              <w:spacing w:after="0"/>
              <w:rPr>
                <w:sz w:val="17"/>
                <w:szCs w:val="17"/>
                <w:color w:val="auto"/>
              </w:rPr>
            </w:pPr>
          </w:p>
        </w:tc>
        <w:tc>
          <w:tcPr>
            <w:tcW w:w="5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(1,882,196)</w:t>
            </w: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(8,438)</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(11,362)</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6"/>
                <w:szCs w:val="16"/>
                <w:color w:val="auto"/>
              </w:rPr>
              <w:t>Financing activities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375,350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1,275,883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6"/>
                <w:szCs w:val="16"/>
                <w:color w:val="auto"/>
              </w:rPr>
              <w:t>190,056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3,557,772</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Cash provided by operating activities consisted of net income (loss) adjusted for certain non-cash items including change in fair value of convertible notes and warrant liability, provision for credit losses, depreciation and amortization, share-based compensation expense and deferred income taxes, as well as the effect of changes in operating assets and liabilities. Net operating assets and liabilities at any specific point in time are subject to many variables, including variability in user activity, the timing of cash receipts and payments, and vendor payment terms.</w:t>
      </w:r>
    </w:p>
    <w:p>
      <w:pPr>
        <w:spacing w:after="0" w:line="14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For the three months ended March 31, 2021, cash used in operating activities was $ 1,882.2 million, primarily due to a net loss of $1,444.8 million, adjusted for the add-back of non-cash expenses of $1,521.5 million consisting primarily of change in fair value of convertible notes and warrant liability of $1,492.3 million, provision for credit losses of $16.4 million, depreciation and amortization of $3.8 million and share-based compensation expense of $9.0 million. Additionally, the cash generated from operating activities decreased due to a net outflow from changes in operating assets and liabilities of $1,958.9 million, primarily due to an increase in receivables from users, net, of $2,028.9 million, driven by an increase in margin receivables due to growth in our user base and a decrease in our margin interest rate.</w:t>
      </w:r>
    </w:p>
    <w:p>
      <w:pPr>
        <w:spacing w:after="0" w:line="160"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For the three months ended March 31, 2020, cash provided by operating activities was $2,144.7 million primarily due to a net loss of $52.5 million, adjusted for the add back of non-cash expenses of $13.9 million consisting primarily of provision for credit losses of $9.9 million, share-based compensation expense of $2.4 million and depreciation and amortization of $1.7 million. Additionally, the cash generated from operating activities increased due to a net inflow from changes in operating assets and liabilities of $2,183.2 million, primarily due to an increase in payables to users of $2,450.0 million, driven by an increase in customer cash held in line with the growth in our user base.</w:t>
      </w:r>
    </w:p>
    <w:p>
      <w:pPr>
        <w:spacing w:after="0" w:line="14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For the year ended December 31, 2020, cash provided by operating activities was $1,876.3 million, primarily due to net income of $7.4 million, adjusted for the add back of non-cash expenses of $95.5 million consisting primarily of provision for credit losses of $59.1 million, share-based compensation expense of $24.3 million and depreciation and amortization of $9.9 million. Additionally, the cash generated from operating activities increased due to a net inflow from changes in operating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260"/>
          </w:cols>
          <w:pgMar w:left="320" w:top="1440" w:right="319" w:bottom="1440" w:gutter="0" w:footer="0" w:header="0"/>
        </w:sectPr>
      </w:pPr>
    </w:p>
    <w:bookmarkStart w:id="183" w:name="page184"/>
    <w:bookmarkEnd w:id="183"/>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liabilities of $1,773.3 million, primarily due to increases in payables to users of $3,532.1 million and securities loaned of $1,247.1 million, partially offset by an increase in receivables from users, net, of $2,772.0 million, driven by increases in customer cash held, securities loaned, and margin receivables in line with the growth in our user base.</w:t>
      </w:r>
    </w:p>
    <w:p>
      <w:pPr>
        <w:spacing w:after="0" w:line="157"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For the year ended December 31, 2019, cash provided by operating activities was $1,260.1 million, primarily due to net loss of $106.6 million, adjusted for the add back of non-cash expenses of $43.4 million consisting primarily of share-based compensation expense of $26.7 million, provision for credit losses of $11.1 million and depreciation and amortization of $5.4 million. Additionally, the cash generated from operating activities increased due to a net inflow from changes in operating assets and liabilities of $1,323.3 million, primarily due to increases in payables to users of $802.8 million and securities loaned of $674.0 million, driven by increases in customer cash held and securities loaned in line with the growth in our user base.</w:t>
      </w:r>
    </w:p>
    <w:p>
      <w:pPr>
        <w:spacing w:after="0" w:line="14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For the three months ended March 31, 2021 and 2020, cash flows used in investing activities were $11.4 million and $8.4 million, which primarily consisted of $9.3 million and $6.1 million in purchases of property, software and equipment and $2.1 million and $2.3 million in capitalization of internally developed software.</w:t>
      </w:r>
    </w:p>
    <w:p>
      <w:pPr>
        <w:spacing w:after="0" w:line="14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For the years ended December 31, 2020 and 2019, cash flows used in investing activities were $ 32.3 million and $12.3 million, which primarily consisted of $24.4 million and $7.3 million in purchases of property, software and equipment and $7.9 million and $5.2 million in capitalization of internally developed software.</w:t>
      </w:r>
    </w:p>
    <w:p>
      <w:pPr>
        <w:spacing w:after="0" w:line="157"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For the three months ended March 31, 2021, cash flows provided by financing activities were $3,557.8 million, which primarily consisted of proceeds from issuance of convertible notes and warrants of $3.55 billion and the draw and repayment of $1.0 billion on our credit facilities. For the three months ended March 31, 2020, cash flows provided by financing activities were $190.1 million, which primarily consisted of draw and repayment of $907.7 million and $717.7 million on our credit facilities.</w:t>
      </w:r>
    </w:p>
    <w:p>
      <w:pPr>
        <w:spacing w:after="0" w:line="147"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For the years ended December 31, 2020 and 2019, cash flows provided by financing activities were $1,275.9 million and $375.4 million, which primarily consisted of $ 1,267.3 million and $372.7 million in proceeds from issuance of redeemable convertible preferred stock, net of issuance costs. We also drew and repaid $937.7 million and $137.0 million on our credit facilities.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Regulatory Capital Requirements</w:t>
      </w:r>
    </w:p>
    <w:p>
      <w:pPr>
        <w:spacing w:after="0" w:line="19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Our broker-dealer subsidiaries are subject to the SEC Uniform Net Capital Rule (Rule 15c3-1 under the Exchange Act), administered by the SEC and the FINRA, which requires the maintenance of minimum net capital, as defined. Net capital and the related net capital requirements may fluctuate on a daily basis. RHS and RHF compute net capital under the alternative method as permitted by SEC Rule 15c3-1.</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tables below summarize the net capital, capital requirements and excess net capital of RHS and RHF as of periods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9"/>
              </w:rPr>
              <w:t>December 31, 2020</w:t>
            </w: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7"/>
              </w:rPr>
              <w:t>March 31, 2021</w:t>
            </w: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Pr>
          <w:p>
            <w:pPr>
              <w:spacing w:after="0"/>
              <w:rPr>
                <w:sz w:val="10"/>
                <w:szCs w:val="10"/>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Net Capital</w:t>
            </w:r>
          </w:p>
        </w:tc>
        <w:tc>
          <w:tcPr>
            <w:tcW w:w="140" w:type="dxa"/>
            <w:vAlign w:val="bottom"/>
          </w:tcPr>
          <w:p>
            <w:pPr>
              <w:spacing w:after="0"/>
              <w:rPr>
                <w:sz w:val="10"/>
                <w:szCs w:val="10"/>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Required Net Capital</w:t>
            </w:r>
          </w:p>
        </w:tc>
        <w:tc>
          <w:tcPr>
            <w:tcW w:w="1640" w:type="dxa"/>
            <w:vAlign w:val="bottom"/>
            <w:gridSpan w:val="3"/>
          </w:tcPr>
          <w:p>
            <w:pPr>
              <w:jc w:val="center"/>
              <w:ind w:right="100"/>
              <w:spacing w:after="0" w:line="124" w:lineRule="exact"/>
              <w:rPr>
                <w:sz w:val="20"/>
                <w:szCs w:val="20"/>
                <w:color w:val="auto"/>
              </w:rPr>
            </w:pPr>
            <w:r>
              <w:rPr>
                <w:rFonts w:ascii="Arial" w:cs="Arial" w:eastAsia="Arial" w:hAnsi="Arial"/>
                <w:sz w:val="13"/>
                <w:szCs w:val="13"/>
                <w:b w:val="1"/>
                <w:bCs w:val="1"/>
                <w:color w:val="auto"/>
                <w:w w:val="99"/>
              </w:rPr>
              <w:t>Net Capital in Excess of</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Net Capital</w:t>
            </w: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8"/>
              </w:rPr>
              <w:t>Required Net Capital</w:t>
            </w:r>
          </w:p>
        </w:tc>
        <w:tc>
          <w:tcPr>
            <w:tcW w:w="1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7"/>
              </w:rPr>
              <w:t>Net Capital in Excess of</w:t>
            </w:r>
          </w:p>
        </w:tc>
        <w:tc>
          <w:tcPr>
            <w:tcW w:w="0" w:type="dxa"/>
            <w:vAlign w:val="bottom"/>
          </w:tcPr>
          <w:p>
            <w:pPr>
              <w:spacing w:after="0"/>
              <w:rPr>
                <w:sz w:val="1"/>
                <w:szCs w:val="1"/>
                <w:color w:val="auto"/>
              </w:rPr>
            </w:pPr>
          </w:p>
        </w:tc>
      </w:tr>
      <w:tr>
        <w:trPr>
          <w:trHeight w:val="155"/>
        </w:trPr>
        <w:tc>
          <w:tcPr>
            <w:tcW w:w="14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Required Net Capital</w:t>
            </w:r>
          </w:p>
        </w:tc>
        <w:tc>
          <w:tcPr>
            <w:tcW w:w="1640" w:type="dxa"/>
            <w:vAlign w:val="bottom"/>
            <w:gridSpan w:val="2"/>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8"/>
              </w:rPr>
              <w:t>Required Net Capital</w:t>
            </w:r>
          </w:p>
        </w:tc>
        <w:tc>
          <w:tcPr>
            <w:tcW w:w="0" w:type="dxa"/>
            <w:vAlign w:val="bottom"/>
          </w:tcPr>
          <w:p>
            <w:pPr>
              <w:spacing w:after="0"/>
              <w:rPr>
                <w:sz w:val="1"/>
                <w:szCs w:val="1"/>
                <w:color w:val="auto"/>
              </w:rPr>
            </w:pPr>
          </w:p>
        </w:tc>
      </w:tr>
      <w:tr>
        <w:trPr>
          <w:trHeight w:val="195"/>
        </w:trPr>
        <w:tc>
          <w:tcPr>
            <w:tcW w:w="1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RHS</w:t>
            </w: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554,391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67,575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486,816</w:t>
            </w:r>
          </w:p>
        </w:tc>
        <w:tc>
          <w:tcPr>
            <w:tcW w:w="1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2,620,729</w:t>
            </w:r>
          </w:p>
        </w:tc>
        <w:tc>
          <w:tcPr>
            <w:tcW w:w="8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108,936</w:t>
            </w:r>
          </w:p>
        </w:tc>
        <w:tc>
          <w:tcPr>
            <w:tcW w:w="1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2,511,793</w:t>
            </w:r>
          </w:p>
        </w:tc>
        <w:tc>
          <w:tcPr>
            <w:tcW w:w="0" w:type="dxa"/>
            <w:vAlign w:val="bottom"/>
          </w:tcPr>
          <w:p>
            <w:pPr>
              <w:spacing w:after="0"/>
              <w:rPr>
                <w:sz w:val="1"/>
                <w:szCs w:val="1"/>
                <w:color w:val="auto"/>
              </w:rPr>
            </w:pPr>
          </w:p>
        </w:tc>
      </w:tr>
      <w:tr>
        <w:trPr>
          <w:trHeight w:val="203"/>
        </w:trPr>
        <w:tc>
          <w:tcPr>
            <w:tcW w:w="1460" w:type="dxa"/>
            <w:vAlign w:val="bottom"/>
          </w:tcPr>
          <w:p>
            <w:pPr>
              <w:ind w:left="20"/>
              <w:spacing w:after="0"/>
              <w:rPr>
                <w:sz w:val="20"/>
                <w:szCs w:val="20"/>
                <w:color w:val="auto"/>
              </w:rPr>
            </w:pPr>
            <w:r>
              <w:rPr>
                <w:rFonts w:ascii="Arial" w:cs="Arial" w:eastAsia="Arial" w:hAnsi="Arial"/>
                <w:sz w:val="16"/>
                <w:szCs w:val="16"/>
                <w:color w:val="auto"/>
              </w:rPr>
              <w:t>RHF</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154,168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153,918</w:t>
            </w:r>
          </w:p>
        </w:tc>
        <w:tc>
          <w:tcPr>
            <w:tcW w:w="100" w:type="dxa"/>
            <w:vAlign w:val="bottom"/>
          </w:tcPr>
          <w:p>
            <w:pPr>
              <w:spacing w:after="0"/>
              <w:rPr>
                <w:sz w:val="17"/>
                <w:szCs w:val="17"/>
                <w:color w:val="auto"/>
              </w:rPr>
            </w:pPr>
          </w:p>
        </w:tc>
        <w:tc>
          <w:tcPr>
            <w:tcW w:w="1560" w:type="dxa"/>
            <w:vAlign w:val="bottom"/>
          </w:tcPr>
          <w:p>
            <w:pPr>
              <w:jc w:val="right"/>
              <w:ind w:right="6"/>
              <w:spacing w:after="0"/>
              <w:rPr>
                <w:sz w:val="20"/>
                <w:szCs w:val="20"/>
                <w:color w:val="auto"/>
              </w:rPr>
            </w:pPr>
            <w:r>
              <w:rPr>
                <w:rFonts w:ascii="Arial" w:cs="Arial" w:eastAsia="Arial" w:hAnsi="Arial"/>
                <w:sz w:val="16"/>
                <w:szCs w:val="16"/>
                <w:color w:val="auto"/>
              </w:rPr>
              <w:t>170,363</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6"/>
                <w:szCs w:val="16"/>
                <w:color w:val="auto"/>
              </w:rPr>
              <w:t>170,313</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In January and February 2021, we received gross proceeds of $3.55 billion from the issuance of two tranches of convertible notes and related warrants, of which an aggregate of $2.0 billion was contributed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260"/>
          </w:cols>
          <w:pgMar w:left="320" w:top="1440" w:right="319" w:bottom="1440" w:gutter="0" w:footer="0" w:header="0"/>
        </w:sectPr>
      </w:pPr>
    </w:p>
    <w:bookmarkStart w:id="184" w:name="page185"/>
    <w:bookmarkEnd w:id="184"/>
    <w:p>
      <w:pPr>
        <w:spacing w:after="0" w:line="2" w:lineRule="exact"/>
        <w:rPr>
          <w:sz w:val="20"/>
          <w:szCs w:val="20"/>
          <w:color w:val="auto"/>
        </w:rPr>
      </w:pPr>
    </w:p>
    <w:p>
      <w:pPr>
        <w:jc w:val="both"/>
        <w:ind w:left="4"/>
        <w:spacing w:after="0" w:line="252" w:lineRule="auto"/>
        <w:rPr>
          <w:sz w:val="20"/>
          <w:szCs w:val="20"/>
          <w:color w:val="auto"/>
        </w:rPr>
      </w:pPr>
      <w:r>
        <w:rPr>
          <w:rFonts w:ascii="Arial" w:cs="Arial" w:eastAsia="Arial" w:hAnsi="Arial"/>
          <w:sz w:val="16"/>
          <w:szCs w:val="16"/>
          <w:color w:val="auto"/>
        </w:rPr>
        <w:t>to RHS in the first quarter of 2021. Pursuant to Rule 15c3-1 of the Exchange Act, capital contributed to RHS and included in RHS’s net capital calculation may generally not be withdrawn from RHS for one year from the time of contribution. For more information about the convertible note and warrant financing, see “Certain Relationships and Related Person Transactions—Convertible Note and Warrant Financings.” For more information about regulation of our broker-dealer entities, see “Business—Regulation—Brokerage Regulation and Regulatory Capital and Deposit Requirements.”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22"/>
          <w:szCs w:val="22"/>
          <w:color w:val="auto"/>
        </w:rPr>
        <w:t>Contractual Obligations</w:t>
      </w:r>
    </w:p>
    <w:p>
      <w:pPr>
        <w:spacing w:after="0" w:line="163" w:lineRule="exact"/>
        <w:rPr>
          <w:sz w:val="20"/>
          <w:szCs w:val="20"/>
          <w:color w:val="auto"/>
        </w:rPr>
      </w:pPr>
    </w:p>
    <w:p>
      <w:pPr>
        <w:jc w:val="both"/>
        <w:ind w:left="4" w:firstLine="287"/>
        <w:spacing w:after="0" w:line="260" w:lineRule="auto"/>
        <w:rPr>
          <w:sz w:val="20"/>
          <w:szCs w:val="20"/>
          <w:color w:val="auto"/>
        </w:rPr>
      </w:pPr>
      <w:r>
        <w:rPr>
          <w:rFonts w:ascii="Arial" w:cs="Arial" w:eastAsia="Arial" w:hAnsi="Arial"/>
          <w:sz w:val="16"/>
          <w:szCs w:val="16"/>
          <w:color w:val="auto"/>
        </w:rPr>
        <w:t>The following table summarizes our contractual obligations as of the dates indicated below. The amount of the obligations presented in the table summarizes our commitments to settle contractual obligations in cash as of the dates presented.</w:t>
      </w:r>
    </w:p>
    <w:p>
      <w:pPr>
        <w:sectPr>
          <w:pgSz w:w="11900" w:h="16838" w:orient="portrait"/>
          <w:cols w:equalWidth="0" w:num="1">
            <w:col w:w="11264"/>
          </w:cols>
          <w:pgMar w:left="316" w:top="1440" w:right="31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24"/>
        <w:spacing w:after="0"/>
        <w:rPr>
          <w:sz w:val="20"/>
          <w:szCs w:val="20"/>
          <w:color w:val="auto"/>
        </w:rPr>
      </w:pPr>
      <w:r>
        <w:rPr>
          <w:rFonts w:ascii="Arial" w:cs="Arial" w:eastAsia="Arial" w:hAnsi="Arial"/>
          <w:sz w:val="16"/>
          <w:szCs w:val="16"/>
          <w:b w:val="1"/>
          <w:bCs w:val="1"/>
          <w:color w:val="auto"/>
        </w:rPr>
        <w:t>As of March 31, 2021</w:t>
      </w:r>
    </w:p>
    <w:p>
      <w:pPr>
        <w:spacing w:after="0" w:line="75" w:lineRule="exact"/>
        <w:rPr>
          <w:sz w:val="20"/>
          <w:szCs w:val="20"/>
          <w:color w:val="auto"/>
        </w:rPr>
      </w:pPr>
    </w:p>
    <w:p>
      <w:pPr>
        <w:ind w:left="24"/>
        <w:spacing w:after="0"/>
        <w:rPr>
          <w:sz w:val="20"/>
          <w:szCs w:val="20"/>
          <w:color w:val="auto"/>
        </w:rPr>
      </w:pPr>
      <w:r>
        <w:rPr>
          <w:rFonts w:ascii="Arial" w:cs="Arial" w:eastAsia="Arial" w:hAnsi="Arial"/>
          <w:sz w:val="16"/>
          <w:szCs w:val="16"/>
          <w:color w:val="auto"/>
        </w:rPr>
        <w:t>Operating lease commitments</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5"/>
          <w:szCs w:val="15"/>
          <w:color w:val="auto"/>
        </w:rPr>
        <w:t>Non-cancelable purchase commitments</w:t>
      </w:r>
      <w:r>
        <w:rPr>
          <w:rFonts w:ascii="Arial" w:cs="Arial" w:eastAsia="Arial" w:hAnsi="Arial"/>
          <w:sz w:val="19"/>
          <w:szCs w:val="19"/>
          <w:color w:val="auto"/>
          <w:vertAlign w:val="superscript"/>
        </w:rPr>
        <w:t>(1)</w:t>
      </w:r>
    </w:p>
    <w:p>
      <w:pPr>
        <w:spacing w:after="0" w:line="32" w:lineRule="exact"/>
        <w:rPr>
          <w:sz w:val="20"/>
          <w:szCs w:val="20"/>
          <w:color w:val="auto"/>
        </w:rPr>
      </w:pPr>
    </w:p>
    <w:p>
      <w:pPr>
        <w:ind w:left="24"/>
        <w:spacing w:after="0"/>
        <w:rPr>
          <w:sz w:val="20"/>
          <w:szCs w:val="20"/>
          <w:color w:val="auto"/>
        </w:rPr>
      </w:pPr>
      <w:r>
        <w:rPr>
          <w:rFonts w:ascii="Arial" w:cs="Arial" w:eastAsia="Arial" w:hAnsi="Arial"/>
          <w:sz w:val="16"/>
          <w:szCs w:val="16"/>
          <w:color w:val="auto"/>
        </w:rPr>
        <w:t>Total contractual obligations</w:t>
      </w:r>
    </w:p>
    <w:p>
      <w:pPr>
        <w:spacing w:after="0" w:line="200" w:lineRule="exact"/>
        <w:rPr>
          <w:sz w:val="20"/>
          <w:szCs w:val="20"/>
          <w:color w:val="auto"/>
        </w:rPr>
      </w:pPr>
    </w:p>
    <w:p>
      <w:pPr>
        <w:spacing w:after="0" w:line="385" w:lineRule="exact"/>
        <w:rPr>
          <w:sz w:val="20"/>
          <w:szCs w:val="20"/>
          <w:color w:val="auto"/>
        </w:rPr>
      </w:pPr>
    </w:p>
    <w:p>
      <w:pPr>
        <w:ind w:left="24" w:right="1180"/>
        <w:spacing w:after="0" w:line="267" w:lineRule="auto"/>
        <w:rPr>
          <w:sz w:val="20"/>
          <w:szCs w:val="20"/>
          <w:color w:val="auto"/>
        </w:rPr>
      </w:pPr>
      <w:r>
        <w:rPr>
          <w:rFonts w:ascii="Arial" w:cs="Arial" w:eastAsia="Arial" w:hAnsi="Arial"/>
          <w:sz w:val="16"/>
          <w:szCs w:val="16"/>
          <w:b w:val="1"/>
          <w:bCs w:val="1"/>
          <w:color w:val="auto"/>
        </w:rPr>
        <w:t xml:space="preserve">As of December 31, 2020 </w:t>
      </w:r>
      <w:r>
        <w:rPr>
          <w:rFonts w:ascii="Arial" w:cs="Arial" w:eastAsia="Arial" w:hAnsi="Arial"/>
          <w:sz w:val="16"/>
          <w:szCs w:val="16"/>
          <w:color w:val="auto"/>
        </w:rPr>
        <w:t>Operating lease commitments Non-cancelable purchase commitments</w:t>
      </w:r>
      <w:r>
        <w:rPr>
          <w:rFonts w:ascii="Arial" w:cs="Arial" w:eastAsia="Arial" w:hAnsi="Arial"/>
          <w:sz w:val="20"/>
          <w:szCs w:val="20"/>
          <w:color w:val="auto"/>
          <w:vertAlign w:val="superscript"/>
        </w:rPr>
        <w:t>(1)</w:t>
      </w:r>
    </w:p>
    <w:p>
      <w:pPr>
        <w:ind w:left="24"/>
        <w:spacing w:after="0"/>
        <w:rPr>
          <w:sz w:val="20"/>
          <w:szCs w:val="20"/>
          <w:color w:val="auto"/>
        </w:rPr>
      </w:pPr>
      <w:r>
        <w:rPr>
          <w:rFonts w:ascii="Arial" w:cs="Arial" w:eastAsia="Arial" w:hAnsi="Arial"/>
          <w:sz w:val="16"/>
          <w:szCs w:val="16"/>
          <w:color w:val="auto"/>
        </w:rPr>
        <w:t>Total contractual obligations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460"/>
        <w:spacing w:after="0"/>
        <w:rPr>
          <w:sz w:val="20"/>
          <w:szCs w:val="20"/>
          <w:color w:val="auto"/>
        </w:rPr>
      </w:pPr>
      <w:r>
        <w:rPr>
          <w:rFonts w:ascii="Arial" w:cs="Arial" w:eastAsia="Arial" w:hAnsi="Arial"/>
          <w:sz w:val="13"/>
          <w:szCs w:val="13"/>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407479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74795" cy="762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Less than 1 Year</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6"/>
              </w:rPr>
              <w:t>1-3 Years</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3-5 Years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More than 5 Years</w:t>
            </w:r>
          </w:p>
        </w:tc>
      </w:tr>
      <w:tr>
        <w:trPr>
          <w:trHeight w:val="214"/>
        </w:trPr>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i w:val="1"/>
                <w:iCs w:val="1"/>
                <w:color w:val="auto"/>
                <w:w w:val="97"/>
              </w:rPr>
              <w:t>(in thousands)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5"/>
        </w:trPr>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92,584</w:t>
            </w:r>
          </w:p>
        </w:tc>
        <w:tc>
          <w:tcPr>
            <w:tcW w:w="100" w:type="dxa"/>
            <w:vAlign w:val="bottom"/>
          </w:tcPr>
          <w:p>
            <w:pPr>
              <w:spacing w:after="0"/>
              <w:rPr>
                <w:sz w:val="19"/>
                <w:szCs w:val="19"/>
                <w:color w:val="auto"/>
              </w:rPr>
            </w:pPr>
          </w:p>
        </w:tc>
        <w:tc>
          <w:tcPr>
            <w:tcW w:w="380" w:type="dxa"/>
            <w:vAlign w:val="bottom"/>
          </w:tcPr>
          <w:p>
            <w:pPr>
              <w:jc w:val="right"/>
              <w:ind w:right="206"/>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11,418</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40,671</w:t>
            </w:r>
          </w:p>
        </w:tc>
        <w:tc>
          <w:tcPr>
            <w:tcW w:w="100" w:type="dxa"/>
            <w:vAlign w:val="bottom"/>
          </w:tcPr>
          <w:p>
            <w:pPr>
              <w:spacing w:after="0"/>
              <w:rPr>
                <w:sz w:val="19"/>
                <w:szCs w:val="19"/>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27,653</w:t>
            </w:r>
          </w:p>
        </w:tc>
        <w:tc>
          <w:tcPr>
            <w:tcW w:w="100" w:type="dxa"/>
            <w:vAlign w:val="bottom"/>
          </w:tcPr>
          <w:p>
            <w:pPr>
              <w:spacing w:after="0"/>
              <w:rPr>
                <w:sz w:val="19"/>
                <w:szCs w:val="19"/>
                <w:color w:val="auto"/>
              </w:rPr>
            </w:pPr>
          </w:p>
        </w:tc>
        <w:tc>
          <w:tcPr>
            <w:tcW w:w="380" w:type="dxa"/>
            <w:vAlign w:val="bottom"/>
          </w:tcPr>
          <w:p>
            <w:pPr>
              <w:jc w:val="right"/>
              <w:ind w:right="206"/>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12,842</w:t>
            </w:r>
          </w:p>
        </w:tc>
      </w:tr>
      <w:tr>
        <w:trPr>
          <w:trHeight w:val="263"/>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89,767</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30,899</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57,377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182,351</w:t>
            </w:r>
          </w:p>
        </w:tc>
        <w:tc>
          <w:tcPr>
            <w:tcW w:w="100" w:type="dxa"/>
            <w:vAlign w:val="bottom"/>
          </w:tcPr>
          <w:p>
            <w:pPr>
              <w:spacing w:after="0"/>
              <w:rPr>
                <w:sz w:val="18"/>
                <w:szCs w:val="18"/>
                <w:color w:val="auto"/>
              </w:rPr>
            </w:pPr>
          </w:p>
        </w:tc>
        <w:tc>
          <w:tcPr>
            <w:tcW w:w="380" w:type="dxa"/>
            <w:vAlign w:val="bottom"/>
          </w:tcPr>
          <w:p>
            <w:pPr>
              <w:jc w:val="right"/>
              <w:ind w:right="206"/>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42,317</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98,048</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29,144</w:t>
            </w:r>
          </w:p>
        </w:tc>
        <w:tc>
          <w:tcPr>
            <w:tcW w:w="100" w:type="dxa"/>
            <w:vAlign w:val="bottom"/>
          </w:tcPr>
          <w:p>
            <w:pPr>
              <w:spacing w:after="0"/>
              <w:rPr>
                <w:sz w:val="18"/>
                <w:szCs w:val="18"/>
                <w:color w:val="auto"/>
              </w:rPr>
            </w:pPr>
          </w:p>
        </w:tc>
        <w:tc>
          <w:tcPr>
            <w:tcW w:w="380" w:type="dxa"/>
            <w:vAlign w:val="bottom"/>
          </w:tcPr>
          <w:p>
            <w:pPr>
              <w:jc w:val="right"/>
              <w:ind w:right="206"/>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12,842</w:t>
            </w:r>
          </w:p>
        </w:tc>
      </w:tr>
      <w:tr>
        <w:trPr>
          <w:trHeight w:val="24"/>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46"/>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3"/>
                <w:szCs w:val="13"/>
                <w:b w:val="1"/>
                <w:bCs w:val="1"/>
                <w:color w:val="auto"/>
                <w:w w:val="98"/>
              </w:rPr>
              <w:t>Payments Due by Period</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59"/>
        </w:trPr>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Less than 1 Year</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6"/>
              </w:rPr>
              <w:t>1-3 Years</w:t>
            </w: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3-5 Years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More than 5 Years</w:t>
            </w:r>
          </w:p>
        </w:tc>
      </w:tr>
      <w:tr>
        <w:trPr>
          <w:trHeight w:val="185"/>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i w:val="1"/>
                <w:iCs w:val="1"/>
                <w:color w:val="auto"/>
                <w:w w:val="97"/>
              </w:rPr>
              <w:t>(in thousands)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1"/>
        </w:trPr>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72,872</w:t>
            </w:r>
          </w:p>
        </w:tc>
        <w:tc>
          <w:tcPr>
            <w:tcW w:w="10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12,159</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30,369</w:t>
            </w:r>
          </w:p>
        </w:tc>
        <w:tc>
          <w:tcPr>
            <w:tcW w:w="100" w:type="dxa"/>
            <w:vAlign w:val="bottom"/>
          </w:tcPr>
          <w:p>
            <w:pPr>
              <w:spacing w:after="0"/>
              <w:rPr>
                <w:sz w:val="17"/>
                <w:szCs w:val="17"/>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20,620</w:t>
            </w:r>
          </w:p>
        </w:tc>
        <w:tc>
          <w:tcPr>
            <w:tcW w:w="10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9,724</w:t>
            </w:r>
          </w:p>
        </w:tc>
      </w:tr>
      <w:tr>
        <w:trPr>
          <w:trHeight w:val="203"/>
        </w:trPr>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135,591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79,350</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55,574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208,463</w:t>
            </w:r>
          </w:p>
        </w:tc>
        <w:tc>
          <w:tcPr>
            <w:tcW w:w="100" w:type="dxa"/>
            <w:vAlign w:val="bottom"/>
          </w:tcPr>
          <w:p>
            <w:pPr>
              <w:spacing w:after="0"/>
              <w:rPr>
                <w:sz w:val="16"/>
                <w:szCs w:val="16"/>
                <w:color w:val="auto"/>
              </w:rPr>
            </w:pPr>
          </w:p>
        </w:tc>
        <w:tc>
          <w:tcPr>
            <w:tcW w:w="380" w:type="dxa"/>
            <w:vAlign w:val="bottom"/>
          </w:tcPr>
          <w:p>
            <w:pPr>
              <w:jc w:val="right"/>
              <w:ind w:right="206"/>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91,509</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85,943</w:t>
            </w:r>
          </w:p>
        </w:tc>
        <w:tc>
          <w:tcPr>
            <w:tcW w:w="100" w:type="dxa"/>
            <w:vAlign w:val="bottom"/>
          </w:tcPr>
          <w:p>
            <w:pPr>
              <w:spacing w:after="0"/>
              <w:rPr>
                <w:sz w:val="16"/>
                <w:szCs w:val="16"/>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21,287</w:t>
            </w:r>
          </w:p>
        </w:tc>
        <w:tc>
          <w:tcPr>
            <w:tcW w:w="100" w:type="dxa"/>
            <w:vAlign w:val="bottom"/>
          </w:tcPr>
          <w:p>
            <w:pPr>
              <w:spacing w:after="0"/>
              <w:rPr>
                <w:sz w:val="16"/>
                <w:szCs w:val="16"/>
                <w:color w:val="auto"/>
              </w:rPr>
            </w:pPr>
          </w:p>
        </w:tc>
        <w:tc>
          <w:tcPr>
            <w:tcW w:w="380" w:type="dxa"/>
            <w:vAlign w:val="bottom"/>
          </w:tcPr>
          <w:p>
            <w:pPr>
              <w:jc w:val="right"/>
              <w:ind w:right="206"/>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9,724</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-1388110</wp:posOffset>
            </wp:positionV>
            <wp:extent cx="7148195" cy="151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176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-1084580</wp:posOffset>
            </wp:positionV>
            <wp:extent cx="7148195" cy="1746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746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-424180</wp:posOffset>
            </wp:positionV>
            <wp:extent cx="714819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-166370</wp:posOffset>
            </wp:positionV>
            <wp:extent cx="7148195" cy="151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17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124" w:space="720"/>
            <w:col w:w="6420"/>
          </w:cols>
          <w:pgMar w:left="316" w:top="1440" w:right="319" w:bottom="1440" w:gutter="0" w:footer="0" w:header="0"/>
          <w:type w:val="continuous"/>
        </w:sectPr>
      </w:pPr>
    </w:p>
    <w:p>
      <w:pPr>
        <w:ind w:left="4"/>
        <w:spacing w:after="0" w:line="236" w:lineRule="auto"/>
        <w:rPr>
          <w:sz w:val="20"/>
          <w:szCs w:val="20"/>
          <w:color w:val="auto"/>
        </w:rPr>
      </w:pPr>
      <w:r>
        <w:rPr>
          <w:rFonts w:ascii="Arial" w:cs="Arial" w:eastAsia="Arial" w:hAnsi="Arial"/>
          <w:sz w:val="13"/>
          <w:szCs w:val="13"/>
          <w:color w:val="auto"/>
        </w:rPr>
        <w:t>________________</w:t>
      </w:r>
    </w:p>
    <w:p>
      <w:pPr>
        <w:spacing w:after="0" w:line="1" w:lineRule="exact"/>
        <w:rPr>
          <w:sz w:val="20"/>
          <w:szCs w:val="20"/>
          <w:color w:val="auto"/>
        </w:rPr>
      </w:pPr>
    </w:p>
    <w:p>
      <w:pPr>
        <w:ind w:left="284" w:right="20" w:hanging="284"/>
        <w:spacing w:after="0" w:line="238" w:lineRule="auto"/>
        <w:tabs>
          <w:tab w:leader="none" w:pos="273" w:val="left"/>
        </w:tabs>
        <w:numPr>
          <w:ilvl w:val="0"/>
          <w:numId w:val="71"/>
        </w:numPr>
        <w:rPr>
          <w:rFonts w:ascii="Arial" w:cs="Arial" w:eastAsia="Arial" w:hAnsi="Arial"/>
          <w:sz w:val="13"/>
          <w:szCs w:val="13"/>
          <w:color w:val="auto"/>
        </w:rPr>
      </w:pPr>
      <w:r>
        <w:rPr>
          <w:rFonts w:ascii="Arial" w:cs="Arial" w:eastAsia="Arial" w:hAnsi="Arial"/>
          <w:sz w:val="13"/>
          <w:szCs w:val="13"/>
          <w:color w:val="auto"/>
        </w:rPr>
        <w:t>Non-cancelable purchase commitments are determined based on the non-cancelable quantities or termination amounts to which we are contractually obligated. They are primarily commitments for cloud infrastructure and data services and tenant improvements.</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22"/>
          <w:szCs w:val="22"/>
          <w:color w:val="auto"/>
        </w:rPr>
        <w:t>Off-Balance Sheet Arrangements</w:t>
      </w:r>
    </w:p>
    <w:p>
      <w:pPr>
        <w:spacing w:after="0" w:line="163" w:lineRule="exact"/>
        <w:rPr>
          <w:sz w:val="20"/>
          <w:szCs w:val="20"/>
          <w:color w:val="auto"/>
        </w:rPr>
      </w:pPr>
    </w:p>
    <w:p>
      <w:pPr>
        <w:jc w:val="both"/>
        <w:ind w:left="4" w:right="20" w:firstLine="287"/>
        <w:spacing w:after="0" w:line="254"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as defined in Regulation S-K, that have or are reasonably likely to have a current or future material effect on our financial condition, changes in our financial condition, revenue, or expenses, results of operations, liquidity, capital expenditures, or capital resources.</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22"/>
          <w:szCs w:val="22"/>
          <w:color w:val="auto"/>
        </w:rPr>
        <w:t>Recent Accounting Pronouncements</w:t>
      </w:r>
    </w:p>
    <w:p>
      <w:pPr>
        <w:spacing w:after="0" w:line="163"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For a discussion of recently adopted accounting pronouncements and recently issued accounting pronouncements not yet adopted, see Note 2 to our consolidated financial statements included elsewhere in this prospectus.</w:t>
      </w:r>
    </w:p>
    <w:p>
      <w:pPr>
        <w:spacing w:after="0" w:line="141" w:lineRule="exact"/>
        <w:rPr>
          <w:sz w:val="20"/>
          <w:szCs w:val="20"/>
          <w:color w:val="auto"/>
        </w:rPr>
      </w:pPr>
    </w:p>
    <w:p>
      <w:pPr>
        <w:ind w:left="4"/>
        <w:spacing w:after="0"/>
        <w:rPr>
          <w:sz w:val="20"/>
          <w:szCs w:val="20"/>
          <w:color w:val="auto"/>
        </w:rPr>
      </w:pPr>
      <w:r>
        <w:rPr>
          <w:rFonts w:ascii="Arial" w:cs="Arial" w:eastAsia="Arial" w:hAnsi="Arial"/>
          <w:sz w:val="22"/>
          <w:szCs w:val="22"/>
          <w:color w:val="auto"/>
        </w:rPr>
        <w:t>Quantitative and Qualitative Disclosures About Market Risk</w:t>
      </w:r>
    </w:p>
    <w:p>
      <w:pPr>
        <w:spacing w:after="0" w:line="175"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6"/>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264"/>
          </w:cols>
          <w:pgMar w:left="316" w:top="1440" w:right="31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9"/>
          <w:szCs w:val="19"/>
          <w:b w:val="1"/>
          <w:bCs w:val="1"/>
          <w:i w:val="1"/>
          <w:iCs w:val="1"/>
          <w:color w:val="auto"/>
        </w:rPr>
        <w:t>Interest Rate Risk</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exposure to changes in interest rates relates to interest earned on our cash and cash equivalents and segregated cash under federal and other regulations and interest incurred in relation to our credit facilities. We use a net interest sensitivity analysis to evaluate the effect that changes in interest rates might have on pre-tax income. The analysis assumes that the asset and liability structure of our consolidated balance sheet would not be changed as a result of a simulated change in interest rates. The results of the analysis based on our financial position as of December 31, 2020 and March 31, 2021, indicate that a hypothetical 100 basis point increase or decrease in interest rates would not have a material effect on our financial results. We also have exposure to change in interest rates related to our variable-rate credit facilities, which are described under “—Liquidity and Capital Resources” above. However, as there were no outstanding borrowings under our credit facilities as of March 31, 2021, we had limited financial exposure associated with changes in interest rates as of such date.</w:t>
      </w:r>
    </w:p>
    <w:p>
      <w:pPr>
        <w:spacing w:after="0" w:line="15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convertible notes bear interest at a fixed rate of 6% per annum that compounds semi-annually and is payable in-kind. As the interest rate is fixed, we have limited financial exposure associated with changes in interest rates. However, fluctuation in risk-free rate does impact the fair value of the convertible notes and warrant liability. The results of the analysis based on our financial position as of March 31, 2021, indicate that a hypothetical 100 basis point increase or decrease in risk-free rates would not have a material effect on our financial results.</w:t>
      </w:r>
    </w:p>
    <w:p>
      <w:pPr>
        <w:spacing w:after="0" w:line="147"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Our measurement of interest rate risk involves assumptions that are inherently uncertain and, as a result, cannot precisely estimate the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Market-related Credit Risk</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and requiring additional cash as collateral for securities loaned or return of collateral for securities borrowed when necessary, and by participating in a risk-sharing program offered through the OCC.</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Critical Accounting Policies and Estimates</w:t>
      </w:r>
    </w:p>
    <w:p>
      <w:pPr>
        <w:spacing w:after="0" w:line="17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consolidated financial statements are prepared in accordance with U.S. generally accepted accounting principles (“GAAP”). The preparation of these consolidated financial statements requires us to make estimates and assumptions that affect the reported amounts of revenues, expenses, assets and liabilities and disclosure of contingent assets and liabilities in our consolidated financial statements. We base our estimates on historical experience, and other assumptions we believe to be reasonable under the circumstances, which together form the basis for making judgments about the carrying values of assets and liabilities. We regularly assess these estimates; however, actual amounts could differ from those estimates.</w:t>
      </w:r>
    </w:p>
    <w:p>
      <w:pPr>
        <w:spacing w:after="0" w:line="14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An accounting policy is considered to be critical if the nature of the estimates or assumptions is material due to the levels of subjectivity and judgment necessary to account for highly uncertain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260"/>
          </w:cols>
          <w:pgMar w:left="320" w:top="1426" w:right="319" w:bottom="1440" w:gutter="0" w:footer="0" w:header="0"/>
        </w:sectPr>
      </w:pPr>
    </w:p>
    <w:bookmarkStart w:id="186" w:name="page187"/>
    <w:bookmarkEnd w:id="186"/>
    <w:p>
      <w:pPr>
        <w:spacing w:after="0" w:line="2"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described below. For further information, see Note 1 to our consolidated financial statements included elsewhere in this prospectus.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earn transaction-based revenues from routing user orders for options, equities and cryptocurrencies to market makers when the performance obligation is satisfied, which is at the point in time when a routed order is executed by the market maker. The transaction price for options is on a per contract basis, while for equities it is primarily based on the bid-ask spread of the underlying trading activity. For cryptocurrencies, the transaction price is a fixed percentage of the notional order value. For each trade type, all market makers pay the same transaction price. Payments are collected monthly in arrears from each market maker.</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17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We estimate the fair value of stock options granted to employees and directors using the Black-Scholes option-pricing model. The fair value of stock options is recognized as compensation on a straight-line basis over the requisite service period. Forfeitures are accounted for when they occur.</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Black-Scholes option-pricing model incorporates various assumptions in estimating the fair value of stock-based awards. These variables include:</w:t>
      </w:r>
    </w:p>
    <w:p>
      <w:pPr>
        <w:spacing w:after="0" w:line="159" w:lineRule="exact"/>
        <w:rPr>
          <w:sz w:val="20"/>
          <w:szCs w:val="20"/>
          <w:color w:val="auto"/>
        </w:rPr>
      </w:pPr>
    </w:p>
    <w:p>
      <w:pPr>
        <w:jc w:val="both"/>
        <w:ind w:left="280" w:right="20"/>
        <w:spacing w:after="0" w:line="265" w:lineRule="auto"/>
        <w:rPr>
          <w:sz w:val="20"/>
          <w:szCs w:val="20"/>
          <w:color w:val="auto"/>
        </w:rPr>
      </w:pPr>
      <w:r>
        <w:rPr>
          <w:rFonts w:ascii="Arial" w:cs="Arial" w:eastAsia="Arial" w:hAnsi="Arial"/>
          <w:sz w:val="16"/>
          <w:szCs w:val="16"/>
          <w:i w:val="1"/>
          <w:iCs w:val="1"/>
          <w:color w:val="auto"/>
        </w:rPr>
        <w:t>Fair value of our common stock</w:t>
      </w:r>
      <w:r>
        <w:rPr>
          <w:rFonts w:ascii="Arial" w:cs="Arial" w:eastAsia="Arial" w:hAnsi="Arial"/>
          <w:sz w:val="16"/>
          <w:szCs w:val="16"/>
          <w:color w:val="auto"/>
        </w:rPr>
        <w:t>—Because our common stock is not yet publicly traded, we must estimate the fair value of our common stock.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considers numerous objective and subjective factors to determine the fair value of our common stock as discussed in “—Common Stock Valuations” below.</w:t>
      </w:r>
    </w:p>
    <w:p>
      <w:pPr>
        <w:spacing w:after="0" w:line="119" w:lineRule="exact"/>
        <w:rPr>
          <w:sz w:val="20"/>
          <w:szCs w:val="20"/>
          <w:color w:val="auto"/>
        </w:rPr>
      </w:pPr>
    </w:p>
    <w:p>
      <w:pPr>
        <w:jc w:val="both"/>
        <w:ind w:left="280" w:right="20"/>
        <w:spacing w:after="0" w:line="265"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—Expected volatility is a measure of the amount by which the stock price is expected to fluctuate. Since we do not have sufficient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history of our common stock, we estimate the volatility of our common stock on the date of grant based on the weighted-average historical stock price volatility of comparable publicly-traded companies over a period equal to the expected term of the award.</w:t>
      </w:r>
    </w:p>
    <w:p>
      <w:pPr>
        <w:spacing w:after="0" w:line="119" w:lineRule="exact"/>
        <w:rPr>
          <w:sz w:val="20"/>
          <w:szCs w:val="20"/>
          <w:color w:val="auto"/>
        </w:rPr>
      </w:pPr>
    </w:p>
    <w:p>
      <w:pPr>
        <w:jc w:val="both"/>
        <w:ind w:left="280" w:right="20"/>
        <w:spacing w:after="0" w:line="265"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—We determine the expected term based on the average period the stock options are expected to remain outstanding using the simplified</w:t>
      </w:r>
      <w:r>
        <w:rPr>
          <w:rFonts w:ascii="Arial" w:cs="Arial" w:eastAsia="Arial" w:hAnsi="Arial"/>
          <w:sz w:val="16"/>
          <w:szCs w:val="16"/>
          <w:i w:val="1"/>
          <w:iCs w:val="1"/>
          <w:color w:val="auto"/>
        </w:rPr>
        <w:t xml:space="preserve"> </w:t>
      </w:r>
      <w:r>
        <w:rPr>
          <w:rFonts w:ascii="Arial" w:cs="Arial" w:eastAsia="Arial" w:hAnsi="Arial"/>
          <w:sz w:val="16"/>
          <w:szCs w:val="16"/>
          <w:color w:val="auto"/>
        </w:rPr>
        <w:t>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—Based on the U.S. Treasury yield curve that corresponds with the expected term at the time of grant.</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—We utilize a dividend yield of 0% as we have not paid, and do not anticipate paying, dividends on our common stock.</w:t>
      </w:r>
    </w:p>
    <w:p>
      <w:pPr>
        <w:spacing w:after="0" w:line="179"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Assumptions used in valuing non-employee stock options are generally consistent with those used for employee stock options with the exception that the expected term is over the contractual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260"/>
          </w:cols>
          <w:pgMar w:left="320" w:top="1440" w:right="319" w:bottom="1440" w:gutter="0" w:footer="0" w:header="0"/>
        </w:sectPr>
      </w:pPr>
    </w:p>
    <w:bookmarkStart w:id="187" w:name="page188"/>
    <w:bookmarkEnd w:id="187"/>
    <w:p>
      <w:pPr>
        <w:spacing w:after="0"/>
        <w:rPr>
          <w:sz w:val="20"/>
          <w:szCs w:val="20"/>
          <w:color w:val="auto"/>
        </w:rPr>
      </w:pPr>
      <w:r>
        <w:rPr>
          <w:rFonts w:ascii="Arial" w:cs="Arial" w:eastAsia="Arial" w:hAnsi="Arial"/>
          <w:sz w:val="16"/>
          <w:szCs w:val="16"/>
          <w:i w:val="1"/>
          <w:iCs w:val="1"/>
          <w:color w:val="auto"/>
        </w:rPr>
        <w:t>Performance-based RSUs</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have granted RSUs that vest upon the satisfaction of both time-based service and performance-based conditions. The fair value of these RSUs is estimated based on the fair value of our common stock on the date of grant. The time-based service condition for these awards is generally satisfied over four years. The performance-based conditions are satisfied upon the occurrence of a qualifying event, defined as the earlier of (i) the closing of certain, specific liquidation or change in control transactions, or (ii) an initial public offering (“IPO”). We record share-based compensation expense for performance-based equity awards on an accelerated attribution method over the requisite service period, and only if performance-based conditions are considered probable to be satisfied. As of March 31, 2021 and 2020, we had not recognized share-based compensation for awards with performance-based conditions because the qualifying event described above had not occurred and, therefore, could not be considered probable. In the period in which our qualifying event is probable, we will record a cumulative one -time share-based compensation expense determined using the grant-date fair values. Share-based compensation related to remaining time-based service after the qualifying event will be recorded over the remaining requisite service period.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Market-Based RSUs</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have granted RSUs that vest upon the satisfaction of all the following conditions: time-based service conditions, performance-based conditions, and market-based conditions. The time-based service condition for these awards generally is satisfied over six years. The performance-based conditions are satisfied upon the occurrence of a qualifying event, as described above. Market-based conditions include (i) achievement of target stock prices whereby the award vests upon achievement of the target price or (ii) achievement of target stock prices whereby the award vests upon achievement of the target price and, in addition, the passage of an explicit service period. For the awards that have an explicit time-based service condition, compensation is taken over that period. Absent an explicit time-based service condition, compensation expense is taken over a derived service period based on the median time it takes to achieve the target price using a Monte Carlo simulation. See “Executive Compensation—Narrative Description of Executive Compensation Arrangements” for more information about the vesting conditions of our outstanding RSUs.</w:t>
      </w:r>
    </w:p>
    <w:p>
      <w:pPr>
        <w:spacing w:after="0" w:line="164"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For market-based awards, we determine the grant-date fair value utilizing a Monte Carlo valuation model, which incorporates various assumptions including expected stock price volatility, expected term, risk-free interest rates, expected date of a qualifying event, and expected capital raise percentage. We estimate the expected term based on various exercise scenarios, as these awards are not considered “plain vanilla.” We estimate the expected date of a qualifying event based on our expectation at the time of measurement of the award’s value.</w:t>
      </w:r>
    </w:p>
    <w:p>
      <w:pPr>
        <w:spacing w:after="0" w:line="14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record share-based compensation expense for market-based equity awards on an accelerated attribution method over the requisite service period, and only if performance-based conditions are considered probable to be satisfied. We determine the requisite service period by comparing the derived service period to achieve the market-based condition and the explicit time-based service period, using the longer of the two service periods as the requisite service period. As of March 31, 2021 and 2020, we had not recognized share-based compensation expense for awards with performance-based conditions because the qualifying event described above had not occurred and, therefore, could not be considered probable. In the period in which our qualifying event is probable, we will record a cumulative one-time share-based compensation expense determined using the grant-date fair values.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Common Stock Valuations</w:t>
      </w:r>
    </w:p>
    <w:p>
      <w:pPr>
        <w:spacing w:after="0" w:line="191"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 xml:space="preserve">Prior to this offering, given the absence of a public trading market for our common stock and in accordance with the American Institute of Certified Public Accountants Accounting and Valuation Guide,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260"/>
          </w:cols>
          <w:pgMar w:left="320" w:top="1425" w:right="319" w:bottom="1440" w:gutter="0" w:footer="0" w:header="0"/>
        </w:sectPr>
      </w:pPr>
    </w:p>
    <w:bookmarkStart w:id="188" w:name="page189"/>
    <w:bookmarkEnd w:id="188"/>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exercised reasonable judgment and considered numerous objective and subjective factors to determine the best estimate of fair value of our common stock.</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These factors included:</w:t>
      </w:r>
    </w:p>
    <w:p>
      <w:pPr>
        <w:spacing w:after="0" w:line="175" w:lineRule="exact"/>
        <w:rPr>
          <w:sz w:val="20"/>
          <w:szCs w:val="20"/>
          <w:color w:val="auto"/>
        </w:rPr>
      </w:pPr>
    </w:p>
    <w:p>
      <w:pPr>
        <w:ind w:left="560" w:hanging="278"/>
        <w:spacing w:after="0"/>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independent third-party valuations of our common stock;</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prices paid for common or convertible preferred stock sold to third-party investors by us and prices paid in secondary transactions, including any tender offers;</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rights, preferences and privileges of our redeemable convertible preferred stock relative to those of our common stock;</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our financial condition, results of operations, and capital resources;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industry outlook;</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valuation of comparable companies;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lack of marketability of our common stock;</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IPO or a sale of our company, given prevailing market conditions;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history and nature of our business, industry trends, and competitive environment; and</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general economic outlook including economic growth, inflation, unemployment, interest rate environment, and global economic trends.</w:t>
      </w:r>
    </w:p>
    <w:p>
      <w:pPr>
        <w:spacing w:after="0" w:line="163"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Our board of directors determined the fair value of our common stock by first determining the enterprise value of our business, and then allocating the value among the various classes of our equity securities to derive a per share value of our common stock. The enterprise value of our business was primarily estimated by reference to the closest round of equity financing or tender transaction preceding the date of the valuation. In a few cases, we also utilized the income or market approaches.</w:t>
      </w:r>
    </w:p>
    <w:p>
      <w:pPr>
        <w:spacing w:after="0" w:line="147"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estimates value based on a comparison of the subject company to comparable public companies. From the comparable companies, a representative market value multiple is determined and then applied to the subject company’s financial forecasts to estimate the value of the subject company.</w:t>
      </w:r>
    </w:p>
    <w:p>
      <w:pPr>
        <w:spacing w:after="0" w:line="15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allocating the enterprise value of our business among the various classes of stock prior, we primarily used the option pricing method (“OPM”), which models each class of stock as a call option with a unique claim on our assets. After the allocation to the various classes of stock, a discount for lack of marketability (“DLOM”), is applied to arrive at a fair value of the common stock. A DLOM is meant to account for the lack of marketability of a stock that is not traded on public exchanges.</w:t>
      </w:r>
    </w:p>
    <w:p>
      <w:pPr>
        <w:spacing w:after="0" w:line="147"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260"/>
          </w:cols>
          <w:pgMar w:left="320" w:top="1440" w:right="319" w:bottom="1440" w:gutter="0" w:footer="0" w:header="0"/>
        </w:sectPr>
      </w:pPr>
    </w:p>
    <w:bookmarkStart w:id="189" w:name="page190"/>
    <w:bookmarkEnd w:id="189"/>
    <w:p>
      <w:pPr>
        <w:spacing w:after="0" w:line="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5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Following this offering, it will not be necessary to determine the fair value of our Class A common stock, as the shares of our Class A common stock will be traded in the public market.</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Loss Contingencies</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are subject to claims and lawsuits in the ordinary course of business, including arbitration, class actions and other litigation, some of which include claims for substantial or unspecified damages. We are also the subject of inquiries, investigations, and proceedings by regulatory and other governmental agencies. We review our lawsuits, regulatory inquiries and other legal proceedings on an ongoing basis and provide disclosures and record loss contingencies in accordance with the loss contingencies accounting guidance. We establish an accrual for losses at management’s best estimate when we assess that it is probable that a loss has been incurred and the amount of the loss can be reasonably estimated. If no amount within the range is considered a better estimate than any other amount, an accrual for losses is recorded based on the bottom amount of the range. Accrual for loss contingencies are recorded in accounts payable and accrued expenses on the consolidated balance sheets and expensed in general and administrative expenses in our consolidated statements of operations. We monitor these matters for developments that would affect the likelihood of a loss and the accrued amount, if any, and adjust the amount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260"/>
          </w:cols>
          <w:pgMar w:left="320" w:top="1440" w:right="319" w:bottom="1440" w:gutter="0" w:footer="0" w:header="0"/>
        </w:sectPr>
      </w:pPr>
    </w:p>
    <w:bookmarkStart w:id="190" w:name="page191"/>
    <w:bookmarkEnd w:id="190"/>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19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Income tax expense is an estimate of current income taxes payable in the current fiscal year based on reported income before income taxes. Deferred income taxes reflect the effect of temporary differences and carryforwards that we recognize for financial reporting and income tax purposes at enacted tax rates expected to be in effect when taxes are actually paid or recovered.</w:t>
      </w:r>
    </w:p>
    <w:p>
      <w:pPr>
        <w:spacing w:after="0" w:line="14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account for income taxes under the liability approach for deferred income taxes, which requires recognition of deferred income tax assets and liabilities for the expected future tax consequences of events that have been recognized in our consolidated financial statements, but have not been reflected in our taxable income.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152" w:lineRule="exact"/>
        <w:rPr>
          <w:sz w:val="20"/>
          <w:szCs w:val="20"/>
          <w:color w:val="auto"/>
        </w:rPr>
      </w:pPr>
    </w:p>
    <w:p>
      <w:pPr>
        <w:jc w:val="both"/>
        <w:ind w:firstLine="287"/>
        <w:spacing w:after="0" w:line="271" w:lineRule="auto"/>
        <w:rPr>
          <w:sz w:val="20"/>
          <w:szCs w:val="20"/>
          <w:color w:val="auto"/>
        </w:rPr>
      </w:pPr>
      <w:r>
        <w:rPr>
          <w:rFonts w:ascii="Arial" w:cs="Arial" w:eastAsia="Arial" w:hAnsi="Arial"/>
          <w:sz w:val="15"/>
          <w:szCs w:val="15"/>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 amounts recorded, such differences will affect the provision for income taxes in the period in which such determination is made and could have a material impact to our consolidated financial statements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260"/>
          </w:cols>
          <w:pgMar w:left="320" w:top="1426" w:right="319" w:bottom="1440"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323850</wp:posOffset>
            </wp:positionV>
            <wp:extent cx="6184265" cy="8013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618426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324485</wp:posOffset>
            </wp:positionV>
            <wp:extent cx="6184265" cy="8013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618426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Our Mission</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Our mission is to </w:t>
      </w:r>
      <w:r>
        <w:rPr>
          <w:rFonts w:ascii="Arial" w:cs="Arial" w:eastAsia="Arial" w:hAnsi="Arial"/>
          <w:sz w:val="16"/>
          <w:szCs w:val="16"/>
          <w:b w:val="1"/>
          <w:bCs w:val="1"/>
          <w:color w:val="auto"/>
        </w:rPr>
        <w:t>democratize finance for all</w:t>
      </w:r>
      <w:r>
        <w:rPr>
          <w:rFonts w:ascii="Arial" w:cs="Arial" w:eastAsia="Arial" w:hAnsi="Arial"/>
          <w:sz w:val="16"/>
          <w:szCs w:val="16"/>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Who We Are</w:t>
      </w:r>
    </w:p>
    <w:p>
      <w:pPr>
        <w:spacing w:after="0" w:line="163"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Robinhood was founded on the belief that everyone should be welcome to participate in our financial system. We are creating a modern financial services platform for everyone, regardless of their wealth, income or background.</w:t>
      </w:r>
    </w:p>
    <w:p>
      <w:pPr>
        <w:spacing w:after="0" w:line="13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stock market is widely recognized as one of the greatest wealth creators of the last century. But systemic barriers to investing have dissuaded millions of people from feeling welcome or taking part. Investing has long required expensive commissions to place trades, making it impractical for people with smaller balances to participate. In addition, many were unable to satisfy minimum account balance requirements, or were otherwise uncomfortable walking into a financial institution to complete paperwork or answer jargon-filled questions they did not understand. Investing can also seem unfamiliar, complex and confusing. Even when traditional brokerages moved their offerings online, we believe their product experiences were intimidating. Robinhood has set out to change this.</w:t>
      </w:r>
    </w:p>
    <w:p>
      <w:pPr>
        <w:spacing w:after="0" w:line="160"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Robinhood is democratizing finance for all. We use technology to deliver a new way for people to interact with the financial system. We believe investing should be familiar and welcoming, with a simple design and an intuitive interface, so that customers are empowered to achieve their goals. We started with a revolutionary, bold brand and design, and the Robinhood app now makes investing approachable for millions. We pioneered commission-free stock trading with no account minimums, which the rest of the industry emulated, and we have continued to build relationships with our customers by introducing new products that further expand access to the financial system. Through these efforts, we believe we have made investing culturally relevant and understandable, and that our platform is enabling our customers to become long-term investors and take greater control of their finances. Over half of 18-44 year olds in the United States know who Robinhood is according to an internal brand study that we conducted in March 2021. As a further sign of our relevance today, Robinhood reached the number-one spot on the Apple App Store multiple times in the first quarter of 2021 and was frequently ranked number one in the Finance category on the Apple App store during 2020 and the first quarter of 2021.</w:t>
      </w:r>
    </w:p>
    <w:p>
      <w:pPr>
        <w:spacing w:after="0" w:line="15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Customer feedback is at the heart of product development at Robinhood. In the early days, our founders would walk the campus of Stanford sharing product and design ideas and gathering real-time feedback. Today, we continue this tradition in a programmatic way, seeking customer perspectives to inform our priorities and inspire our innovation. We want to understand our customers and their expectations, ambitions, fears and challenges. Their insights help us focus on what is important and this approach enables us to expand our offering centered on their needs. For example, we have begun to expand our customer support functions, including phone-based voice support, to adequately support the significant growth in our user base. Additionally, while in the past we used a confetti design to celebrate all “firsts” with our customers (including customers’ first trades, first steps with Cash Management and successful referrals of friends and family), this practice drew scrutiny from certain regulators and the media and, in 2021, we introduced new unique visual experiences to mark milestones in our customers’ financial journeys. Many of our customers are new to investing, and we are encouraged to see them taking their first steps toward wealth creation. We have replaced confusing jargon with simplicity and slang. Our tools are delightful and engaging.</w:t>
      </w:r>
    </w:p>
    <w:p>
      <w:pPr>
        <w:spacing w:after="0" w:line="15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As of March 31, 2021, we had 18.0 million Net Cumulative Funded Accounts on our platform, and from January 1, 2015 to March 31, 2021, over half of the customers funding accounts on our platform told us that Robinhood was their first brokerage account. We believe that close to 50% of all new retail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260"/>
          </w:cols>
          <w:pgMar w:left="320" w:top="1440" w:right="319" w:bottom="1440" w:gutter="0" w:footer="0" w:header="0"/>
        </w:sectPr>
      </w:pPr>
    </w:p>
    <w:bookmarkStart w:id="194" w:name="page195"/>
    <w:bookmarkEnd w:id="194"/>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accounts opened in the United States from 2016 to 2021 were new accounts created on Robinhood, based on new account data from publicly reporting peer brokerages. See “Management’s Discussion and Analysis of Financial Condition and Results of Operations—Key Performance Metrics” for a definition of “Net Cumulative Funded Accounts.”</w:t>
      </w:r>
    </w:p>
    <w:p>
      <w:pPr>
        <w:spacing w:after="0" w:line="15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have built a foundation for future development. With a focused team and appropriate regulatory approvals, we created our own clearing platform. Our platform is entirely cloud-based and built on proprietary, API-driven services to meet the needs of a fast-growing, mobile-first, modern financial institution. Our platform also enables a vertically integrated, end-to-end approach to product development, which helps us move faster from idea to creation, empowers us to better scale with the growth of our business and affords us better unit economics that we can share with our customers. Our approach also provides increased internal visibility over clearing and settlement. We anticipate that our self-clearing platform will continue to position us well to further innovate for customers.</w:t>
      </w:r>
    </w:p>
    <w:p>
      <w:pPr>
        <w:spacing w:after="0" w:line="14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Education is core to accomplishing our mission. We believe access to easy-to-understand investment information and education is fundamental to expanding participation in the U.S. financial system. This is why we have created educational content for everyone, no matter where they are on their investing journey. That means jargon-free financial literacy resources and digestible financial news direct to customers. As of March 31, 2021, our Robinhood Snacks newsletter and podcast had nearly 32 million subscribers, and the daily podcast was downloaded nearly 40 million times in 2020, with more than 10 million additional downloads in the three months ended March 31, 2021. Our library of financial literacy resources, Robinhood Learn, had more than seven million cumulative page views as of March 31, 2021, and monthly unique visits to Robinhood Learn rose nearly six-fold from January 2020 to March 2021.</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platform, which began as a U.S. stock-focused retail brokerage, currently offers:</w:t>
      </w:r>
    </w:p>
    <w:p>
      <w:pPr>
        <w:spacing w:after="0" w:line="175" w:lineRule="exact"/>
        <w:rPr>
          <w:sz w:val="20"/>
          <w:szCs w:val="20"/>
          <w:color w:val="auto"/>
        </w:rPr>
      </w:pPr>
    </w:p>
    <w:p>
      <w:pPr>
        <w:ind w:left="560" w:hanging="278"/>
        <w:spacing w:after="0"/>
        <w:tabs>
          <w:tab w:leader="none" w:pos="5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trading in U.S.-listed stocks and ETFs, as well as related options and ADRs;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cryptocurrency trading through our subsidiary, RHC, with seven different cryptocurrencies available for trading as of March 31, 2021;</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fractional trading, which enables all of our customers—regardless of budget—to build a diversified portfolio and access stocks previously out of reach;</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recurring investments, which help customers make investing routine and employ dollar-cost averaging;</w:t>
      </w:r>
    </w:p>
    <w:p>
      <w:pPr>
        <w:spacing w:after="0" w:line="162"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73"/>
        </w:numPr>
        <w:rPr>
          <w:rFonts w:ascii="Arial" w:cs="Arial" w:eastAsia="Arial" w:hAnsi="Arial"/>
          <w:sz w:val="16"/>
          <w:szCs w:val="16"/>
          <w:color w:val="auto"/>
        </w:rPr>
      </w:pPr>
      <w:r>
        <w:rPr>
          <w:rFonts w:ascii="Arial" w:cs="Arial" w:eastAsia="Arial" w:hAnsi="Arial"/>
          <w:sz w:val="16"/>
          <w:szCs w:val="16"/>
          <w:color w:val="auto"/>
        </w:rPr>
        <w:t>IPO Access, which enables our customers to buy shares in participating IPOs at the IPO price, before trading begins on public exchanges, with no account minimums;</w:t>
      </w:r>
    </w:p>
    <w:p>
      <w:pPr>
        <w:spacing w:after="0" w:line="139"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73"/>
        </w:numPr>
        <w:rPr>
          <w:rFonts w:ascii="Arial" w:cs="Arial" w:eastAsia="Arial" w:hAnsi="Arial"/>
          <w:sz w:val="16"/>
          <w:szCs w:val="16"/>
          <w:color w:val="auto"/>
        </w:rPr>
      </w:pPr>
      <w:r>
        <w:rPr>
          <w:rFonts w:ascii="Arial" w:cs="Arial" w:eastAsia="Arial" w:hAnsi="Arial"/>
          <w:sz w:val="16"/>
          <w:szCs w:val="16"/>
          <w:color w:val="auto"/>
        </w:rPr>
        <w:t>Cash Management, which includes Robinhood-branded debit cards and enables customers to save and spend by paying bills, writing checks, earning interest, withdrawing funds via ATMs and receiving FDIC pass-through insurance on cash swept from their brokerage account; and</w:t>
      </w:r>
    </w:p>
    <w:p>
      <w:pPr>
        <w:spacing w:after="0" w:line="151"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73"/>
        </w:numPr>
        <w:rPr>
          <w:rFonts w:ascii="Arial" w:cs="Arial" w:eastAsia="Arial" w:hAnsi="Arial"/>
          <w:sz w:val="16"/>
          <w:szCs w:val="16"/>
          <w:color w:val="auto"/>
        </w:rPr>
      </w:pPr>
      <w:r>
        <w:rPr>
          <w:rFonts w:ascii="Arial" w:cs="Arial" w:eastAsia="Arial" w:hAnsi="Arial"/>
          <w:sz w:val="16"/>
          <w:szCs w:val="16"/>
          <w:color w:val="auto"/>
        </w:rPr>
        <w:t>Robinhood Gold, our monthly paid subscription service that provides customers with premium features, such as enhanced instant access to deposits, professional research, Nasdaq Level II market data and, upon approval, access to margin investing.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1407160</wp:posOffset>
            </wp:positionH>
            <wp:positionV relativeFrom="page">
              <wp:posOffset>915670</wp:posOffset>
            </wp:positionV>
            <wp:extent cx="4735195" cy="2814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4735195" cy="2814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have seen an enthusiastic response from customers and are humbled by how often they share Robinhood with their families, friends and colleagues. This powerful word-of-mouth referral network has helped to rapidly grow our customer base. In 2020, our Net Cumulative Funded Accounts grew 143% to 12.5 million, and had increased to 18.0 million as of March 31, 2021, with over 80% of new Funded Accounts in 2020 and in the three months ended March 31, 2021, joining our platform organically or through the Robinhood Referral Program. A customer is considered to have joined organically if we cannot attribute that customer’s acquisition to a paid marketing channel, such as broad-scale advertising or clicking through an online advertisement, or to the Robinhood Referral Program. For the monthly cohorts in the year ended December 31, 2019, our average revenue payback period was approximately 13 months, and for the monthly cohorts in the year ended December 31, 2020, our average revenue payback period improved to less than five months. See “Management’s Discussion and Analysis of Financial Condition and Results of Operations—Key Performance Metrics” for definitions of “Funded Accounts” and “revenue payback period.” For a definition and description of the “Robinhood Referral Program,” see “Management’s Discussion and Analysis of Financial Condition and Results of Operations—Our Business Model—New Customer Growth.”</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the year ended December 31, 2020, as compared to the year ended December 31, 2019:</w:t>
      </w:r>
    </w:p>
    <w:p>
      <w:pPr>
        <w:spacing w:after="0" w:line="163" w:lineRule="exact"/>
        <w:rPr>
          <w:sz w:val="20"/>
          <w:szCs w:val="20"/>
          <w:color w:val="auto"/>
        </w:rPr>
      </w:pPr>
    </w:p>
    <w:p>
      <w:pPr>
        <w:ind w:left="560" w:hanging="278"/>
        <w:spacing w:after="0"/>
        <w:tabs>
          <w:tab w:leader="none" w:pos="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total revenue grew 245% to $959 million, up from $278 million;</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recorded net income of $7 million, compared to a net loss of $107 million; and</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Adjusted EBITDA was $155 million, compared to negative $74 million.</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addition, for the three months ended March 31, 2021, as compared to the three months ended March 31, 2020:</w:t>
      </w:r>
    </w:p>
    <w:p>
      <w:pPr>
        <w:spacing w:after="0" w:line="163" w:lineRule="exact"/>
        <w:rPr>
          <w:sz w:val="20"/>
          <w:szCs w:val="20"/>
          <w:color w:val="auto"/>
        </w:rPr>
      </w:pPr>
    </w:p>
    <w:p>
      <w:pPr>
        <w:ind w:left="560" w:hanging="278"/>
        <w:spacing w:after="0"/>
        <w:tabs>
          <w:tab w:leader="none" w:pos="5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total revenue grew 309% to $522 million, up from $128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1260"/>
          </w:cols>
          <w:pgMar w:left="320" w:top="1440" w:right="319" w:bottom="1440" w:gutter="0" w:footer="0" w:header="0"/>
        </w:sectPr>
      </w:pPr>
    </w:p>
    <w:bookmarkStart w:id="196" w:name="page197"/>
    <w:bookmarkEnd w:id="196"/>
    <w:p>
      <w:pPr>
        <w:spacing w:after="0" w:line="2" w:lineRule="exact"/>
        <w:rPr>
          <w:sz w:val="20"/>
          <w:szCs w:val="20"/>
          <w:color w:val="auto"/>
        </w:rPr>
      </w:pPr>
    </w:p>
    <w:p>
      <w:pPr>
        <w:ind w:left="560" w:hanging="278"/>
        <w:spacing w:after="0" w:line="260" w:lineRule="auto"/>
        <w:tabs>
          <w:tab w:leader="none" w:pos="556"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recorded net loss of $1.4 billion, which included a $1.5 billion fair value adjustment to our convertible notes and warrant liability, compared to a net loss of $53 million; and</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our Adjusted EBITDA was $115 million, compared to negative $47 million.</w:t>
      </w:r>
    </w:p>
    <w:p>
      <w:pPr>
        <w:spacing w:after="0" w:line="163"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Adjusted EBITDA is a non-GAAP financial measure. See “Management’s Discussion and Analysis of Financial Condition and Results of Operations—Non-GAAP Financial Measures” for more information about Adjusted EBITDA, including the definition and limitations of such measure, and a reconciliation of net income (loss) to Adjusted EBITDA.</w:t>
      </w:r>
    </w:p>
    <w:p>
      <w:pPr>
        <w:spacing w:after="0" w:line="14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vision is for Robinhood to become the most trusted, lowest-cost, and most culturally relevant money app worldwide. We innovate at the epicenter of finance, technology and access for all. As we look to the future, we want to help Robinhood customers manage all aspects of their financial lives in one place. We envision them moving seamlessly between investing, saving and spending all on the Robinhood platform. When we check our email, there is a go-to app. When we need a map, there is a go-to app. We envision a world in which Robinhood is that go-to app for money. We believe people want to build financial independence and have the tools and ability to own their financial well-being. We look forward to being our customers' single money app that enables them to achieve those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260"/>
          </w:cols>
          <w:pgMar w:left="320" w:top="1440" w:right="319" w:bottom="1440"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324485</wp:posOffset>
            </wp:positionV>
            <wp:extent cx="6191885" cy="8013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Trends in Our Favor</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Technology Is Transforming Customer Expectations</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Across industries, we have witnessed a movement toward products and brands that redefine the customer experience through technology. Today, people can get dinner delivered to their door with two taps on a smartphone, purchase groceries without ever setting foot in a store and conduct morning meetings with hundreds of colleagues from their homes. We observe a similar trend in the equity markets, where 30% of retail investors in the United States place orders using a mobile app, according to 2018 FINRA surveys. That number grows to 59% when looking solely at participants aged 18-34. Innovative technology-based companies are challenging traditional norms and engaging people in new ways.</w:t>
      </w:r>
    </w:p>
    <w:p>
      <w:pPr>
        <w:spacing w:after="0" w:line="14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nature of these experiences has rapidly advanced customer expectations and demands for intuitive, engaging and easy-to-use products. Brands that empower customers through these types of products are often propelled to cultural relevance. According to PwC, 73% of consumers worldwide point to customer experience as an important factor in their purchasing decisions, and 65% of U.S. consumers find a positive experience with a brand to be more influential than great advertising.</w:t>
      </w:r>
    </w:p>
    <w:p>
      <w:pPr>
        <w:spacing w:after="0" w:line="15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At the same time, smartphone usage has skyrocketed. Not only are smartphones essentially ubiquitous nationwide, they are a dominating force in consumers’ lives. Companies that have been able to leverage mobile technology to deliver market-leading customer experiences continue to reshape legacy industry growth trends and create significant shareholder value.</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Increasing Participation in the Financial Markets and the Rise of FinTech Companies</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U.S. stock market is one of the greatest sources of wealth creation in the world. Average historical returns on the S&amp;P 500 amount to approximately 9% annually over the past 50 years. But this great wealth creator has remained out of reach for many individuals and families, while others have had better access, more useful tools and a clearer invitation to participate. That is beginning to change as more and more people are taking their financial lives into their own hands. There are many people still unserved, and we believe we are well-placed to help build this momentum toward increased participation.</w:t>
      </w:r>
    </w:p>
    <w:p>
      <w:pPr>
        <w:spacing w:after="0" w:line="15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Since 2010, the S&amp;P 500 has produced an average annual return of approximately 13%. That has coincided with a substantial increase in participation among retail investors seeking to improve their financial health. Retail investing now comprises roughly 20% of U.S. equity trading volume, doubling in the decade from 2010 to 2020. Yet, we believe there is still significant room for growth: according to a 2019 Pew Research survey, approximately 60% of all Americans still do not have investments outside of their retirement accounts, and, according to a 2020 Gallup poll, an even greater percentage of young adults aged 18 to 29—68%—have no money invested in the stock market at all.</w:t>
      </w:r>
    </w:p>
    <w:p>
      <w:pPr>
        <w:spacing w:after="0" w:line="14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FinTech companies offer customer experiences powered by modern and nimble infrastructure as well as intuitive customer interfaces, making these companies well-positioned to rapidly build and deploy innovative products that meet the expectations of the growing generation of digital consumers. This rapid product cycle has led to innovation across the FinTech landscape, with consumers increasingly looking to technology companies for financial products. Nearly two-thirds of Americans, according to a Harris Poll conducted in 2020, would consider purchasing or applying for financial products through a technology company’s platform instead of a traditional financial services provider, and that figure increases to 81% for Americans aged 18 to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1260"/>
          </w:cols>
          <w:pgMar w:left="320" w:top="1440" w:right="319" w:bottom="1440" w:gutter="0" w:footer="0" w:header="0"/>
        </w:sectPr>
      </w:pPr>
    </w:p>
    <w:bookmarkStart w:id="199" w:name="page200"/>
    <w:bookmarkEnd w:id="199"/>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Our Opportunity</w:t>
      </w:r>
    </w:p>
    <w:p>
      <w:pPr>
        <w:spacing w:after="0" w:line="175" w:lineRule="exact"/>
        <w:rPr>
          <w:sz w:val="20"/>
          <w:szCs w:val="20"/>
          <w:color w:val="auto"/>
        </w:rPr>
      </w:pPr>
    </w:p>
    <w:p>
      <w:pPr>
        <w:ind w:firstLine="287"/>
        <w:spacing w:after="0" w:line="260" w:lineRule="auto"/>
        <w:rPr>
          <w:sz w:val="20"/>
          <w:szCs w:val="20"/>
          <w:color w:val="auto"/>
        </w:rPr>
      </w:pPr>
      <w:r>
        <w:rPr>
          <w:rFonts w:ascii="Arial" w:cs="Arial" w:eastAsia="Arial" w:hAnsi="Arial"/>
          <w:sz w:val="16"/>
          <w:szCs w:val="16"/>
          <w:color w:val="auto"/>
        </w:rPr>
        <w:t>Financial services underpin our daily lives. Activities such as investing, saving and spending are core financial activities that offer avenues for Robinhood to grow with our customers throughout their financial journey.</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current retail brokerage, cryptocurrency trading and Cash Management offerings are the first step toward a comprehensive financial services platform.</w:t>
      </w:r>
    </w:p>
    <w:p>
      <w:pPr>
        <w:spacing w:after="0" w:line="163" w:lineRule="exact"/>
        <w:rPr>
          <w:sz w:val="20"/>
          <w:szCs w:val="20"/>
          <w:color w:val="auto"/>
        </w:rPr>
      </w:pPr>
    </w:p>
    <w:p>
      <w:pPr>
        <w:jc w:val="both"/>
        <w:ind w:left="560" w:hanging="278"/>
        <w:spacing w:after="0" w:line="251" w:lineRule="auto"/>
        <w:tabs>
          <w:tab w:leader="none" w:pos="556"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retail investing platform is currently our core product offering, one we have continued to expand since its launch in 2015. Retail investing in the United States represents a large market today—U.S. retail investors are estimated by Charles Schwab to have total assets of approximately $50 trillion. Additionally, from January 1, 2015 to March 31, 2021, over half of the customers funding accounts on our platform told us that Robinhood was their first brokerage account. Given that dynamic, we believe we are meaningfully expanding the size of the defined market—bringing in participants who would otherwise not be involved in the financial system. Expanding the universe of investors has been, and we expect will continue to be, a significant driver of our market-leading growth.</w:t>
      </w:r>
    </w:p>
    <w:p>
      <w:pPr>
        <w:spacing w:after="0" w:line="159" w:lineRule="exact"/>
        <w:rPr>
          <w:rFonts w:ascii="Arial" w:cs="Arial" w:eastAsia="Arial" w:hAnsi="Arial"/>
          <w:sz w:val="16"/>
          <w:szCs w:val="16"/>
          <w:color w:val="auto"/>
        </w:rPr>
      </w:pPr>
    </w:p>
    <w:p>
      <w:pPr>
        <w:jc w:val="both"/>
        <w:ind w:left="560" w:right="20" w:hanging="278"/>
        <w:spacing w:after="0" w:line="269" w:lineRule="auto"/>
        <w:tabs>
          <w:tab w:leader="none" w:pos="556" w:val="left"/>
        </w:tabs>
        <w:numPr>
          <w:ilvl w:val="0"/>
          <w:numId w:val="77"/>
        </w:numPr>
        <w:rPr>
          <w:rFonts w:ascii="Arial" w:cs="Arial" w:eastAsia="Arial" w:hAnsi="Arial"/>
          <w:sz w:val="15"/>
          <w:szCs w:val="15"/>
          <w:color w:val="auto"/>
        </w:rPr>
      </w:pPr>
      <w:r>
        <w:rPr>
          <w:rFonts w:ascii="Arial" w:cs="Arial" w:eastAsia="Arial" w:hAnsi="Arial"/>
          <w:sz w:val="15"/>
          <w:szCs w:val="15"/>
          <w:color w:val="auto"/>
        </w:rPr>
        <w:t>Our cryptocurrency trading platform offers commission-free buying and selling of cryptocurrency through our subsidiary, RHC. From February 21, 2018, the day before we introduced cryptocurrency trading on our platform, to March 31, 2021, the total cryptocurrency market capitalization has grown from approximately $450 billion to approximately $1.9 trillion, driven by increased adoption of cryptocurrency trading by both retail and institutional investors, as well as continued growth of various non-investing use cases for crypto-assets. In addition, the worldwide daily average market volume of Bitcoin, which was the most traded cryptocurrency on our platform by notional value for the year ended December 31, 2020 and for the three months ended March 31, 2021, was over $54 billion in March 2021, as compared to approximately $8 billion in February 2018. While future market size estimates for the cryptocurrency market are highly varied, the historical trend has been strongly supportive. We believe that growing interest and adoption of cryptocurrency will drive increased customer interest in our platform and that we have significant room to grow even within our current customer base.</w:t>
      </w:r>
    </w:p>
    <w:p>
      <w:pPr>
        <w:spacing w:after="0" w:line="126" w:lineRule="exact"/>
        <w:rPr>
          <w:rFonts w:ascii="Arial" w:cs="Arial" w:eastAsia="Arial" w:hAnsi="Arial"/>
          <w:sz w:val="15"/>
          <w:szCs w:val="15"/>
          <w:color w:val="auto"/>
        </w:rPr>
      </w:pPr>
    </w:p>
    <w:p>
      <w:pPr>
        <w:jc w:val="both"/>
        <w:ind w:left="560" w:hanging="278"/>
        <w:spacing w:after="0" w:line="223" w:lineRule="auto"/>
        <w:tabs>
          <w:tab w:leader="none" w:pos="556"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Cash Management product, which places uninvested customer cash with FDIC-insured banks and offers a competitive interest rate (and also includes Robinhood-branded debit cards), is highly complementary to our brokerage offering and enhances our overall ecosystem. While still a small proportion of our overall revenue, we believe continued adoption of our Cash Management product by existing customers, as well as increased adoption through the expansion of our customer base, will result in meaningful opportunities in the future. According to the FDIC, there are over $1 trillion in brokered deposits in the U.S. banking system as of June 30, 2020 and the Nilson Report estimated U.S. prepaid and debit card purchase volume to be approximately $3.8 trillion dollars in 2020.</w:t>
      </w:r>
    </w:p>
    <w:p>
      <w:pPr>
        <w:spacing w:after="0" w:line="14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believe these current product offerings represent only the beginning. Our customers already trust us with their hard-earned cash and assets, positioning us as the first financial services relationship for many new investors and younger generations of investors. We see a significant opportunity to introduce innovative products to address our customers’ future needs—including investing, saving, spending and borrowing—allowing us to grow with new and existing customers from our single money app. These additional opportunities are significant—for example, U.S. credit card purchase volume was approximately $3.6 trillion in 2020 (according to Nilson Report), and there is an approximately $4 trillion volume opportunity in peer-to-peer and micro-merchant payments (according to Square, Inc.). We also plan to invest in improvements to our customer support functions to adequately support the significant growth in our user base. In particular, while we do not currently provide general customer support by telephone and only offer callback phone support (which customers can request in-app) for certain use cases, which may limit potential or existing customers’ access to support and has drawn negative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1260"/>
          </w:cols>
          <w:pgMar w:left="320" w:top="1440" w:right="319" w:bottom="1440" w:gutter="0" w:footer="0" w:header="0"/>
        </w:sectPr>
      </w:pPr>
    </w:p>
    <w:bookmarkStart w:id="200" w:name="page201"/>
    <w:bookmarkEnd w:id="200"/>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attention, we plan to expand our phone-based voice support to additional use cases and are increasing the number of customer support professionals we employ. See “—Harnessing Our Platform—Customer Support.”</w:t>
      </w:r>
    </w:p>
    <w:p>
      <w:pPr>
        <w:spacing w:after="0" w:line="15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Although we currently only operate our business in the United States and offer services only to U.S. citizens and permanent residents with a legal address within the United States or Puerto Rico, we believe there is also an important opportunity to democratize retail investing outside of the United States. Total global wealth outside of the United States, as of mid-2019, has been estimated at over $250 trillion, according to the Credit Suisse Research Institute. Even in brokerage alone, we believe our international market opportunity is very significant; as an example, based on Hardman &amp; Co. research, as of early 2018, there were more than £2.5 trillion total assets in the United Kingdom addressable by investing platforms, but less than 30% of such assets were then served. Opportunities like this give us confidence that we can have a meaningful impact at driving increased access and market participation outside of the United States, and that the global opportunity for us to democratize finance for all is significant.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What Sets Us Apart</w:t>
      </w:r>
    </w:p>
    <w:p>
      <w:pPr>
        <w:spacing w:after="0" w:line="163"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We have built a market-leading financial technology platform with an intuitive customer interface that has changed the landscape of retail investing. While we have already achieved significant growth, we believe we are well-positioned to serve an increasing portion of the population and the broader financial services ecosystem.</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Creative Product Design</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 xml:space="preserve">We believe archaic, cumbersome digital platforms reinforce legacy barriers to participation in the financial system. We put design at the center of our product with the goal of building long-term relationships with customers. We involve our talented product designers early and often throughout our product development process to create intuitive and elegant experiences that efficiently address our customers’ needs. Our customer-centric approach has made our platform easy to use, informative and familiar in look and feel for a generation of mobile-first customers. For example, to make our customer experience both delightful and informative, we seamlessly integrate information into our platform through Robinhood Learn and our newsfeed, which offers free news from trusted sources including </w:t>
      </w:r>
      <w:r>
        <w:rPr>
          <w:rFonts w:ascii="Arial" w:cs="Arial" w:eastAsia="Arial" w:hAnsi="Arial"/>
          <w:sz w:val="16"/>
          <w:szCs w:val="16"/>
          <w:i w:val="1"/>
          <w:iCs w:val="1"/>
          <w:color w:val="auto"/>
        </w:rPr>
        <w:t>Barron’s</w:t>
      </w:r>
      <w:r>
        <w:rPr>
          <w:rFonts w:ascii="Arial" w:cs="Arial" w:eastAsia="Arial" w:hAnsi="Arial"/>
          <w:sz w:val="16"/>
          <w:szCs w:val="16"/>
          <w:color w:val="auto"/>
        </w:rPr>
        <w:t xml:space="preserve">, </w:t>
      </w:r>
      <w:r>
        <w:rPr>
          <w:rFonts w:ascii="Arial" w:cs="Arial" w:eastAsia="Arial" w:hAnsi="Arial"/>
          <w:sz w:val="16"/>
          <w:szCs w:val="16"/>
          <w:i w:val="1"/>
          <w:iCs w:val="1"/>
          <w:color w:val="auto"/>
        </w:rPr>
        <w:t>Reuters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Wall Street Journal</w:t>
      </w:r>
      <w:r>
        <w:rPr>
          <w:rFonts w:ascii="Arial" w:cs="Arial" w:eastAsia="Arial" w:hAnsi="Arial"/>
          <w:sz w:val="16"/>
          <w:szCs w:val="16"/>
          <w:color w:val="auto"/>
        </w:rPr>
        <w:t>. In addition, we continue to work to deliver a beautifully designed, intuitive product experience including developing and implementing designs to celebrate investing milestones of our customers in a responsible way. For example, while in the past we used a confetti design to celebrate all “firsts” with our customers (including customers’ first trades, first steps with Cash Management and successful referrals of friends and family), this practice drew scrutiny from certain regulators and the media and, in 2021, we introduced new unique visual experiences to mark milestones in our customers’ financial journeys.</w:t>
      </w:r>
    </w:p>
    <w:p>
      <w:pPr>
        <w:spacing w:after="0" w:line="15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Our products are designed mobile-first, allowing us to offer attractive investing, spending and saving experiences as more people shift their daily financial services activities to the palm of their hands. This simplicity and ease of use has made Robinhood the go-to mobile investing experience, and in 2020 we garnered over half of all new app downloads among mobile investing and trading platforms in the United States (a group comprised of us, Etrade, Fidelity Investments, IBKR, M1 Finance, Schwab, TD Ameritrade, Thinkorswim, Vanguard and Webull) according to mobile data and analytics provider App Annie.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1260"/>
          </w:cols>
          <w:pgMar w:left="320" w:top="1440" w:right="319" w:bottom="1440" w:gutter="0" w:footer="0" w:header="0"/>
        </w:sectPr>
      </w:pPr>
    </w:p>
    <w:bookmarkStart w:id="201" w:name="page202"/>
    <w:bookmarkEnd w:id="2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1407160</wp:posOffset>
            </wp:positionH>
            <wp:positionV relativeFrom="page">
              <wp:posOffset>916305</wp:posOffset>
            </wp:positionV>
            <wp:extent cx="4735195" cy="26631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4735195" cy="266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Category-Defining Brand</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believe Robinhood today is a symbol of retail investing and finance in America. By taking a fresh, people-centric approach and creating a delightful, engaging customer experience, we believe we have built a trusted, category-defining brand that has made investing socially relevant for the next generation. Over half of 18-44 year olds in the United States know who Robinhood is according to an internal brand study that we conducted in March 2021. As a further sign of our relevance today, Robinhood reached the number-one spot on the Apple App Store multiple times in the first quarter of 2021 and was frequently ranked number one in the Finance category on the Apple App store during 2020 and the first quarter of 2021.</w:t>
      </w:r>
    </w:p>
    <w:p>
      <w:pPr>
        <w:spacing w:after="0" w:line="14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relationship we have built with our customers has led many to want to talk about Robinhood and share their experience with their friends and family. From Robinhood’s inception, a vast majority of our growth has come directly from customers joining our platform organically or through the Robinhood Referral Program. This virality of Robinhood has continued—and even accelerated—since other major brokerages adopted our commission-free model beginning in October 2019. In 2020 and in the three months ended March 31, 2021, over 80% of new Funded Accounts joined our platform organically or through the Robinhood Referral Program. The excitement around Robinhood demonstrates how our innovative approach to financial products has built deep, loyal customer relationships and positioned us well to continue attracting new people to our platform, and sharing new product experiences with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1260"/>
          </w:cols>
          <w:pgMar w:left="320" w:top="1440" w:right="319" w:bottom="1440" w:gutter="0" w:footer="0" w:header="0"/>
        </w:sectPr>
      </w:pPr>
    </w:p>
    <w:bookmarkStart w:id="202" w:name="page203"/>
    <w:bookmarkEnd w:id="2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1407160</wp:posOffset>
            </wp:positionH>
            <wp:positionV relativeFrom="page">
              <wp:posOffset>915670</wp:posOffset>
            </wp:positionV>
            <wp:extent cx="4735195" cy="26631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4735195" cy="266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Financial Services at Internet Scale</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people-centric approach has driven customer enthusiasm and engagement, resulting in rapid adoption of our products. We designed our platform to provide our customers with relevant, accessible information when they need it most. Being an investor involves following a regular cycle of events—news releases, earnings announcements, transaction executions—that creates a regular cadence of content and information. We use our platform, from push notifications to widgets, to provide seamless customized updates to our customers. This engenders trust, creates enduring long-term relationships and has resonated with our customers.</w:t>
      </w:r>
    </w:p>
    <w:p>
      <w:pPr>
        <w:spacing w:after="0" w:line="14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During 2020, among our customers who visited our app in a given day, they did so nearly seven times a day on average and engaged with us for a variety of reasons—to read the news, check their watch lists, manage their cash balances, make investments and monitor their portfolios. That figure is approximately two to four times higher than other leading FinTech companies during the same time period. We have sustained this level of engagement at scale, with 18.0 million Net Cumulative Funded Accounts as of March 31, 2021.</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What’s more, Robinhood customers are highly engaged with our platform across multiple products and services; by March 31, 2021, which is less than two years after Cash Management was introduced in 2019, over 3.4 million of our customers were debit card holders with our Cash Management offering, and, from our launch of fractional shares in 2019 to March 31, 2021, approximately 11 million customers have placed a fractional trade on Robinhood. Additionally, as of March 31, 2021, our Robinhood Snacks newsletter and podcast had nearly 32 million subscribers, and the daily podcast was downloaded nearly 40 million times in 2020, with more than 10 million additional downloads in the three months ended March 31, 2021. Our library of financial literacy resources, Robinhood Learn, had more than seven million cumulative page views as of March 31, 2021, and monthly unique visits to Robinhood Learn rose nearly six-fold from January 2020 to March 2021. We believe that the extent to which our existing and potential customers use and engage with our products and services is an important indicator of their level of interest in our platform. While not all forms of engagement directly impact our financial results, we believe that having highly engaged customers allows us to develop long-term relationships with them and introduce them to new products and services as our platform and offerings develop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1260"/>
          </w:cols>
          <w:pgMar w:left="320" w:top="1440" w:right="319" w:bottom="1440" w:gutter="0" w:footer="0" w:header="0"/>
        </w:sectPr>
      </w:pPr>
    </w:p>
    <w:bookmarkStart w:id="203" w:name="page204"/>
    <w:bookmarkEnd w:id="203"/>
    <w:p>
      <w:pPr>
        <w:spacing w:after="0"/>
        <w:rPr>
          <w:sz w:val="20"/>
          <w:szCs w:val="20"/>
          <w:color w:val="auto"/>
        </w:rPr>
      </w:pPr>
      <w:r>
        <w:rPr>
          <w:rFonts w:ascii="Arial" w:cs="Arial" w:eastAsia="Arial" w:hAnsi="Arial"/>
          <w:sz w:val="19"/>
          <w:szCs w:val="19"/>
          <w:b w:val="1"/>
          <w:bCs w:val="1"/>
          <w:i w:val="1"/>
          <w:iCs w:val="1"/>
          <w:color w:val="auto"/>
        </w:rPr>
        <w:t>Vertically Integrated Platform</w:t>
      </w:r>
    </w:p>
    <w:p>
      <w:pPr>
        <w:spacing w:after="0" w:line="19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We design our own products and services and deliver them through a single, app-based platform supported by proprietary technology that has been cloud-based from the start. Our subsidiary, RHF, is a licensed introducing broker-dealer, and our other broker-dealer subsidiary, RHS, is a licensed clearing broker-dealer. Our digitally-native technology stack also gives us control over our product development from end-to-end, enabling faster development times, better customer experiences, stronger unit economics, greater flexibility and a robust and dynamic risk management framework. Our vertically integrated platform has enabled us to rapidly introduce new products and services such as cryptocurrency trading, dividend reinvestment, fractional shares, recurring investments and IPO Access, while also supporting our ability to quickly scale, including onboarding millions of new customers during 2020 and the first quarter of 2021.</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Innovative and Compelling Business Model</w:t>
      </w:r>
    </w:p>
    <w:p>
      <w:pPr>
        <w:spacing w:after="0" w:line="179"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We shattered paradigms of traditional financial services by building mobile-first products and services that our customers love to use, with no commission fees or account minimums, resulting in rapid growth and strong unit economics. Our strong brand and platform accessibility has created a network that has enabled us to onboard millions of customers with minimal marketing. For the monthly cohorts in the year ended December 31, 2019, our average revenue payback period was approximately 13 months, and for the monthly cohorts in the year ended December 31, 2020, our average revenue payback period improved to less than five months. Over time, our customers deepen their engagement and relationship with our platform, and our ability to grow with them results in attractive cohort economics, including a nearly three-fold increase in average revenues per user in the first 24 months for both our 2017 and 2018 annual cohorts. See “Management’s Discussion and Analysis of Financial Condition and Results of Operations—Key Performance Metrics” for definitions of “revenue payback period,” “cohort” and “Average Revenues Per User.”</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Founder-Led, Passionate and Experienced Team</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Robinhood was founded in 2013 by Vladimir Tenev and Baiju Bhatt. Our founders deeply believe that everyone should have access to the financial system. To execute on this mission, we have assembled a world-class executive leadership team that includes Chief Operating Officer Gretchen Howard, previously a Partner at CapitalG, Chief Financial Officer Jason Warnick, who was most recently VP of Finance and Chief of Staff to the Chief Financial Officer at Amazon, Chief Marketing and Communications Officer Christina Smedley, previously a VP of Marketing at Facebook, Chief Legal Officer Daniel Gallagher, previously Chief Legal Officer at Mylan N.V. and SEC Commissioner from 2011 to 2015, and Chief Product Officer, Aparna Chennapragada, who was previously a Vice President and General Manager at Google. See “Management” for more information on our executive leadership team.</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Our Growth Strategies</w:t>
      </w:r>
    </w:p>
    <w:p>
      <w:pPr>
        <w:spacing w:after="0" w:line="17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aim to serve our customers with existing product offerings, grow with our customers over time as they build their wealth and create new and innovative products that are relevant to new and existing customers. By doing so, we believe we will be able to continue to rapidly scale our customer base and maintain our market-leading customer engagement.</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Continue Adding New Customers to Our Platform</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are simplifying how people interact with financial products, allowing new customers from all walks of life and generations to participate in the financial system. While we have established a strong brand and achieved significant growth to date, we believe we are still in the early stages of growth in our existing markets. For example, according to a 2019 Pew Research survey, approximately 60% of all Americans still do not have investments outside of their retirement accounts, and, according to a 2020 Gallup poll,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1260"/>
          </w:cols>
          <w:pgMar w:left="320" w:top="1426" w:right="319" w:bottom="1440" w:gutter="0" w:footer="0" w:header="0"/>
        </w:sectPr>
      </w:pPr>
    </w:p>
    <w:bookmarkStart w:id="204" w:name="page205"/>
    <w:bookmarkEnd w:id="204"/>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even greater percentage of young adults aged 18 to 29—68%—have no money invested in the stock market at all. Accordingly, we believe there remains a significant opportunity for us to continue growing our customer base as we attract new investors to financial markets.</w:t>
      </w:r>
    </w:p>
    <w:p>
      <w:pPr>
        <w:spacing w:after="0" w:line="15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Historically, the majority of our customers has joined organically or through the Robinhood Referral Program, with over 80% of our customers with new Funded Accounts in 2020 and in the three months ended March 31, 2021 coming to us through these channels. We have achieved our growth with relatively little investment in traditional sales and marketing efforts, although we have done substantial in-market testing to determine how to most efficiently utilize paid channels. We plan to increase our marketing in the future and anticipate that our digital and paid marketing efforts will drive higher brand awareness that can further accelerate our growth.</w:t>
      </w:r>
    </w:p>
    <w:p>
      <w:pPr>
        <w:spacing w:after="0" w:line="14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are committed to maintaining strong relationships with our loyal customer base and earning our customers’ trust when they choose our platform on their financial journeys. Our brand has faced challenges in recent years, including as a result of, among other things, the March 2020 Outages, the April-May 2021 Outages, the Early 2021 Trading Restrictions, the complexity of our options trading offerings and related concerns about limited customer support and controversial customer communications and displays. We take these concerns seriously and have prioritized developing responsive solutions, such as by reinforcing our platform infrastructure, raising additional capital to cushion ourselves against the potential for future increased collateral requirements and related market stress, expanding our investor education resources, adding additional eligibility criteria for our options authorization, tripling the number of customer support professionals we employ, introducing phone-based voice customer support and redesigning certain customer display features. We are determined to continually evolve to better serve our expanding customer base. See “Risk Factors—Risks Related to Our Business,” “Risk Factors—Risks Related to Regulation and Litigation” and “—Legal Proceedings” for more information about these challenges, including the March 2020 Outages, the April-May 2021 Outages, and the Early 2021 Trading Restrictions.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Growing with Our Customers</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Many of our customers are just beginning their financial journeys. As our customers grow their wealth, we believe they will continue to expand their relationship with our platform, providing an increased opportunity to meet their growing financial needs. The 25- to 40-year-old population has experienced a rapid rise in net worth over the last decade (with average annual growth of approximately 30% since 2010), but today collectively comprises just 5% of total wealth within the United States, according to the Federal Reserve. This younger generation is poised to see its wealth expand in the coming years—Deloitte has projected that they will account for 16% of U.S. wealth by 2030—and participation in the markets will provide a critical opportunity as younger Americans grow their assets and build financial security for themselves and their families.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Continuing Product and Technology Innovation</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intend to continue to invest in our platform through four key areas: product innovation, educational content, technology and infrastructure improvements, and customer support. We seek to improve our existing products and introduce new products over time as we continue to solicit feedback from our customers on how best to address their financial needs. Importantly, we will continue to improve our educational offerings to equip our customers with the knowledge they need to participate in the financial system. As we scale and grow, we plan to further build upon our technology infrastructure to meet the increased activity on our platform. Finally, we will continue to improve our customer support functions as we scale, including continuing to scale phone-based voice support to more use cases as we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1260"/>
          </w:cols>
          <w:pgMar w:left="320" w:top="1440" w:right="319" w:bottom="1440" w:gutter="0" w:footer="0" w:header="0"/>
        </w:sectPr>
      </w:pPr>
    </w:p>
    <w:bookmarkStart w:id="205" w:name="page206"/>
    <w:bookmarkEnd w:id="205"/>
    <w:p>
      <w:pPr>
        <w:spacing w:after="0"/>
        <w:rPr>
          <w:sz w:val="20"/>
          <w:szCs w:val="20"/>
          <w:color w:val="auto"/>
        </w:rPr>
      </w:pPr>
      <w:r>
        <w:rPr>
          <w:rFonts w:ascii="Arial" w:cs="Arial" w:eastAsia="Arial" w:hAnsi="Arial"/>
          <w:sz w:val="19"/>
          <w:szCs w:val="19"/>
          <w:b w:val="1"/>
          <w:bCs w:val="1"/>
          <w:i w:val="1"/>
          <w:iCs w:val="1"/>
          <w:color w:val="auto"/>
        </w:rPr>
        <w:t>Expanding Internationally</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Although we currently only operate our business in the United States and offer services to only U.S. citizens and permanent residents with a legal address within the continental United States or Puerto Rico, we believe there is a significant opportunity for Robinhood to grow internationally. Over time, we intend to pursue a disciplined approach to international expansion, including into Europe and Asia, and will consider factors such as population size and demographics, legal and regulatory environments and general investing attitudes in potential new markets prior to pursuing any such expansion. While our near-term focus remains on our current U.S. customers, we have already made technical investments in our clearing platform that we believe will allow us to expand to serve customers in other geographies more easily in the future. However, we do not currently have a specific timeframe for international expansion, and any plans to pursue international expansion are uncertain and dependent on a variety of external factors, including, among other things, our obtaining required regulatory approvals, authorizations, licenses and consents, our obtaining and protecting intellectual property rights abroad and the identification of and successful entry into new business partnerships with third-party service providers that would be necessary to provide our products and services in the relevant local market.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Our Customers</w:t>
      </w:r>
    </w:p>
    <w:p>
      <w:pPr>
        <w:spacing w:after="0" w:line="163"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We are empowering a new generation of financial consumers. Robinhood was built to make the financial system more friendly, approachable, and understandable to newcomers and experts alike. We have reached customers across the United States from a wide variety of social and economic backgrounds and, from January 1, 2015 to March 31, 2021, over half of the customers funding accounts on our platform told us that Robinhood was their first brokerage account. We see evidence that most of our customers are primarily buy-and-hold investors, and the vast majority of our customers are not considered to be “pattern day traders” as defined under FINRA rules. According to a paper published by the National Bureau of Economic Research, as market volatility increased in March 2020, Robinhood customers acted as a small but active market-stabilizing force, and their collective portfolios performed on par with standard academic benchmark models.</w:t>
      </w:r>
    </w:p>
    <w:p>
      <w:pPr>
        <w:spacing w:after="0" w:line="15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take pride in the fact that we are expanding the market by welcoming new investors into the financial system and helping the next generation of investors build sound long-term investing, saving and spending habits. For example, as of March 31, 2021, approximately 70% of our AUC came from customers on our platform aged 18 to 40, and the median age of customers on our platform was 31. We continue to welcome an increasing proportion of women to our platform, having tripled the number of women on our platform at the end of 2020 as compared to 2019. Surveys also indicate that our customers are more racially diverse than customers at incumbent brokerages. Based on a representative sampling between July 2020 and December 2020, African-American investors represented 9% of Robinhood’s customer base, compared with just 3% at incumbent firms. Over the same period, Hispanic investors accounted for 16% of Robinhood’s customers, compared with 7% at incumbent firms. Meanwhile, stock ownership across the board is more diverse than it was a few years ago, according to Federal Reserve data. This is a promising trend that’s continued into the past year. Most new investors in 2020 were more likely to be racially and ethnically diverse than the investors who came before them, per research by the FINRA foundation and NORC at the University of Chicago.</w:t>
      </w:r>
    </w:p>
    <w:p>
      <w:pPr>
        <w:spacing w:after="0" w:line="15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believe our customers have healthy financial habits beyond investing as well. According to data from Experian based on a sampling of approximately two million Funded Accounts in November 2020, approximately 65% of our customers with Funded Accounts have credit scores of prime or higher, and over 65% have debt to income ratios under 20%. Moreover, more than half of our customers who participated in a 2020 survey said that Robinhood helped motivate them to save money.</w:t>
      </w:r>
    </w:p>
    <w:p>
      <w:pPr>
        <w:spacing w:after="0" w:line="147"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regularly communicate with our customers—not just to provide support, but also to learn more about their experiences and insights, and to respond to their feedback about our products. This keeps us connected with customers and enables us to understand their expectations and the problems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1260"/>
          </w:cols>
          <w:pgMar w:left="320" w:top="1426" w:right="319" w:bottom="1440" w:gutter="0" w:footer="0" w:header="0"/>
        </w:sectPr>
      </w:pPr>
    </w:p>
    <w:bookmarkStart w:id="206" w:name="page207"/>
    <w:bookmarkEnd w:id="206"/>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opportunities they face financially. Listening to their stories, our customers tell us how Robinhood has changed their views about investing and has given them confidence to participate in the financial system.</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Our Values, Commitments and Responsibilities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At Robinhood, our values are in service of our customers. The following values describe the company that we aspire to become.</w:t>
      </w:r>
    </w:p>
    <w:p>
      <w:pPr>
        <w:spacing w:after="0" w:line="147" w:lineRule="exact"/>
        <w:rPr>
          <w:sz w:val="20"/>
          <w:szCs w:val="20"/>
          <w:color w:val="auto"/>
        </w:rPr>
      </w:pPr>
    </w:p>
    <w:p>
      <w:pPr>
        <w:jc w:val="both"/>
        <w:ind w:left="560" w:hanging="278"/>
        <w:spacing w:after="0" w:line="255" w:lineRule="auto"/>
        <w:tabs>
          <w:tab w:leader="none" w:pos="556"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Safety First. </w:t>
      </w:r>
      <w:r>
        <w:rPr>
          <w:rFonts w:ascii="Arial" w:cs="Arial" w:eastAsia="Arial" w:hAnsi="Arial"/>
          <w:sz w:val="16"/>
          <w:szCs w:val="16"/>
          <w:color w:val="auto"/>
        </w:rPr>
        <w:t>Robinhood is a safety-first company. The reliability of our platform takes precedence over all else, so that we can be there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when they need us the most. We relentlessly protect our customers’ security and privacy, and we only share with our counterparties what they need to fulfill our customers’ financial needs, nothing more. We build safeguards and provide education so that our customers are in the best position to succeed. We have high-quality timely customer support, and when things aren’t right, we fix them. We work closely with regulators and lawmakers to protect our customers and the broader financial system. We speak simply, plainly, and truthfully, even if it’s not what others want to hear. We hold ourselves and our colleagues to the highest ethical standards.</w:t>
      </w:r>
    </w:p>
    <w:p>
      <w:pPr>
        <w:spacing w:after="0" w:line="141" w:lineRule="exact"/>
        <w:rPr>
          <w:rFonts w:ascii="Arial" w:cs="Arial" w:eastAsia="Arial" w:hAnsi="Arial"/>
          <w:sz w:val="16"/>
          <w:szCs w:val="16"/>
          <w:color w:val="auto"/>
        </w:rPr>
      </w:pPr>
    </w:p>
    <w:p>
      <w:pPr>
        <w:jc w:val="both"/>
        <w:ind w:left="560" w:hanging="278"/>
        <w:spacing w:after="0" w:line="257" w:lineRule="auto"/>
        <w:tabs>
          <w:tab w:leader="none" w:pos="556"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Participation Is Power</w:t>
      </w:r>
      <w:r>
        <w:rPr>
          <w:rFonts w:ascii="Arial" w:cs="Arial" w:eastAsia="Arial" w:hAnsi="Arial"/>
          <w:sz w:val="16"/>
          <w:szCs w:val="16"/>
          <w:color w:val="auto"/>
        </w:rPr>
        <w:t>. At Robinhood, the rich don’t get a better deal. We founded Robinhood in the wake of the financial crisis because we identified a</w:t>
      </w:r>
      <w:r>
        <w:rPr>
          <w:rFonts w:ascii="Arial" w:cs="Arial" w:eastAsia="Arial" w:hAnsi="Arial"/>
          <w:sz w:val="16"/>
          <w:szCs w:val="16"/>
          <w:i w:val="1"/>
          <w:iCs w:val="1"/>
          <w:color w:val="auto"/>
        </w:rPr>
        <w:t xml:space="preserve"> </w:t>
      </w:r>
      <w:r>
        <w:rPr>
          <w:rFonts w:ascii="Arial" w:cs="Arial" w:eastAsia="Arial" w:hAnsi="Arial"/>
          <w:sz w:val="16"/>
          <w:szCs w:val="16"/>
          <w:color w:val="auto"/>
        </w:rPr>
        <w:t>gap—the more you had, the better deal you got. We aim to give everyone access to the financial system, regardless of their background or bank account balance. That’s why we have uniform interest rates, no account minimums and a product that was designed from the ground up for small accounts. We would rather serve many small customers over a few large ones. We reflect the world around us, and we elevate and embrace all voices so everyone feels at home at Robinhood.</w:t>
      </w:r>
    </w:p>
    <w:p>
      <w:pPr>
        <w:spacing w:after="0" w:line="126" w:lineRule="exact"/>
        <w:rPr>
          <w:rFonts w:ascii="Arial" w:cs="Arial" w:eastAsia="Arial" w:hAnsi="Arial"/>
          <w:sz w:val="16"/>
          <w:szCs w:val="16"/>
          <w:color w:val="auto"/>
        </w:rPr>
      </w:pPr>
    </w:p>
    <w:p>
      <w:pPr>
        <w:jc w:val="both"/>
        <w:ind w:left="560" w:right="20" w:hanging="278"/>
        <w:spacing w:after="0" w:line="257" w:lineRule="auto"/>
        <w:tabs>
          <w:tab w:leader="none" w:pos="556"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Radical Customer Focus</w:t>
      </w:r>
      <w:r>
        <w:rPr>
          <w:rFonts w:ascii="Arial" w:cs="Arial" w:eastAsia="Arial" w:hAnsi="Arial"/>
          <w:sz w:val="16"/>
          <w:szCs w:val="16"/>
          <w:color w:val="auto"/>
        </w:rPr>
        <w:t>. We exist to make our customers happy. From the early days of Robinhood, we have prioritized getting direct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feedback on what we were building. Talking to our customers forms the kernel of the product development process we have today. We listen with empathy, ask questions, and critically evaluate our work by how valuable our customers find it. We never stop asking how we can make our product better, and we never settle for ‘good enough’. We listen to our colleagues, and we start from a place of believing they are capable and well-intentioned. We delight our customers and take pride in our work. Otherwise, why even be here?</w:t>
      </w:r>
    </w:p>
    <w:p>
      <w:pPr>
        <w:spacing w:after="0" w:line="126" w:lineRule="exact"/>
        <w:rPr>
          <w:rFonts w:ascii="Arial" w:cs="Arial" w:eastAsia="Arial" w:hAnsi="Arial"/>
          <w:sz w:val="16"/>
          <w:szCs w:val="16"/>
          <w:color w:val="auto"/>
        </w:rPr>
      </w:pPr>
    </w:p>
    <w:p>
      <w:pPr>
        <w:jc w:val="both"/>
        <w:ind w:left="560" w:right="20" w:hanging="278"/>
        <w:spacing w:after="0" w:line="259" w:lineRule="auto"/>
        <w:tabs>
          <w:tab w:leader="none" w:pos="556"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First-Principles Thinking</w:t>
      </w:r>
      <w:r>
        <w:rPr>
          <w:rFonts w:ascii="Arial" w:cs="Arial" w:eastAsia="Arial" w:hAnsi="Arial"/>
          <w:sz w:val="16"/>
          <w:szCs w:val="16"/>
          <w:color w:val="auto"/>
        </w:rPr>
        <w:t>. We make bold bets and challenge the status quo. Our foundation is in art, science, and pure mathematics, and we have a</w:t>
      </w:r>
      <w:r>
        <w:rPr>
          <w:rFonts w:ascii="Arial" w:cs="Arial" w:eastAsia="Arial" w:hAnsi="Arial"/>
          <w:sz w:val="16"/>
          <w:szCs w:val="16"/>
          <w:i w:val="1"/>
          <w:iCs w:val="1"/>
          <w:color w:val="auto"/>
        </w:rPr>
        <w:t xml:space="preserve"> </w:t>
      </w:r>
      <w:r>
        <w:rPr>
          <w:rFonts w:ascii="Arial" w:cs="Arial" w:eastAsia="Arial" w:hAnsi="Arial"/>
          <w:sz w:val="16"/>
          <w:szCs w:val="16"/>
          <w:color w:val="auto"/>
        </w:rPr>
        <w:t>deep appreciation for the scientific process. We develop hypotheses and design experiments to test them. We reduce complex problems to their constituent bits. We debate vigorously and change our minds when confronted with the right evidence. We bravely do what’s right. We treat our company like a product and aim to get better, every single day.</w:t>
      </w:r>
    </w:p>
    <w:p>
      <w:pPr>
        <w:spacing w:after="0" w:line="154"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understand that millions of our customers are using Robinhood to enter the financial markets for the first time, and we take our responsibility to them seriously. We pursue strong, close working relationships with our regulators, and we believe the goals of our regulators and customers are aligned. We are passionate about operating Robinhood in a way that aligns with customer interests, applicable regulations, and with our own mission to democratize finance for all.</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commitments to our customers include:</w:t>
      </w:r>
    </w:p>
    <w:p>
      <w:pPr>
        <w:spacing w:after="0" w:line="163" w:lineRule="exact"/>
        <w:rPr>
          <w:sz w:val="20"/>
          <w:szCs w:val="20"/>
          <w:color w:val="auto"/>
        </w:rPr>
      </w:pPr>
    </w:p>
    <w:p>
      <w:pPr>
        <w:jc w:val="both"/>
        <w:ind w:right="20" w:firstLine="287"/>
        <w:spacing w:after="0" w:line="410" w:lineRule="auto"/>
        <w:rPr>
          <w:sz w:val="20"/>
          <w:szCs w:val="20"/>
          <w:color w:val="auto"/>
        </w:rPr>
      </w:pPr>
      <w:r>
        <w:rPr>
          <w:sz w:val="1"/>
          <w:szCs w:val="1"/>
          <w:color w:val="auto"/>
        </w:rPr>
        <w:drawing>
          <wp:inline distT="0" distB="0" distL="0" distR="0">
            <wp:extent cx="303530" cy="30353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3530" cy="303530"/>
                    </a:xfrm>
                    <a:prstGeom prst="rect">
                      <a:avLst/>
                    </a:prstGeom>
                    <a:noFill/>
                    <a:ln>
                      <a:noFill/>
                    </a:ln>
                  </pic:spPr>
                </pic:pic>
              </a:graphicData>
            </a:graphic>
          </wp:inline>
        </w:drawing>
      </w:r>
      <w:r>
        <w:rPr>
          <w:rFonts w:ascii="Arial" w:cs="Arial" w:eastAsia="Arial" w:hAnsi="Arial"/>
          <w:sz w:val="16"/>
          <w:szCs w:val="16"/>
          <w:i w:val="1"/>
          <w:iCs w:val="1"/>
          <w:color w:val="auto"/>
        </w:rPr>
        <w:t xml:space="preserve"> No Commission Fees</w:t>
      </w:r>
      <w:r>
        <w:rPr>
          <w:rFonts w:ascii="Arial" w:cs="Arial" w:eastAsia="Arial" w:hAnsi="Arial"/>
          <w:sz w:val="16"/>
          <w:szCs w:val="16"/>
          <w:color w:val="auto"/>
        </w:rPr>
        <w:t>. We believe that everyone should have equal access to financial markets. Regardless of how much money our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intend to invest, they will not be subject 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1260"/>
          </w:cols>
          <w:pgMar w:left="320" w:top="1440" w:right="319" w:bottom="1440" w:gutter="0" w:footer="0" w:header="0"/>
        </w:sectPr>
      </w:pPr>
    </w:p>
    <w:bookmarkStart w:id="207" w:name="page208"/>
    <w:bookmarkEnd w:id="207"/>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account minimums or charged commissions to buy or sell stocks, ETFs, options or cryptocurrencies on Robinhood.</w:t>
      </w:r>
    </w:p>
    <w:p>
      <w:pPr>
        <w:spacing w:after="0" w:line="175" w:lineRule="exact"/>
        <w:rPr>
          <w:sz w:val="20"/>
          <w:szCs w:val="20"/>
          <w:color w:val="auto"/>
        </w:rPr>
      </w:pPr>
    </w:p>
    <w:p>
      <w:pPr>
        <w:jc w:val="both"/>
        <w:ind w:right="20" w:firstLine="287"/>
        <w:spacing w:after="0" w:line="381" w:lineRule="auto"/>
        <w:rPr>
          <w:sz w:val="20"/>
          <w:szCs w:val="20"/>
          <w:color w:val="auto"/>
        </w:rPr>
      </w:pPr>
      <w:r>
        <w:rPr>
          <w:sz w:val="1"/>
          <w:szCs w:val="1"/>
          <w:color w:val="auto"/>
        </w:rPr>
        <w:drawing>
          <wp:inline distT="0" distB="0" distL="0" distR="0">
            <wp:extent cx="303530" cy="30353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3530" cy="303530"/>
                    </a:xfrm>
                    <a:prstGeom prst="rect">
                      <a:avLst/>
                    </a:prstGeom>
                    <a:noFill/>
                    <a:ln>
                      <a:noFill/>
                    </a:ln>
                  </pic:spPr>
                </pic:pic>
              </a:graphicData>
            </a:graphic>
          </wp:inline>
        </w:drawing>
      </w:r>
      <w:r>
        <w:rPr>
          <w:rFonts w:ascii="Arial" w:cs="Arial" w:eastAsia="Arial" w:hAnsi="Arial"/>
          <w:sz w:val="16"/>
          <w:szCs w:val="16"/>
          <w:i w:val="1"/>
          <w:iCs w:val="1"/>
          <w:color w:val="auto"/>
        </w:rPr>
        <w:t xml:space="preserve"> Quality Execution</w:t>
      </w:r>
      <w:r>
        <w:rPr>
          <w:rFonts w:ascii="Arial" w:cs="Arial" w:eastAsia="Arial" w:hAnsi="Arial"/>
          <w:sz w:val="16"/>
          <w:szCs w:val="16"/>
          <w:color w:val="auto"/>
        </w:rPr>
        <w:t>. We perform regular and rigorous reviews of the execution quality our customers receive from our securities market makers,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execution price, speed and price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5080</wp:posOffset>
            </wp:positionV>
            <wp:extent cx="303530" cy="394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3530" cy="3943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right="20" w:firstLine="809"/>
        <w:spacing w:after="0" w:line="280" w:lineRule="auto"/>
        <w:rPr>
          <w:sz w:val="20"/>
          <w:szCs w:val="20"/>
          <w:color w:val="auto"/>
        </w:rPr>
      </w:pPr>
      <w:r>
        <w:rPr>
          <w:rFonts w:ascii="Arial" w:cs="Arial" w:eastAsia="Arial" w:hAnsi="Arial"/>
          <w:sz w:val="16"/>
          <w:szCs w:val="16"/>
          <w:i w:val="1"/>
          <w:iCs w:val="1"/>
          <w:color w:val="auto"/>
        </w:rPr>
        <w:t>High Security Standards</w:t>
      </w:r>
      <w:r>
        <w:rPr>
          <w:rFonts w:ascii="Arial" w:cs="Arial" w:eastAsia="Arial" w:hAnsi="Arial"/>
          <w:sz w:val="16"/>
          <w:szCs w:val="16"/>
          <w:color w:val="auto"/>
        </w:rPr>
        <w:t>. We are committed to keeping our customers’ accounts safe. We offer security tools, including two-factor authorization,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 promise to reimburse direct losses that happen due to unauthorized activity that is not the fault of our customer.</w:t>
      </w:r>
    </w:p>
    <w:p>
      <w:pPr>
        <w:spacing w:after="0" w:line="137" w:lineRule="exact"/>
        <w:rPr>
          <w:sz w:val="20"/>
          <w:szCs w:val="20"/>
          <w:color w:val="auto"/>
        </w:rPr>
      </w:pPr>
    </w:p>
    <w:p>
      <w:pPr>
        <w:jc w:val="both"/>
        <w:ind w:firstLine="287"/>
        <w:spacing w:after="0" w:line="268" w:lineRule="auto"/>
        <w:rPr>
          <w:sz w:val="20"/>
          <w:szCs w:val="20"/>
          <w:color w:val="auto"/>
        </w:rPr>
      </w:pPr>
      <w:r>
        <w:rPr>
          <w:sz w:val="1"/>
          <w:szCs w:val="1"/>
          <w:color w:val="auto"/>
        </w:rPr>
        <w:drawing>
          <wp:inline distT="0" distB="0" distL="0" distR="0">
            <wp:extent cx="303530" cy="30353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3530" cy="303530"/>
                    </a:xfrm>
                    <a:prstGeom prst="rect">
                      <a:avLst/>
                    </a:prstGeom>
                    <a:noFill/>
                    <a:ln>
                      <a:noFill/>
                    </a:ln>
                  </pic:spPr>
                </pic:pic>
              </a:graphicData>
            </a:graphic>
          </wp:inline>
        </w:drawing>
      </w:r>
      <w:r>
        <w:rPr>
          <w:rFonts w:ascii="Arial" w:cs="Arial" w:eastAsia="Arial" w:hAnsi="Arial"/>
          <w:sz w:val="16"/>
          <w:szCs w:val="16"/>
          <w:i w:val="1"/>
          <w:iCs w:val="1"/>
          <w:color w:val="auto"/>
        </w:rPr>
        <w:t xml:space="preserve"> Extra Protection</w:t>
      </w:r>
      <w:r>
        <w:rPr>
          <w:rFonts w:ascii="Arial" w:cs="Arial" w:eastAsia="Arial" w:hAnsi="Arial"/>
          <w:sz w:val="16"/>
          <w:szCs w:val="16"/>
          <w:color w:val="auto"/>
        </w:rPr>
        <w:t>. RHF and RHS are members of Securities Investor Protection Corporation (“SIPC”), which protects against the loss of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of its members up to $500,000 (including $250,000 for claims for cash). In addition to SIPC protection, Robinhood provides its brokerage customers with additional "excess of SIPC" coverage, which provides an aggregate of $ 100 million of coverage—up to $1.5 million for cash and $10.0 million for securities per customer. Further, our Cash Management product places customer cash with FDIC-insured banks.</w:t>
      </w:r>
    </w:p>
    <w:p>
      <w:pPr>
        <w:spacing w:after="0" w:line="153" w:lineRule="exact"/>
        <w:rPr>
          <w:sz w:val="20"/>
          <w:szCs w:val="20"/>
          <w:color w:val="auto"/>
        </w:rPr>
      </w:pPr>
    </w:p>
    <w:p>
      <w:pPr>
        <w:jc w:val="both"/>
        <w:ind w:firstLine="287"/>
        <w:spacing w:after="0" w:line="275" w:lineRule="auto"/>
        <w:rPr>
          <w:sz w:val="20"/>
          <w:szCs w:val="20"/>
          <w:color w:val="auto"/>
        </w:rPr>
      </w:pPr>
      <w:r>
        <w:rPr>
          <w:sz w:val="1"/>
          <w:szCs w:val="1"/>
          <w:color w:val="auto"/>
        </w:rPr>
        <w:drawing>
          <wp:inline distT="0" distB="0" distL="0" distR="0">
            <wp:extent cx="303530" cy="30353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3530" cy="303530"/>
                    </a:xfrm>
                    <a:prstGeom prst="rect">
                      <a:avLst/>
                    </a:prstGeom>
                    <a:noFill/>
                    <a:ln>
                      <a:noFill/>
                    </a:ln>
                  </pic:spPr>
                </pic:pic>
              </a:graphicData>
            </a:graphic>
          </wp:inline>
        </w:drawing>
      </w:r>
      <w:r>
        <w:rPr>
          <w:rFonts w:ascii="Arial" w:cs="Arial" w:eastAsia="Arial" w:hAnsi="Arial"/>
          <w:sz w:val="16"/>
          <w:szCs w:val="16"/>
          <w:i w:val="1"/>
          <w:iCs w:val="1"/>
          <w:color w:val="auto"/>
        </w:rPr>
        <w:t xml:space="preserve"> Dedicated Support</w:t>
      </w:r>
      <w:r>
        <w:rPr>
          <w:rFonts w:ascii="Arial" w:cs="Arial" w:eastAsia="Arial" w:hAnsi="Arial"/>
          <w:sz w:val="16"/>
          <w:szCs w:val="16"/>
          <w:color w:val="auto"/>
        </w:rPr>
        <w:t>. We aim to respond to our customers as quickly as possible to resolve issues swiftly and will continue to invest in expanding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support functions. We have a growing team of hundreds of registered financial representatives across the United States who are focused on one thing: our customers.</w:t>
      </w:r>
    </w:p>
    <w:p>
      <w:pPr>
        <w:spacing w:after="0" w:line="151" w:lineRule="exact"/>
        <w:rPr>
          <w:sz w:val="20"/>
          <w:szCs w:val="20"/>
          <w:color w:val="auto"/>
        </w:rPr>
      </w:pPr>
    </w:p>
    <w:p>
      <w:pPr>
        <w:jc w:val="both"/>
        <w:ind w:right="20" w:firstLine="287"/>
        <w:spacing w:after="0" w:line="380" w:lineRule="auto"/>
        <w:rPr>
          <w:sz w:val="20"/>
          <w:szCs w:val="20"/>
          <w:color w:val="auto"/>
        </w:rPr>
      </w:pPr>
      <w:r>
        <w:rPr>
          <w:sz w:val="1"/>
          <w:szCs w:val="1"/>
          <w:color w:val="auto"/>
        </w:rPr>
        <w:drawing>
          <wp:inline distT="0" distB="0" distL="0" distR="0">
            <wp:extent cx="303530" cy="30353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3530" cy="303530"/>
                    </a:xfrm>
                    <a:prstGeom prst="rect">
                      <a:avLst/>
                    </a:prstGeom>
                    <a:noFill/>
                    <a:ln>
                      <a:noFill/>
                    </a:ln>
                  </pic:spPr>
                </pic:pic>
              </a:graphicData>
            </a:graphic>
          </wp:inline>
        </w:drawing>
      </w:r>
      <w:r>
        <w:rPr>
          <w:rFonts w:ascii="Arial" w:cs="Arial" w:eastAsia="Arial" w:hAnsi="Arial"/>
          <w:sz w:val="16"/>
          <w:szCs w:val="16"/>
          <w:i w:val="1"/>
          <w:iCs w:val="1"/>
          <w:color w:val="auto"/>
        </w:rPr>
        <w:t xml:space="preserve"> Transparency</w:t>
      </w:r>
      <w:r>
        <w:rPr>
          <w:rFonts w:ascii="Arial" w:cs="Arial" w:eastAsia="Arial" w:hAnsi="Arial"/>
          <w:sz w:val="16"/>
          <w:szCs w:val="16"/>
          <w:color w:val="auto"/>
        </w:rPr>
        <w:t>. We aim to operate a transparent business model. We currently dedicate a portion of our website to describing how we make money</w:t>
      </w:r>
      <w:r>
        <w:rPr>
          <w:rFonts w:ascii="Arial" w:cs="Arial" w:eastAsia="Arial" w:hAnsi="Arial"/>
          <w:sz w:val="16"/>
          <w:szCs w:val="16"/>
          <w:i w:val="1"/>
          <w:iCs w:val="1"/>
          <w:color w:val="auto"/>
        </w:rPr>
        <w:t xml:space="preserve"> </w:t>
      </w:r>
      <w:r>
        <w:rPr>
          <w:rFonts w:ascii="Arial" w:cs="Arial" w:eastAsia="Arial" w:hAnsi="Arial"/>
          <w:sz w:val="16"/>
          <w:szCs w:val="16"/>
          <w:color w:val="auto"/>
        </w:rPr>
        <w:t>and we will continue to keep our customers informed about how we generate revenue.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1260"/>
          </w:cols>
          <w:pgMar w:left="320" w:top="1440" w:right="319" w:bottom="1440"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324485</wp:posOffset>
            </wp:positionV>
            <wp:extent cx="6191885" cy="8013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Our Products</w:t>
      </w:r>
    </w:p>
    <w:p>
      <w:pPr>
        <w:spacing w:after="0" w:line="17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believe our products can transform the relationship people have with the financial system. We began by offering our customers the ability to buy and sell equities on a mobile-first platform and have since continued to expand our offerings to add products and features that our customers try and love. Each capability we have added has been the result of a continuous focus on our customers’ needs and feedback, which has guided our product development decisions throughout our history.</w:t>
      </w:r>
    </w:p>
    <w:p>
      <w:pPr>
        <w:spacing w:after="0" w:line="147"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The core tenet of the Robinhood offering—expanding access to our financial system through products that empower people to learn, participate, and grow —underpins each of our offerings. We remain focused on building the best products, and ultimately aim to be the single money app to serve all of our customers’ financial needs.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Investing Solutions</w:t>
      </w:r>
    </w:p>
    <w:p>
      <w:pPr>
        <w:spacing w:after="0" w:line="19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Our platform allows our customers to invest commission-free in stocks, ETFs and options—all from their smartphone. We believe we have designed an elegant, intuitive investing interface that provides our customers with trading functionality and market information such as historical prices, valuation multiples, recent news, analyst ratings, and more. Stock and ETF trading is immediately available following our simple account onboarding process and funding. Through Robinhood Gold, our monthly paid subscription service, our customers can access premium features such as enhanced instant access to deposits, professional research, Nasdaq Level II market data and, upon approval, access to margin investing, as further described under “—Robinhood Gold” below. Buying and selling of select cryptocurrencies is also available through RHC, as further described under “—Robinhood Crypto” below.</w:t>
      </w:r>
    </w:p>
    <w:p>
      <w:pPr>
        <w:spacing w:after="0" w:line="148"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We review eligibility for our customers who wish to trade options, including disclosure of investment experience and knowledge, investment objectives and financial information. Subject to approval from Robinhood, customers can access basic options strategies (Level 2), which permits buying calls and puts and selling covered calls and puts, or more advanced options strategies (Level 3), which permits fixed-risk spreads (such as credit spreads and iron condors) and other advanced trading strategies, depending on their individually disclosed preparedness. We conduct regular reviews of our customers’ eligibility and take action to revoke access to trading options as appropriate, to ensure our customers are accessing the level of options strategies that are appropriate for them based on information such as their trading experience, investment objectives and financial situation.</w:t>
      </w:r>
    </w:p>
    <w:p>
      <w:pPr>
        <w:spacing w:after="0" w:line="148"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As we have built out our offerings, we have also added fractional shares, recurring investments and IPO Access to help our customers diversify their investments regardless of their portfolio size:</w:t>
      </w:r>
    </w:p>
    <w:p>
      <w:pPr>
        <w:spacing w:after="0" w:line="135" w:lineRule="exact"/>
        <w:rPr>
          <w:sz w:val="20"/>
          <w:szCs w:val="20"/>
          <w:color w:val="auto"/>
        </w:rPr>
      </w:pPr>
    </w:p>
    <w:p>
      <w:pPr>
        <w:jc w:val="both"/>
        <w:ind w:left="560" w:hanging="278"/>
        <w:spacing w:after="0" w:line="257" w:lineRule="auto"/>
        <w:tabs>
          <w:tab w:leader="none" w:pos="556"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Fractional shares</w:t>
      </w:r>
      <w:r>
        <w:rPr>
          <w:rFonts w:ascii="Arial" w:cs="Arial" w:eastAsia="Arial" w:hAnsi="Arial"/>
          <w:sz w:val="16"/>
          <w:szCs w:val="16"/>
          <w:color w:val="auto"/>
        </w:rPr>
        <w:t>. Fractional share trading allows customers to invest in fractions of a share of stock, rather than requiring them to buy and sell whole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We have seen rapid adoption of this offering and, in the first quarter of 2021 alone, over 40% of customer equity trades by number were fractional trades. This service enables customers to build a diversified portfolio regardless of their budget and removes a barrier to investing in higher-priced stocks, thereby providing access to a much greater selection of equities with as little as $1. From our launch of fractional shares in 2019 to March 31, 2021, approximately 11 million customers have placed a fractional trade on Robinhood.</w:t>
      </w:r>
    </w:p>
    <w:p>
      <w:pPr>
        <w:spacing w:after="0" w:line="126" w:lineRule="exact"/>
        <w:rPr>
          <w:rFonts w:ascii="Arial" w:cs="Arial" w:eastAsia="Arial" w:hAnsi="Arial"/>
          <w:sz w:val="16"/>
          <w:szCs w:val="16"/>
          <w:color w:val="auto"/>
        </w:rPr>
      </w:pPr>
    </w:p>
    <w:p>
      <w:pPr>
        <w:jc w:val="both"/>
        <w:ind w:left="560" w:hanging="278"/>
        <w:spacing w:after="0" w:line="265" w:lineRule="auto"/>
        <w:tabs>
          <w:tab w:leader="none" w:pos="556"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Recurring investments. </w:t>
      </w:r>
      <w:r>
        <w:rPr>
          <w:rFonts w:ascii="Arial" w:cs="Arial" w:eastAsia="Arial" w:hAnsi="Arial"/>
          <w:sz w:val="16"/>
          <w:szCs w:val="16"/>
          <w:color w:val="auto"/>
        </w:rPr>
        <w:t>Our recurring investment feature enables our customers to automatically buy shares of equities and certain ETFs on a set</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 allowing them to build positions over time and establish regular investing habits, even with small contributions. Our customers can also elect to automatically reinvest dividend income back into the underlying respective shares.</w:t>
      </w:r>
    </w:p>
    <w:p>
      <w:pPr>
        <w:spacing w:after="0" w:line="119" w:lineRule="exact"/>
        <w:rPr>
          <w:rFonts w:ascii="Arial" w:cs="Arial" w:eastAsia="Arial" w:hAnsi="Arial"/>
          <w:sz w:val="16"/>
          <w:szCs w:val="16"/>
          <w:color w:val="auto"/>
        </w:rPr>
      </w:pPr>
    </w:p>
    <w:p>
      <w:pPr>
        <w:ind w:left="560" w:right="20" w:hanging="278"/>
        <w:spacing w:after="0" w:line="280" w:lineRule="auto"/>
        <w:tabs>
          <w:tab w:leader="none" w:pos="556"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IPO Access</w:t>
      </w:r>
      <w:r>
        <w:rPr>
          <w:rFonts w:ascii="Arial" w:cs="Arial" w:eastAsia="Arial" w:hAnsi="Arial"/>
          <w:sz w:val="16"/>
          <w:szCs w:val="16"/>
          <w:color w:val="auto"/>
        </w:rPr>
        <w:t>. Our IPO Access feature enables our customers to buy shares in participating IPOs at the IPO price, before trading begins on public</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exchanges. With IPO Access, our customers can participate with no account minimums.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1260"/>
          </w:cols>
          <w:pgMar w:left="320" w:top="1440" w:right="319" w:bottom="1440" w:gutter="0" w:footer="0" w:header="0"/>
        </w:sectPr>
      </w:pPr>
    </w:p>
    <w:bookmarkStart w:id="210" w:name="page211"/>
    <w:bookmarkEnd w:id="210"/>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Investing with Robinhood: How It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116205</wp:posOffset>
            </wp:positionV>
            <wp:extent cx="4735195" cy="26631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35195" cy="266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Robinhood Crypto</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offer commission-free cryptocurrency trading through our subsidiary, RHC, using the same intuitive, mobile interface as our broader Investing Solutions platform. We originally launched our crypto trading product in February 2018 in five states and supported trading in two cryptocurrencies. As of March 31, 2021, we have expanded our coverage to 46 states and Washington D.C., and support trading in seven different cryptocurrencies: Bitcoin, Bitcoin Cash, Bitcoin SV, Dogecoin, Ethereum, Ethereum Classic and Litecoin. In addition, we support real-time market data for 10 cryptocurrencies, which is available to all customers. In the first quarter of 2021 alone, we saw over 9.5 million customers trade approximately $88 billion of cryptocurrency on our platform, and we held approximately $12 billion in cryptocurrency Assets Under Custody as of March 31, 2021, a 23-fold increase from March 31, 2020.</w:t>
      </w:r>
    </w:p>
    <w:p>
      <w:pPr>
        <w:spacing w:after="0" w:line="160"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RHC does not currently permit customers to deposit and withdraw fiat and cryptocurrencies directly with RHC, and neither RHF nor RHS holds cryptocurrencies for RHC customers. Therefore, in order to participate in cryptocurrency trading on our platform, customers must have both a brokerage account with RHF and sufficient fiat funds available in such brokerage account to fund cryptocurrency purchases made through RHC; customers must also have a brokerage account into which proceeds from the sale of the customer’s cryptocurrency can be credited. RHC engages with third-party market makers to provide liquidity for customer crypto trading and all orders placed on RHC are routed to market makers for execution. Specifically, when an RHC customer places an order to purchase cryptocurrency, the customer authorizes the transfer of funds from their RHF brokerage account to an RHC-owned account at RHS, RHS takes the customer's instructions and causes the customer's cash funds to be transferred to the RHC-owned account at RHS, and RHC relies on this cash transfer to place the cryptocurrency trade with a third-party market maker. The fiat in the customer account at RHF and in the RHC-owned account at RHS is custodied by RHS at the same third-party national bank. Similarly, if a customer instructs RHC to sell a cryptocurrency, RHC sends the customer order to a third-party market maker for execution. The proceeds from the sale of the cryptocurrency are deposited by RHC to the customer's RHF brokerage account custodied by RHS while RHC separately settles with its market makers through the RHC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1260"/>
          </w:cols>
          <w:pgMar w:left="320" w:top="1440" w:right="319" w:bottom="1440" w:gutter="0" w:footer="0" w:header="0"/>
        </w:sectPr>
      </w:pPr>
    </w:p>
    <w:bookmarkStart w:id="211" w:name="page212"/>
    <w:bookmarkEnd w:id="211"/>
    <w:p>
      <w:pPr>
        <w:spacing w:after="0" w:line="2"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settlement bank. Accordingly, to facilitate fiat settlement with market makers, RHC and its market makers each have banking relationships with third-party banks. For more information about RHC’s relationships with third-party banks and trading venues, see “Risk Factors—Risks Related to Our Cryptocurrency Products and Services—</w:t>
      </w:r>
      <w:r>
        <w:rPr>
          <w:rFonts w:ascii="Arial" w:cs="Arial" w:eastAsia="Arial" w:hAnsi="Arial"/>
          <w:sz w:val="16"/>
          <w:szCs w:val="16"/>
          <w:i w:val="1"/>
          <w:iCs w:val="1"/>
          <w:color w:val="auto"/>
        </w:rPr>
        <w:t>Any inability to maintain adequate relationships with affiliates, third-party banks and trading venues with respect to, and any inability to</w:t>
      </w:r>
      <w:r>
        <w:rPr>
          <w:rFonts w:ascii="Arial" w:cs="Arial" w:eastAsia="Arial" w:hAnsi="Arial"/>
          <w:sz w:val="16"/>
          <w:szCs w:val="16"/>
          <w:color w:val="auto"/>
        </w:rPr>
        <w:t xml:space="preserve"> </w:t>
      </w:r>
      <w:r>
        <w:rPr>
          <w:rFonts w:ascii="Arial" w:cs="Arial" w:eastAsia="Arial" w:hAnsi="Arial"/>
          <w:sz w:val="16"/>
          <w:szCs w:val="16"/>
          <w:i w:val="1"/>
          <w:iCs w:val="1"/>
          <w:color w:val="auto"/>
        </w:rPr>
        <w:t>settle customer trades related to, RHC’s cryptocurrency offerings, may adversely affect our business, financial condition and results of operations</w:t>
      </w:r>
      <w:r>
        <w:rPr>
          <w:rFonts w:ascii="Arial" w:cs="Arial" w:eastAsia="Arial" w:hAnsi="Arial"/>
          <w:sz w:val="16"/>
          <w:szCs w:val="16"/>
          <w:color w:val="auto"/>
        </w:rPr>
        <w:t>.”</w:t>
      </w:r>
    </w:p>
    <w:p>
      <w:pPr>
        <w:spacing w:after="0" w:line="15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believe our status as one of the largest retail cryptocurrency platforms, as well as our customer-centric approach to new product development, positions us well to further build out our suite of features and capabilities. We continue to invest in our cryptocurrency trading offering, evaluating new features and product capabilities as the cryptocurrency landscape develops. For example, we intend to provide our customers with the ability to deposit or withdraw our seven traded cryptocurrencies into or from our platform, and, relatedly, to allow customer transfers of fiat to and from RHC other than via their RHF brokerage accounts as described above, in the future. We are working on building the administrative, technical and physical safeguards and money transmitter policies and procedures and investing in the key personnel necessary to implement these new product features. Enabling deposits and withdrawals of cryptocurrencies on our platform is primarily a technology build involving a cross-functional team of employees spanning our technology, product, legal, risk and compliance departments. We have increased hiring across engineering, security, and compliance to support the RHC business and appointed a new Chief Operating Officer of RHC. We cannot currently predict an exact timeline for when we will be able to offer these new features and any unexpected difficulty we encounter in implementing such features could result in a delay. For more information about the risks associated with RHC’s existing and potential future cryptocurrency offerings, including heightened risks related to potential violations of trade sanctions, including OFAC regulations, and anti-money laundering and counter-terrorist financing laws, see “—Legal Proceedings—RHC Anti-Money Laundering, Cybersecurity and Other Issues” and “Risk Factors—Risks Related to Our Cryptocurrency Products and Services—</w:t>
      </w:r>
      <w:r>
        <w:rPr>
          <w:rFonts w:ascii="Arial" w:cs="Arial" w:eastAsia="Arial" w:hAnsi="Arial"/>
          <w:sz w:val="16"/>
          <w:szCs w:val="16"/>
          <w:i w:val="1"/>
          <w:iCs w:val="1"/>
          <w:color w:val="auto"/>
        </w:rPr>
        <w:t>If in the future we were to allow customers to deposit and withdraw cryptocurrencies into and from our platform, such</w:t>
      </w:r>
      <w:r>
        <w:rPr>
          <w:rFonts w:ascii="Arial" w:cs="Arial" w:eastAsia="Arial" w:hAnsi="Arial"/>
          <w:sz w:val="16"/>
          <w:szCs w:val="16"/>
          <w:color w:val="auto"/>
        </w:rPr>
        <w:t xml:space="preserve"> </w:t>
      </w:r>
      <w:r>
        <w:rPr>
          <w:rFonts w:ascii="Arial" w:cs="Arial" w:eastAsia="Arial" w:hAnsi="Arial"/>
          <w:sz w:val="16"/>
          <w:szCs w:val="16"/>
          <w:i w:val="1"/>
          <w:iCs w:val="1"/>
          <w:color w:val="auto"/>
        </w:rPr>
        <w:t>deposits and withdrawals could result in loss of customer assets, customer disputes and other liabilities, which could adversely impact our business, financial condition and results of operations</w:t>
      </w:r>
      <w:r>
        <w:rPr>
          <w:rFonts w:ascii="Arial" w:cs="Arial" w:eastAsia="Arial" w:hAnsi="Arial"/>
          <w:sz w:val="16"/>
          <w:szCs w:val="16"/>
          <w:color w:val="auto"/>
        </w:rPr>
        <w: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94615</wp:posOffset>
            </wp:positionV>
            <wp:extent cx="4735195" cy="26485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3519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189</w:t>
      </w:r>
    </w:p>
    <w:p>
      <w:pPr>
        <w:sectPr>
          <w:pgSz w:w="11900" w:h="16838" w:orient="portrait"/>
          <w:cols w:equalWidth="0" w:num="1">
            <w:col w:w="11260"/>
          </w:cols>
          <w:pgMar w:left="320" w:top="1440" w:right="319" w:bottom="1440" w:gutter="0" w:footer="0" w:header="0"/>
        </w:sectPr>
      </w:pPr>
    </w:p>
    <w:bookmarkStart w:id="212" w:name="page213"/>
    <w:bookmarkEnd w:id="212"/>
    <w:p>
      <w:pPr>
        <w:spacing w:after="0"/>
        <w:rPr>
          <w:sz w:val="20"/>
          <w:szCs w:val="20"/>
          <w:color w:val="auto"/>
        </w:rPr>
      </w:pPr>
      <w:r>
        <w:rPr>
          <w:rFonts w:ascii="Arial" w:cs="Arial" w:eastAsia="Arial" w:hAnsi="Arial"/>
          <w:sz w:val="19"/>
          <w:szCs w:val="19"/>
          <w:b w:val="1"/>
          <w:bCs w:val="1"/>
          <w:i w:val="1"/>
          <w:iCs w:val="1"/>
          <w:color w:val="auto"/>
        </w:rPr>
        <w:t>Robinhood Gold</w:t>
      </w:r>
    </w:p>
    <w:p>
      <w:pPr>
        <w:spacing w:after="0" w:line="19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Robinhood Gold is a monthly subscription service that grants our customers access to a number of premium features. After the initial 30-day free trial, customers pay a flat monthly rate. As of March 31, 2021, we had approximately 1.4 million customers subscribed to Robinhood Gold on our platform. Our premium features offered to Gold subscribers include:</w:t>
      </w:r>
    </w:p>
    <w:p>
      <w:pPr>
        <w:spacing w:after="0" w:line="129" w:lineRule="exact"/>
        <w:rPr>
          <w:sz w:val="20"/>
          <w:szCs w:val="20"/>
          <w:color w:val="auto"/>
        </w:rPr>
      </w:pPr>
    </w:p>
    <w:p>
      <w:pPr>
        <w:ind w:left="560" w:hanging="278"/>
        <w:spacing w:after="0"/>
        <w:tabs>
          <w:tab w:leader="none" w:pos="5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Enhanced instant access to deposits. </w:t>
      </w:r>
      <w:r>
        <w:rPr>
          <w:rFonts w:ascii="Arial" w:cs="Arial" w:eastAsia="Arial" w:hAnsi="Arial"/>
          <w:sz w:val="16"/>
          <w:szCs w:val="16"/>
          <w:color w:val="auto"/>
        </w:rPr>
        <w:t>Subscribers can instantly access $5,000 to $50,000 upon making a deposit, depending on their portfolio value.</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Professional research. </w:t>
      </w:r>
      <w:r>
        <w:rPr>
          <w:rFonts w:ascii="Arial" w:cs="Arial" w:eastAsia="Arial" w:hAnsi="Arial"/>
          <w:sz w:val="16"/>
          <w:szCs w:val="16"/>
          <w:color w:val="auto"/>
        </w:rPr>
        <w:t>Subscribers have unlimited access to in-depth stock research reports on approximately 1,000 stocks through Morningstar.</w:t>
      </w:r>
    </w:p>
    <w:p>
      <w:pPr>
        <w:spacing w:after="0" w:line="174" w:lineRule="exact"/>
        <w:rPr>
          <w:rFonts w:ascii="Arial" w:cs="Arial" w:eastAsia="Arial" w:hAnsi="Arial"/>
          <w:sz w:val="16"/>
          <w:szCs w:val="16"/>
          <w:color w:val="auto"/>
        </w:rPr>
      </w:pPr>
    </w:p>
    <w:p>
      <w:pPr>
        <w:ind w:left="560" w:right="20" w:hanging="278"/>
        <w:spacing w:after="0" w:line="280" w:lineRule="auto"/>
        <w:tabs>
          <w:tab w:leader="none" w:pos="556"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Nasdaq Level II market data. </w:t>
      </w:r>
      <w:r>
        <w:rPr>
          <w:rFonts w:ascii="Arial" w:cs="Arial" w:eastAsia="Arial" w:hAnsi="Arial"/>
          <w:sz w:val="16"/>
          <w:szCs w:val="16"/>
          <w:color w:val="auto"/>
        </w:rPr>
        <w:t>Subscribers have the ability to see greater depth of orders for any given stock or option. The ability to see multiple buy</w:t>
      </w:r>
      <w:r>
        <w:rPr>
          <w:rFonts w:ascii="Arial" w:cs="Arial" w:eastAsia="Arial" w:hAnsi="Arial"/>
          <w:sz w:val="16"/>
          <w:szCs w:val="16"/>
          <w:i w:val="1"/>
          <w:iCs w:val="1"/>
          <w:color w:val="auto"/>
        </w:rPr>
        <w:t xml:space="preserve"> </w:t>
      </w:r>
      <w:r>
        <w:rPr>
          <w:rFonts w:ascii="Arial" w:cs="Arial" w:eastAsia="Arial" w:hAnsi="Arial"/>
          <w:sz w:val="16"/>
          <w:szCs w:val="16"/>
          <w:color w:val="auto"/>
        </w:rPr>
        <w:t>and sell requests helps subscribers understand the availability or desire for a stock at a certain price.</w:t>
      </w:r>
    </w:p>
    <w:p>
      <w:pPr>
        <w:spacing w:after="0" w:line="96" w:lineRule="exact"/>
        <w:rPr>
          <w:rFonts w:ascii="Arial" w:cs="Arial" w:eastAsia="Arial" w:hAnsi="Arial"/>
          <w:sz w:val="16"/>
          <w:szCs w:val="16"/>
          <w:color w:val="auto"/>
        </w:rPr>
      </w:pPr>
    </w:p>
    <w:p>
      <w:pPr>
        <w:jc w:val="both"/>
        <w:ind w:left="560" w:right="20" w:hanging="278"/>
        <w:spacing w:after="0" w:line="224" w:lineRule="auto"/>
        <w:tabs>
          <w:tab w:leader="none" w:pos="556"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Access to investing on margin. </w:t>
      </w:r>
      <w:r>
        <w:rPr>
          <w:rFonts w:ascii="Arial" w:cs="Arial" w:eastAsia="Arial" w:hAnsi="Arial"/>
          <w:sz w:val="16"/>
          <w:szCs w:val="16"/>
          <w:color w:val="auto"/>
        </w:rPr>
        <w:t>Subject to approval upon meeting eligibility criteria set by Robinhood, subscribers can invest on margin at highly</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interest rates. This allows eligible subscribers to borrow a limited amount of funds, depending on account size, to use as additional investing capital. The first $1,000 in margin borrowed by each user is included in their monthly Gold subscription fee, meaning that no interest is charged on that initial $1,000 (but that initial $1,000 remains subject to ordinary margin collateral requirements). If the subscriber chooses to borrow more funds, the subscriber will be charged 2.5% annual interest on any margin used above $1,000, which interest is calculated daily and charged to the subscriber’s account at the end of each billing cycle. Robinhood decides whether to extend margin to each customer who applies for access based on information regarding customer activity, portfolio equity or net worth criteria, investment objectives and investing experience reported by the customer, and does not run third-party credit checks on applicants.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1260"/>
          </w:cols>
          <w:pgMar w:left="320" w:top="1426" w:right="319" w:bottom="1440" w:gutter="0" w:footer="0" w:header="0"/>
        </w:sectPr>
      </w:pPr>
    </w:p>
    <w:bookmarkStart w:id="213" w:name="page214"/>
    <w:bookmarkEnd w:id="213"/>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Robinhood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116205</wp:posOffset>
            </wp:positionV>
            <wp:extent cx="4735195" cy="44316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35195" cy="443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Management</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Cash Management product is available on our platform for customers with a Robinhood brokerage account. It provides additional value to our brokerage customers by allowing them to earn interest on idle cash swept to our partner banks and spend cash through an optional Robinhood-branded Mastercard debit card (available in either physical or virtual form). As of March 31, 2021, we had more than 3.4 million debit card holders under our Cash Management product. There are no hidden fees—no maintenance fees or minimum balances, no overdraft fees, no transfer fees, no foreign transaction fees, and no monthly fees. Our customers are able to fund their accounts through either a bank transfer or direct deposit and have free access to their funds from over 75,000 ATMs. Our customers who opt in to Cash Management elect to participate in a deposit sweep program—the IntraFi Network Deposit Sweep Service—and will have their uninvested cash automatically swept, or moved, into deposits at a network of program banks. Through Cash Management, cash deposited at these banks is eligible for FDIC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1260"/>
          </w:cols>
          <w:pgMar w:left="320" w:top="1440" w:right="319" w:bottom="1440" w:gutter="0" w:footer="0" w:header="0"/>
        </w:sectPr>
      </w:pPr>
    </w:p>
    <w:bookmarkStart w:id="214" w:name="page215"/>
    <w:bookmarkEnd w:id="214"/>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up to a total maximum of $1.25 million (up to $250,000 per program bank, inclusive of any deposits a customer may already hold at the bank in the same ownership capacity).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Cash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108585</wp:posOffset>
            </wp:positionV>
            <wp:extent cx="4735195" cy="26631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35195" cy="266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Learning &amp; Education Solutions</w:t>
      </w:r>
    </w:p>
    <w:p>
      <w:pPr>
        <w:spacing w:after="0" w:line="19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Investing, while an opportunity to partake in the broader financial ecosystem, can also be complex and confusing for those who are new to it. While we do not provide investment advice or recommendations to our customers, we are committed to helping our customers build sustainable, long-term financial success and to offering a variety of educational tools and resources to help them achieve their goals and maximize their financial well-being, including:</w:t>
      </w:r>
    </w:p>
    <w:p>
      <w:pPr>
        <w:spacing w:after="0" w:line="129" w:lineRule="exact"/>
        <w:rPr>
          <w:sz w:val="20"/>
          <w:szCs w:val="20"/>
          <w:color w:val="auto"/>
        </w:rPr>
      </w:pPr>
    </w:p>
    <w:p>
      <w:pPr>
        <w:jc w:val="both"/>
        <w:ind w:left="560" w:right="20" w:hanging="278"/>
        <w:spacing w:after="0" w:line="265" w:lineRule="auto"/>
        <w:tabs>
          <w:tab w:leader="none" w:pos="556"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Robinhood Snacks (32 million subscribers as of March 31, 2021)</w:t>
      </w:r>
      <w:r>
        <w:rPr>
          <w:rFonts w:ascii="Arial" w:cs="Arial" w:eastAsia="Arial" w:hAnsi="Arial"/>
          <w:sz w:val="16"/>
          <w:szCs w:val="16"/>
          <w:color w:val="auto"/>
        </w:rPr>
        <w:t>. “Snacks” is a curated digest of business news stories delivered both daily and weekly.</w:t>
      </w:r>
      <w:r>
        <w:rPr>
          <w:rFonts w:ascii="Arial" w:cs="Arial" w:eastAsia="Arial" w:hAnsi="Arial"/>
          <w:sz w:val="16"/>
          <w:szCs w:val="16"/>
          <w:i w:val="1"/>
          <w:iCs w:val="1"/>
          <w:color w:val="auto"/>
        </w:rPr>
        <w:t xml:space="preserve"> </w:t>
      </w:r>
      <w:r>
        <w:rPr>
          <w:rFonts w:ascii="Arial" w:cs="Arial" w:eastAsia="Arial" w:hAnsi="Arial"/>
          <w:sz w:val="16"/>
          <w:szCs w:val="16"/>
          <w:color w:val="auto"/>
        </w:rPr>
        <w:t>Snacks can be accessed in written, audio or video formats, including via a podcast and newsletter, and allows subscribers to start their days with the top business news of the day in an accessible, digestible format.</w:t>
      </w:r>
    </w:p>
    <w:p>
      <w:pPr>
        <w:spacing w:after="0" w:line="119" w:lineRule="exact"/>
        <w:rPr>
          <w:rFonts w:ascii="Arial" w:cs="Arial" w:eastAsia="Arial" w:hAnsi="Arial"/>
          <w:sz w:val="16"/>
          <w:szCs w:val="16"/>
          <w:color w:val="auto"/>
        </w:rPr>
      </w:pPr>
    </w:p>
    <w:p>
      <w:pPr>
        <w:jc w:val="both"/>
        <w:ind w:left="560" w:hanging="278"/>
        <w:spacing w:after="0" w:line="259" w:lineRule="auto"/>
        <w:tabs>
          <w:tab w:leader="none" w:pos="556"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Robinhood Learn (more than 7 million cumulative views as of March 31, 2021)</w:t>
      </w:r>
      <w:r>
        <w:rPr>
          <w:rFonts w:ascii="Arial" w:cs="Arial" w:eastAsia="Arial" w:hAnsi="Arial"/>
          <w:sz w:val="16"/>
          <w:szCs w:val="16"/>
          <w:color w:val="auto"/>
        </w:rPr>
        <w:t>. We aim to make finance not only more accessible, but more</w:t>
      </w:r>
      <w:r>
        <w:rPr>
          <w:rFonts w:ascii="Arial" w:cs="Arial" w:eastAsia="Arial" w:hAnsi="Arial"/>
          <w:sz w:val="16"/>
          <w:szCs w:val="16"/>
          <w:i w:val="1"/>
          <w:iCs w:val="1"/>
          <w:color w:val="auto"/>
        </w:rPr>
        <w:t xml:space="preserve"> </w:t>
      </w:r>
      <w:r>
        <w:rPr>
          <w:rFonts w:ascii="Arial" w:cs="Arial" w:eastAsia="Arial" w:hAnsi="Arial"/>
          <w:sz w:val="16"/>
          <w:szCs w:val="16"/>
          <w:color w:val="auto"/>
        </w:rPr>
        <w:t>understandable as well. Robinhood Learn is a collection of over 650 articles, including guides, feature tutorials and an extensive financial dictionary available to anyone. It is designed to provide everyone with access to a breadth of financial education, and is continually updated to provide relevant information for our customers to learn and grow.</w:t>
      </w:r>
    </w:p>
    <w:p>
      <w:pPr>
        <w:spacing w:after="0" w:line="137" w:lineRule="exact"/>
        <w:rPr>
          <w:rFonts w:ascii="Arial" w:cs="Arial" w:eastAsia="Arial" w:hAnsi="Arial"/>
          <w:sz w:val="16"/>
          <w:szCs w:val="16"/>
          <w:color w:val="auto"/>
        </w:rPr>
      </w:pPr>
    </w:p>
    <w:p>
      <w:pPr>
        <w:ind w:left="560" w:right="20" w:hanging="278"/>
        <w:spacing w:after="0" w:line="280" w:lineRule="auto"/>
        <w:tabs>
          <w:tab w:leader="none" w:pos="556"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Newsfeeds (6.4 million users in 2020)</w:t>
      </w:r>
      <w:r>
        <w:rPr>
          <w:rFonts w:ascii="Arial" w:cs="Arial" w:eastAsia="Arial" w:hAnsi="Arial"/>
          <w:sz w:val="16"/>
          <w:szCs w:val="16"/>
          <w:color w:val="auto"/>
        </w:rPr>
        <w:t>. Within our newsfeeds, we provide access to free premium news from sites such as</w:t>
      </w:r>
      <w:r>
        <w:rPr>
          <w:rFonts w:ascii="Arial" w:cs="Arial" w:eastAsia="Arial" w:hAnsi="Arial"/>
          <w:sz w:val="16"/>
          <w:szCs w:val="16"/>
          <w:i w:val="1"/>
          <w:iCs w:val="1"/>
          <w:color w:val="auto"/>
        </w:rPr>
        <w:t xml:space="preserve"> Barron’s</w:t>
      </w:r>
      <w:r>
        <w:rPr>
          <w:rFonts w:ascii="Arial" w:cs="Arial" w:eastAsia="Arial" w:hAnsi="Arial"/>
          <w:sz w:val="16"/>
          <w:szCs w:val="16"/>
          <w:color w:val="auto"/>
        </w:rPr>
        <w:t>,</w:t>
      </w:r>
      <w:r>
        <w:rPr>
          <w:rFonts w:ascii="Arial" w:cs="Arial" w:eastAsia="Arial" w:hAnsi="Arial"/>
          <w:sz w:val="16"/>
          <w:szCs w:val="16"/>
          <w:i w:val="1"/>
          <w:iCs w:val="1"/>
          <w:color w:val="auto"/>
        </w:rPr>
        <w:t xml:space="preserve"> Reuters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Wall Street Journal </w:t>
      </w:r>
      <w:r>
        <w:rPr>
          <w:rFonts w:ascii="Arial" w:cs="Arial" w:eastAsia="Arial" w:hAnsi="Arial"/>
          <w:sz w:val="16"/>
          <w:szCs w:val="16"/>
          <w:color w:val="auto"/>
        </w:rPr>
        <w:t>to keep our customers informed of the latest news and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192</w:t>
      </w:r>
    </w:p>
    <w:p>
      <w:pPr>
        <w:sectPr>
          <w:pgSz w:w="11900" w:h="16838" w:orient="portrait"/>
          <w:cols w:equalWidth="0" w:num="1">
            <w:col w:w="11260"/>
          </w:cols>
          <w:pgMar w:left="320" w:top="1440" w:right="319" w:bottom="1440" w:gutter="0" w:footer="0" w:header="0"/>
        </w:sectPr>
      </w:pPr>
    </w:p>
    <w:bookmarkStart w:id="215" w:name="page216"/>
    <w:bookmarkEnd w:id="215"/>
    <w:p>
      <w:pPr>
        <w:ind w:left="560" w:right="20" w:hanging="278"/>
        <w:spacing w:after="0" w:line="280" w:lineRule="auto"/>
        <w:tabs>
          <w:tab w:leader="none" w:pos="556"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Robinhood lists (9.5 million users in 2020)</w:t>
      </w:r>
      <w:r>
        <w:rPr>
          <w:rFonts w:ascii="Arial" w:cs="Arial" w:eastAsia="Arial" w:hAnsi="Arial"/>
          <w:sz w:val="16"/>
          <w:szCs w:val="16"/>
          <w:color w:val="auto"/>
        </w:rPr>
        <w:t>. Our customers are able to create custom watchlists to monitor securities, ETFs or cryptocurrencies they are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interested in following.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Robinhood Learn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78740</wp:posOffset>
            </wp:positionV>
            <wp:extent cx="4735195" cy="26631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35195" cy="266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Our Technology</w:t>
      </w:r>
    </w:p>
    <w:p>
      <w:pPr>
        <w:spacing w:after="0" w:line="163"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Our technology and underlying design principles are critical to our success. The Robinhood mobile app is the core front-end pathway through which our customers engage with us. Our self-clearing platform, order routing system, data platform, and other back-end infrastructure deliver the capabilities that allow our customers to focus on investing, saving and spending, while also enabling us to rapidly develop products that our customers love to use. We believe our technology is a key differentiator that has enabled our growth, and positions us well to continue on that path in the years to come.</w:t>
      </w:r>
    </w:p>
    <w:p>
      <w:pPr>
        <w:spacing w:after="0" w:line="14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core priority in product development is to build offerings that customers love. We begin by continuously taking in substantial amounts of customer input and developing technological solutions that we believe will improve their experience. These developments are done in conjunction with broad, cross-functional teams across engineering, design and legal and compliance to ensure that our products will delight our customers, while simultaneously incorporating any appropriate safeguards. Where possible, we prioritize maintaining total control over our product, which helps ensure that we can provide an experience that our customers will love and can institute rapid development cycles. Our products are built on a continuous cycle of iteration, feedback and refinement, with each new development backed by customer research.</w:t>
      </w:r>
    </w:p>
    <w:p>
      <w:pPr>
        <w:spacing w:after="0" w:line="160"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All of our technology is built with the long term in mind and our core infrastructure is designed to support meaningful operational scale. We are also focused on implementing advanced automation techniques, which allows us to minimize manual or labor-intensive processes. For example, during the three months ended March 31, 2021, almost 50% of our customer service cases were solved using intelligent automation. Other practices, such as frequent software deployments and an emphasis on real-time capabilities (where possible), have also contributed to our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193</w:t>
      </w:r>
    </w:p>
    <w:p>
      <w:pPr>
        <w:sectPr>
          <w:pgSz w:w="11900" w:h="16838" w:orient="portrait"/>
          <w:cols w:equalWidth="0" w:num="1">
            <w:col w:w="11260"/>
          </w:cols>
          <w:pgMar w:left="320" w:top="1425" w:right="319" w:bottom="1440" w:gutter="0" w:footer="0" w:header="0"/>
        </w:sectPr>
      </w:pPr>
    </w:p>
    <w:bookmarkStart w:id="216" w:name="page217"/>
    <w:bookmarkEnd w:id="216"/>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Some of our most critical technologies include:</w:t>
      </w:r>
    </w:p>
    <w:p>
      <w:pPr>
        <w:spacing w:after="0" w:line="159" w:lineRule="exact"/>
        <w:rPr>
          <w:sz w:val="20"/>
          <w:szCs w:val="20"/>
          <w:color w:val="auto"/>
        </w:rPr>
      </w:pPr>
    </w:p>
    <w:p>
      <w:pPr>
        <w:jc w:val="both"/>
        <w:ind w:left="560" w:hanging="278"/>
        <w:spacing w:after="0" w:line="257" w:lineRule="auto"/>
        <w:tabs>
          <w:tab w:leader="none" w:pos="556"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Core infrastructure and data platform</w:t>
      </w:r>
      <w:r>
        <w:rPr>
          <w:rFonts w:ascii="Arial" w:cs="Arial" w:eastAsia="Arial" w:hAnsi="Arial"/>
          <w:sz w:val="16"/>
          <w:szCs w:val="16"/>
          <w:color w:val="auto"/>
        </w:rPr>
        <w:t>. Robinhood has built an infrastructure platform for resilient, scalable microservices. Our mobile app and data</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are all built on Amazon Web Services, and our platform enables application developers to define their microservices in a simple, standardized manner while also providing built-in scalability and resiliency. Our systems handle inbound traffic of over 5 million queries per second (QPS), process tens of terabytes of data per day and store and query more than 16 petabytes of data in our data lake. Our infrastructure is cost-effective and scalable as we grow.</w:t>
      </w:r>
    </w:p>
    <w:p>
      <w:pPr>
        <w:spacing w:after="0" w:line="126" w:lineRule="exact"/>
        <w:rPr>
          <w:rFonts w:ascii="Arial" w:cs="Arial" w:eastAsia="Arial" w:hAnsi="Arial"/>
          <w:sz w:val="16"/>
          <w:szCs w:val="16"/>
          <w:color w:val="auto"/>
        </w:rPr>
      </w:pPr>
    </w:p>
    <w:p>
      <w:pPr>
        <w:jc w:val="both"/>
        <w:ind w:left="560" w:hanging="278"/>
        <w:spacing w:after="0" w:line="257" w:lineRule="auto"/>
        <w:tabs>
          <w:tab w:leader="none" w:pos="556"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Self-clearing system</w:t>
      </w:r>
      <w:r>
        <w:rPr>
          <w:rFonts w:ascii="Arial" w:cs="Arial" w:eastAsia="Arial" w:hAnsi="Arial"/>
          <w:sz w:val="16"/>
          <w:szCs w:val="16"/>
          <w:color w:val="auto"/>
        </w:rPr>
        <w:t>. Our self-clearing services are administered through our clearing broker, RHS. This allows us to clear and settle trades across</w:t>
      </w:r>
      <w:r>
        <w:rPr>
          <w:rFonts w:ascii="Arial" w:cs="Arial" w:eastAsia="Arial" w:hAnsi="Arial"/>
          <w:sz w:val="16"/>
          <w:szCs w:val="16"/>
          <w:i w:val="1"/>
          <w:iCs w:val="1"/>
          <w:color w:val="auto"/>
        </w:rPr>
        <w:t xml:space="preserve"> </w:t>
      </w:r>
      <w:r>
        <w:rPr>
          <w:rFonts w:ascii="Arial" w:cs="Arial" w:eastAsia="Arial" w:hAnsi="Arial"/>
          <w:sz w:val="16"/>
          <w:szCs w:val="16"/>
          <w:color w:val="auto"/>
        </w:rPr>
        <w:t>stocks, ETFs and options without relying on a third-party clearing firm, an approach that provides increased internal visibility over clearing and settlement. We anticipate that our self-clearing platform will position us well to further innovate for customers. While the up-front build process was highly onerous—taking over two years and requiring regulatory approvals from FINRA, the DTC and the OCC—our strategic foresight to invest our resources at an early stage in our life cycle has positioned us for continued growth without relying on third-party clearing.</w:t>
      </w:r>
    </w:p>
    <w:p>
      <w:pPr>
        <w:spacing w:after="0" w:line="126" w:lineRule="exact"/>
        <w:rPr>
          <w:rFonts w:ascii="Arial" w:cs="Arial" w:eastAsia="Arial" w:hAnsi="Arial"/>
          <w:sz w:val="16"/>
          <w:szCs w:val="16"/>
          <w:color w:val="auto"/>
        </w:rPr>
      </w:pPr>
    </w:p>
    <w:p>
      <w:pPr>
        <w:jc w:val="both"/>
        <w:ind w:left="560" w:hanging="278"/>
        <w:spacing w:after="0" w:line="253" w:lineRule="auto"/>
        <w:tabs>
          <w:tab w:leader="none" w:pos="556"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Order routing system. </w:t>
      </w:r>
      <w:r>
        <w:rPr>
          <w:rFonts w:ascii="Arial" w:cs="Arial" w:eastAsia="Arial" w:hAnsi="Arial"/>
          <w:sz w:val="16"/>
          <w:szCs w:val="16"/>
          <w:color w:val="auto"/>
        </w:rPr>
        <w:t>We built a proprietary order routing system that uses statistical models to evaluate past orders and execution quality data, and</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routes customer orders to the market makers that have historically given customers the best prices. This competition-based system creates an incentive for market makers to provide better prices for our customers, in order to receive more orders in the future. We are committed to seeking a quality execution on every order, and our routing protocols are designed with this in mind. Within each asset class, whether equities, options or cryptocurrencies, the transaction-based revenue we earn is calculated in an identical manner among all participating market makers. We route equity and option orders in priority to participating market makers that we believe are most likely to give our customers the best execution, based on historical performance, and we do not consider transaction fees when routing orders. For cryptocurrency orders, we route to various market makers that we believe offer competitive pricing, and we do not consider Transaction Rebates when routing cryptocurrency orders.</w:t>
      </w:r>
    </w:p>
    <w:p>
      <w:pPr>
        <w:spacing w:after="0" w:line="145" w:lineRule="exact"/>
        <w:rPr>
          <w:rFonts w:ascii="Arial" w:cs="Arial" w:eastAsia="Arial" w:hAnsi="Arial"/>
          <w:sz w:val="16"/>
          <w:szCs w:val="16"/>
          <w:color w:val="auto"/>
        </w:rPr>
      </w:pPr>
    </w:p>
    <w:p>
      <w:pPr>
        <w:jc w:val="both"/>
        <w:ind w:left="560" w:hanging="278"/>
        <w:spacing w:after="0" w:line="259" w:lineRule="auto"/>
        <w:tabs>
          <w:tab w:leader="none" w:pos="556"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Machine learning platform. </w:t>
      </w:r>
      <w:r>
        <w:rPr>
          <w:rFonts w:ascii="Arial" w:cs="Arial" w:eastAsia="Arial" w:hAnsi="Arial"/>
          <w:sz w:val="16"/>
          <w:szCs w:val="16"/>
          <w:color w:val="auto"/>
        </w:rPr>
        <w:t>Our machine learning models are highly advanced and contribute to multiple capabilities across our business. For example,</w:t>
      </w:r>
      <w:r>
        <w:rPr>
          <w:rFonts w:ascii="Arial" w:cs="Arial" w:eastAsia="Arial" w:hAnsi="Arial"/>
          <w:sz w:val="16"/>
          <w:szCs w:val="16"/>
          <w:i w:val="1"/>
          <w:iCs w:val="1"/>
          <w:color w:val="auto"/>
        </w:rPr>
        <w:t xml:space="preserve"> </w:t>
      </w:r>
      <w:r>
        <w:rPr>
          <w:rFonts w:ascii="Arial" w:cs="Arial" w:eastAsia="Arial" w:hAnsi="Arial"/>
          <w:sz w:val="16"/>
          <w:szCs w:val="16"/>
          <w:color w:val="auto"/>
        </w:rPr>
        <w:t>we use machine learning as part of our fraud detection systems and customer support workflows, and even to improve the customer experience in our newsfeed by expanding the number of sources we can pull from, parsing and categorizing these articles, and delivering highly relevant and varied news to our customers for companies, stocks or cryptocurrencies.</w:t>
      </w:r>
    </w:p>
    <w:p>
      <w:pPr>
        <w:spacing w:after="0" w:line="125" w:lineRule="exact"/>
        <w:rPr>
          <w:rFonts w:ascii="Arial" w:cs="Arial" w:eastAsia="Arial" w:hAnsi="Arial"/>
          <w:sz w:val="16"/>
          <w:szCs w:val="16"/>
          <w:color w:val="auto"/>
        </w:rPr>
      </w:pPr>
    </w:p>
    <w:p>
      <w:pPr>
        <w:jc w:val="both"/>
        <w:ind w:left="560" w:right="20" w:hanging="278"/>
        <w:spacing w:after="0" w:line="265" w:lineRule="auto"/>
        <w:tabs>
          <w:tab w:leader="none" w:pos="556"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Experiments infrastructure. </w:t>
      </w:r>
      <w:r>
        <w:rPr>
          <w:rFonts w:ascii="Arial" w:cs="Arial" w:eastAsia="Arial" w:hAnsi="Arial"/>
          <w:sz w:val="16"/>
          <w:szCs w:val="16"/>
          <w:color w:val="auto"/>
        </w:rPr>
        <w:t>To enable our rapid product cycle, we’ve built a proprietary experiments infrastructure that enables us to test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through the build process and validate research hypotheses. The iterative, customer-centric product development approach that is so core to our success is enabled by this robust internal technology.</w:t>
      </w:r>
    </w:p>
    <w:p>
      <w:pPr>
        <w:spacing w:after="0" w:line="13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continue to invest across our entire technology stack. As of March 31, 2021, we have approximately 550 engineers that work closely with customers, product teams, support, legal and compliance personnel to ensure we maintain our high standard of building market-leading technology that customers love to use in their financial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1260"/>
          </w:cols>
          <w:pgMar w:left="320" w:top="1440" w:right="319" w:bottom="1440" w:gutter="0" w:footer="0" w:header="0"/>
        </w:sectPr>
      </w:pPr>
    </w:p>
    <w:bookmarkStart w:id="217" w:name="page218"/>
    <w:bookmarkEnd w:id="217"/>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Harnessing Our Platform</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Marketing</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have built a strong brand and grown our customer base primarily through customers joining organically or through the Robinhood Referral Program, and we have achieved significant scale with relatively little investment in sales and marketing. We have historically grown awareness of our platform by delivering products and features that our customers love, which has led our customers to share Robinhood with their friends and family. As a result, historically, the majority of our customers has joined organically or through the Robinhood Referral Program, with over 80% of our customers with new Funded Accounts in 2020 and in the three months ended March 31, 2021 coming to us through these channels. In the future, we plan to increase our marketing efforts to drive further brand awareness, but expect that these historical channels will continue to be a primary driver for us over the near to medium term.</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Customer Support</w:t>
      </w:r>
    </w:p>
    <w:p>
      <w:pPr>
        <w:spacing w:after="0" w:line="19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We are investing heavily in customer support in an effort to deliver the best possible experience to our customers and we are committed to continuously improving our support functions as we scale. We have implemented a number of technology solutions to further improve support tools and outcomes, including building new channels to connect with our customers.</w:t>
      </w:r>
    </w:p>
    <w:p>
      <w:pPr>
        <w:spacing w:after="0" w:line="145" w:lineRule="exact"/>
        <w:rPr>
          <w:sz w:val="20"/>
          <w:szCs w:val="20"/>
          <w:color w:val="auto"/>
        </w:rPr>
      </w:pPr>
    </w:p>
    <w:p>
      <w:pPr>
        <w:jc w:val="both"/>
        <w:ind w:right="20" w:firstLine="287"/>
        <w:spacing w:after="0" w:line="271" w:lineRule="auto"/>
        <w:rPr>
          <w:sz w:val="20"/>
          <w:szCs w:val="20"/>
          <w:color w:val="auto"/>
        </w:rPr>
      </w:pPr>
      <w:r>
        <w:rPr>
          <w:rFonts w:ascii="Arial" w:cs="Arial" w:eastAsia="Arial" w:hAnsi="Arial"/>
          <w:sz w:val="15"/>
          <w:szCs w:val="15"/>
          <w:color w:val="auto"/>
        </w:rPr>
        <w:t>We currently primarily rely on providing customer support through email. We outsource some of our support functions to third parties and rely on licensed customer support representatives. In order to better serve our growing customer base and in response to customer feedback about longer wait times for support, in 2020, we began a roll-out of our live, phone-based voice support option to serve customers with their most immediate needs with respect to certain time-sensitive options trading issues. In February 2021, we expanded phone-based voice support to customers needing assistance with account security. We expect to continue to expand phone-based voice support to more use cases as we grow. Additionally, we have made product enhancements in order to deliver an advanced, personalized customer service experience in-app, as well as product automations for options exercise and account activations and deactivations.</w:t>
      </w:r>
    </w:p>
    <w:p>
      <w:pPr>
        <w:spacing w:after="0" w:line="134"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have also been focused on expanding Robinhood’s overall support resources. From December 31, 2019 to December 31, 2020, we more than tripled the number of our dedicated customer support professionals. We plan to continue this investment into customer support professionals in 2021, and expect to more than double the number of customer support professionals we had at the end of 2020 by the end of 2021. As of March 31, 2021, we had added approximately 20% of the expected additional headcount of our customer service professionals. Additionally, in 2020 and continuing into 2021, we expanded our locations for better support coverage by adding hundreds of registered financial representatives at new or existing dedicated customer experience sites in Colorado, Florida, Texas and Arizona, and we expect to open a new customer experience site in Charlotte, North Carolina by the end of 2021.</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Employees and Culture</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Robinhood employees are key to achieving our company mission. We offer a wide range of benefits designed to attract the best talent and to ensure Robinhood employees are taken care of both at and outside of work. We provide tools, opportunities and support for career and personal growth, as well as ongoing company initiatives to maintain high employee engagement.</w:t>
      </w:r>
    </w:p>
    <w:p>
      <w:pPr>
        <w:spacing w:after="0" w:line="145" w:lineRule="exact"/>
        <w:rPr>
          <w:sz w:val="20"/>
          <w:szCs w:val="20"/>
          <w:color w:val="auto"/>
        </w:rPr>
      </w:pPr>
    </w:p>
    <w:p>
      <w:pPr>
        <w:jc w:val="both"/>
        <w:ind w:firstLine="287"/>
        <w:spacing w:after="0" w:line="293" w:lineRule="auto"/>
        <w:rPr>
          <w:sz w:val="20"/>
          <w:szCs w:val="20"/>
          <w:color w:val="auto"/>
        </w:rPr>
      </w:pPr>
      <w:r>
        <w:rPr>
          <w:rFonts w:ascii="Arial" w:cs="Arial" w:eastAsia="Arial" w:hAnsi="Arial"/>
          <w:sz w:val="15"/>
          <w:szCs w:val="15"/>
          <w:color w:val="auto"/>
        </w:rPr>
        <w:t>We seek to champion a culture that is open and honest. We hold weekly all-hands meetings, during which any employee has the opportunity to ask a question of our senior leadership. We use a company-wide surveying tool to facilitate regular check-ins with employees and to provide critical input for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195</w:t>
      </w:r>
    </w:p>
    <w:p>
      <w:pPr>
        <w:sectPr>
          <w:pgSz w:w="11900" w:h="16838" w:orient="portrait"/>
          <w:cols w:equalWidth="0" w:num="1">
            <w:col w:w="11260"/>
          </w:cols>
          <w:pgMar w:left="320" w:top="1440" w:right="319" w:bottom="1440" w:gutter="0" w:footer="0" w:header="0"/>
        </w:sectPr>
      </w:pPr>
    </w:p>
    <w:bookmarkStart w:id="218" w:name="page219"/>
    <w:bookmarkEnd w:id="218"/>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decisions on how to best improve productivity, happiness and retention. Inclusivity is core to our culture and we seek to create an environment where all viewpoints, including opposing ones, are welcomed.</w:t>
      </w:r>
    </w:p>
    <w:p>
      <w:pPr>
        <w:spacing w:after="0" w:line="15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professional growth of our people is essential to the growth of our business and we aim to empower every Robinhood employee to reach their full potential. We support job-specific capabilities and training to help develop behavioral and leadership capabilities for all employees. All full-time employees are offered an ongoing education stipend to support skill-building both in current and for future roles, and we offer a variety of formal and informal development and skills-building opportunities to our managers. For example, Robinhood’s Leader Labs, hosted by internal and external experts, supports the continuous growth of managers in areas such as mentorship, career conversations, and effective performance reviews.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We’re proud to share that we received the following recognitions in 2020 and so far in 2021:</w:t>
      </w:r>
    </w:p>
    <w:p>
      <w:pPr>
        <w:spacing w:after="0" w:line="163" w:lineRule="exact"/>
        <w:rPr>
          <w:sz w:val="20"/>
          <w:szCs w:val="20"/>
          <w:color w:val="auto"/>
        </w:rPr>
      </w:pPr>
    </w:p>
    <w:p>
      <w:pPr>
        <w:ind w:left="560" w:hanging="278"/>
        <w:spacing w:after="0"/>
        <w:tabs>
          <w:tab w:leader="none" w:pos="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 are certified as a Great Place to Work in the United States.</w:t>
      </w:r>
    </w:p>
    <w:p>
      <w:pPr>
        <w:spacing w:after="0" w:line="174"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 are #3 on LinkedIn’s Top Startups list for 2020, the fourth year in a row that Robinhood was recognized as a Top Startup by LinkedIn and the third consecutive year placing in the top 10.</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 were named a Glassdoor Best Place to Work in 2021.</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 are #1 on CNBC’s 2021 Disruptor 50 list (and were #46 in 2020).</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March 31, 2021, we had approximately 2,100 full-time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103505</wp:posOffset>
            </wp:positionV>
            <wp:extent cx="4735195" cy="31565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35195" cy="315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196</w:t>
      </w:r>
    </w:p>
    <w:p>
      <w:pPr>
        <w:sectPr>
          <w:pgSz w:w="11900" w:h="16838" w:orient="portrait"/>
          <w:cols w:equalWidth="0" w:num="1">
            <w:col w:w="11260"/>
          </w:cols>
          <w:pgMar w:left="320" w:top="1440" w:right="319" w:bottom="1440" w:gutter="0" w:footer="0" w:header="0"/>
        </w:sectPr>
      </w:pPr>
    </w:p>
    <w:bookmarkStart w:id="219" w:name="page220"/>
    <w:bookmarkEnd w:id="219"/>
    <w:p>
      <w:pPr>
        <w:spacing w:after="0"/>
        <w:rPr>
          <w:sz w:val="20"/>
          <w:szCs w:val="20"/>
          <w:color w:val="auto"/>
        </w:rPr>
      </w:pPr>
      <w:r>
        <w:rPr>
          <w:rFonts w:ascii="Arial" w:cs="Arial" w:eastAsia="Arial" w:hAnsi="Arial"/>
          <w:sz w:val="19"/>
          <w:szCs w:val="19"/>
          <w:b w:val="1"/>
          <w:bCs w:val="1"/>
          <w:i w:val="1"/>
          <w:iCs w:val="1"/>
          <w:color w:val="auto"/>
        </w:rPr>
        <w:t>Diversity and Belonging</w:t>
      </w:r>
    </w:p>
    <w:p>
      <w:pPr>
        <w:spacing w:after="0" w:line="191"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Our mission is to democratize finance for all, and that starts with building a diverse and inclusive environment internally. We have made this a priority at Robinhood and we continue to invest in recruiting and fostering diverse talent, supporting our employees and speaking out for our community.</w:t>
      </w:r>
    </w:p>
    <w:p>
      <w:pPr>
        <w:spacing w:after="0" w:line="13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To build a talented and diverse workforce, we have a dedicated University Program with a mission to attract and retain exceptional interns and new graduate talent to fuel the growth of our most strategic business areas. We utilize the Code Signal assessment tool to conduct unbiased automated engineering screens, whereby applicants who achieve a specific score automatically qualify for a technical phone screen. In 2020, we used a third party to review all job descriptions to remove any gender bias language. We have also built partnerships with a number of historically black colleges and universities and we actively participate in recruiting across a number of core campuses by investing in marketing the Robinhood brand, and building relationships with professors and career center teams.</w:t>
      </w:r>
    </w:p>
    <w:p>
      <w:pPr>
        <w:spacing w:after="0" w:line="148"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As of March 31, 2021, approximately 60% of Robinhood employees participated in our Employee Resource Groups (“ERGs”), which are voluntary, identity or experience-based groups led by members and allies who join together to support the creation of an inclusive workplace. In addition to providing a supportive, safe space for many team members, a number of Robinhood ERGs support specific business objectives that can include recruiting, employee engagement, career support, and more. We also utilize ERGs to create a welcoming environment for new employees by designating Robinhood Ambassadors, leaders within our ERGs who are available to candidates and new employees who want to learn more about working at Robinhood.</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Robinhood Employee Resource Groups include:</w:t>
      </w:r>
    </w:p>
    <w:p>
      <w:pPr>
        <w:spacing w:after="0" w:line="163" w:lineRule="exact"/>
        <w:rPr>
          <w:sz w:val="20"/>
          <w:szCs w:val="20"/>
          <w:color w:val="auto"/>
        </w:rPr>
      </w:pPr>
    </w:p>
    <w:p>
      <w:pPr>
        <w:ind w:left="560" w:hanging="27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Asianhood;</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Black Excellence;</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Brain, Body, Heart;</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Divergent;</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Latinhood;</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Parenthood;</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Rainbowhood;</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Sisterhood; and</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Robinhood Veterans.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Competitive Landscape</w:t>
      </w:r>
    </w:p>
    <w:p>
      <w:pPr>
        <w:spacing w:after="0" w:line="179"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We believe that we are changing the consumption patterns for financial products and services and growing the market, but will continue to face competition from other firms including large legacy financial institutions, large technology companies, and smaller, new financial technology entrants.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believe that the key competitive factors in our market include:</w:t>
      </w:r>
    </w:p>
    <w:p>
      <w:pPr>
        <w:spacing w:after="0" w:line="163" w:lineRule="exact"/>
        <w:rPr>
          <w:sz w:val="20"/>
          <w:szCs w:val="20"/>
          <w:color w:val="auto"/>
        </w:rPr>
      </w:pPr>
    </w:p>
    <w:p>
      <w:pPr>
        <w:ind w:left="560" w:hanging="278"/>
        <w:spacing w:after="0"/>
        <w:tabs>
          <w:tab w:leader="none" w:pos="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product features, quality and functionality;</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operating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197</w:t>
      </w:r>
    </w:p>
    <w:p>
      <w:pPr>
        <w:sectPr>
          <w:pgSz w:w="11900" w:h="16838" w:orient="portrait"/>
          <w:cols w:equalWidth="0" w:num="1">
            <w:col w:w="11260"/>
          </w:cols>
          <w:pgMar w:left="320" w:top="1426" w:right="319" w:bottom="1440" w:gutter="0" w:footer="0" w:header="0"/>
        </w:sectPr>
      </w:pPr>
    </w:p>
    <w:bookmarkStart w:id="220" w:name="page221"/>
    <w:bookmarkEnd w:id="220"/>
    <w:p>
      <w:pPr>
        <w:spacing w:after="0" w:line="2" w:lineRule="exact"/>
        <w:rPr>
          <w:sz w:val="20"/>
          <w:szCs w:val="20"/>
          <w:color w:val="auto"/>
        </w:rPr>
      </w:pPr>
    </w:p>
    <w:p>
      <w:pPr>
        <w:ind w:left="560" w:hanging="278"/>
        <w:spacing w:after="0"/>
        <w:tabs>
          <w:tab w:leader="none" w:pos="5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engineering talent;</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brand recognition;</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security and trust;</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cloud-based architecture;</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regulatory licenses; and</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vertical integration.</w:t>
      </w:r>
    </w:p>
    <w:p>
      <w:pPr>
        <w:spacing w:after="0" w:line="163"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seek to differentiate ourselves from competitors primarily through our vertically integrated, mobile-first platform and focus on accessibility, customer experience and trust. We believe that our ability to innovate quickly further differentiates our platform from our competition. We believe we compete favorably across all key competitive factors and that we have developed a business model that is difficult to replicate.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Our Facilities and Environmental Impact</w:t>
      </w:r>
    </w:p>
    <w:p>
      <w:pPr>
        <w:spacing w:after="0" w:line="163"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Our principal executive offices are located in Menlo Park, California. In addition to our Menlo Park office, we have offices primarily located in Denver, Colorado; Lake Mary, Florida; Westlake, Texas; Tempe, Arizona; Charlotte, North Carolina; Chicago, Illinois; New York, New York; Washington, D.C.; and London, the U.K. We lease or rent each of our offices.</w:t>
      </w:r>
    </w:p>
    <w:p>
      <w:pPr>
        <w:spacing w:after="0" w:line="14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are committed to understanding and reducing the environmental footprint of our business, and in particular, our use of energy and related emissions to manage climate change.</w:t>
      </w:r>
    </w:p>
    <w:p>
      <w:pPr>
        <w:spacing w:after="0" w:line="15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As a start, in 2020 we followed the Greenhouse Gas Protocol to develop our first emissions footprint, using our 2019 fiscal year. We found that the majority of our emissions are from our use of third-party service providers. Therefore, our biggest opportunity is to understand and manage our energy use where we can control it, and to evaluate and work with environmentally responsible third-party providers.</w:t>
      </w:r>
    </w:p>
    <w:p>
      <w:pPr>
        <w:spacing w:after="0" w:line="14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As we build on this initial assessment, it is our intention to set goals, develop an emissions reduction strategy, take action to address our impact and continue reporting our progress.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Intellectual Property</w:t>
      </w:r>
    </w:p>
    <w:p>
      <w:pPr>
        <w:spacing w:after="0" w:line="17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success and ability to compete are significantly dependent on our core technology and intellectual property. We rely on trademarks, patents, copyrights, trade secrets, know -how and expertise, registered domain names, license agreements, intellectual property assignment agreements, confidentiality procedures and non-disclosure agreements to establish and protect our intellectual property and proprietary rights. We seek to protect our intellectual property and proprietary rights, including our proprietary technology, software, know-how and brand, by relying on a combination of federal, state, and common law rights in the United States and other countries, as well as on contractual measures. However, these laws, agreements, and procedures provide only limited protection. It is our practice to enter into confidentiality, non-disclosure, and invention assignment agreements with our employees, consultants, contractors and other third parties, and into confidentiality and non-disclosure agreements with other third parties, in order to limit access to, and disclosure and use of, our confidential information, trade secrets, know-how and proprietary technology.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198</w:t>
      </w:r>
    </w:p>
    <w:p>
      <w:pPr>
        <w:sectPr>
          <w:pgSz w:w="11900" w:h="16838" w:orient="portrait"/>
          <w:cols w:equalWidth="0" w:num="1">
            <w:col w:w="11260"/>
          </w:cols>
          <w:pgMar w:left="320" w:top="1440" w:right="319" w:bottom="1440" w:gutter="0" w:footer="0" w:header="0"/>
        </w:sectPr>
      </w:pPr>
    </w:p>
    <w:bookmarkStart w:id="221" w:name="page222"/>
    <w:bookmarkEnd w:id="221"/>
    <w:p>
      <w:pPr>
        <w:spacing w:after="0" w:line="2"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As of March 31, 2021, we owned in total approximately 55 issued design patents and three pending design patent applications across the United States and certain other jurisdictions related to our platform’s graphic user interface, as well as our Cash Management product card designs.</w:t>
      </w:r>
    </w:p>
    <w:p>
      <w:pPr>
        <w:spacing w:after="0" w:line="15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As of March 31, 2021, we owned in total 60 issued trademarks registrations and 24 pending trademark applications across the United States and certain other jurisdictions. We have an ongoing trademark and service mark registration program pursuant to which we register our brand names and solution names, taglines and logos in the United States and certain other jurisdictions to the extent we determine appropriate and cost-effective. We are the registered holder of a variety of U.S. and international trademarks and domain names that include the primary brand “Robinhood,” including variations thereof, as well as brands for other Robinhood products and services, such as our Snacks podcast and newsletter. We also have common law rights in certain unregistered trademarks that were established over years of use. We are the authorized user of a variety of social media handles, pages and profiles that reflect our primary brand. In addition, we have a suite of defensively registered domains.</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Despite our efforts to protect our intellectual property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and our intellectual property rights may not be respected in the future or may be invalidated, circumvented or challenged. We intend to pursue additional intellectual property protection to the extent we believe it would be beneficial and cost-effective. In addition, we intend to expand our international operations, and effective patent, copyright, trademark, and trade secret protection may not be available or may be limited in foreign countries. We believe that competitors will try to develop products that are similar to ours and that may infringe, misappropriate or otherwise violate our intellectual property rights. Our competitors or other third parties may also claim that our platform and other solutions infringe, misappropriate or otherwise violate their intellectual property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w:t>
      </w:r>
    </w:p>
    <w:p>
      <w:pPr>
        <w:spacing w:after="0" w:line="150" w:lineRule="exact"/>
        <w:rPr>
          <w:sz w:val="20"/>
          <w:szCs w:val="20"/>
          <w:color w:val="auto"/>
        </w:rPr>
      </w:pPr>
    </w:p>
    <w:p>
      <w:pPr>
        <w:jc w:val="both"/>
        <w:ind w:firstLine="287"/>
        <w:spacing w:after="0" w:line="269" w:lineRule="auto"/>
        <w:rPr>
          <w:sz w:val="20"/>
          <w:szCs w:val="20"/>
          <w:color w:val="auto"/>
        </w:rPr>
      </w:pPr>
      <w:r>
        <w:rPr>
          <w:rFonts w:ascii="Arial" w:cs="Arial" w:eastAsia="Arial" w:hAnsi="Arial"/>
          <w:sz w:val="15"/>
          <w:szCs w:val="15"/>
          <w:color w:val="auto"/>
        </w:rPr>
        <w:t>Third parties have in the past and may in the future assert claims of infringement, misappropriation and other violations of intellectual property rights against us or our customers, and our agreements with such customers may obligate us to indemnify them against these claims. Successful claims of infringement by a third party could prevent us from offering certain products or features, require us to develop alternate, non-infringing technology, which could require significant time and during which we could be unable to continue to offer our affected products or solutions, require us to obtain a license, which may not be available on reasonable terms or at all, or force us to pay substantial damages, royalties or other fees. Additionally, we use open source software in our products and services and anticipate using open source software in the future. The terms of various open source licenses have not been interpreted by United States courts, and there is a risk that such licenses could be construed in a manner that imposes unanticipated conditions or restrictions on our services. See “Risk Factors— Risks Related to Our Intellectual Property” for a more comprehensive description of risks related to our intellectual property and proprietary rights.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Regulation</w:t>
      </w:r>
    </w:p>
    <w:p>
      <w:pPr>
        <w:spacing w:after="0" w:line="163"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U.S. and non-U.S. laws and regulations apply to many key aspects of our current business operations and future business plans. Failure to comply with these requirements may result in, among other things, revocation of required licenses or registrations, loss of approved status, private litigation, administrative enforcement actions, sanctions, civil and criminal liability, and constraints on our ability to continue to operate. For additional information relating to regulation and regulatory actions, see “Risk Factors—Risks Related to Regulation and Litigation” and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1260"/>
          </w:cols>
          <w:pgMar w:left="320" w:top="1440" w:right="319" w:bottom="1440" w:gutter="0" w:footer="0" w:header="0"/>
        </w:sectPr>
      </w:pPr>
    </w:p>
    <w:bookmarkStart w:id="222" w:name="page223"/>
    <w:bookmarkEnd w:id="222"/>
    <w:p>
      <w:pPr>
        <w:spacing w:after="0"/>
        <w:rPr>
          <w:sz w:val="20"/>
          <w:szCs w:val="20"/>
          <w:color w:val="auto"/>
        </w:rPr>
      </w:pPr>
      <w:r>
        <w:rPr>
          <w:rFonts w:ascii="Arial" w:cs="Arial" w:eastAsia="Arial" w:hAnsi="Arial"/>
          <w:sz w:val="19"/>
          <w:szCs w:val="19"/>
          <w:b w:val="1"/>
          <w:bCs w:val="1"/>
          <w:i w:val="1"/>
          <w:iCs w:val="1"/>
          <w:color w:val="auto"/>
        </w:rPr>
        <w:t>Cybersecurity and Data Privacy</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business collects, stores, shares, discloses, transfers, uses and otherwise processes the personal data of individuals across the U.S., in every state. As a result, compliance with data protection, privacy and security laws, rules, regulations, policies, industry standards and other legal obligations regulating the collection, storage, sharing, disclosure, transfer, use, protection and other processing of personal data is core to our strategy and integral to the creation of trust in our platform. We take a variety of technical and organizational security measures and other procedures and protocols to protect our data and information, including personal data and other data pertaining to customers, employees and other users. Despite measures we put in place, we may be unable to anticipate or prevent unauthorized access to such data, including personal data.</w:t>
      </w:r>
    </w:p>
    <w:p>
      <w:pPr>
        <w:spacing w:after="0" w:line="148"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the United States, the Federal Trade Commission and the Department of Commerce continue to call for greater regulation of the collection of personal data, as well as restrictions for certain targeted advertising practices. Additionally, RHS and RHF are each subject to SEC Regulation S-P, which requires registered broker-dealers to, among other things, adopt written policies and procedures that address administrative, technical, and physical safeguards for the protection of customer records and information. Numerous states have enacted or are in the process of enacting state-level data privacy laws and regulations governing the collection, use and processing of state residents’ personal data. For example, the CCPA, which went into effect in California on January 1, 2020 established a new privacy framework for covered businesses such as ours. Among other things, the CCPA requires companies covered by the legislation to provide new disclosures to California residents and afford such residents new rights, including the right to access and delete certain personal information, as well as the right to opt 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voters passed the CPRA, which will become effective in most material respects beginning on January 1, 2023. The CPRA further expands the CCPA with additional data privacy compliance requirements and obligations and establishes a regulatory agency dedicated to enforcing the CCPA and CPRA. In addition, the NYDFS issued Cybersecurity Requirements for Financial Services Companies, which took effect in 2017, and which require banks, insurance companies and other financial services institutions regulated by the NYDFS, including RHC, to establish and maintain a cybersecurity program designed to protect consumers and ensure the safety and soundness of New York State’s financial services industry. The cybersecurity regulation adds specific requirements for these institutions’ cybersecurity compliance programs and imposes an obligation to conduct ongoing, comprehensive risk assessments. Further, on an annual basis, each institution is required to submit a certification of compliance with these requirements. We have in the past, are currently and may in the future be subject to investigations and examinations by the NYDFS regarding, among other things, our cybersecurity practices. For more information, see “—Legal Proceedings—RHC Anti-Money Laundering, Cybersecurity and Other Issues</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Certain other state laws impose similar privacy obligations and all 50 states have laws, including obligations to provide notification of security breaches of computer databases that contain personal information to affected individuals, state officers and others. The CCPA has prompted the enactment of several new state laws or amendments of existing state laws, such as in New York and Nevada. The CCPA has also prompted a number of proposals for new federal and state-level privacy legislation, such as in Washington, Maryland, New York, Illinois and Nebraska. This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 changes in business practices and policies. We may be required to modify our data processing practices and policies and incur substantial compliance-related costs and expenses in connection with these and any other future data privacy, protection or security-related laws, rules or regulations, and they may also increase our potential exposure to regulatory enforcement and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200</w:t>
      </w:r>
    </w:p>
    <w:p>
      <w:pPr>
        <w:sectPr>
          <w:pgSz w:w="11900" w:h="16838" w:orient="portrait"/>
          <w:cols w:equalWidth="0" w:num="1">
            <w:col w:w="11260"/>
          </w:cols>
          <w:pgMar w:left="320" w:top="1426" w:right="319" w:bottom="1440" w:gutter="0" w:footer="0" w:header="0"/>
        </w:sectPr>
      </w:pPr>
    </w:p>
    <w:bookmarkStart w:id="223" w:name="page224"/>
    <w:bookmarkEnd w:id="223"/>
    <w:p>
      <w:pPr>
        <w:spacing w:after="0" w:line="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Regulators around the world continue to propose more stringent data protection, security and privacy laws, rules and regulations, and these laws, rules and regulations are rapidly increasing in number, complexity, enforcement, fines and penalties. For example, the GDPR became effective on May 25, 2018 and has resulted and will continue to result in significantly greater compliance burdens and costs for companies with users and operations in the EU and European Economic Area. The GDPR regulates a broad array of personal data that can directly or indirectly identify an individual and imposes stringent data protection requirements with significant penalties for noncompliance. Furthermore, as of January 2021, we are required to comply with the GDPR as well as the U.K. equivalent to the extent of our operations in the U.K. The relationship between the U.K. and the EU in relation to certain aspects of data protection law remains unclear, for example, how data transfers between EU member states and the U.K. will be treated and the role of the U.K.’s Information Commissioner’s Office with respect to the EU following the end of the transitional period. These changes may lead to additional costs and increase our overall risk exposure.</w:t>
      </w:r>
    </w:p>
    <w:p>
      <w:pPr>
        <w:spacing w:after="0" w:line="164"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These and other data protection, security and privacy laws, rules and regulations and their interpretations continue to develop and may be inconsistent from jurisdiction to jurisdiction. Non-compliance with these laws could result in significant penalties or legal liability. Although we take steps to comply with applicable laws, rules and regulations, we have been and may in the future become subject to regulatory or private actions, investigations, disputes and litigation, which may include substantial fines or other legal liability for non-compliance of data protection, security and privacy laws, rules and regulations, including in the event of an outage, cybersecurity breach or other security incident. We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results of operations or financial condition. See “Risk Factors—Risks Related to Cybersecurity and Data Privacy”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Brokerage Regulation and Regulatory Capital and Deposit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Registrations and Licenses</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operate two broker-dealers, Robinhood Financial LLC (“RHF”) and Robinhood Securities, LLC (“RHS”). RHF is an introducing broker and introduces its customer accounts to RHS on a fully disclosed basis. RHS is a clearing and carrying broker which currently carries customer accounts only for RHF. RHF and RHS are each registered as broker-dealers with the SEC, each is a member of FINRA, and each is licensed as a securities broker-dealer in all 50 U.S. states, the District of Columbia, Puerto Rico and the U.S. Virgin Islands. Neither RHF nor RHS is licensed or authorized to conduct business in any other country. RHS is a member of Nasdaq, and RHF is not currently a member of any U.S. national securities exchange. RHS, in addition to its memberships in FINRA and Nasdaq, is a member of the OCC, DTC and the NSCC. RHF and RHS are both subject to regulation by the SEC, FINRA, other SROs of which they are or may become members, and the U.S. states and territories in which they operate.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Scope of Regulation</w:t>
      </w:r>
    </w:p>
    <w:p>
      <w:pPr>
        <w:spacing w:after="0" w:line="179"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The principal purpose of regulating broker-dealers is the protection of clients and securities markets. The regulations cover all aspects of the broker-dealer business and operations, including, among other things, sales and trading practices and reporting requirements, client onboarding, advertising and marketing, publication or distribution of research, margin lending, uses and safekeeping of clients’ funds and securities, capital adequacy, recordkeeping, reporting, fee arrangements, disclosures to clients, suitability, acting in a client’s best interests when making recommendations to retail customers, customer privacy, data protection, information security and cybersecurity, the safeguarding of customer information, the sharing of customer information, best execution of customer orders, public offerings, customer qualifications for margin and options transactions, registration of personnel, business continuity planning, transactions with affiliates, conflicts, and the conduct of directors, officers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201</w:t>
      </w:r>
    </w:p>
    <w:p>
      <w:pPr>
        <w:sectPr>
          <w:pgSz w:w="11900" w:h="16838" w:orient="portrait"/>
          <w:cols w:equalWidth="0" w:num="1">
            <w:col w:w="11260"/>
          </w:cols>
          <w:pgMar w:left="320" w:top="1440" w:right="319" w:bottom="1440" w:gutter="0" w:footer="0" w:header="0"/>
        </w:sectPr>
      </w:pPr>
    </w:p>
    <w:bookmarkStart w:id="224" w:name="page225"/>
    <w:bookmarkEnd w:id="224"/>
    <w:p>
      <w:pPr>
        <w:spacing w:after="0"/>
        <w:rPr>
          <w:sz w:val="20"/>
          <w:szCs w:val="20"/>
          <w:color w:val="auto"/>
        </w:rPr>
      </w:pPr>
      <w:r>
        <w:rPr>
          <w:rFonts w:ascii="Arial" w:cs="Arial" w:eastAsia="Arial" w:hAnsi="Arial"/>
          <w:sz w:val="16"/>
          <w:szCs w:val="16"/>
          <w:i w:val="1"/>
          <w:iCs w:val="1"/>
          <w:color w:val="auto"/>
        </w:rPr>
        <w:t>Net Capital and Deposit Requirements</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RHS and RHF are each subject to Rule 15c3-1 under the Exchange Act (the “Uniform Net Capital Rule”) and related SRO requirements. The Uniform Net Capital Rule specifies minimum capital requirements intended to ensure the general financial soundness and liquidity of broker-dealers. Generally, a broker-dealer’s net capital is its net worth plus qualified subordinated debt less deductions for certain types of assets. The Uniform Net Capital Rule effectively requires that most of a broker-dealer’s assets be maintained in a relatively liquid form. The SEC and FINRA rules require notification when net capital falls below certain defined criteria, or when withdrawals of capital exceed certain thresholds. These rules also dictate the ratio of debt to equity in the regulatory capital composition of a broker-dealer. If either RHS or RHF fails to maintain specified levels of net capital, they could be subject to immediate suspension or revocation of registration, and suspension or expulsion could ultimately lead to the liquidation of either entity or to their broker-dealer business being wound down. In addition, the SEC and FINRA may place restrictions on RHF’s or RHS’s ability to expand their existing business or to commence new businesses in the event of such failure. Such failure could also constitute a default by us of certain debt covenants under our credit agreements. The Uniform Net Capital Rule and FINRA requirements prohibit RHS and RHF from paying cash dividends, making unsecured advances or loans to affiliates or repaying subordinated loans if such payment would result in a net capital amount of less than 5% of aggregate debit balances or less than 120% of its applicable minimum dollar requirement. The minimum dollar requirement for RHF was $250,000 as of March 31, 2021; the minimum dollar requirement for RHS varies based on the total amount of customer debits.</w:t>
      </w:r>
    </w:p>
    <w:p>
      <w:pPr>
        <w:spacing w:after="0" w:line="149" w:lineRule="exact"/>
        <w:rPr>
          <w:sz w:val="20"/>
          <w:szCs w:val="20"/>
          <w:color w:val="auto"/>
        </w:rPr>
      </w:pPr>
    </w:p>
    <w:p>
      <w:pPr>
        <w:jc w:val="both"/>
        <w:ind w:firstLine="287"/>
        <w:spacing w:after="0" w:line="249" w:lineRule="auto"/>
        <w:rPr>
          <w:sz w:val="20"/>
          <w:szCs w:val="20"/>
          <w:color w:val="auto"/>
        </w:rPr>
      </w:pPr>
      <w:r>
        <w:rPr>
          <w:rFonts w:ascii="Arial" w:cs="Arial" w:eastAsia="Arial" w:hAnsi="Arial"/>
          <w:sz w:val="16"/>
          <w:szCs w:val="16"/>
          <w:color w:val="auto"/>
        </w:rPr>
        <w:t>In addition to SEC and FINRA net capital requirements, as a clearing and carrying broker-dealer, RHS is subject to cash deposit and collateral requirements under the rules of the DTC, NSCC and OCC, which may fluctuate significantly from time to time based upon the nature and size of customers’ trading activity and market volatility. For example, stock trades generally settle at the clearinghouse two days after execution and clearinghouses may require a broker-dealer participant to deposit funds to ensure that the broker-dealer can meet its settlement obligations. These deposit requirements are designed to mitigate risk to the clearinghouse and its participants and can be large, especially if positions are concentrated in particular stocks, are predominantly in the same direction (i.e</w:t>
      </w:r>
      <w:r>
        <w:rPr>
          <w:rFonts w:ascii="Arial" w:cs="Arial" w:eastAsia="Arial" w:hAnsi="Arial"/>
          <w:sz w:val="16"/>
          <w:szCs w:val="16"/>
          <w:i w:val="1"/>
          <w:iCs w:val="1"/>
          <w:color w:val="auto"/>
        </w:rPr>
        <w:t>.</w:t>
      </w:r>
      <w:r>
        <w:rPr>
          <w:rFonts w:ascii="Arial" w:cs="Arial" w:eastAsia="Arial" w:hAnsi="Arial"/>
          <w:sz w:val="16"/>
          <w:szCs w:val="16"/>
          <w:color w:val="auto"/>
        </w:rPr>
        <w:t>, predominantly buys or predominantly sells) or if the stock is volatile. RHS, as a clearing and carrying broker, must meet clearinghouse deposit requirements to support customer trades and, if it fails to meet any such deposit requirements, its ability to settle trades through the clearinghouse may be suspended or the broker-dealer may restrict trading in certain stocks in order to limit clearinghouse deposit requirements. In such case, RHS may be exposed to significant losses or disruptions in customers’ ability to trade. For example, in January 2021, in response to highly volatile market conditions, unusually high trading volume and a high concentration of net buying in particular stocks, such deposit requirements increased significantly in a short period of time. As a result, RHS temporarily limited customer purchases for certain volatile securities from January 28 to February 5, 2021 in order to comply with its deposit requirements. Furthermore, in the event that a significant amount of customers’ open trades fail to settle, RHS may be exposed to potential loss of the deposits and capital expended to meet its deposit requirements. In a worst-case scenario, if RHS is unable to satisfy its deposit requirements, the NSCC may cease to act for RHS and liquidate its unsettled clearing portfolio. See “Business—Legal Proceedings—Early 2021 Trading Restrictions Matters” and “Risk Factors—Risks Related to Regulation and Litigation—</w:t>
      </w:r>
      <w:r>
        <w:rPr>
          <w:rFonts w:ascii="Arial" w:cs="Arial" w:eastAsia="Arial" w:hAnsi="Arial"/>
          <w:sz w:val="16"/>
          <w:szCs w:val="16"/>
          <w:i w:val="1"/>
          <w:iCs w:val="1"/>
          <w:color w:val="auto"/>
        </w:rPr>
        <w:t>We are involved in numerous litigation matters that are expensive and time consuming, and, if resolved adversely, could harm our reputation,</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financial condition or results of operations</w:t>
      </w:r>
      <w:r>
        <w:rPr>
          <w:rFonts w:ascii="Arial" w:cs="Arial" w:eastAsia="Arial" w:hAnsi="Arial"/>
          <w:sz w:val="16"/>
          <w:szCs w:val="16"/>
          <w:color w:val="auto"/>
        </w:rPr>
        <w:t>” for more information about the Early 2021 Trading Restrictions, and see “Risk Factors—Risks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Our Brokerage Products and Services—</w:t>
      </w:r>
      <w:r>
        <w:rPr>
          <w:rFonts w:ascii="Arial" w:cs="Arial" w:eastAsia="Arial" w:hAnsi="Arial"/>
          <w:sz w:val="16"/>
          <w:szCs w:val="16"/>
          <w:i w:val="1"/>
          <w:iCs w:val="1"/>
          <w:color w:val="auto"/>
        </w:rPr>
        <w:t>If we do not maintain the capital levels required by regulators and SROs, or do not satisfy the cash deposit and</w:t>
      </w:r>
      <w:r>
        <w:rPr>
          <w:rFonts w:ascii="Arial" w:cs="Arial" w:eastAsia="Arial" w:hAnsi="Arial"/>
          <w:sz w:val="16"/>
          <w:szCs w:val="16"/>
          <w:color w:val="auto"/>
        </w:rPr>
        <w:t xml:space="preserve"> </w:t>
      </w:r>
      <w:r>
        <w:rPr>
          <w:rFonts w:ascii="Arial" w:cs="Arial" w:eastAsia="Arial" w:hAnsi="Arial"/>
          <w:sz w:val="16"/>
          <w:szCs w:val="16"/>
          <w:i w:val="1"/>
          <w:iCs w:val="1"/>
          <w:color w:val="auto"/>
        </w:rPr>
        <w:t>collateral requirements imposed by certain other SROs such as the DTC, NSCC and OCC, our broker-dealer business may be restricted and we may be fined or subject to other disciplinary or corrective actions, which could harm our business, financial condition, operating results, cash flows and prospects. In a worst-case scenario, failure to maintain these requirements could ultimately lead to our broker-dealer business being liquidated or wound down</w:t>
      </w:r>
      <w:r>
        <w:rPr>
          <w:rFonts w:ascii="Arial" w:cs="Arial" w:eastAsia="Arial" w:hAnsi="Arial"/>
          <w:sz w:val="16"/>
          <w:szCs w:val="16"/>
          <w:color w:val="auto"/>
        </w:rPr>
        <w:t>” for more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about the risks associated with our capital and deposit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202</w:t>
      </w:r>
    </w:p>
    <w:p>
      <w:pPr>
        <w:sectPr>
          <w:pgSz w:w="11900" w:h="16838" w:orient="portrait"/>
          <w:cols w:equalWidth="0" w:num="1">
            <w:col w:w="11260"/>
          </w:cols>
          <w:pgMar w:left="320" w:top="1425" w:right="319" w:bottom="1440" w:gutter="0" w:footer="0" w:header="0"/>
        </w:sectPr>
      </w:pPr>
    </w:p>
    <w:bookmarkStart w:id="225" w:name="page226"/>
    <w:bookmarkEnd w:id="225"/>
    <w:p>
      <w:pPr>
        <w:spacing w:after="0"/>
        <w:rPr>
          <w:sz w:val="20"/>
          <w:szCs w:val="20"/>
          <w:color w:val="auto"/>
        </w:rPr>
      </w:pPr>
      <w:r>
        <w:rPr>
          <w:rFonts w:ascii="Arial" w:cs="Arial" w:eastAsia="Arial" w:hAnsi="Arial"/>
          <w:sz w:val="16"/>
          <w:szCs w:val="16"/>
          <w:i w:val="1"/>
          <w:iCs w:val="1"/>
          <w:color w:val="auto"/>
        </w:rPr>
        <w:t>Rule 15c3-3 Reserve and Custody Requirements</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RHS is subject to Rule 15c3-3 under the Exchange Act (“Rule 15c3-3”), which includes cash and securities segregation protection requirements. Pursuant to Rule 15c3-3, RHS is required to maintain on deposit, based on weekly computations completed in a manner specified by the rule, an amount that is generally the difference between the amount of money RHS owes customers and the amount of money RHS customers owe it. RHS is also required daily to determine the amount of customer fully-paid securities and excess margin securities over which it is required to maintain possession or control and, in the event of deficits, RHS must take action specified by regulation. RHF operates pursuant to an exemption from Rule 15c3-3 because it introduces all of its customer accounts to RHS. Pursuant to this exemption, RHF does not maintain custody of customer cash or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Margin Requirements</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RHS’s margin lending activities are subject to limitations imposed by the rules and regulations of the Board of Governors of the Federal Reserve and FINRA. In general, these margin rules and regulations provide for initial margin requirements and that, in the event of a significant decline in the value of securities collateralizing a margin account, broker-dealers are required to obtain additional collateral from the borrower or liquidate the borrower’s security positions. The minimum initial margin requirement for common stock is 50% of the value of marginable securities purchased in a margin account; different requirements apply to short sales, options and other non-equity securities. In addition, broker-dealers are required to impose certain maintenance requirements on the amount of securities and cash held in margin accounts. FINRA rules specify additional rules for customers who are “pattern day traders” as defined under FINRA rules. RHS may also impose more stringent requirements on positions that, in its sole discretion, involve higher levels of risk, at any time and without notice. RHS retains absolute discretion to determine whether, when and in what amounts it will require additional collateral. In some situations, RHS may find it necessary to require a higher level of equity in a customer’s margin account based upon their margin account holdings, market conditions, and financial resources. We notify customers immediately when they are in a maintenance deficit, and require them to meet their maintenance calls within one to two days depending on the level of equity in their account. If the customer does not meet their maintenance call on time, we liquidate available assets as necessary to meet the call. If a customer has a balance below zero, we liquidate all customer assets available the next business day. Additionally, we monitor over-leveraged accounts using intraday risk alerts to review potentially risky portfolios and take action as needed.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Best Execution</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As registered broker-dealers, RHS and RHF are also subject to “best execution” requirements under SEC guidelines and FINRA rules, which require RHF and RHS to obtain the best reasonably available terms for customer orders. In part, this requires broker-dealers to use reasonable diligence so that the price to the customer is as favorable as possible under prevailing market conditions, taking into account, among other things, the character of the market for the security, the size and type of the transaction, the number of markets checked, accessibility of quotations and the terms and conditions of the order as communicated by the broker-dealer’s customer. Although a broker-dealer is not required to examine every customer order individually for compliance with its duty of best execution, it must undertake regular and rigorous reviews of the quality of its customer order executions.</w:t>
      </w:r>
    </w:p>
    <w:p>
      <w:pPr>
        <w:spacing w:after="0" w:line="148"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RHF routes its customers’ orders to RHS, which routes orders to certain market makers for execution based on our order routing system, which uses an algorithm to determine which market maker is most likely to provide the best price for each customer’s order based on the market maker’s historical performance. RHF and RHS review the quality of execution they receive from the market makers and choose which market maker to which to route orders, in each case based on a number of factors that are more fully discussed in the Supplemental Materials of FINRA Rule 5310, including, where applicable, but not necessarily limited to, speed of execution, price improvement opportunities, differences in price disimprovement (i.e., situations in which a customer receives a worse price at execution than the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203</w:t>
      </w:r>
    </w:p>
    <w:p>
      <w:pPr>
        <w:sectPr>
          <w:pgSz w:w="11900" w:h="16838" w:orient="portrait"/>
          <w:cols w:equalWidth="0" w:num="1">
            <w:col w:w="11260"/>
          </w:cols>
          <w:pgMar w:left="320" w:top="1425" w:right="319" w:bottom="1440" w:gutter="0" w:footer="0" w:header="0"/>
        </w:sectPr>
      </w:pPr>
    </w:p>
    <w:bookmarkStart w:id="226" w:name="page227"/>
    <w:bookmarkEnd w:id="226"/>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quotes prevailing at the time the order is received by the market), likelihood of executions, the marketability of the order, size guarantees, service levels and support, the reliability of order handling systems, client needs and expectations, transaction costs and whether the firm will receive remuneration for routing order flow to such market makers. Price improvement is available under certain market conditions and for certain order types, and RHS regularly monitors executions to test for whether such improvement, if available, was provided. In addition, RHS routes orders to market makers and, in exchange, receives consideration. With respect to equities and options trading, such fees are known as PFOF. With respect to cryptocurrency trading, we receive “Transaction Rebates.” As of March 31, 2021, RHS had relationships with five equity market makers and four option market makers. For the year ended December 31, 2020, revenue derived from PFOF and Transaction Rebates represented 75% of our total revenues, and for the three months ended March 31, 2021, represented 81% of our total revenues. The consideration RHS earns through these PFOF practices are identical among all market makers. RHS routes orders to participating market makers that are most likely to give our customers the best execution, based on historical performance, and does not consider such transaction fees when routing orders. Market-makers can frequently provide retail orders with some degree of price improvement, meaning they can execute the orders inside the spread of the national best bid and national best offer quoted on national securities exchanges. Market-makers may also be able to provide retail orders with size improvement (i.e., more shares at a single price point than may be available at the national best bid or national best offer quoted on national securities exchanges). These PFOF arrangements are permitted under SEC guidelines and FINRA rules, provided that best execution principles are met and, in the case of the SEC, we make certain disclosures regarding our PFOF arrangements. However, PFOF practices have drawn heightened scrutiny from the U.S. Congress, the SEC and other regulatory and legislative authorities and there is no guarantee that they will not adopt additional regulation relating to PFOF practices as a result of such heightened scrutiny or otherwise or pursue additional inquiries or investigations relating to PFOF practices. For example, in May 2019, the SEC’s Division of Enforcement commenced an investigation into our best execution and PFOF practices, which resulted in a settlement and payment by RHF of a $65.0 million fine and a requirement to retain an independent consultant. See “Risk Factors—Risks Related to Our Business—</w:t>
      </w:r>
      <w:r>
        <w:rPr>
          <w:rFonts w:ascii="Arial" w:cs="Arial" w:eastAsia="Arial" w:hAnsi="Arial"/>
          <w:sz w:val="16"/>
          <w:szCs w:val="16"/>
          <w:i w:val="1"/>
          <w:iCs w:val="1"/>
          <w:color w:val="auto"/>
        </w:rPr>
        <w:t>Because a</w:t>
      </w:r>
      <w:r>
        <w:rPr>
          <w:rFonts w:ascii="Arial" w:cs="Arial" w:eastAsia="Arial" w:hAnsi="Arial"/>
          <w:sz w:val="16"/>
          <w:szCs w:val="16"/>
          <w:color w:val="auto"/>
        </w:rPr>
        <w:t xml:space="preserve"> </w:t>
      </w:r>
      <w:r>
        <w:rPr>
          <w:rFonts w:ascii="Arial" w:cs="Arial" w:eastAsia="Arial" w:hAnsi="Arial"/>
          <w:sz w:val="16"/>
          <w:szCs w:val="16"/>
          <w:i w:val="1"/>
          <w:iCs w:val="1"/>
          <w:color w:val="auto"/>
        </w:rPr>
        <w:t>majority of our revenue is transaction-based (including 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 for more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Cryptocurrency</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Our subsidiary, RHC, provides users with the ability to buy, hold and sell a limited number of cryptocurrencies on our platform. Both U.S. and non-U.S. regulators and governments are increasingly focused on the regulation of cryptocurrencies. In the United States, cryptocurrencies are regulated by both federal and state authorities, depending on the context of their usage. Regulation of cryptocurrencies continues to evolve. RHC is registered as a money services business with FinCEN and is licensed to operate as a money transmitter or its equivalent in states where such requirements are applicable, and has also obtained a license under the NYDFS’s Virtual Currency Business Activity regime, commonly referred to as a BitLicense.</w:t>
      </w:r>
    </w:p>
    <w:p>
      <w:pPr>
        <w:spacing w:after="0" w:line="14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Although RHC currently permits trading of a limited number of cryptocurrencies that we have analyzed under applicable internal policies and procedures and do not believe are securities under the U.S. securities laws, our policies and procedures do not constitute a legal standard, and, regardless of our conclusions, we could be subject to legal or regulatory action in the event the SEC or a court were to determine that a cryptocurrency currently traded on our platform is a “security” under U.S. law. The SEC has not asserted that all cryptocurrencies are securities, but the SEC Staff has indicated that the determination of whether or not a cryptocurrency is a security depends on the characteristics and use of that particular asset. In addition, the SEC has previously determined that certain cryptocurrencies traded on other platforms are securities, subject to federal securities laws. The classification of a cryptocurrency as a security under applicable law has wide-ranging implications for the regulatory obligations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204</w:t>
      </w:r>
    </w:p>
    <w:p>
      <w:pPr>
        <w:sectPr>
          <w:pgSz w:w="11900" w:h="16838" w:orient="portrait"/>
          <w:cols w:equalWidth="0" w:num="1">
            <w:col w:w="11260"/>
          </w:cols>
          <w:pgMar w:left="320" w:top="1440" w:right="319" w:bottom="1440" w:gutter="0" w:footer="0" w:header="0"/>
        </w:sectPr>
      </w:pPr>
    </w:p>
    <w:bookmarkStart w:id="227" w:name="page228"/>
    <w:bookmarkEnd w:id="227"/>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with the offer, sale, trading and clearing of such assets. To the extent that the SEC or a court determines that any cryptocurrencies that are available for trading on the RHC platform are securities, that determination could prevent us from continuing to support trading of those cryptocurrencies. It may also result in regulatory enforcement penalties and financial losses to RHC in the event that RHC has liability to its customers and may need to compensate them for any losses or damages. It may further result in us determining that it is advisable to remove other cryptocurrencies from our platform that have similar characteristics to the cryptocurrency the SEC or a court determined was a security. In addition, state laws and regulations impose various compliance requirements including operational limitations related to the manner and extent to which customer crypto assets can be held under our custody, net worth requirements, anti-money laundering program requirements, notice and reporting requirements, and generally require compliance with all applicable federal and state laws, rules and regulations, including The Bank Secrecy Act, as amended by the USA PATRIOT ACT of 2001. For example, on an annual basis, RHC is required to submit a certification of compliance with certain requirements of the NYDFS in connection with its BitLicense. We have in the past, are currently and may in the future be subject to investigations and examinations by the NYDFS regarding, among other things, our anti-money laundering and cybersecurity programs. For more information, see “—Legal Proceedings—RHC Anti-Money Laundering, Cybersecurity and Other Issues.”</w:t>
      </w:r>
    </w:p>
    <w:p>
      <w:pPr>
        <w:spacing w:after="0" w:line="162"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These laws, rules, and regulations evolve frequently and may be modified, interpreted, and applied in an inconsistent manner by a particular jurisdiction as well as from one jurisdiction to another, and may conflict with one another. Moreover, the complexity and evolving nature of RHC’s business and the significant uncertainty surrounding the regulation of the cryptoeconomy, requires us to exercise our judgment as to whether certain laws, rules, and regulations apply to us. It is possible that regulators may disagree with our conclusions. See “Risk Factors—Risks Related to Our Cryptocurrency Products and Services—</w:t>
      </w:r>
      <w:r>
        <w:rPr>
          <w:rFonts w:ascii="Arial" w:cs="Arial" w:eastAsia="Arial" w:hAnsi="Arial"/>
          <w:sz w:val="16"/>
          <w:szCs w:val="16"/>
          <w:i w:val="1"/>
          <w:iCs w:val="1"/>
          <w:color w:val="auto"/>
        </w:rPr>
        <w:t>Regulation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the cryptocurrency industry continues to evolve and is subject to change. Moreover, securities and commodities laws and regulations and other bodies of laws can apply to certain cryptocurrency businesses. These laws and regulations are complex and our interpretations of them may be subject to challenge by the relevant regulators. Future regulatory developments are impossible to predict with certainty. Changes in laws and regulations, or our failure to comply with them, may negatively impact our ability to allow customers to buy, hold and sell cryptocurrencies with us in the future and may significantly and adversely affect our business.</w:t>
      </w:r>
      <w:r>
        <w:rPr>
          <w:rFonts w:ascii="Arial" w:cs="Arial" w:eastAsia="Arial" w:hAnsi="Arial"/>
          <w:sz w:val="16"/>
          <w:szCs w:val="16"/>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Consumer Financial Protection</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The Consumer Financial Protection Bureau and other federal, local, state (such as the NYDFS) and foreign regulatory agencies regulate financial products, including credit, deposit, and payments services, and other similar services. These agencies have broad consumer protection mandates, and they promulgate, interpret and enforce rules and regulations that affect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Anti-Money Laundering</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Bank Secrecy Act, as amended by the USA PATRIOT ACT of 2001 (the “BSA/USA PATRIOT Act”), applies to RHF, RHS and RHC and requires them to develop anti-money laundering (“AML”) programs to assist in the prevention and detection of money laundering and combating terrorism. The AML program includes policies and procedures, employee training, customer identity requirements, the designation of an AML compliance officer and periodic independent audits. To comply with the BSA/USA PATRIOT Act and related FINRA rules applicable to RHF and RHS, we have an AML department that is responsible for developing and implementing our enterprise-wide programs for compliance with the various AML and counter-terrorist financing laws and regulations. RHF, RHS and RHC also are subject to U.S. sanctions laws administered by the Office of Foreign Assets Control and we have policies and procedures in place to comply with these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205</w:t>
      </w:r>
    </w:p>
    <w:p>
      <w:pPr>
        <w:sectPr>
          <w:pgSz w:w="11900" w:h="16838" w:orient="portrait"/>
          <w:cols w:equalWidth="0" w:num="1">
            <w:col w:w="11260"/>
          </w:cols>
          <w:pgMar w:left="320" w:top="1440" w:right="319" w:bottom="1440" w:gutter="0" w:footer="0" w:header="0"/>
        </w:sectPr>
      </w:pPr>
    </w:p>
    <w:bookmarkStart w:id="228" w:name="page229"/>
    <w:bookmarkEnd w:id="228"/>
    <w:p>
      <w:pPr>
        <w:spacing w:after="0" w:line="2"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See “Risk Factors—Risks Related to Regulation and Litigation,” “Risk Factors—Risks Related to Cybersecurity and Data Privacy” and “Risk Factors—Risks Related to Our Brokerage Products and Services.”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Legal Proceedings</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are subject to claims and lawsuits in the ordinary course of business, including arbitrations, class actions and other litigation, some of which include claims for substantial or unspecified damages. In addition, we operate in a highly regulated industry and many aspects of our business involve substantial risk of liability, and we are regularly the subject of actions, inquiries, investigations, examinations and proceedings by regulatory and other governmental agencies. The outcomes of the legal and regulatory matters discussed in this section are inherently uncertain and some of these matters may result in adverse judgments or awards, including penalties, injunctions or other relief, and we may also determine to settle a matter because of the uncertainty and risks of litigation. Described below are certain historic matters as well as certain pending matters in which there is at least a reasonable possibility that a material loss could be incurred. We intend to continue to vigorously defend the pending matters. Litigation is inherently uncertain, and any judgment entered against us, or any adverse settlement, could materially and adversely impact our business, financial condition, operating results and cash flows. Unless otherwise noted below with respect to a specific matter, we are unable to provide a reasonable estimate of any potential liability given the uncertain nature of litigation and the stage of proceedings in these matters. With respect to all other pending matters not disclosed below, based on current information, we do not believe that such matters, individually or in the aggregate, would have a material adverse impact on our business, financial condition, operating results or cash flows. See Note 14 to our consolidated financial statements included elsewhere in this prospectus for more information on legal proceedings that we are subject to from time to time.</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Early 2021 Trading Restrictions Matters</w:t>
      </w:r>
    </w:p>
    <w:p>
      <w:pPr>
        <w:spacing w:after="0" w:line="19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Beginning on January 28, 2021, due to increased deposit requirements imposed on RHS by the NSCC in response to unprecedented market volatility, particularly in certain securities, RHS temporarily restricted or limited its customers’ purchase of certain securities, including GameStop Corp. and AMC Entertainment Holdings, Inc., on our platform (the “Early 2021 Trading Restrictions”).</w:t>
      </w:r>
    </w:p>
    <w:p>
      <w:pPr>
        <w:spacing w:after="0" w:line="14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 xml:space="preserve">We have become aware of approximately 50 putative class actions (two of which complaints have been voluntarily dismissed with prejudice) and three individual actions that have been filed against one or more of RHM, RHF and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 certain state consumer protection claims based on similar factual allegations. Approximately 19 of the putative class actions also name other broker-dealers or market makers as defendants. On April 1, 2021, the Judicial Panel on Multidistrict Litigation entered an order centralizing the federal cases identified in a motion filed by certain plaintiffs to transfer and coordinate or consolidate the actions filed in connection with the Early 2021 Trading Restrictions in the United States District Court for the Southern District of Florida captioned </w:t>
      </w:r>
      <w:r>
        <w:rPr>
          <w:rFonts w:ascii="Arial" w:cs="Arial" w:eastAsia="Arial" w:hAnsi="Arial"/>
          <w:sz w:val="16"/>
          <w:szCs w:val="16"/>
          <w:i w:val="1"/>
          <w:iCs w:val="1"/>
          <w:color w:val="auto"/>
        </w:rPr>
        <w:t>In re: January 2021 Short Squeeze Trading Litigation</w:t>
      </w:r>
      <w:r>
        <w:rPr>
          <w:rFonts w:ascii="Arial" w:cs="Arial" w:eastAsia="Arial" w:hAnsi="Arial"/>
          <w:sz w:val="16"/>
          <w:szCs w:val="16"/>
          <w:color w:val="auto"/>
        </w:rPr>
        <w:t>, Case No. 21-2989-MDL-ALTONAGA/Torres (the “MDL”). On May 18, 2021, the court appointed interim lead plaintiffs’ counsel for certain claims. The federal securities claims, which are governed by the procedures under the Private Securities Litigation Reform Act of 1995, will proceed separately.</w:t>
      </w:r>
    </w:p>
    <w:p>
      <w:pPr>
        <w:spacing w:after="0" w:line="15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Antitrust Division, the SEC staff, FINRA, the New York Attorney General’s Office, other state attorneys general offices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206</w:t>
      </w:r>
    </w:p>
    <w:p>
      <w:pPr>
        <w:sectPr>
          <w:pgSz w:w="11900" w:h="16838" w:orient="portrait"/>
          <w:cols w:equalWidth="0" w:num="1">
            <w:col w:w="11260"/>
          </w:cols>
          <w:pgMar w:left="320" w:top="1440" w:right="319" w:bottom="1440" w:gutter="0" w:footer="0" w:header="0"/>
        </w:sectPr>
      </w:pPr>
    </w:p>
    <w:bookmarkStart w:id="229" w:name="page230"/>
    <w:bookmarkEnd w:id="229"/>
    <w:p>
      <w:pPr>
        <w:spacing w:after="0" w:line="2"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number of state securities regulators. Also, a related search warrant was executed by the USAO to obtain Mr. Tenev’s cell phone. There have been several inquiries based on specific customer complaints. We have also received inquiries related to employee trading. In addition, we have received information and testimony requests from certain committees and members of the U.S. Congress and Mr. Tenev, among others, has provided or will provide testimony with respect to the Early 2021 Trading Restrictions. We are cooperating with these investigations and examinations.</w:t>
      </w:r>
    </w:p>
    <w:p>
      <w:pPr>
        <w:spacing w:after="0" w:line="15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Due to the preliminary nature of all of these proceedings, we are unable at this time to estimate the likelihood or magnitude of any possible losses related to these matters.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Massachusetts Securities Division Matter</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On December 16, 2020, the Enforcement Section of the MSD filed an administrative complaint against RHF, which stems from an investigation initiated by the MSD on or around July 21, 2020. The complaint alleges three counts of Massachusetts securities law violations regarding alleged unethical and dishonest conduct or practices, failure to supervise, and failure to act in accordance with the Massachusetts fiduciary duty standard, which became effective on March 6, 2020 and had an effective enforcement date beginning September 1, 2020. Among other things, MSD alleges that RHF’s product features and marketing strategies, outages and options trading approval process constitute violations of Massachusetts securities laws. On January 29, 2021, RHF filed an answer to this complaint denying each of the alleged securities law violations. The MSD sought leave to amend its complaint on April 15, 2021. The proposed amended complaint adds factual allegations regarding RHF's plan to offer IPO shares of other companies, RHF's outstanding margin loan balance and margin interest rate reduction, RHF's reporting of fractional share transactions, and offering cash rewards for deposits. The initial complaint seeks, among other things, injunctive relief (seeking a permanent cease and desist order), censure, unspecified restitution, unspecified disgorgement, the appointment of an independent consultant and an unspecified administrative fine. The proposed amended complaint also seeks revocation of RHF's license to operate in Massachusetts. If RHF were to lose its license to operate in Massachusetts, we would not be able to acquire any new customers in Massachusetts, and expect that our current customers in Massachusetts would be unable to continue utilizing any of the services or products offered on our platform (other than closing their positions) and that we may be forced to transfer such customers’ accounts to other broker-dealers. Additionally, revocation of RHF’s Massachusetts license could trigger similar disqualification or proceedings to restrict or condition RHF’s registration by other state regulators. A revocation of RHF’s license to operate in Massachusetts would result in RHF and RHS being subject to statutory disqualification by FINRA and the SEC, which would then result in RHF needing to obtain relief from FINRA subject to SEC review in order to remain a FINRA member and RHS possibly needing relief from FINRA or other SROs.</w:t>
      </w:r>
    </w:p>
    <w:p>
      <w:pPr>
        <w:spacing w:after="0" w:line="160"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On April 15, 2021, RHF filed a complaint and motion for preliminary injunction and declaratory relief in Massachusetts state court seeking to enjoin the MSD administrative proceeding and challenging the legality of the Massachusetts fiduciary duty standard. RHF responded to the MSD’s motion to amend its complaint on April 29, 2021. On May 27, 2021, the state court denied RHF’s motion for a preliminary injunction, finding that RHF would not suffer irreparable harm if MSD proceeded with the pending administrative action, but determined that RHF may seek a declaration that the disputed regulation is unlawful without first exhausting its remedies in the administrative action. On June 14, 2021, the state court declined to stay the entire matter pending resolution of the administrative proceeding, finding that RHF is entitled to have the state court decide certain of its challenges to the Massachusetts fiduciary standard without waiting for the MSD to complete its administrative proceeding. RHF has engaged in settlement discussions with the MSD at certain times since the MSD filed its initial complaint, however, such negotiations have not been successful and RHF is currently not engaged in any such settlement discussions with the MSD.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207</w:t>
      </w:r>
    </w:p>
    <w:p>
      <w:pPr>
        <w:sectPr>
          <w:pgSz w:w="11900" w:h="16838" w:orient="portrait"/>
          <w:cols w:equalWidth="0" w:num="1">
            <w:col w:w="11260"/>
          </w:cols>
          <w:pgMar w:left="320" w:top="1440" w:right="319" w:bottom="1440" w:gutter="0" w:footer="0" w:header="0"/>
        </w:sectPr>
      </w:pPr>
    </w:p>
    <w:bookmarkStart w:id="230" w:name="page231"/>
    <w:bookmarkEnd w:id="230"/>
    <w:p>
      <w:pPr>
        <w:spacing w:after="0"/>
        <w:rPr>
          <w:sz w:val="20"/>
          <w:szCs w:val="20"/>
          <w:color w:val="auto"/>
        </w:rPr>
      </w:pPr>
      <w:r>
        <w:rPr>
          <w:rFonts w:ascii="Arial" w:cs="Arial" w:eastAsia="Arial" w:hAnsi="Arial"/>
          <w:sz w:val="19"/>
          <w:szCs w:val="19"/>
          <w:b w:val="1"/>
          <w:bCs w:val="1"/>
          <w:i w:val="1"/>
          <w:iCs w:val="1"/>
          <w:color w:val="auto"/>
        </w:rPr>
        <w:t>RHC Anti-Money Laundering, Cybersecurity and Other Issues</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On July 24, 2020, the NYDFS issued a report of its examination of RHC citing a number of “matters requiring attention” focused primarily on anti-money laundering and cybersecurity-related issues. The matter was subsequently referred to the NYDFS’s Consumer Protection and Financial Enforcement Division for investigation. In March 2021, the NYDFS informed RHC of certain alleged violations of applicable (i) anti-money laundering and New York Banking Law requirements (Part 417, Part 504 and Banking Law § 44), including the failure to maintain and certify a compliant anti-money laundering program, (ii) notification provisions under RHC’s Supervisory Agreement with the NYDFS, and (iii) 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We refer to the foregoing matters as the “NYDFS Matter.” RHC and the NYDFS have reached a settlement in principle with respect to these allegations, subject to final documentation, in connection with which, among other things, RHC expects to pay a monetary penalty of $30 million and engage a monitor.</w:t>
      </w:r>
    </w:p>
    <w:p>
      <w:pPr>
        <w:spacing w:after="0" w:line="15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Additionally, on April 14, 2021, the California Attorney General’s Office issued an investigative subpoena to RHC, seeking documents and answers to interrogatories about RHC’s trading platform, business and operations, application of California’s commodities regulations to RHC and other matters. RHC is cooperating with this investigation. We cannot predict the outcome of the investigation or any consequences that might result from it.</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Account Takeovers</w:t>
      </w:r>
    </w:p>
    <w:p>
      <w:pPr>
        <w:spacing w:after="0" w:line="191"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In November 2020, FINRA Enforcement commenced an investigation into RHF concerning account takeovers, or circumstances under which an unauthorized actor successfully logs into a customer account, as well as anti-money laundering and cybersecurity issues. Since February 1, 2021, RHF has received requests for documents and information from the SEC’s Division of Enforcement (the “Enforcement Division”) in connection with its investigation into account takeovers at certain online brokers. Additionally, state regulators, including the NYDFS and the New York Attorney General’s Office, have opened inquiries into RHM, RHF and RHC related to account takeovers. RHM, RHF and RHC are cooperating with these investigations and inquiries. The SEC’s Division of Examinations (the “Examinations Division”) also conducted an examination and identified deficiencies, to which RHF responded, with respect to, among other things, account takeovers and identity theft in connection with new account opening. See “—Options Trading and Related Customer Communications and Displays” below for more information.</w:t>
      </w:r>
    </w:p>
    <w:p>
      <w:pPr>
        <w:spacing w:after="0" w:line="152"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On January 8, 2021, a putative class action was filed in California Superior Court (Santa Clara County) against RHF and RHS by Siddharth Mehta, purportedly on behalf of approximately 2,000 Robinhood customers whose accounts were allegedly accessed by unauthorized users from January 1, 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CCPA. On March 12, 2021, RHF and RHS filed a motion to dismiss the amended complaint, which on May 6, 2021 was granted in part and denied in part. A second amended complaint was filed by the plaintiffs on May 20, 2021, which RHF and RHS moved to dismiss on June 3, 2021.</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March 2020 Outages</w:t>
      </w:r>
    </w:p>
    <w:p>
      <w:pPr>
        <w:spacing w:after="0" w:line="19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Beginning on March 4, 2020, 15 putative class actions and one individual action were filed against RHM, RHF and RHS in state and federal district courts relating to the March 2020 Outages. One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208</w:t>
      </w:r>
    </w:p>
    <w:p>
      <w:pPr>
        <w:sectPr>
          <w:pgSz w:w="11900" w:h="16838" w:orient="portrait"/>
          <w:cols w:equalWidth="0" w:num="1">
            <w:col w:w="11260"/>
          </w:cols>
          <w:pgMar w:left="320" w:top="1426" w:right="319" w:bottom="1440" w:gutter="0" w:footer="0" w:header="0"/>
        </w:sectPr>
      </w:pPr>
    </w:p>
    <w:bookmarkStart w:id="231" w:name="page232"/>
    <w:bookmarkEnd w:id="231"/>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putative class actions and the individual action were voluntarily dismissed following settlements between the parties. Thirteen of the remaining putative class actions have been consolidated as </w:t>
      </w:r>
      <w:r>
        <w:rPr>
          <w:rFonts w:ascii="Arial" w:cs="Arial" w:eastAsia="Arial" w:hAnsi="Arial"/>
          <w:sz w:val="16"/>
          <w:szCs w:val="16"/>
          <w:i w:val="1"/>
          <w:iCs w:val="1"/>
          <w:color w:val="auto"/>
        </w:rPr>
        <w:t>In re Robinhood Outage Litigation</w:t>
      </w:r>
      <w:r>
        <w:rPr>
          <w:rFonts w:ascii="Arial" w:cs="Arial" w:eastAsia="Arial" w:hAnsi="Arial"/>
          <w:sz w:val="16"/>
          <w:szCs w:val="16"/>
          <w:color w:val="auto"/>
        </w:rPr>
        <w:t xml:space="preserve"> in the United States District Court for the Northern District of California. The one remaining putative class action, </w:t>
      </w:r>
      <w:r>
        <w:rPr>
          <w:rFonts w:ascii="Arial" w:cs="Arial" w:eastAsia="Arial" w:hAnsi="Arial"/>
          <w:sz w:val="16"/>
          <w:szCs w:val="16"/>
          <w:i w:val="1"/>
          <w:iCs w:val="1"/>
          <w:color w:val="auto"/>
        </w:rPr>
        <w:t>Withouski v. Robinhood Financial LLC, et al.</w:t>
      </w:r>
      <w:r>
        <w:rPr>
          <w:rFonts w:ascii="Arial" w:cs="Arial" w:eastAsia="Arial" w:hAnsi="Arial"/>
          <w:sz w:val="16"/>
          <w:szCs w:val="16"/>
          <w:color w:val="auto"/>
        </w:rPr>
        <w:t xml:space="preserve">, pending in the Superior Court of the State of California, County of San Mateo, has been stayed by agreement of the parties. The lawsuits generally allege that putative class members were unable to execute trades during the March 2020 Outages because our platform was inadequately designed to handle customer demand and RHM, RHF and RHS failed to implement appropriate backup systems. The lawsuits include, among other things, claims for breach of contract, negligence, gross negligence, breach of fiduciary duty, unjust enrichment and violations of certain California consumer protection statutes. The lawsuits generally seek damages, restitution, and/or disgorgement, as well as declaratory and injunctive relief. On February 18, 2021, the court denied our motion to dismiss RHF and RHS but dismissed RHM from </w:t>
      </w:r>
      <w:r>
        <w:rPr>
          <w:rFonts w:ascii="Arial" w:cs="Arial" w:eastAsia="Arial" w:hAnsi="Arial"/>
          <w:sz w:val="16"/>
          <w:szCs w:val="16"/>
          <w:i w:val="1"/>
          <w:iCs w:val="1"/>
          <w:color w:val="auto"/>
        </w:rPr>
        <w:t>In re Robinhood Outage Litigation</w:t>
      </w:r>
      <w:r>
        <w:rPr>
          <w:rFonts w:ascii="Arial" w:cs="Arial" w:eastAsia="Arial" w:hAnsi="Arial"/>
          <w:sz w:val="16"/>
          <w:szCs w:val="16"/>
          <w:color w:val="auto"/>
        </w:rPr>
        <w:t xml:space="preserve"> with leave to amend. The court also denied our motion to strike the class allegations, and ordered the parties to select a mediator within 14 days. On June 30, 2021, the plaintiffs filed a second amended complaint naming RHF, RHS and RHM as defendants. A mediation is scheduled for July 27, 2021. Fact discovery has been completed and expert discovery is scheduled to be completed by August 27, 2021.</w:t>
      </w:r>
    </w:p>
    <w:p>
      <w:pPr>
        <w:spacing w:after="0" w:line="162"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have also received notice that approximately 1,600 jointly represented customers may pursue arbitration of individual claims against us arising out of the March 2020 Outages, in addition to other alleged system outages.</w:t>
      </w:r>
    </w:p>
    <w:p>
      <w:pPr>
        <w:spacing w:after="0" w:line="13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SEC Examinations Division conducted an examination and identified a deficiency, to which RHF responded, with respect to RHF’s creation of a reasonably designed business continuity plan pursuant to FINRA Rule 4370. In addition, FINRA conducted an investigation and certain state regulatory authorities are conducting investigations, regarding the March 2020 Outages and related procedures. RHF and RHS are cooperating with the requests from these regulators and RHF has reached a settlement with FINRA with respect to certain matters as described below in “—FINRA Multi-Matter Settlement.”</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FINRA Multi-Matter Settlement</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RHF and RHS are subject to FINRA investigations and enforcement matters, including those described elsewhere in this section as well as investigations regarding certain other matters, such as RHF’s margin call procedures, RHS’s fractional share trade reporting, customer support procedures, customer arbitration agreements, processing of corporate actions and displays of historical performance data. On June 30, 2021, RHF resolved with FINRA, on a no admit, no deny basis, certain of these investigations and examinations, including investigations into systems outages, RHF’s options product offering, and margin-related communications with customers, among others. The resolution does not address all the matters FINRA is investigating, including those relating to the Early 2021 Trading Restrictions, account takeovers, RHS’s fractional share trade reporting, customer support procedures or customer arbitration agreements described elsewhere in this prospectus. RHF and RHS will continue to cooperate with FINRA on these matters. The resolution involved the following components: (i) charges of violations of FINRA Rules 2010, 2210, 2220, 2360, 3110, 3310, 4370, and 4530; (ii) a fine of $57.0 million; (iii) customer restitution of approximately $12.6 million, of which approximately $8.1 million already has been paid, $0.75 million has been offered to be paid, and the remaining $3.75 million is to be paid; (iv) a censure; and (v) engagement of an independent consultant to, among other things, review and make recommendations with respect to RHF’s relevant supervisory, customer communications, compliance, and other policies and procedures. As of March 31, 2021, we had accrued the $57.0 million fine as well as $4.5 million of customer restitution to be paid.</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Best Execution, Payment for Order Flow and Sources of Revenue Matters</w:t>
      </w:r>
    </w:p>
    <w:p>
      <w:pPr>
        <w:spacing w:after="0" w:line="17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In May 2019, the SEC Enforcement Division commenced an investigation into RHF’s best execution and PFOF practices, as well as statements concerning its sources of revenue. On December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209</w:t>
      </w:r>
    </w:p>
    <w:p>
      <w:pPr>
        <w:sectPr>
          <w:pgSz w:w="11900" w:h="16838" w:orient="portrait"/>
          <w:cols w:equalWidth="0" w:num="1">
            <w:col w:w="11260"/>
          </w:cols>
          <w:pgMar w:left="320" w:top="1440" w:right="319" w:bottom="1440" w:gutter="0" w:footer="0" w:header="0"/>
        </w:sectPr>
      </w:pPr>
    </w:p>
    <w:bookmarkStart w:id="232" w:name="page233"/>
    <w:bookmarkEnd w:id="232"/>
    <w:p>
      <w:pPr>
        <w:spacing w:after="0" w:line="2" w:lineRule="exact"/>
        <w:rPr>
          <w:sz w:val="20"/>
          <w:szCs w:val="20"/>
          <w:color w:val="auto"/>
        </w:rPr>
      </w:pPr>
    </w:p>
    <w:p>
      <w:pPr>
        <w:jc w:val="both"/>
        <w:ind w:left="4"/>
        <w:spacing w:after="0" w:line="249" w:lineRule="auto"/>
        <w:rPr>
          <w:sz w:val="20"/>
          <w:szCs w:val="20"/>
          <w:color w:val="auto"/>
        </w:rPr>
      </w:pPr>
      <w:r>
        <w:rPr>
          <w:rFonts w:ascii="Arial" w:cs="Arial" w:eastAsia="Arial" w:hAnsi="Arial"/>
          <w:sz w:val="16"/>
          <w:szCs w:val="16"/>
          <w:color w:val="auto"/>
        </w:rPr>
        <w:t>RHF, on a neither admit nor deny basis, consented to the entry of an SEC order (i) requiring RHF to cease and desist from committing or causing any violations and any future violations of Sections 17(a)(2) and 17(a)(3) of the Securities Act and Section 17(a) of the Exchange Act and Rule 17a-4 thereunder;</w:t>
      </w:r>
    </w:p>
    <w:p>
      <w:pPr>
        <w:spacing w:after="0" w:line="1" w:lineRule="exact"/>
        <w:rPr>
          <w:sz w:val="20"/>
          <w:szCs w:val="20"/>
          <w:color w:val="auto"/>
        </w:rPr>
      </w:pPr>
    </w:p>
    <w:p>
      <w:pPr>
        <w:jc w:val="both"/>
        <w:ind w:left="4" w:hanging="4"/>
        <w:spacing w:after="0" w:line="271" w:lineRule="auto"/>
        <w:tabs>
          <w:tab w:leader="none" w:pos="2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censuring RHF; and (iii) requiring RHF to pay a $65 million civil penalty in December 2020. RHF paid the $65 million penalty in cash and also agreed to engage an independent compliance consultant to, among other things, perform a comprehensive review of RHF’s supervisory, compliance and other policies and procedures related to its retail communications and PFOF and make recommendations for improvements. As a result of the cease-and-desist order, we are now considered an “ineligible issuer” as defined under Rule 405 of the Securities Act. See “Risks Related to Regulation and Litigation—</w:t>
      </w:r>
      <w:r>
        <w:rPr>
          <w:rFonts w:ascii="Arial" w:cs="Arial" w:eastAsia="Arial" w:hAnsi="Arial"/>
          <w:sz w:val="15"/>
          <w:szCs w:val="15"/>
          <w:i w:val="1"/>
          <w:iCs w:val="1"/>
          <w:color w:val="auto"/>
        </w:rPr>
        <w:t>As a result of our recent</w:t>
      </w:r>
      <w:r>
        <w:rPr>
          <w:rFonts w:ascii="Arial" w:cs="Arial" w:eastAsia="Arial" w:hAnsi="Arial"/>
          <w:sz w:val="15"/>
          <w:szCs w:val="15"/>
          <w:color w:val="auto"/>
        </w:rPr>
        <w:t xml:space="preserve"> </w:t>
      </w:r>
      <w:r>
        <w:rPr>
          <w:rFonts w:ascii="Arial" w:cs="Arial" w:eastAsia="Arial" w:hAnsi="Arial"/>
          <w:sz w:val="15"/>
          <w:szCs w:val="15"/>
          <w:i w:val="1"/>
          <w:iCs w:val="1"/>
          <w:color w:val="auto"/>
        </w:rPr>
        <w:t>settlement with the SEC, we are currently considered an ‘ineligible issuer,’ which limits our ability to use certain free writing prospectuses in securities offerings and will delay our ability to qualify as a ‘well-known seasoned issuer’ in the future</w:t>
      </w:r>
      <w:r>
        <w:rPr>
          <w:rFonts w:ascii="Arial" w:cs="Arial" w:eastAsia="Arial" w:hAnsi="Arial"/>
          <w:sz w:val="15"/>
          <w:szCs w:val="15"/>
          <w:color w:val="auto"/>
        </w:rPr>
        <w:t>” for more information about the impact of our “ineligible issuer” status.</w:t>
      </w:r>
    </w:p>
    <w:p>
      <w:pPr>
        <w:spacing w:after="0" w:line="146" w:lineRule="exact"/>
        <w:rPr>
          <w:sz w:val="20"/>
          <w:szCs w:val="20"/>
          <w:color w:val="auto"/>
        </w:rPr>
      </w:pPr>
    </w:p>
    <w:p>
      <w:pPr>
        <w:jc w:val="both"/>
        <w:ind w:left="4" w:firstLine="287"/>
        <w:spacing w:after="0" w:line="250" w:lineRule="auto"/>
        <w:rPr>
          <w:sz w:val="20"/>
          <w:szCs w:val="20"/>
          <w:color w:val="auto"/>
        </w:rPr>
      </w:pPr>
      <w:r>
        <w:rPr>
          <w:rFonts w:ascii="Arial" w:cs="Arial" w:eastAsia="Arial" w:hAnsi="Arial"/>
          <w:sz w:val="16"/>
          <w:szCs w:val="16"/>
          <w:color w:val="auto"/>
        </w:rPr>
        <w:t xml:space="preserve">Beginning on December 23, 2020, six putative securities fraud class action lawsuits were filed against RHM, RHF and/or RHS. The lawsuits generally allege that we violated the duty of best execution and misled putative class members by publishing misleading statements and omissions in customer communications relating to the execution of trades and revenue sources (including payment for order flow). Five of the complaints asserted claims for violations of Section 10(b) of the Exchange Act. All of the complaints asserted state law claims under California or New York law, and sought damages, restitution, disgorgement and other relief. On April 13, 2021, one of the cases was voluntarily dismissed without prejudice. The five remaining actions have been consolidated under the caption </w:t>
      </w:r>
      <w:r>
        <w:rPr>
          <w:rFonts w:ascii="Arial" w:cs="Arial" w:eastAsia="Arial" w:hAnsi="Arial"/>
          <w:sz w:val="16"/>
          <w:szCs w:val="16"/>
          <w:i w:val="1"/>
          <w:iCs w:val="1"/>
          <w:color w:val="auto"/>
        </w:rPr>
        <w:t>In re Robinhood Order Flow Litigation</w:t>
      </w:r>
      <w:r>
        <w:rPr>
          <w:rFonts w:ascii="Arial" w:cs="Arial" w:eastAsia="Arial" w:hAnsi="Arial"/>
          <w:sz w:val="16"/>
          <w:szCs w:val="16"/>
          <w:color w:val="auto"/>
        </w:rPr>
        <w:t xml:space="preserve"> in the United States District Court for the Northern District of California. An amended consolidated complaint was filed on May 17, 2021. On June 29, 2021, we filed a motion to dismiss the amended consolidated complaint and a motion to deny class certification.</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FINRA Best Execution Matter</w:t>
      </w:r>
    </w:p>
    <w:p>
      <w:pPr>
        <w:spacing w:after="0" w:line="179" w:lineRule="exact"/>
        <w:rPr>
          <w:sz w:val="20"/>
          <w:szCs w:val="20"/>
          <w:color w:val="auto"/>
        </w:rPr>
      </w:pPr>
    </w:p>
    <w:p>
      <w:pPr>
        <w:jc w:val="both"/>
        <w:ind w:left="4" w:firstLine="287"/>
        <w:spacing w:after="0" w:line="252" w:lineRule="auto"/>
        <w:rPr>
          <w:sz w:val="20"/>
          <w:szCs w:val="20"/>
          <w:color w:val="auto"/>
        </w:rPr>
      </w:pPr>
      <w:r>
        <w:rPr>
          <w:rFonts w:ascii="Arial" w:cs="Arial" w:eastAsia="Arial" w:hAnsi="Arial"/>
          <w:sz w:val="16"/>
          <w:szCs w:val="16"/>
          <w:color w:val="auto"/>
        </w:rPr>
        <w:t>On December 19, 2019, without admitting or denying the findings, RHF consented to sanctions and the entry of findings by FINRA relating to RHF’s consideration of alternative markets for order routing, internal written procedures, and the need for additional review of certain order types executed from 2016 to 2017. The settlement censured RHF and required it to pay a $ 1.25 million fine and to retain an independent consultant. RHF paid the $1.25 million fine in cash, which was recorded as general and administrative expenses in our consolidated statements of operations for the year ended December 31, 2019.</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Options Trading and Related Customer Communications and Displays</w:t>
      </w:r>
    </w:p>
    <w:p>
      <w:pPr>
        <w:spacing w:after="0" w:line="179" w:lineRule="exact"/>
        <w:rPr>
          <w:sz w:val="20"/>
          <w:szCs w:val="20"/>
          <w:color w:val="auto"/>
        </w:rPr>
      </w:pPr>
    </w:p>
    <w:p>
      <w:pPr>
        <w:jc w:val="both"/>
        <w:ind w:left="4" w:firstLine="287"/>
        <w:spacing w:after="0" w:line="251" w:lineRule="auto"/>
        <w:rPr>
          <w:sz w:val="20"/>
          <w:szCs w:val="20"/>
          <w:color w:val="auto"/>
        </w:rPr>
      </w:pPr>
      <w:r>
        <w:rPr>
          <w:rFonts w:ascii="Arial" w:cs="Arial" w:eastAsia="Arial" w:hAnsi="Arial"/>
          <w:sz w:val="16"/>
          <w:szCs w:val="16"/>
          <w:color w:val="auto"/>
        </w:rPr>
        <w:t>The SEC Examinations Division conducted an examination and identified deficiencies, to which RHF responded, with respect to account takeovers, identity theft in connection with new account opening, processes for approving or rejecting certain accounts for options trading, and customer support response times. Certain state regulatory authorities are conducting investigations regarding RHF’s options trading and related customer communications and displays. The staff of such state regulatory authorities are reviewing, among other things, how RHF displays cash and buying power to customers and its options trading approval processes. RHF is cooperating with the regulators’ requests. FINRA also conducted an investigation and reached a settlement with RHF regarding the same options trading and related customer communications and displays issues. See “—FINRA Multi-Matter Settlement” above.</w:t>
      </w:r>
    </w:p>
    <w:p>
      <w:pPr>
        <w:spacing w:after="0" w:line="148" w:lineRule="exact"/>
        <w:rPr>
          <w:sz w:val="20"/>
          <w:szCs w:val="20"/>
          <w:color w:val="auto"/>
        </w:rPr>
      </w:pPr>
    </w:p>
    <w:p>
      <w:pPr>
        <w:jc w:val="both"/>
        <w:ind w:left="4" w:firstLine="287"/>
        <w:spacing w:after="0" w:line="252" w:lineRule="auto"/>
        <w:rPr>
          <w:sz w:val="20"/>
          <w:szCs w:val="20"/>
          <w:color w:val="auto"/>
        </w:rPr>
      </w:pPr>
      <w:r>
        <w:rPr>
          <w:rFonts w:ascii="Arial" w:cs="Arial" w:eastAsia="Arial" w:hAnsi="Arial"/>
          <w:sz w:val="16"/>
          <w:szCs w:val="16"/>
          <w:color w:val="auto"/>
        </w:rPr>
        <w:t>On February 8, 2021, the family of Alexander Kearns, a Robinhood customer who traded options, filed a lawsuit in the Superior Court of the State of California, County of Santa Clara, against RHF, RHS and RHM in connection with Mr. Kearns’s death by suicide in June 2020. The lawsuit asserted claims for wrongful death, negligent infliction of emotional distress and unfair business practices under a California statute, and sought damages and other relief. This matter was dismissed with prejudice following a settlement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210</w:t>
      </w:r>
    </w:p>
    <w:p>
      <w:pPr>
        <w:sectPr>
          <w:pgSz w:w="11900" w:h="16838" w:orient="portrait"/>
          <w:cols w:equalWidth="0" w:num="1">
            <w:col w:w="11264"/>
          </w:cols>
          <w:pgMar w:left="316" w:top="1440" w:right="319" w:bottom="1440" w:gutter="0" w:footer="0" w:header="0"/>
        </w:sectPr>
      </w:pPr>
    </w:p>
    <w:bookmarkStart w:id="233" w:name="page234"/>
    <w:bookmarkEnd w:id="233"/>
    <w:p>
      <w:pPr>
        <w:spacing w:after="0"/>
        <w:rPr>
          <w:sz w:val="20"/>
          <w:szCs w:val="20"/>
          <w:color w:val="auto"/>
        </w:rPr>
      </w:pPr>
      <w:r>
        <w:rPr>
          <w:rFonts w:ascii="Arial" w:cs="Arial" w:eastAsia="Arial" w:hAnsi="Arial"/>
          <w:sz w:val="19"/>
          <w:szCs w:val="19"/>
          <w:b w:val="1"/>
          <w:bCs w:val="1"/>
          <w:i w:val="1"/>
          <w:iCs w:val="1"/>
          <w:color w:val="auto"/>
        </w:rPr>
        <w:t>Pinchasov v. Robinhood Financial LLC</w:t>
      </w:r>
    </w:p>
    <w:p>
      <w:pPr>
        <w:spacing w:after="0" w:line="19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On November 5, 2020, plaintiff Shterna Pinchasov filed a putative class action in the Circuit Court of the 11th Judicial Circuit of Florida in and for Miami-Dade County asserting claims of negligence and breach of fiduciary duty based on allegations that RHF failed to prevent customers from using its interface for stocks that were subject to a “T1 Halt,” and seeking damages. Securities exchanges, such as the New York Stock Exchange and the Nasdaq Stock Market, have the authority to halt and delay trading in a security, and a “T1 Halt” (or regulatory halt) may occur pending the release of material news about a company.</w:t>
      </w:r>
    </w:p>
    <w:p>
      <w:pPr>
        <w:spacing w:after="0" w:line="147"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On November 30, 2020, RHF removed this action to the U.S. District Court for the Southern District of Florida pursuant to the Class Action Fairness Act of 2005. On December 21, 2020, RHF filed a motion to dismiss the complaint, which the court denied on April 22, 2021. The case is now in the fact discovery stage, which is scheduled to close on December 28, 2021.</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Gordon v. Robinhood Financial LLC</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On October 29, 2019, a putative class action was filed against RHF and RHM in the Superior Court for the State of Washington, County of Spokane. The complaint alleges that RHF and RHM initiated or assisted in the transmission of commercial electronic text messages to Washington State residents without their consent in violation of Washington State law. The action has been removed to the Eastern District of Washington, pursuant to the Class Action Fairness Act of 2005, and the court granted RHM’s motion to dismiss for lack of personal jurisdiction. On January 7, 2020, we filed a motion to dismiss the complaint, which was denied. On January 25, 2021, the court granted the plaintiff’s motion for class certification. On May 26, 2021, the court granted RHF’s motion to stay the proceeding, including all deadlines, class discovery and class notice, while RHF conducts discovery into the allegation that the plaintiff and class counsel Brian Cameron orchestrated the text messages at issue. On June 25, 2021, RHF filed a motion to decertify the class and disqualify class counsel.</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 You” Document Request</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On May 26, 2021, the SEC’s Enforcement Division issued a request to RHM and RHF seeking documents and information related to the “For You” feature, which was available in the past on our website only and is not currently an active product offering on our website or platform, and other features displaying lists of securities to customers. Robinhood is cooperating with the Staff’s investigation.</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Dansberger v. Robinhood Securities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 xml:space="preserve">On June 11, 2021, RHS was sued by Thomas Dansberger on behalf of a putative class in the Circuit Court for Seminole County in Florida. Mr. Dansberger purports to represent “All Florida residents who purchased Robinhood Gold on or by January 21, 2021 and (b) who were not able to buy or sell cryptocurrencies on January 21, 2021.” The plaintiff alleges one count of violating the Florida Deceptive and Unfair Trade Practices Act, Fla. Stat. § 510.201, </w:t>
      </w:r>
      <w:r>
        <w:rPr>
          <w:rFonts w:ascii="Arial" w:cs="Arial" w:eastAsia="Arial" w:hAnsi="Arial"/>
          <w:sz w:val="16"/>
          <w:szCs w:val="16"/>
          <w:i w:val="1"/>
          <w:iCs w:val="1"/>
          <w:color w:val="auto"/>
        </w:rPr>
        <w:t>et seq</w:t>
      </w:r>
      <w:r>
        <w:rPr>
          <w:rFonts w:ascii="Arial" w:cs="Arial" w:eastAsia="Arial" w:hAnsi="Arial"/>
          <w:sz w:val="16"/>
          <w:szCs w:val="16"/>
          <w:color w:val="auto"/>
        </w:rPr>
        <w:t>. and alleges that RHS engaged in unfair and deceptive trade practices by advertising and marketing that Robinhood Gold would provide access for customers to buy and sell cryptocurrencies but failed to do so on January 28, 2021 when it halted the buying and selling of cryptocurrencies.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211</w:t>
      </w:r>
    </w:p>
    <w:p>
      <w:pPr>
        <w:sectPr>
          <w:pgSz w:w="11900" w:h="16838" w:orient="portrait"/>
          <w:cols w:equalWidth="0" w:num="1">
            <w:col w:w="11260"/>
          </w:cols>
          <w:pgMar w:left="320" w:top="1426" w:right="319" w:bottom="1440"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324485</wp:posOffset>
            </wp:positionV>
            <wp:extent cx="6191885" cy="80130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13" w:lineRule="exact"/>
        <w:rPr>
          <w:sz w:val="20"/>
          <w:szCs w:val="20"/>
          <w:color w:val="auto"/>
        </w:rPr>
      </w:pPr>
    </w:p>
    <w:p>
      <w:pPr>
        <w:jc w:val="center"/>
        <w:ind w:right="-3"/>
        <w:spacing w:after="0"/>
        <w:rPr>
          <w:sz w:val="20"/>
          <w:szCs w:val="20"/>
          <w:color w:val="auto"/>
        </w:rPr>
      </w:pPr>
      <w:r>
        <w:rPr>
          <w:rFonts w:ascii="Arial" w:cs="Arial" w:eastAsia="Arial" w:hAnsi="Arial"/>
          <w:sz w:val="32"/>
          <w:szCs w:val="32"/>
          <w:color w:val="auto"/>
        </w:rPr>
        <w:t>MANAGEMENT</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22"/>
          <w:szCs w:val="22"/>
          <w:color w:val="auto"/>
        </w:rPr>
        <w:t>Executive Officers and Non-Employee Directors Upon Completion of the Offering</w:t>
      </w:r>
    </w:p>
    <w:p>
      <w:pPr>
        <w:spacing w:after="0" w:line="163" w:lineRule="exact"/>
        <w:rPr>
          <w:sz w:val="20"/>
          <w:szCs w:val="20"/>
          <w:color w:val="auto"/>
        </w:rPr>
      </w:pPr>
    </w:p>
    <w:p>
      <w:pPr>
        <w:ind w:left="4" w:firstLine="287"/>
        <w:spacing w:after="0" w:line="260" w:lineRule="auto"/>
        <w:rPr>
          <w:sz w:val="20"/>
          <w:szCs w:val="20"/>
          <w:color w:val="auto"/>
        </w:rPr>
      </w:pPr>
      <w:r>
        <w:rPr>
          <w:rFonts w:ascii="Arial" w:cs="Arial" w:eastAsia="Arial" w:hAnsi="Arial"/>
          <w:sz w:val="16"/>
          <w:szCs w:val="16"/>
          <w:color w:val="auto"/>
        </w:rPr>
        <w:t>The following table sets forth information as of July 1, 2021 regarding individuals who are expected to serve as our executive officers and directors following the completion of this offering:</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284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Age</w:t>
            </w:r>
          </w:p>
        </w:tc>
        <w:tc>
          <w:tcPr>
            <w:tcW w:w="33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Position</w:t>
            </w:r>
          </w:p>
        </w:tc>
        <w:tc>
          <w:tcPr>
            <w:tcW w:w="2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Committees</w:t>
            </w: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w w:val="96"/>
              </w:rPr>
              <w:t>Date of Appointment</w:t>
            </w:r>
          </w:p>
        </w:tc>
      </w:tr>
      <w:tr>
        <w:trPr>
          <w:trHeight w:val="195"/>
        </w:trPr>
        <w:tc>
          <w:tcPr>
            <w:tcW w:w="2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i w:val="1"/>
                <w:iCs w:val="1"/>
                <w:color w:val="auto"/>
              </w:rPr>
              <w:t>Executive Officers</w:t>
            </w:r>
          </w:p>
        </w:tc>
        <w:tc>
          <w:tcPr>
            <w:tcW w:w="100" w:type="dxa"/>
            <w:vAlign w:val="bottom"/>
            <w:tcBorders>
              <w:top w:val="single" w:sz="8" w:color="DBDBDB"/>
            </w:tcBorders>
            <w:shd w:val="clear" w:color="auto" w:fill="DBDBDB"/>
          </w:tcPr>
          <w:p>
            <w:pPr>
              <w:spacing w:after="0"/>
              <w:rPr>
                <w:sz w:val="16"/>
                <w:szCs w:val="16"/>
                <w:color w:val="auto"/>
              </w:rPr>
            </w:pPr>
          </w:p>
        </w:tc>
        <w:tc>
          <w:tcPr>
            <w:tcW w:w="72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3300" w:type="dxa"/>
            <w:vAlign w:val="bottom"/>
            <w:tcBorders>
              <w:top w:val="single" w:sz="8" w:color="auto"/>
            </w:tcBorders>
            <w:shd w:val="clear" w:color="auto" w:fill="DBDBDB"/>
          </w:tcPr>
          <w:p>
            <w:pPr>
              <w:spacing w:after="0"/>
              <w:rPr>
                <w:sz w:val="16"/>
                <w:szCs w:val="16"/>
                <w:color w:val="auto"/>
              </w:rPr>
            </w:pPr>
          </w:p>
        </w:tc>
        <w:tc>
          <w:tcPr>
            <w:tcW w:w="80" w:type="dxa"/>
            <w:vAlign w:val="bottom"/>
            <w:tcBorders>
              <w:top w:val="single" w:sz="8" w:color="DBDBDB"/>
            </w:tcBorders>
            <w:shd w:val="clear" w:color="auto" w:fill="DBDBDB"/>
          </w:tcPr>
          <w:p>
            <w:pPr>
              <w:spacing w:after="0"/>
              <w:rPr>
                <w:sz w:val="16"/>
                <w:szCs w:val="16"/>
                <w:color w:val="auto"/>
              </w:rPr>
            </w:pPr>
          </w:p>
        </w:tc>
        <w:tc>
          <w:tcPr>
            <w:tcW w:w="208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2040" w:type="dxa"/>
            <w:vAlign w:val="bottom"/>
            <w:tcBorders>
              <w:top w:val="single" w:sz="8" w:color="auto"/>
            </w:tcBorders>
            <w:shd w:val="clear" w:color="auto" w:fill="DBDBDB"/>
          </w:tcPr>
          <w:p>
            <w:pPr>
              <w:spacing w:after="0"/>
              <w:rPr>
                <w:sz w:val="16"/>
                <w:szCs w:val="16"/>
                <w:color w:val="auto"/>
              </w:rPr>
            </w:pPr>
          </w:p>
        </w:tc>
      </w:tr>
      <w:tr>
        <w:trPr>
          <w:trHeight w:val="167"/>
        </w:trPr>
        <w:tc>
          <w:tcPr>
            <w:tcW w:w="2840" w:type="dxa"/>
            <w:vAlign w:val="bottom"/>
            <w:gridSpan w:val="2"/>
          </w:tcPr>
          <w:p>
            <w:pPr>
              <w:ind w:left="20"/>
              <w:spacing w:after="0" w:line="167" w:lineRule="exact"/>
              <w:rPr>
                <w:sz w:val="20"/>
                <w:szCs w:val="20"/>
                <w:color w:val="auto"/>
              </w:rPr>
            </w:pPr>
            <w:r>
              <w:rPr>
                <w:rFonts w:ascii="Arial" w:cs="Arial" w:eastAsia="Arial" w:hAnsi="Arial"/>
                <w:sz w:val="16"/>
                <w:szCs w:val="16"/>
                <w:color w:val="auto"/>
              </w:rPr>
              <w:t>Vladimir Tenev</w:t>
            </w:r>
          </w:p>
        </w:tc>
        <w:tc>
          <w:tcPr>
            <w:tcW w:w="720" w:type="dxa"/>
            <w:vAlign w:val="bottom"/>
          </w:tcPr>
          <w:p>
            <w:pPr>
              <w:jc w:val="center"/>
              <w:spacing w:after="0" w:line="167" w:lineRule="exact"/>
              <w:rPr>
                <w:sz w:val="20"/>
                <w:szCs w:val="20"/>
                <w:color w:val="auto"/>
              </w:rPr>
            </w:pPr>
            <w:r>
              <w:rPr>
                <w:rFonts w:ascii="Arial" w:cs="Arial" w:eastAsia="Arial" w:hAnsi="Arial"/>
                <w:sz w:val="16"/>
                <w:szCs w:val="16"/>
                <w:color w:val="auto"/>
              </w:rPr>
              <w:t>34</w:t>
            </w:r>
          </w:p>
        </w:tc>
        <w:tc>
          <w:tcPr>
            <w:tcW w:w="100" w:type="dxa"/>
            <w:vAlign w:val="bottom"/>
          </w:tcPr>
          <w:p>
            <w:pPr>
              <w:spacing w:after="0"/>
              <w:rPr>
                <w:sz w:val="14"/>
                <w:szCs w:val="14"/>
                <w:color w:val="auto"/>
              </w:rPr>
            </w:pPr>
          </w:p>
        </w:tc>
        <w:tc>
          <w:tcPr>
            <w:tcW w:w="3380" w:type="dxa"/>
            <w:vAlign w:val="bottom"/>
            <w:gridSpan w:val="2"/>
          </w:tcPr>
          <w:p>
            <w:pPr>
              <w:jc w:val="center"/>
              <w:ind w:right="80"/>
              <w:spacing w:after="0" w:line="167" w:lineRule="exact"/>
              <w:rPr>
                <w:sz w:val="20"/>
                <w:szCs w:val="20"/>
                <w:color w:val="auto"/>
              </w:rPr>
            </w:pPr>
            <w:r>
              <w:rPr>
                <w:rFonts w:ascii="Arial" w:cs="Arial" w:eastAsia="Arial" w:hAnsi="Arial"/>
                <w:sz w:val="16"/>
                <w:szCs w:val="16"/>
                <w:color w:val="auto"/>
                <w:w w:val="98"/>
              </w:rPr>
              <w:t>Co-Founder, Chief Executive Officer,</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line="167" w:lineRule="exact"/>
              <w:rPr>
                <w:sz w:val="20"/>
                <w:szCs w:val="20"/>
                <w:color w:val="auto"/>
              </w:rPr>
            </w:pPr>
            <w:r>
              <w:rPr>
                <w:rFonts w:ascii="Arial" w:cs="Arial" w:eastAsia="Arial" w:hAnsi="Arial"/>
                <w:sz w:val="16"/>
                <w:szCs w:val="16"/>
                <w:color w:val="auto"/>
                <w:w w:val="98"/>
              </w:rPr>
              <w:t>November 2013</w:t>
            </w:r>
          </w:p>
        </w:tc>
      </w:tr>
      <w:tr>
        <w:trPr>
          <w:trHeight w:val="192"/>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President and Director</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166"/>
        </w:trPr>
        <w:tc>
          <w:tcPr>
            <w:tcW w:w="28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Baiju Bhatt</w:t>
            </w:r>
          </w:p>
        </w:tc>
        <w:tc>
          <w:tcPr>
            <w:tcW w:w="720" w:type="dxa"/>
            <w:vAlign w:val="bottom"/>
          </w:tcPr>
          <w:p>
            <w:pPr>
              <w:jc w:val="center"/>
              <w:spacing w:after="0" w:line="166" w:lineRule="exact"/>
              <w:rPr>
                <w:sz w:val="20"/>
                <w:szCs w:val="20"/>
                <w:color w:val="auto"/>
              </w:rPr>
            </w:pPr>
            <w:r>
              <w:rPr>
                <w:rFonts w:ascii="Arial" w:cs="Arial" w:eastAsia="Arial" w:hAnsi="Arial"/>
                <w:sz w:val="16"/>
                <w:szCs w:val="16"/>
                <w:color w:val="auto"/>
              </w:rPr>
              <w:t>36</w:t>
            </w:r>
          </w:p>
        </w:tc>
        <w:tc>
          <w:tcPr>
            <w:tcW w:w="100" w:type="dxa"/>
            <w:vAlign w:val="bottom"/>
          </w:tcPr>
          <w:p>
            <w:pPr>
              <w:spacing w:after="0"/>
              <w:rPr>
                <w:sz w:val="14"/>
                <w:szCs w:val="14"/>
                <w:color w:val="auto"/>
              </w:rPr>
            </w:pPr>
          </w:p>
        </w:tc>
        <w:tc>
          <w:tcPr>
            <w:tcW w:w="3380" w:type="dxa"/>
            <w:vAlign w:val="bottom"/>
            <w:gridSpan w:val="2"/>
          </w:tcPr>
          <w:p>
            <w:pPr>
              <w:jc w:val="center"/>
              <w:ind w:right="100"/>
              <w:spacing w:after="0" w:line="166" w:lineRule="exact"/>
              <w:rPr>
                <w:sz w:val="20"/>
                <w:szCs w:val="20"/>
                <w:color w:val="auto"/>
              </w:rPr>
            </w:pPr>
            <w:r>
              <w:rPr>
                <w:rFonts w:ascii="Arial" w:cs="Arial" w:eastAsia="Arial" w:hAnsi="Arial"/>
                <w:sz w:val="16"/>
                <w:szCs w:val="16"/>
                <w:color w:val="auto"/>
                <w:w w:val="99"/>
              </w:rPr>
              <w:t>Co-Founder, Chief Creative Officer and</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line="166" w:lineRule="exact"/>
              <w:rPr>
                <w:sz w:val="20"/>
                <w:szCs w:val="20"/>
                <w:color w:val="auto"/>
              </w:rPr>
            </w:pPr>
            <w:r>
              <w:rPr>
                <w:rFonts w:ascii="Arial" w:cs="Arial" w:eastAsia="Arial" w:hAnsi="Arial"/>
                <w:sz w:val="16"/>
                <w:szCs w:val="16"/>
                <w:color w:val="auto"/>
                <w:w w:val="98"/>
              </w:rPr>
              <w:t>November 2013</w:t>
            </w:r>
          </w:p>
        </w:tc>
      </w:tr>
      <w:tr>
        <w:trPr>
          <w:trHeight w:val="192"/>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Aparna Chennapragada</w:t>
            </w:r>
          </w:p>
        </w:tc>
        <w:tc>
          <w:tcPr>
            <w:tcW w:w="720" w:type="dxa"/>
            <w:vAlign w:val="bottom"/>
          </w:tcPr>
          <w:p>
            <w:pPr>
              <w:jc w:val="center"/>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Chief Product Officer</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99"/>
              </w:rPr>
              <w:t>April 2021</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Daniel Gallagher</w:t>
            </w:r>
          </w:p>
        </w:tc>
        <w:tc>
          <w:tcPr>
            <w:tcW w:w="720" w:type="dxa"/>
            <w:vAlign w:val="bottom"/>
          </w:tcPr>
          <w:p>
            <w:pPr>
              <w:jc w:val="center"/>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Chief Legal Officer</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99"/>
              </w:rPr>
              <w:t>May 2020</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Gretchen Howard</w:t>
            </w:r>
          </w:p>
        </w:tc>
        <w:tc>
          <w:tcPr>
            <w:tcW w:w="720" w:type="dxa"/>
            <w:vAlign w:val="bottom"/>
          </w:tcPr>
          <w:p>
            <w:pPr>
              <w:jc w:val="center"/>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Chief Operating Officer</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99"/>
              </w:rPr>
              <w:t>July 2019</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Christina Smedley</w:t>
            </w:r>
          </w:p>
        </w:tc>
        <w:tc>
          <w:tcPr>
            <w:tcW w:w="720" w:type="dxa"/>
            <w:vAlign w:val="bottom"/>
          </w:tcPr>
          <w:p>
            <w:pPr>
              <w:jc w:val="center"/>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Chief Marketing and Communications Officer</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99"/>
              </w:rPr>
              <w:t>September 2020</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Jason Warnick</w:t>
            </w:r>
          </w:p>
        </w:tc>
        <w:tc>
          <w:tcPr>
            <w:tcW w:w="720" w:type="dxa"/>
            <w:vAlign w:val="bottom"/>
          </w:tcPr>
          <w:p>
            <w:pPr>
              <w:jc w:val="center"/>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Chief Financial Officer</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98"/>
              </w:rPr>
              <w:t>December 2018</w:t>
            </w:r>
          </w:p>
        </w:tc>
      </w:tr>
      <w:tr>
        <w:trPr>
          <w:trHeight w:val="203"/>
        </w:trPr>
        <w:tc>
          <w:tcPr>
            <w:tcW w:w="2840" w:type="dxa"/>
            <w:vAlign w:val="bottom"/>
            <w:gridSpan w:val="2"/>
            <w:shd w:val="clear" w:color="auto" w:fill="DBDBDB"/>
          </w:tcPr>
          <w:p>
            <w:pPr>
              <w:ind w:left="20"/>
              <w:spacing w:after="0"/>
              <w:rPr>
                <w:sz w:val="20"/>
                <w:szCs w:val="20"/>
                <w:color w:val="auto"/>
              </w:rPr>
            </w:pPr>
            <w:r>
              <w:rPr>
                <w:rFonts w:ascii="Arial" w:cs="Arial" w:eastAsia="Arial" w:hAnsi="Arial"/>
                <w:sz w:val="16"/>
                <w:szCs w:val="16"/>
                <w:i w:val="1"/>
                <w:iCs w:val="1"/>
                <w:color w:val="auto"/>
              </w:rPr>
              <w:t>Non-Employee Directors</w:t>
            </w:r>
          </w:p>
        </w:tc>
        <w:tc>
          <w:tcPr>
            <w:tcW w:w="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40" w:type="dxa"/>
            <w:vAlign w:val="bottom"/>
            <w:shd w:val="clear" w:color="auto" w:fill="DBDBDB"/>
          </w:tcPr>
          <w:p>
            <w:pPr>
              <w:spacing w:after="0"/>
              <w:rPr>
                <w:sz w:val="17"/>
                <w:szCs w:val="17"/>
                <w:color w:val="auto"/>
              </w:rPr>
            </w:pP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Jan Hammer (I)</w:t>
            </w:r>
          </w:p>
        </w:tc>
        <w:tc>
          <w:tcPr>
            <w:tcW w:w="720" w:type="dxa"/>
            <w:vAlign w:val="bottom"/>
          </w:tcPr>
          <w:p>
            <w:pPr>
              <w:jc w:val="center"/>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1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A, R</w:t>
            </w:r>
          </w:p>
        </w:tc>
        <w:tc>
          <w:tcPr>
            <w:tcW w:w="2040" w:type="dxa"/>
            <w:vAlign w:val="bottom"/>
          </w:tcPr>
          <w:p>
            <w:pPr>
              <w:jc w:val="center"/>
              <w:spacing w:after="0"/>
              <w:rPr>
                <w:sz w:val="20"/>
                <w:szCs w:val="20"/>
                <w:color w:val="auto"/>
              </w:rPr>
            </w:pPr>
            <w:r>
              <w:rPr>
                <w:rFonts w:ascii="Arial" w:cs="Arial" w:eastAsia="Arial" w:hAnsi="Arial"/>
                <w:sz w:val="16"/>
                <w:szCs w:val="16"/>
                <w:color w:val="auto"/>
              </w:rPr>
              <w:t>August 2014</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Paula Loop (I)</w:t>
            </w:r>
          </w:p>
        </w:tc>
        <w:tc>
          <w:tcPr>
            <w:tcW w:w="720" w:type="dxa"/>
            <w:vAlign w:val="bottom"/>
          </w:tcPr>
          <w:p>
            <w:pPr>
              <w:jc w:val="center"/>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180" w:type="dxa"/>
            <w:vAlign w:val="bottom"/>
            <w:gridSpan w:val="2"/>
          </w:tcPr>
          <w:p>
            <w:pPr>
              <w:jc w:val="center"/>
              <w:ind w:right="80"/>
              <w:spacing w:after="0"/>
              <w:rPr>
                <w:sz w:val="20"/>
                <w:szCs w:val="20"/>
                <w:color w:val="auto"/>
              </w:rPr>
            </w:pPr>
            <w:r>
              <w:rPr>
                <w:rFonts w:ascii="Arial" w:cs="Arial" w:eastAsia="Arial" w:hAnsi="Arial"/>
                <w:sz w:val="16"/>
                <w:szCs w:val="16"/>
                <w:color w:val="auto"/>
              </w:rPr>
              <w:t>A*, R</w:t>
            </w:r>
          </w:p>
        </w:tc>
        <w:tc>
          <w:tcPr>
            <w:tcW w:w="2040" w:type="dxa"/>
            <w:vAlign w:val="bottom"/>
          </w:tcPr>
          <w:p>
            <w:pPr>
              <w:jc w:val="center"/>
              <w:spacing w:after="0"/>
              <w:rPr>
                <w:sz w:val="20"/>
                <w:szCs w:val="20"/>
                <w:color w:val="auto"/>
              </w:rPr>
            </w:pPr>
            <w:r>
              <w:rPr>
                <w:rFonts w:ascii="Arial" w:cs="Arial" w:eastAsia="Arial" w:hAnsi="Arial"/>
                <w:sz w:val="16"/>
                <w:szCs w:val="16"/>
                <w:color w:val="auto"/>
                <w:w w:val="98"/>
              </w:rPr>
              <w:t>June 2021</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Jonathan Rubinstein (I)</w:t>
            </w:r>
          </w:p>
        </w:tc>
        <w:tc>
          <w:tcPr>
            <w:tcW w:w="720" w:type="dxa"/>
            <w:vAlign w:val="bottom"/>
          </w:tcPr>
          <w:p>
            <w:pPr>
              <w:jc w:val="center"/>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C, N</w:t>
            </w:r>
          </w:p>
        </w:tc>
        <w:tc>
          <w:tcPr>
            <w:tcW w:w="2040" w:type="dxa"/>
            <w:vAlign w:val="bottom"/>
          </w:tcPr>
          <w:p>
            <w:pPr>
              <w:jc w:val="center"/>
              <w:spacing w:after="0"/>
              <w:rPr>
                <w:sz w:val="20"/>
                <w:szCs w:val="20"/>
                <w:color w:val="auto"/>
              </w:rPr>
            </w:pPr>
            <w:r>
              <w:rPr>
                <w:rFonts w:ascii="Arial" w:cs="Arial" w:eastAsia="Arial" w:hAnsi="Arial"/>
                <w:sz w:val="16"/>
                <w:szCs w:val="16"/>
                <w:color w:val="auto"/>
                <w:w w:val="99"/>
              </w:rPr>
              <w:t>May 2021</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Scott Sandell (I)</w:t>
            </w:r>
          </w:p>
        </w:tc>
        <w:tc>
          <w:tcPr>
            <w:tcW w:w="720" w:type="dxa"/>
            <w:vAlign w:val="bottom"/>
          </w:tcPr>
          <w:p>
            <w:pPr>
              <w:jc w:val="center"/>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1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C*, N*</w:t>
            </w:r>
          </w:p>
        </w:tc>
        <w:tc>
          <w:tcPr>
            <w:tcW w:w="2040" w:type="dxa"/>
            <w:vAlign w:val="bottom"/>
          </w:tcPr>
          <w:p>
            <w:pPr>
              <w:jc w:val="center"/>
              <w:spacing w:after="0"/>
              <w:rPr>
                <w:sz w:val="20"/>
                <w:szCs w:val="20"/>
                <w:color w:val="auto"/>
              </w:rPr>
            </w:pPr>
            <w:r>
              <w:rPr>
                <w:rFonts w:ascii="Arial" w:cs="Arial" w:eastAsia="Arial" w:hAnsi="Arial"/>
                <w:sz w:val="16"/>
                <w:szCs w:val="16"/>
                <w:color w:val="auto"/>
                <w:w w:val="98"/>
              </w:rPr>
              <w:t>June 2016</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Robert Zoellick (I)</w:t>
            </w:r>
          </w:p>
        </w:tc>
        <w:tc>
          <w:tcPr>
            <w:tcW w:w="720" w:type="dxa"/>
            <w:vAlign w:val="bottom"/>
          </w:tcPr>
          <w:p>
            <w:pPr>
              <w:jc w:val="center"/>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7"/>
                <w:szCs w:val="17"/>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180" w:type="dxa"/>
            <w:vAlign w:val="bottom"/>
            <w:gridSpan w:val="2"/>
          </w:tcPr>
          <w:p>
            <w:pPr>
              <w:jc w:val="center"/>
              <w:ind w:right="80"/>
              <w:spacing w:after="0"/>
              <w:rPr>
                <w:sz w:val="20"/>
                <w:szCs w:val="20"/>
                <w:color w:val="auto"/>
              </w:rPr>
            </w:pPr>
            <w:r>
              <w:rPr>
                <w:rFonts w:ascii="Arial" w:cs="Arial" w:eastAsia="Arial" w:hAnsi="Arial"/>
                <w:sz w:val="16"/>
                <w:szCs w:val="16"/>
                <w:color w:val="auto"/>
              </w:rPr>
              <w:t>A, R*</w:t>
            </w:r>
          </w:p>
        </w:tc>
        <w:tc>
          <w:tcPr>
            <w:tcW w:w="2040" w:type="dxa"/>
            <w:vAlign w:val="bottom"/>
          </w:tcPr>
          <w:p>
            <w:pPr>
              <w:jc w:val="center"/>
              <w:spacing w:after="0"/>
              <w:rPr>
                <w:sz w:val="20"/>
                <w:szCs w:val="20"/>
                <w:color w:val="auto"/>
              </w:rPr>
            </w:pPr>
            <w:r>
              <w:rPr>
                <w:rFonts w:ascii="Arial" w:cs="Arial" w:eastAsia="Arial" w:hAnsi="Arial"/>
                <w:sz w:val="16"/>
                <w:szCs w:val="16"/>
                <w:color w:val="auto"/>
                <w:w w:val="99"/>
              </w:rPr>
              <w:t>May 2021</w:t>
            </w:r>
          </w:p>
        </w:tc>
      </w:tr>
      <w:tr>
        <w:trPr>
          <w:trHeight w:val="147"/>
        </w:trPr>
        <w:tc>
          <w:tcPr>
            <w:tcW w:w="2740" w:type="dxa"/>
            <w:vAlign w:val="bottom"/>
          </w:tcPr>
          <w:p>
            <w:pPr>
              <w:spacing w:after="0" w:line="148" w:lineRule="exact"/>
              <w:rPr>
                <w:sz w:val="20"/>
                <w:szCs w:val="20"/>
                <w:color w:val="auto"/>
              </w:rPr>
            </w:pPr>
            <w:r>
              <w:rPr>
                <w:rFonts w:ascii="Arial" w:cs="Arial" w:eastAsia="Arial" w:hAnsi="Arial"/>
                <w:sz w:val="13"/>
                <w:szCs w:val="13"/>
                <w:color w:val="auto"/>
              </w:rPr>
              <w:t>________________</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r>
    </w:tbl>
    <w:p>
      <w:pPr>
        <w:ind w:left="4" w:right="6360" w:hanging="4"/>
        <w:spacing w:after="0" w:line="230" w:lineRule="auto"/>
        <w:tabs>
          <w:tab w:leader="none" w:pos="1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 Considered by our board of directors to be independent under Nasdaq listing rules A = Member of the Audit Committee</w:t>
      </w:r>
    </w:p>
    <w:p>
      <w:pPr>
        <w:ind w:left="4"/>
        <w:spacing w:after="0" w:line="230" w:lineRule="auto"/>
        <w:rPr>
          <w:rFonts w:ascii="Arial" w:cs="Arial" w:eastAsia="Arial" w:hAnsi="Arial"/>
          <w:sz w:val="13"/>
          <w:szCs w:val="13"/>
          <w:color w:val="auto"/>
        </w:rPr>
      </w:pPr>
      <w:r>
        <w:rPr>
          <w:rFonts w:ascii="Arial" w:cs="Arial" w:eastAsia="Arial" w:hAnsi="Arial"/>
          <w:sz w:val="13"/>
          <w:szCs w:val="13"/>
          <w:color w:val="auto"/>
        </w:rPr>
        <w:t>C = Member of the People and Compensation Committee</w:t>
      </w:r>
    </w:p>
    <w:p>
      <w:pPr>
        <w:ind w:left="4" w:right="7240"/>
        <w:spacing w:after="0" w:line="249" w:lineRule="auto"/>
        <w:rPr>
          <w:rFonts w:ascii="Arial" w:cs="Arial" w:eastAsia="Arial" w:hAnsi="Arial"/>
          <w:sz w:val="13"/>
          <w:szCs w:val="13"/>
          <w:color w:val="auto"/>
        </w:rPr>
      </w:pPr>
      <w:r>
        <w:rPr>
          <w:rFonts w:ascii="Arial" w:cs="Arial" w:eastAsia="Arial" w:hAnsi="Arial"/>
          <w:sz w:val="12"/>
          <w:szCs w:val="12"/>
          <w:color w:val="auto"/>
        </w:rPr>
        <w:t>N = Member of the Nominating and Corporate Governance Committee R = Member of the Safety, Risk and Regulatory Committee</w:t>
      </w:r>
    </w:p>
    <w:p>
      <w:pPr>
        <w:ind w:left="4"/>
        <w:spacing w:after="0"/>
        <w:rPr>
          <w:rFonts w:ascii="Arial" w:cs="Arial" w:eastAsia="Arial" w:hAnsi="Arial"/>
          <w:sz w:val="13"/>
          <w:szCs w:val="13"/>
          <w:color w:val="auto"/>
        </w:rPr>
      </w:pPr>
      <w:r>
        <w:rPr>
          <w:rFonts w:ascii="Arial" w:cs="Arial" w:eastAsia="Arial" w:hAnsi="Arial"/>
          <w:sz w:val="13"/>
          <w:szCs w:val="13"/>
          <w:color w:val="auto"/>
        </w:rPr>
        <w:t>* =  Chair of the applicable committee</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Executive Officers and Employee Directors</w:t>
      </w:r>
    </w:p>
    <w:p>
      <w:pPr>
        <w:spacing w:after="0" w:line="161" w:lineRule="exact"/>
        <w:rPr>
          <w:sz w:val="20"/>
          <w:szCs w:val="20"/>
          <w:color w:val="auto"/>
        </w:rPr>
      </w:pPr>
    </w:p>
    <w:p>
      <w:pPr>
        <w:jc w:val="both"/>
        <w:ind w:left="4" w:right="20" w:firstLine="287"/>
        <w:spacing w:after="0" w:line="257" w:lineRule="auto"/>
        <w:rPr>
          <w:sz w:val="20"/>
          <w:szCs w:val="20"/>
          <w:color w:val="auto"/>
        </w:rPr>
      </w:pPr>
      <w:r>
        <w:rPr>
          <w:rFonts w:ascii="Arial" w:cs="Arial" w:eastAsia="Arial" w:hAnsi="Arial"/>
          <w:sz w:val="16"/>
          <w:szCs w:val="16"/>
          <w:b w:val="1"/>
          <w:bCs w:val="1"/>
          <w:i w:val="1"/>
          <w:iCs w:val="1"/>
          <w:color w:val="auto"/>
        </w:rPr>
        <w:t xml:space="preserve">Vladimir Tenev </w:t>
      </w:r>
      <w:r>
        <w:rPr>
          <w:rFonts w:ascii="Arial" w:cs="Arial" w:eastAsia="Arial" w:hAnsi="Arial"/>
          <w:sz w:val="16"/>
          <w:szCs w:val="16"/>
          <w:color w:val="auto"/>
        </w:rPr>
        <w:t>is a Co-Founder of Robinhood and, since November 2020, has served as Chief Executive Officer (“CEO”) and President of Robinhood.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Tenev has also served as a member of our board of directors since our founding, and in March 2021 was appointed as the Chair of our board of directors. In 2013, Mr. Tenev co-founded Robinhood with Mr. Bhatt to democratize finance. From 2013 to November 2020, Mr. Tenev served alongside Mr. Bhatt as our co-CEO and co-President. Before Robinhood, Mr. Tenev started two finance companies in New York City. Mr. Tenev holds a B.S. in Mathematics from Stanford University and an M.S. in Mathematics from UCLA.</w:t>
      </w:r>
    </w:p>
    <w:p>
      <w:pPr>
        <w:spacing w:after="0" w:line="156"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We believe that Mr. Tenev is qualified to serve as a member of our board of directors based on the perspective and experience he brings as our Co-Founder and CEO.</w:t>
      </w:r>
    </w:p>
    <w:p>
      <w:pPr>
        <w:spacing w:after="0" w:line="121" w:lineRule="exact"/>
        <w:rPr>
          <w:sz w:val="20"/>
          <w:szCs w:val="20"/>
          <w:color w:val="auto"/>
        </w:rPr>
      </w:pPr>
    </w:p>
    <w:p>
      <w:pPr>
        <w:jc w:val="both"/>
        <w:ind w:left="4" w:firstLine="287"/>
        <w:spacing w:after="0" w:line="283" w:lineRule="auto"/>
        <w:rPr>
          <w:sz w:val="20"/>
          <w:szCs w:val="20"/>
          <w:color w:val="auto"/>
        </w:rPr>
      </w:pPr>
      <w:r>
        <w:rPr>
          <w:rFonts w:ascii="Arial" w:cs="Arial" w:eastAsia="Arial" w:hAnsi="Arial"/>
          <w:sz w:val="16"/>
          <w:szCs w:val="16"/>
          <w:b w:val="1"/>
          <w:bCs w:val="1"/>
          <w:i w:val="1"/>
          <w:iCs w:val="1"/>
          <w:color w:val="auto"/>
        </w:rPr>
        <w:t xml:space="preserve">Baiju Bhatt </w:t>
      </w:r>
      <w:r>
        <w:rPr>
          <w:rFonts w:ascii="Arial" w:cs="Arial" w:eastAsia="Arial" w:hAnsi="Arial"/>
          <w:sz w:val="16"/>
          <w:szCs w:val="16"/>
          <w:color w:val="auto"/>
        </w:rPr>
        <w:t>is a Co-Founder of Robinhood and, in March 2021, was named our Chief Creative Officer. Mr. Bhatt has also served as a member of our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directors since our founding. In 2013, Mr. Bhatt co-founded Robinhood with Mr. Tenev to democratize finance. From 2013 to November 2020,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213</w:t>
      </w:r>
    </w:p>
    <w:p>
      <w:pPr>
        <w:sectPr>
          <w:pgSz w:w="11900" w:h="16838" w:orient="portrait"/>
          <w:cols w:equalWidth="0" w:num="1">
            <w:col w:w="11264"/>
          </w:cols>
          <w:pgMar w:left="316" w:top="1440" w:right="319" w:bottom="1440" w:gutter="0" w:footer="0" w:header="0"/>
        </w:sectPr>
      </w:pPr>
    </w:p>
    <w:bookmarkStart w:id="236" w:name="page237"/>
    <w:bookmarkEnd w:id="236"/>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Bhatt served alongside Mr. Tenev as our co-CEO and co-President. Before Robinhood, Mr. Bhatt started two finance companies in New York City. Mr. Bhatt holds a B.S. in Physics and an M.S. in Mathematics from Stanford University.</w:t>
      </w:r>
    </w:p>
    <w:p>
      <w:pPr>
        <w:spacing w:after="0" w:line="15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believe that Mr. Bhatt is qualified to serve as a member of our board of directors based on the perspective and experience he brings as our Co-Founder and Chief Creative Officer.</w:t>
      </w:r>
    </w:p>
    <w:p>
      <w:pPr>
        <w:spacing w:after="0" w:line="121"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b w:val="1"/>
          <w:bCs w:val="1"/>
          <w:i w:val="1"/>
          <w:iCs w:val="1"/>
          <w:color w:val="auto"/>
        </w:rPr>
        <w:t xml:space="preserve">Aparna Chennapragada </w:t>
      </w:r>
      <w:r>
        <w:rPr>
          <w:rFonts w:ascii="Arial" w:cs="Arial" w:eastAsia="Arial" w:hAnsi="Arial"/>
          <w:sz w:val="16"/>
          <w:szCs w:val="16"/>
          <w:color w:val="auto"/>
        </w:rPr>
        <w:t>has served as our Chief Product Officer since April 2021. Prior to joining Robinhood, Ms. Chennapragada was a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General Manager at Google, where she held various leadership roles over 12 years. Most recently, Ms. Chennapragada led consumer shopping platforms and experiences across Google and also drove Google's visual search and augmented reality efforts. Ms. Chennapragada also previously worked as a Senior Director and Technical Assistant to the CEO of Google, led Google Now and worked on many areas in Google Search and YouTube. Ms. Chennapragada previously served on the board of directors of Capital One. Ms. Chennapragada holds an M.S. in Management and Engineering from the Massachusetts Institute of Technology, an M.S. in Computer Science from the University of Texas at Austin and a B.Tech in Computer Science from the Indian Institute of Technology, Madras.</w:t>
      </w:r>
    </w:p>
    <w:p>
      <w:pPr>
        <w:spacing w:after="0" w:line="125" w:lineRule="exact"/>
        <w:rPr>
          <w:sz w:val="20"/>
          <w:szCs w:val="20"/>
          <w:color w:val="auto"/>
        </w:rPr>
      </w:pPr>
    </w:p>
    <w:p>
      <w:pPr>
        <w:jc w:val="both"/>
        <w:ind w:right="20" w:firstLine="287"/>
        <w:spacing w:after="0" w:line="257" w:lineRule="auto"/>
        <w:rPr>
          <w:sz w:val="20"/>
          <w:szCs w:val="20"/>
          <w:color w:val="auto"/>
        </w:rPr>
      </w:pPr>
      <w:r>
        <w:rPr>
          <w:rFonts w:ascii="Arial" w:cs="Arial" w:eastAsia="Arial" w:hAnsi="Arial"/>
          <w:sz w:val="16"/>
          <w:szCs w:val="16"/>
          <w:b w:val="1"/>
          <w:bCs w:val="1"/>
          <w:i w:val="1"/>
          <w:iCs w:val="1"/>
          <w:color w:val="auto"/>
        </w:rPr>
        <w:t xml:space="preserve">Daniel Gallagher </w:t>
      </w:r>
      <w:r>
        <w:rPr>
          <w:rFonts w:ascii="Arial" w:cs="Arial" w:eastAsia="Arial" w:hAnsi="Arial"/>
          <w:sz w:val="16"/>
          <w:szCs w:val="16"/>
          <w:color w:val="auto"/>
        </w:rPr>
        <w:t>has served as our Chief Legal Officer since May 2020. Before joining Robinhood, Mr. Gallagher was a Partner and the Deputy Chair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Securities Department at Wilmer Cutler Pickering Hale and Dorr LLP from 2019 to 2020. Mr. Gallagher’s previous experience includes serving as the Chief Legal Officer at Mylan N.V., a leading global pharmaceutical company, from 2017 to 2019, and as a President of a financial services consulting firm from 2016 to 2017. Mr. Gallagher served as a Commissioner of the SEC from 2011 to 2015, and held several other positions on the SEC staff prior to being appointed Commissioner. Mr. Gallagher holds a J.D. from The Catholic University of America, Columbus School of Law and a B.A. from Georgetown University.</w:t>
      </w:r>
    </w:p>
    <w:p>
      <w:pPr>
        <w:spacing w:after="0" w:line="138" w:lineRule="exact"/>
        <w:rPr>
          <w:sz w:val="20"/>
          <w:szCs w:val="20"/>
          <w:color w:val="auto"/>
        </w:rPr>
      </w:pPr>
    </w:p>
    <w:p>
      <w:pPr>
        <w:jc w:val="both"/>
        <w:ind w:firstLine="287"/>
        <w:spacing w:after="0" w:line="256" w:lineRule="auto"/>
        <w:rPr>
          <w:sz w:val="20"/>
          <w:szCs w:val="20"/>
          <w:color w:val="auto"/>
        </w:rPr>
      </w:pPr>
      <w:r>
        <w:rPr>
          <w:rFonts w:ascii="Arial" w:cs="Arial" w:eastAsia="Arial" w:hAnsi="Arial"/>
          <w:sz w:val="16"/>
          <w:szCs w:val="16"/>
          <w:b w:val="1"/>
          <w:bCs w:val="1"/>
          <w:i w:val="1"/>
          <w:iCs w:val="1"/>
          <w:color w:val="auto"/>
        </w:rPr>
        <w:t xml:space="preserve">Gretchen Howard </w:t>
      </w:r>
      <w:r>
        <w:rPr>
          <w:rFonts w:ascii="Arial" w:cs="Arial" w:eastAsia="Arial" w:hAnsi="Arial"/>
          <w:sz w:val="16"/>
          <w:szCs w:val="16"/>
          <w:color w:val="auto"/>
        </w:rPr>
        <w:t>has served as our Chief Operating Officer since July 2019 and as our Vice President of Operations from January 2019 to July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joining Robinhood, Ms. Howard was a Partner with CapitalG, Alphabet’s Growth Equity fund from 2014 to 2019. Prior to CapitalG, Ms. Howard held various positions at Google, including the co-site lead of the Google San Francisco office and a Managing Director in Sales &amp; Business Operations. Prior to joining Google in 2006, Ms. Howard served as Vice President of Market Development and Field Sales for Fidelity Investments. She started her career working in consulting, helping companies implement new technology strategies. Ms. Howard serves as a director on the board of directors of Macondray Capital Acquisition Corp I. Ms. Howard holds an M.B.A. from Harvard Business School and a B.A. from Williams College.</w:t>
      </w:r>
    </w:p>
    <w:p>
      <w:pPr>
        <w:spacing w:after="0" w:line="125" w:lineRule="exact"/>
        <w:rPr>
          <w:sz w:val="20"/>
          <w:szCs w:val="20"/>
          <w:color w:val="auto"/>
        </w:rPr>
      </w:pPr>
    </w:p>
    <w:p>
      <w:pPr>
        <w:jc w:val="both"/>
        <w:ind w:right="20" w:firstLine="287"/>
        <w:spacing w:after="0" w:line="257" w:lineRule="auto"/>
        <w:rPr>
          <w:sz w:val="20"/>
          <w:szCs w:val="20"/>
          <w:color w:val="auto"/>
        </w:rPr>
      </w:pPr>
      <w:r>
        <w:rPr>
          <w:rFonts w:ascii="Arial" w:cs="Arial" w:eastAsia="Arial" w:hAnsi="Arial"/>
          <w:sz w:val="16"/>
          <w:szCs w:val="16"/>
          <w:b w:val="1"/>
          <w:bCs w:val="1"/>
          <w:i w:val="1"/>
          <w:iCs w:val="1"/>
          <w:color w:val="auto"/>
        </w:rPr>
        <w:t xml:space="preserve">Christina Smedley </w:t>
      </w:r>
      <w:r>
        <w:rPr>
          <w:rFonts w:ascii="Arial" w:cs="Arial" w:eastAsia="Arial" w:hAnsi="Arial"/>
          <w:sz w:val="16"/>
          <w:szCs w:val="16"/>
          <w:color w:val="auto"/>
        </w:rPr>
        <w:t>has served as our Chief Marketing and Communications Officer since September 2020. Before joining Robinhood, Ms. Smedley held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positions, most recently as a Vice President at Facebook from 2015 to 2020, where she worked with the Messenger, Diem (previously known as Libra) and Novi teams. Ms. Smedley joined Facebook from PayPal where she was Vice President of Brand and Communications from 2012 to 2015. In past roles, she led Edelman’s global consumer practice and Amazon’s worldwide communications team. She holds a B.A. from the University of Kent, Canterbury, United Kingdom.</w:t>
      </w:r>
    </w:p>
    <w:p>
      <w:pPr>
        <w:spacing w:after="0" w:line="126" w:lineRule="exact"/>
        <w:rPr>
          <w:sz w:val="20"/>
          <w:szCs w:val="20"/>
          <w:color w:val="auto"/>
        </w:rPr>
      </w:pPr>
    </w:p>
    <w:p>
      <w:pPr>
        <w:jc w:val="both"/>
        <w:ind w:firstLine="287"/>
        <w:spacing w:after="0" w:line="266" w:lineRule="auto"/>
        <w:rPr>
          <w:sz w:val="20"/>
          <w:szCs w:val="20"/>
          <w:color w:val="auto"/>
        </w:rPr>
      </w:pPr>
      <w:r>
        <w:rPr>
          <w:rFonts w:ascii="Arial" w:cs="Arial" w:eastAsia="Arial" w:hAnsi="Arial"/>
          <w:sz w:val="16"/>
          <w:szCs w:val="16"/>
          <w:b w:val="1"/>
          <w:bCs w:val="1"/>
          <w:i w:val="1"/>
          <w:iCs w:val="1"/>
          <w:color w:val="auto"/>
        </w:rPr>
        <w:t xml:space="preserve">Jason Warnick </w:t>
      </w:r>
      <w:r>
        <w:rPr>
          <w:rFonts w:ascii="Arial" w:cs="Arial" w:eastAsia="Arial" w:hAnsi="Arial"/>
          <w:sz w:val="16"/>
          <w:szCs w:val="16"/>
          <w:color w:val="auto"/>
        </w:rPr>
        <w:t>has served as our Chief Financial Officer since December 2018. Prior to joining Robinhood, Mr. Warnick held a variety of finance, strategy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compliance leadership positions at Amazon.com, where he most recently served as Vice President, Finance from 2011 to 2018. Mr. Warnick holds a B.A. in Accounting from Western Washington University.</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Non-Employee Directors</w:t>
      </w:r>
    </w:p>
    <w:p>
      <w:pPr>
        <w:spacing w:after="0" w:line="161" w:lineRule="exact"/>
        <w:rPr>
          <w:sz w:val="20"/>
          <w:szCs w:val="20"/>
          <w:color w:val="auto"/>
        </w:rPr>
      </w:pPr>
    </w:p>
    <w:p>
      <w:pPr>
        <w:jc w:val="both"/>
        <w:ind w:right="20" w:firstLine="287"/>
        <w:spacing w:after="0" w:line="283" w:lineRule="auto"/>
        <w:rPr>
          <w:sz w:val="20"/>
          <w:szCs w:val="20"/>
          <w:color w:val="auto"/>
        </w:rPr>
      </w:pPr>
      <w:r>
        <w:rPr>
          <w:rFonts w:ascii="Arial" w:cs="Arial" w:eastAsia="Arial" w:hAnsi="Arial"/>
          <w:sz w:val="16"/>
          <w:szCs w:val="16"/>
          <w:b w:val="1"/>
          <w:bCs w:val="1"/>
          <w:i w:val="1"/>
          <w:iCs w:val="1"/>
          <w:color w:val="auto"/>
        </w:rPr>
        <w:t xml:space="preserve">Jan Hammer </w:t>
      </w:r>
      <w:r>
        <w:rPr>
          <w:rFonts w:ascii="Arial" w:cs="Arial" w:eastAsia="Arial" w:hAnsi="Arial"/>
          <w:sz w:val="16"/>
          <w:szCs w:val="16"/>
          <w:color w:val="auto"/>
        </w:rPr>
        <w:t>has served as a member of our board of directors since August 2014. Mr. Hammer is a Partner at Index Ventures, a venture capital 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he joined in 2010. At Index, he focuses on financial, information/data services and software as a service across all stages. Prior to joining Index,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214</w:t>
      </w:r>
    </w:p>
    <w:p>
      <w:pPr>
        <w:sectPr>
          <w:pgSz w:w="11900" w:h="16838" w:orient="portrait"/>
          <w:cols w:equalWidth="0" w:num="1">
            <w:col w:w="11260"/>
          </w:cols>
          <w:pgMar w:left="320" w:top="1440" w:right="319" w:bottom="1440" w:gutter="0" w:footer="0" w:header="0"/>
        </w:sectPr>
      </w:pPr>
    </w:p>
    <w:bookmarkStart w:id="237" w:name="page238"/>
    <w:bookmarkEnd w:id="237"/>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Hammer worked at General Atlantic in London. Mr. Hammer started his career working in mergers and acquisitions and capital markets at Morgan Stanley. Mr.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Hammer holds an M.B.A. from INSEAD and an M.A. from Oxford University.</w:t>
      </w:r>
    </w:p>
    <w:p>
      <w:pPr>
        <w:spacing w:after="0" w:line="17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believe that Mr. Hammer is qualified to serve as a member of our board of directors based on the perspective and extensive experience he brings as an investor in technology companies.</w:t>
      </w:r>
    </w:p>
    <w:p>
      <w:pPr>
        <w:spacing w:after="0" w:line="121" w:lineRule="exact"/>
        <w:rPr>
          <w:sz w:val="20"/>
          <w:szCs w:val="20"/>
          <w:color w:val="auto"/>
        </w:rPr>
      </w:pPr>
    </w:p>
    <w:p>
      <w:pPr>
        <w:jc w:val="both"/>
        <w:ind w:right="20" w:firstLine="287"/>
        <w:spacing w:after="0" w:line="256" w:lineRule="auto"/>
        <w:rPr>
          <w:sz w:val="20"/>
          <w:szCs w:val="20"/>
          <w:color w:val="auto"/>
        </w:rPr>
      </w:pPr>
      <w:r>
        <w:rPr>
          <w:rFonts w:ascii="Arial" w:cs="Arial" w:eastAsia="Arial" w:hAnsi="Arial"/>
          <w:sz w:val="16"/>
          <w:szCs w:val="16"/>
          <w:b w:val="1"/>
          <w:bCs w:val="1"/>
          <w:i w:val="1"/>
          <w:iCs w:val="1"/>
          <w:color w:val="auto"/>
        </w:rPr>
        <w:t xml:space="preserve">Paula Loop </w:t>
      </w:r>
      <w:r>
        <w:rPr>
          <w:rFonts w:ascii="Arial" w:cs="Arial" w:eastAsia="Arial" w:hAnsi="Arial"/>
          <w:sz w:val="16"/>
          <w:szCs w:val="16"/>
          <w:color w:val="auto"/>
        </w:rPr>
        <w:t>has served as a member of our board of directors since June 17, 2021. Ms. Loop was previously a Partner at PwC, where she most recently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led PwC’s Governance Insights Center, a position from which she retired on June 16, 2021. Ms. Loop has extensive experience in governance, technical accounting and SEC and financial reporting matters. Ms. Loop previously served as PwC’s New York Metro Regional Assurance Leader and prior to that as the U.S. and Global Talent Leader. She also served on PwC’s Board of Partners and on the firm’s Governance, Risk and Quality and Executive Compensation Committees. Ms. Loop is a Certified Public Accountant and also serves on the board of the Value Reporting Foundation. Ms. Loop holds a B.S. from the University of California at Berkeley.</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believe that Ms. Loop is qualified to serve as a member of our board of directors based on her extensive audit, financial and governance experience.</w:t>
      </w:r>
    </w:p>
    <w:p>
      <w:pPr>
        <w:spacing w:after="0" w:line="157"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b w:val="1"/>
          <w:bCs w:val="1"/>
          <w:i w:val="1"/>
          <w:iCs w:val="1"/>
          <w:color w:val="auto"/>
        </w:rPr>
        <w:t xml:space="preserve">Jonathan Rubinstein </w:t>
      </w:r>
      <w:r>
        <w:rPr>
          <w:rFonts w:ascii="Arial" w:cs="Arial" w:eastAsia="Arial" w:hAnsi="Arial"/>
          <w:sz w:val="16"/>
          <w:szCs w:val="16"/>
          <w:color w:val="auto"/>
        </w:rPr>
        <w:t>has served as a member of our board of directors since May 28, 2021. He has held several prominent positions across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financial services over the course of his career. Mr. Rubinstein was Co-CEO at Bridgewater Associates, LP, from 2016 to 2017; Senior Vice President, Product Innovation, for the Personal Systems Group at Hewlett-Packard Company; the Chairman and CEO of Palm, Inc.; and a Senior Vice President and also General Manager of the iPod Division at Apple Inc. Mr. Rubinstein is a member of the National Academy of Engineering and a senior member of the Institute of Electrical and Electronics Engineers. He currently serves as the lead director of the board of directors of Amazon and previously served as a director on the board of directors of Qualcomm. Mr. Rubinstein is also a Senior Advisor at PDT Partners. Mr. Rubinstein holds an M.Eng. and a B.S. in electrical engineering from Cornell University. Mr. Rubinstein also holds an M.S. in computer science from Colorado State University.</w:t>
      </w:r>
    </w:p>
    <w:p>
      <w:pPr>
        <w:spacing w:after="0" w:line="143"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We believe that Mr. Rubinstein is qualified to serve as a member of our board of directors based on the perspective and extensive experience he brings as a leader of and an investor in technology companies and his experience serving on public company boards.</w:t>
      </w:r>
    </w:p>
    <w:p>
      <w:pPr>
        <w:spacing w:after="0" w:line="121" w:lineRule="exact"/>
        <w:rPr>
          <w:sz w:val="20"/>
          <w:szCs w:val="20"/>
          <w:color w:val="auto"/>
        </w:rPr>
      </w:pPr>
    </w:p>
    <w:p>
      <w:pPr>
        <w:jc w:val="both"/>
        <w:ind w:firstLine="287"/>
        <w:spacing w:after="0" w:line="257" w:lineRule="auto"/>
        <w:rPr>
          <w:sz w:val="20"/>
          <w:szCs w:val="20"/>
          <w:color w:val="auto"/>
        </w:rPr>
      </w:pPr>
      <w:r>
        <w:rPr>
          <w:rFonts w:ascii="Arial" w:cs="Arial" w:eastAsia="Arial" w:hAnsi="Arial"/>
          <w:sz w:val="16"/>
          <w:szCs w:val="16"/>
          <w:b w:val="1"/>
          <w:bCs w:val="1"/>
          <w:i w:val="1"/>
          <w:iCs w:val="1"/>
          <w:color w:val="auto"/>
        </w:rPr>
        <w:t xml:space="preserve">Scott Sandell </w:t>
      </w:r>
      <w:r>
        <w:rPr>
          <w:rFonts w:ascii="Arial" w:cs="Arial" w:eastAsia="Arial" w:hAnsi="Arial"/>
          <w:sz w:val="16"/>
          <w:szCs w:val="16"/>
          <w:color w:val="auto"/>
        </w:rPr>
        <w:t>has served as a member of our board of directors since June 2016. He has served as Managing General Partner of New Enterprise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Associates (“NEA”), a venture capital firm, since 2017, Co-Managing General Partner from 2015 to 2017, and as a General Partner since September 2000. Mr. Sandell joined NEA in 1996. Mr. Sandell is currently the lead independent director of Cloudflare and is a director of Bloom Energy and Tuya. Mr. Sandell previously served on the board of directors of Fusion-io, Tableau Software, Workday and Spreadtrum Communications. Mr. Sandell holds an M.B.A. from Stanford University and an A.B. in Engineering Sciences from Dartmouth College.</w:t>
      </w:r>
    </w:p>
    <w:p>
      <w:pPr>
        <w:spacing w:after="0" w:line="156"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We believe that Mr. Sandell is qualified to serve as a member of our board of directors based on the perspective and extensive experience he brings as an investor in technology companies and his experience serving on private and public company boards.</w:t>
      </w:r>
    </w:p>
    <w:p>
      <w:pPr>
        <w:spacing w:after="0" w:line="121" w:lineRule="exact"/>
        <w:rPr>
          <w:sz w:val="20"/>
          <w:szCs w:val="20"/>
          <w:color w:val="auto"/>
        </w:rPr>
      </w:pPr>
    </w:p>
    <w:p>
      <w:pPr>
        <w:jc w:val="both"/>
        <w:ind w:firstLine="287"/>
        <w:spacing w:after="0" w:line="256" w:lineRule="auto"/>
        <w:rPr>
          <w:sz w:val="20"/>
          <w:szCs w:val="20"/>
          <w:color w:val="auto"/>
        </w:rPr>
      </w:pPr>
      <w:r>
        <w:rPr>
          <w:rFonts w:ascii="Arial" w:cs="Arial" w:eastAsia="Arial" w:hAnsi="Arial"/>
          <w:sz w:val="16"/>
          <w:szCs w:val="16"/>
          <w:b w:val="1"/>
          <w:bCs w:val="1"/>
          <w:i w:val="1"/>
          <w:iCs w:val="1"/>
          <w:color w:val="auto"/>
        </w:rPr>
        <w:t xml:space="preserve">Robert Zoellick </w:t>
      </w:r>
      <w:r>
        <w:rPr>
          <w:rFonts w:ascii="Arial" w:cs="Arial" w:eastAsia="Arial" w:hAnsi="Arial"/>
          <w:sz w:val="16"/>
          <w:szCs w:val="16"/>
          <w:color w:val="auto"/>
        </w:rPr>
        <w:t>has served as a member of our board of directors since May 28, 2021. Mr. Zoellick is a Senior Fellow of the Belfer Center for Science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Affairs at Harvard University and Senior Counselor at the Brunswick Group. He served in various posts in the public sector, including President of the World Bank from 2007 to 2012, U.S. Trade Representative from 2001 to 2005, Deputy Secretary of State from 2005 to 2006, Counselor to the Secretary of the Treasury, and Deputy Chief of Staff at the White House from 1992 to 1993. Mr. Zoellick has also chaired the board at AllianceBernstein and held senior posts at Goldman Sachs, Fannie Mae and the U.S. Naval Academy. He serves on the boards of Temasek, Singapore's sovereign wealth fund, and Twitter, Inc. Mr. Zoellick also chairs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215</w:t>
      </w:r>
    </w:p>
    <w:p>
      <w:pPr>
        <w:sectPr>
          <w:pgSz w:w="11900" w:h="16838" w:orient="portrait"/>
          <w:cols w:equalWidth="0" w:num="1">
            <w:col w:w="11260"/>
          </w:cols>
          <w:pgMar w:left="320" w:top="1440" w:right="319" w:bottom="1440" w:gutter="0" w:footer="0" w:header="0"/>
        </w:sectPr>
      </w:pPr>
    </w:p>
    <w:bookmarkStart w:id="238" w:name="page239"/>
    <w:bookmarkEnd w:id="238"/>
    <w:p>
      <w:pPr>
        <w:spacing w:after="0" w:line="2"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International Advisory Council of Standard Chartered Bank and serves on the Strategic Council of Swiss Re. He is a member of the boards of the Carnegie Endowment, the Peterson Institute for International Economics, and the Wildlife Conservation Society. Mr. Zoellick holds a J.D. from Harvard Law School, an M.P.P. from Harvard's John F. Kennedy School of Government and a B.A. from Swarthmore College.</w:t>
      </w:r>
    </w:p>
    <w:p>
      <w:pPr>
        <w:spacing w:after="0" w:line="157"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We believe that Mr. Zoellick is qualified to serve as a member of our board of directors based on the perspective and extensive experience he brings from serving in the government and in the private and public sectors.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Appointment of Officers</w:t>
      </w:r>
    </w:p>
    <w:p>
      <w:pPr>
        <w:spacing w:after="0" w:line="179"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Our executive officers are appointed by, and serve at the discretion of, our board of directors. There are no family relationships among any of our directors or executive officers.</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22"/>
          <w:szCs w:val="22"/>
          <w:color w:val="auto"/>
        </w:rPr>
        <w:t>Board of Directors Composition</w:t>
      </w:r>
    </w:p>
    <w:p>
      <w:pPr>
        <w:spacing w:after="0" w:line="16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Our business and affairs are managed under the direction of our board of directors.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Current Board of Directors</w:t>
      </w:r>
    </w:p>
    <w:p>
      <w:pPr>
        <w:spacing w:after="0" w:line="191" w:lineRule="exact"/>
        <w:rPr>
          <w:sz w:val="20"/>
          <w:szCs w:val="20"/>
          <w:color w:val="auto"/>
        </w:rPr>
      </w:pPr>
    </w:p>
    <w:p>
      <w:pPr>
        <w:jc w:val="both"/>
        <w:ind w:left="4" w:firstLine="287"/>
        <w:spacing w:after="0" w:line="249" w:lineRule="auto"/>
        <w:rPr>
          <w:sz w:val="20"/>
          <w:szCs w:val="20"/>
          <w:color w:val="auto"/>
        </w:rPr>
      </w:pPr>
      <w:r>
        <w:rPr>
          <w:rFonts w:ascii="Arial" w:cs="Arial" w:eastAsia="Arial" w:hAnsi="Arial"/>
          <w:sz w:val="16"/>
          <w:szCs w:val="16"/>
          <w:color w:val="auto"/>
        </w:rPr>
        <w:t>The authorized number of members on our board of directors is currently seven. Pursuant to our amended and restated certificate of incorporation, dated as of February 12, 2021, as amended and as in effect prior to the completion of this offering (our “Pre-IPO Charter”), and the Amended and Restated Voting Agreement, dated as of August 13, 2020, as amended (the “Pre-IPO Voting Agreement”), by and among us and certain holders of our capital stock, Messrs. Bhatt, Hammer, Rubinstein, Sandell, Tenev and Zoellick and Ms. Loop have been designated to serve as members of our board of directors. Pursuant to the Pre-IPO Voting Agreement, (i) the seat occupied by Mr. Hammer is elected by the holders of a majority of our outstanding Series A redeemable convertible preferred stock; (ii) the seat occupied by Mr. Sandell is elected by the holders of a majority of our outstanding Series B redeemable convertible preferred stock;</w:t>
      </w:r>
    </w:p>
    <w:p>
      <w:pPr>
        <w:spacing w:after="0" w:line="2" w:lineRule="exact"/>
        <w:rPr>
          <w:sz w:val="20"/>
          <w:szCs w:val="20"/>
          <w:color w:val="auto"/>
        </w:rPr>
      </w:pPr>
    </w:p>
    <w:p>
      <w:pPr>
        <w:jc w:val="both"/>
        <w:ind w:left="4" w:hanging="4"/>
        <w:spacing w:after="0" w:line="252" w:lineRule="auto"/>
        <w:tabs>
          <w:tab w:leader="none" w:pos="282"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seats occupied by Mr. Bhatt and Mr. Tenev are elected by the holders of a majority of the outstanding shares of our common stock; (iv) the seats occupied by Mr. Rubinstein and Mr. Zoellick are elected by the holders of a majority of the outstanding shares of our common stock and may not be affiliates of ours and must also be reasonably acceptable to either Mr. Hammer or Mr. Sandell (or their successors); and (v) the seat to be occupied by Ms. Loop is elected by the holders of a majority of our common stock, Series A redeemable convertible preferred stock and Series B redeemable convertible preferred stock, voting together as a single class on an as-converted basis, and also may not be an affiliate of ours.</w:t>
      </w:r>
    </w:p>
    <w:p>
      <w:pPr>
        <w:spacing w:after="0" w:line="145" w:lineRule="exact"/>
        <w:rPr>
          <w:sz w:val="20"/>
          <w:szCs w:val="20"/>
          <w:color w:val="auto"/>
        </w:rPr>
      </w:pPr>
    </w:p>
    <w:p>
      <w:pPr>
        <w:ind w:left="284"/>
        <w:spacing w:after="0"/>
        <w:rPr>
          <w:sz w:val="20"/>
          <w:szCs w:val="20"/>
          <w:color w:val="auto"/>
        </w:rPr>
      </w:pPr>
      <w:r>
        <w:rPr>
          <w:rFonts w:ascii="Arial" w:cs="Arial" w:eastAsia="Arial" w:hAnsi="Arial"/>
          <w:sz w:val="16"/>
          <w:szCs w:val="16"/>
          <w:color w:val="auto"/>
        </w:rPr>
        <w:t>Pursuant to our Pre-IPO Charter and the Pre-IPO Voting Agreement, the maximum authorized number of members on our board of directors is seven.</w:t>
      </w:r>
    </w:p>
    <w:p>
      <w:pPr>
        <w:spacing w:after="0" w:line="163"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The provisions of our Pre-IPO Charter and the Pre-IPO Voting Agreement by which the directors are currently elected will terminate in connection with this offering and we will not be party to any contractual obligations regarding the election of our directors following this offering.</w:t>
      </w:r>
    </w:p>
    <w:p>
      <w:pPr>
        <w:spacing w:after="0" w:line="151" w:lineRule="exact"/>
        <w:rPr>
          <w:sz w:val="20"/>
          <w:szCs w:val="20"/>
          <w:color w:val="auto"/>
        </w:rPr>
      </w:pPr>
    </w:p>
    <w:p>
      <w:pPr>
        <w:jc w:val="both"/>
        <w:ind w:left="4" w:firstLine="287"/>
        <w:spacing w:after="0" w:line="254" w:lineRule="auto"/>
        <w:rPr>
          <w:sz w:val="20"/>
          <w:szCs w:val="20"/>
          <w:color w:val="auto"/>
        </w:rPr>
      </w:pPr>
      <w:r>
        <w:rPr>
          <w:rFonts w:ascii="Arial" w:cs="Arial" w:eastAsia="Arial" w:hAnsi="Arial"/>
          <w:sz w:val="16"/>
          <w:szCs w:val="16"/>
          <w:color w:val="auto"/>
        </w:rPr>
        <w:t>After this offering, the authorized number of directors will be fixed by our board of directors, subject to the terms of our Charter and Bylaws, each of which will become effective immediately prior to the completion of this offering. Each of our current directors will continue to serve until his or her successor is duly elected and qualified, or until his or her earlier death, resignation, retirement, disqualification or removal from office.</w:t>
      </w:r>
    </w:p>
    <w:p>
      <w:pPr>
        <w:spacing w:after="0" w:line="130"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Classified Board of Directors</w:t>
      </w:r>
    </w:p>
    <w:p>
      <w:pPr>
        <w:spacing w:after="0" w:line="179"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Our Charter will provide that, immediately upon the effectiveness of our Charter, our board of directors will be divided into three classes (Class I, Class II and Class III), one class of which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216</w:t>
      </w:r>
    </w:p>
    <w:p>
      <w:pPr>
        <w:sectPr>
          <w:pgSz w:w="11900" w:h="16838" w:orient="portrait"/>
          <w:cols w:equalWidth="0" w:num="1">
            <w:col w:w="11264"/>
          </w:cols>
          <w:pgMar w:left="316" w:top="1440" w:right="319" w:bottom="1440" w:gutter="0" w:footer="0" w:header="0"/>
        </w:sectPr>
      </w:pPr>
    </w:p>
    <w:bookmarkStart w:id="239" w:name="page240"/>
    <w:bookmarkEnd w:id="239"/>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elected each year by our stockholders. Our Charter will provide that our board of directors will be fully declassified by the third annual meeting of stockholders following the effectiveness of our Charter, which is expected to occur in 2024. Our directors will be divided among the three classes as follows:</w:t>
      </w:r>
    </w:p>
    <w:p>
      <w:pPr>
        <w:spacing w:after="0" w:line="151" w:lineRule="exact"/>
        <w:rPr>
          <w:sz w:val="20"/>
          <w:szCs w:val="20"/>
          <w:color w:val="auto"/>
        </w:rPr>
      </w:pPr>
    </w:p>
    <w:p>
      <w:pPr>
        <w:ind w:left="560" w:right="20" w:hanging="278"/>
        <w:spacing w:after="0" w:line="260" w:lineRule="auto"/>
        <w:tabs>
          <w:tab w:leader="none" w:pos="55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Class I directors will be Paula Loop and Robert Zoellick, and their terms will expire at the first annual meeting of stockholders following the effectiveness of our Charter;</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Class II directors will be Jan Hammer and Scott Sandell, and their terms will expire at the second annual meeting of stockholders following the effectiveness of our Charter; and</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Class III directors will be Baiju Bhatt, Jonathan Rubinstein and Vladimir Tenev, and their terms will expire at the third annual meeting of stockholders following the effectiveness of our Charter.</w:t>
      </w:r>
    </w:p>
    <w:p>
      <w:pPr>
        <w:spacing w:after="0" w:line="15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Our Charter will provide that our board of directors will be fully declassified by the third annual meeting of stockholders following the effectiveness of our Charter, so that as of and after such meeting, all directors will be elected for one-year terms and will be up for election at each successive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Director Independence</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as well as information otherwise obtained by or available to us, our board of directors has determined that Mr. Hammer, Mr. Rubinstein, Mr. Sandell, Mr. Zoellick and Ms. Loop do not have relationships that would interfere with the exercise of independent judgment in carrying out the responsibilities of a director and that each of these directors is “independent” as that term is defined under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the transactions involving them described in the section titled “Certain Relationships and Related Person Transactions,” and other transactions or relationships between our company, on the one hand, and other companies at which the director serves as an executive officer or in another leadership role, on the other hand, including other companies in which our investors or directors have also invested.</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Lead Independent Director</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Upon the completion of this offering, our corporate governance guidelines will provide that one of our independent directors will serve as the lead independent director at any time when the chair of our board of directors is a member of management or is otherwise not independent. Our board of directors has appointed Jonathan Rubinstein to serve as our lead independent director. As lead independent director, Mr. Rubinstein will preside over all meetings of the board of directors at which the chair is not present, including any executive sessions of the independent directors, consult with the chair to approve schedules and agendas for the meetings of our board of directors and act as liaison between the independent directors and our management and the chair of the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Role of Our Board in Risk Oversight</w:t>
      </w:r>
    </w:p>
    <w:p>
      <w:pPr>
        <w:spacing w:after="0" w:line="19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face a number of risks, including those described under the section titled “Risk Factors” included in this prospectus. Our board of directors will play an active role in overseeing management of our risks. Upon completion of this offering, the committees of our board of directors will assist our full board in risk oversight by addressing specific matters within the purview of each committee. Our audit committee will oversee our financial, reporting and disclosure risks, our people and compensation committee will oversee risks relating to executive compensation plans and arrangements, our nominating and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217</w:t>
      </w:r>
    </w:p>
    <w:p>
      <w:pPr>
        <w:sectPr>
          <w:pgSz w:w="11900" w:h="16838" w:orient="portrait"/>
          <w:cols w:equalWidth="0" w:num="1">
            <w:col w:w="11260"/>
          </w:cols>
          <w:pgMar w:left="320" w:top="1440" w:right="319" w:bottom="1440" w:gutter="0" w:footer="0" w:header="0"/>
        </w:sectPr>
      </w:pPr>
    </w:p>
    <w:bookmarkStart w:id="240" w:name="page241"/>
    <w:bookmarkEnd w:id="240"/>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governance committee will oversee our corporate governance framework and our safety, risk and regulatory committee will oversee our enterprise risk management and regulatory compliance programs as well as management of material risks not allocated to the full board of directors or another committee. While each committee will be responsible for evaluating certain risks and overseeing the management of such risks, our full board of directors will be regularly informed of such risks through committee reports and otherwise. While the board oversees our risk management, management is responsible for day-to-day risk management processes. We believe this division of responsibilities is the most effective approach for addressing our risks and that our board leadership structure supports this approach.</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Committees of the Board of Directors</w:t>
      </w:r>
    </w:p>
    <w:p>
      <w:pPr>
        <w:spacing w:after="0" w:line="163"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Our board of directors will establish an audit committee, a people and compensation committee, a nominating and corporate governance committee and a safety, risk and regulatory committee, with each having the composition and responsibilities described below. Our board of directors may establish other committees to facilitate the management of our business. Members will serve on these committees until their resignation or until as otherwise determined by our 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 Committee</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Following the completion of this offering, our audit committee will consist of Paula Loop, Jan Hammer and Robert Zoellick, with Paula Loop serving as Chair. Our board of directors has determined that all members are independent under the listing standards of the Nasdaq and SEC rules and regulations. Our board of directors has also determined that Paula Loop is an audit committee financial expert as such term is currently defined in Item 407(d)(5) of Regulation S-K. Each member of our audit committee can read and understand fundamental consolidated financial statements, in accordance with applicable requirements. Following the completion of this offering, our audit committee will, among other matters:</w:t>
      </w:r>
    </w:p>
    <w:p>
      <w:pPr>
        <w:spacing w:after="0" w:line="145" w:lineRule="exact"/>
        <w:rPr>
          <w:sz w:val="20"/>
          <w:szCs w:val="20"/>
          <w:color w:val="auto"/>
        </w:rPr>
      </w:pPr>
    </w:p>
    <w:p>
      <w:pPr>
        <w:ind w:left="560" w:right="20" w:hanging="278"/>
        <w:spacing w:after="0" w:line="260" w:lineRule="auto"/>
        <w:tabs>
          <w:tab w:leader="none" w:pos="556" w:val="left"/>
        </w:tabs>
        <w:numPr>
          <w:ilvl w:val="0"/>
          <w:numId w:val="92"/>
        </w:numPr>
        <w:rPr>
          <w:rFonts w:ascii="Arial" w:cs="Arial" w:eastAsia="Arial" w:hAnsi="Arial"/>
          <w:sz w:val="16"/>
          <w:szCs w:val="16"/>
          <w:color w:val="auto"/>
        </w:rPr>
      </w:pPr>
      <w:r>
        <w:rPr>
          <w:rFonts w:ascii="Arial" w:cs="Arial" w:eastAsia="Arial" w:hAnsi="Arial"/>
          <w:sz w:val="16"/>
          <w:szCs w:val="16"/>
          <w:color w:val="auto"/>
        </w:rPr>
        <w:t>appoint and oversee an independent registered public accounting firm to audit our consolidated financial statements, including determining the engagement, compensation and retention of the independent registered public accounting firm;</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evaluate the independent registered public accounting firm’s qualifications, independence and performance;</w:t>
      </w:r>
    </w:p>
    <w:p>
      <w:pPr>
        <w:spacing w:after="0" w:line="174"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review and discuss the scope and results of the audit with the independent registered public accounting firm, and review, with management and the independent registered public accounting firm, our interim and year-end results of operations;</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pre-approve all audit and all permissible non-audit services to be performed by the independent registered public accounting firm;</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92"/>
        </w:numPr>
        <w:rPr>
          <w:rFonts w:ascii="Arial" w:cs="Arial" w:eastAsia="Arial" w:hAnsi="Arial"/>
          <w:sz w:val="16"/>
          <w:szCs w:val="16"/>
          <w:color w:val="auto"/>
        </w:rPr>
      </w:pPr>
      <w:r>
        <w:rPr>
          <w:rFonts w:ascii="Arial" w:cs="Arial" w:eastAsia="Arial" w:hAnsi="Arial"/>
          <w:sz w:val="16"/>
          <w:szCs w:val="16"/>
          <w:color w:val="auto"/>
        </w:rPr>
        <w:t>oversee and monitor the design, implementation, adequacy and effectiveness of internal control over financial reporting with management and the independent registered public accounting firm;</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oversee the design, implementation and performance of our internal audit function;</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oversee our compliance with legal and regulatory requirements as they relate to financial statements or accounting matters;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review our consolidated financial statements and our critical accounting policies and estimates;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review processes and procedures relating to the assessment and management of financial, disclosure and reporting risks;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review and approve related persons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218</w:t>
      </w:r>
    </w:p>
    <w:p>
      <w:pPr>
        <w:sectPr>
          <w:pgSz w:w="11900" w:h="16838" w:orient="portrait"/>
          <w:cols w:equalWidth="0" w:num="1">
            <w:col w:w="11260"/>
          </w:cols>
          <w:pgMar w:left="320" w:top="1440" w:right="319" w:bottom="1440" w:gutter="0" w:footer="0" w:header="0"/>
        </w:sectPr>
      </w:pPr>
    </w:p>
    <w:bookmarkStart w:id="241" w:name="page242"/>
    <w:bookmarkEnd w:id="241"/>
    <w:p>
      <w:pPr>
        <w:spacing w:after="0" w:line="2" w:lineRule="exact"/>
        <w:rPr>
          <w:sz w:val="20"/>
          <w:szCs w:val="20"/>
          <w:color w:val="auto"/>
        </w:rPr>
      </w:pPr>
    </w:p>
    <w:p>
      <w:pPr>
        <w:ind w:left="560" w:hanging="278"/>
        <w:spacing w:after="0" w:line="260" w:lineRule="auto"/>
        <w:tabs>
          <w:tab w:leader="none" w:pos="556" w:val="left"/>
        </w:tabs>
        <w:numPr>
          <w:ilvl w:val="0"/>
          <w:numId w:val="93"/>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any complaints received by us regarding accounting, internal accounting controls or auditing matters.</w:t>
      </w:r>
    </w:p>
    <w:p>
      <w:pPr>
        <w:spacing w:after="0" w:line="151"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Our audit committee will operate under a written charter that satisfies the applicable rules and regulations of the SEC and the listing standards of the Nasdaq.</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People and Compensation Committee</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Following the completion of this offering, our people and compensation committee will consist of Scott Sandell and Jonathan Rubinstein, with Scott Sandell serving as Chair. Our board of directors has determined that all members are independent under the listing standards of the Nasdaq and SEC rules and regulations. Following the completion of this offering, our people and compensation committee will, among other matters:</w:t>
      </w:r>
    </w:p>
    <w:p>
      <w:pPr>
        <w:spacing w:after="0" w:line="157" w:lineRule="exact"/>
        <w:rPr>
          <w:sz w:val="20"/>
          <w:szCs w:val="20"/>
          <w:color w:val="auto"/>
        </w:rPr>
      </w:pPr>
    </w:p>
    <w:p>
      <w:pPr>
        <w:ind w:left="560" w:hanging="278"/>
        <w:spacing w:after="0" w:line="260" w:lineRule="auto"/>
        <w:tabs>
          <w:tab w:leader="none" w:pos="556"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review, approve and determine or make recommendations to our board of directors regarding the compensation of our executive officers, including our CEO;</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evaluate the performance, or assist in the evaluation of the performance, of our CEO;</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review and make recommendations regarding non-employee director compensation to our full board of directors;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administer our equity and non-equity incentive compensation plans;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oversee and review risk exposures associated with our compensation programs, policies and practices and the mitigation thereof;</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establish and review general policies and plans relating to compensation and benefits of our employees; and</w:t>
      </w:r>
    </w:p>
    <w:p>
      <w:pPr>
        <w:spacing w:after="0" w:line="174"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review and discuss annually with management the risks arising from our compensation philosophy and practices to determine whether they encourage excessive risk-taking.</w:t>
      </w:r>
    </w:p>
    <w:p>
      <w:pPr>
        <w:spacing w:after="0" w:line="13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Our people and compensation committee will operate under a written charter that satisfies the applicable rules and regulations of the SEC and the listing standards of the Nasdaq.</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Nominating and Corporate Governance Committee</w:t>
      </w:r>
    </w:p>
    <w:p>
      <w:pPr>
        <w:spacing w:after="0" w:line="19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Following the completion of this offering, our nominating and corporate governance committee will consist of Scott Sandell and Jonathan Rubinstein, with Scott Sandell serving as Chair. Our board of directors has determined that all members are independent under the listing standards of the Nasdaq and SEC rules and regulations. Following the completion of this offering, our nominating and corporate governance committee will, among other matters:</w:t>
      </w:r>
    </w:p>
    <w:p>
      <w:pPr>
        <w:spacing w:after="0" w:line="145" w:lineRule="exact"/>
        <w:rPr>
          <w:sz w:val="20"/>
          <w:szCs w:val="20"/>
          <w:color w:val="auto"/>
        </w:rPr>
      </w:pPr>
    </w:p>
    <w:p>
      <w:pPr>
        <w:ind w:left="560" w:hanging="278"/>
        <w:spacing w:after="0"/>
        <w:tabs>
          <w:tab w:leader="none" w:pos="5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identify, evaluate and select or make recommendations to our board of directors regarding nominees for election to our board of directors;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review and make recommendations to our board of directors regarding director independence determinations;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evaluate the performance of our board of directors and of individual directors;</w:t>
      </w:r>
    </w:p>
    <w:p>
      <w:pPr>
        <w:spacing w:after="0" w:line="162"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95"/>
        </w:numPr>
        <w:rPr>
          <w:rFonts w:ascii="Arial" w:cs="Arial" w:eastAsia="Arial" w:hAnsi="Arial"/>
          <w:sz w:val="16"/>
          <w:szCs w:val="16"/>
          <w:color w:val="auto"/>
        </w:rPr>
      </w:pPr>
      <w:r>
        <w:rPr>
          <w:rFonts w:ascii="Arial" w:cs="Arial" w:eastAsia="Arial" w:hAnsi="Arial"/>
          <w:sz w:val="16"/>
          <w:szCs w:val="16"/>
          <w:color w:val="auto"/>
        </w:rPr>
        <w:t>oversee management’s strategy and reporting efforts with respect to environmental, social and governance (“ESG”) matters and with respect to the publication of any ESG, corporate social responsibility or sustainability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219</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2" w:lineRule="exact"/>
        <w:rPr>
          <w:sz w:val="20"/>
          <w:szCs w:val="20"/>
          <w:color w:val="auto"/>
        </w:rPr>
      </w:pPr>
    </w:p>
    <w:p>
      <w:pPr>
        <w:ind w:left="560" w:hanging="278"/>
        <w:spacing w:after="0"/>
        <w:tabs>
          <w:tab w:leader="none" w:pos="5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develop and evaluate the adequacy of our corporate governance guidelines and policies; and</w:t>
      </w:r>
    </w:p>
    <w:p>
      <w:pPr>
        <w:spacing w:after="0" w:line="174"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96"/>
        </w:numPr>
        <w:rPr>
          <w:rFonts w:ascii="Arial" w:cs="Arial" w:eastAsia="Arial" w:hAnsi="Arial"/>
          <w:sz w:val="16"/>
          <w:szCs w:val="16"/>
          <w:color w:val="auto"/>
        </w:rPr>
      </w:pPr>
      <w:r>
        <w:rPr>
          <w:rFonts w:ascii="Arial" w:cs="Arial" w:eastAsia="Arial" w:hAnsi="Arial"/>
          <w:sz w:val="16"/>
          <w:szCs w:val="16"/>
          <w:color w:val="auto"/>
        </w:rPr>
        <w:t>advise our board of directors on corporate governance matters and board of directors performance matters, including recommendations regarding the size, structure and composition of our board of directors and committees thereof.</w:t>
      </w:r>
    </w:p>
    <w:p>
      <w:pPr>
        <w:spacing w:after="0" w:line="13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Our nominating and corporate governance committee will operate under a written charter that satisfies the applicable rules and regulations of the SEC and the listing standards of the Nasdaq.</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Safety, Risk and Regulatory Committee</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Following the completion of this offering, our safety, risk and regulatory committee will consist of Robert Zoellick, Jan Hammer and Paula Loop, with Robert Zoellick serving as Chair. Our board of directors has determined that all members are independent under the listing standards of the Nasdaq and SEC rules and regulations. Following the completion of this offering, our safety, risk and regulatory committee will be the primary committee that assists the board of directors with its oversight of the Company’s risk management. The charter of this committee will require that all members be independent under the listing standards of the Nasdaq and SEC rules and regulations, and we believe the independence of this committee is an important feature of both our risk oversight and of our board leadership structure. The safety, risk and regulatory committee will, among other things:</w:t>
      </w:r>
    </w:p>
    <w:p>
      <w:pPr>
        <w:spacing w:after="0" w:line="148" w:lineRule="exact"/>
        <w:rPr>
          <w:sz w:val="20"/>
          <w:szCs w:val="20"/>
          <w:color w:val="auto"/>
        </w:rPr>
      </w:pPr>
    </w:p>
    <w:p>
      <w:pPr>
        <w:ind w:left="560" w:hanging="278"/>
        <w:spacing w:after="0" w:line="260" w:lineRule="auto"/>
        <w:tabs>
          <w:tab w:leader="none" w:pos="556"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review and discuss with management our significant financial, strategic, operational and compliance risk exposures, risk trends in our major risk concentrations, and the steps management has taken to assess, monitor, and manage such risk exposures, trends and concentrations;</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review our enterprise risk management framework, infrastructure, and controls implemented by management to help identify, assess, manage and monitor material risks;</w:t>
      </w:r>
    </w:p>
    <w:p>
      <w:pPr>
        <w:spacing w:after="0" w:line="151" w:lineRule="exact"/>
        <w:rPr>
          <w:rFonts w:ascii="Arial" w:cs="Arial" w:eastAsia="Arial" w:hAnsi="Arial"/>
          <w:sz w:val="16"/>
          <w:szCs w:val="16"/>
          <w:color w:val="auto"/>
        </w:rPr>
      </w:pPr>
    </w:p>
    <w:p>
      <w:pPr>
        <w:jc w:val="both"/>
        <w:ind w:left="560" w:hanging="278"/>
        <w:spacing w:after="0" w:line="254" w:lineRule="auto"/>
        <w:tabs>
          <w:tab w:leader="none" w:pos="556"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review management’s exercise of its responsibility to identify, assess and manage material risks not allocated to the board or another committee, including, for example, data privacy, cybersecurity, business continuity, liquidity and capital adequacy, new product risk and compliance with financial regulations;</w:t>
      </w:r>
    </w:p>
    <w:p>
      <w:pPr>
        <w:spacing w:after="0" w:line="144"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review our enterprise-wide compliance program and its financial crimes framework policies, including reports from management regarding ongoing enhancements to, and overall effectiveness of, those programs and policies, as appropriate; and</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review and discuss compliance risks, the level of compliance risk, management actions on significant compliance matters and reports concerning our compliance with applicable laws and regulations.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Board Diversity</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nominating and corporate governance committee will be responsible for reviewing with the board of directors, on an annual basis, the appropriate characteristics, skills and experience required for the board of directors as a whole and its individual members. Our board will adopt diversity standards, to be reflected in our corporate governance guidelines with respect to the evaluation of director candidates. In its evaluation of director candidates, our nominating and corporate governance committee will consider factors including issues of character, integrity, judgment, potential conflicts of interest, other commitments and diversity, and with respect to diversity, such factors as gender, race, ethnicity and experience, area of expertise, as well as other individual qualities and attributes that contribute to the total diversity of viewpoints and experience represented on the board of directors. In addition, as a public company with our principal executive offices in California, we will be required by California law to immediately have at least one female director on our board of directors. By the end of 2021, we will be required by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220</w:t>
      </w:r>
    </w:p>
    <w:p>
      <w:pPr>
        <w:sectPr>
          <w:pgSz w:w="11900" w:h="16838" w:orient="portrait"/>
          <w:cols w:equalWidth="0" w:num="1">
            <w:col w:w="11260"/>
          </w:cols>
          <w:pgMar w:left="320" w:top="1440" w:right="319" w:bottom="1440" w:gutter="0" w:footer="0" w:header="0"/>
        </w:sectPr>
      </w:pPr>
    </w:p>
    <w:bookmarkStart w:id="243" w:name="page244"/>
    <w:bookmarkEnd w:id="243"/>
    <w:p>
      <w:pPr>
        <w:spacing w:after="0" w:line="1" w:lineRule="exact"/>
        <w:rPr>
          <w:sz w:val="20"/>
          <w:szCs w:val="20"/>
          <w:color w:val="auto"/>
        </w:rPr>
      </w:pPr>
    </w:p>
    <w:p>
      <w:pPr>
        <w:jc w:val="both"/>
        <w:spacing w:after="0" w:line="191" w:lineRule="exact"/>
        <w:rPr>
          <w:sz w:val="20"/>
          <w:szCs w:val="20"/>
          <w:color w:val="auto"/>
        </w:rPr>
      </w:pPr>
      <w:r>
        <w:rPr>
          <w:rFonts w:ascii="Arial" w:cs="Arial" w:eastAsia="Arial" w:hAnsi="Arial"/>
          <w:sz w:val="16"/>
          <w:szCs w:val="16"/>
          <w:color w:val="auto"/>
        </w:rPr>
        <w:t>California law to have at least three female directors, assuming our Board has six or more members. We will also be required by California law to have at least one director by the end of 2021 who is from an underrepresented community, defined as “an individual who self</w:t>
      </w:r>
      <w:r>
        <w:rPr>
          <w:rFonts w:ascii="MS PGothic" w:cs="MS PGothic" w:eastAsia="MS PGothic" w:hAnsi="MS PGothic"/>
          <w:sz w:val="16"/>
          <w:szCs w:val="16"/>
          <w:color w:val="auto"/>
        </w:rPr>
        <w:t>‑</w:t>
      </w:r>
      <w:r>
        <w:rPr>
          <w:rFonts w:ascii="Arial" w:cs="Arial" w:eastAsia="Arial" w:hAnsi="Arial"/>
          <w:sz w:val="16"/>
          <w:szCs w:val="16"/>
          <w:color w:val="auto"/>
        </w:rPr>
        <w:t>identifies as Black, African American, Hispanic, Latino, Asian, Pacific Islander, Native American, Native Hawaiian, or Alaska Native, or who self</w:t>
      </w:r>
      <w:r>
        <w:rPr>
          <w:rFonts w:ascii="MS PGothic" w:cs="MS PGothic" w:eastAsia="MS PGothic" w:hAnsi="MS PGothic"/>
          <w:sz w:val="16"/>
          <w:szCs w:val="16"/>
          <w:color w:val="auto"/>
        </w:rPr>
        <w:t>‑</w:t>
      </w:r>
      <w:r>
        <w:rPr>
          <w:rFonts w:ascii="Arial" w:cs="Arial" w:eastAsia="Arial" w:hAnsi="Arial"/>
          <w:sz w:val="16"/>
          <w:szCs w:val="16"/>
          <w:color w:val="auto"/>
        </w:rPr>
        <w:t>identifies as gay, lesbian, bisexual, or transgender,” and two such directors by the end of 2022 (assuming our board size remains between five and eight directors). Fines for violating these provisions of California law range in the hundreds of thousands of dollars per year.</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People and Compensation Committee Interlocks and Insider Participation</w:t>
      </w:r>
    </w:p>
    <w:p>
      <w:pPr>
        <w:spacing w:after="0" w:line="163"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None of the members of our people and compensation committee is or has been an officer or employee of our company. None of our executive officers currently serves, or in the past year has served, as a member of the board of directors or people and compensation committee (or other board committee performing equivalent functions) of any entity that has one or more of its executive officers serving as a member of our board of directors or people and compensation committee.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Code of Conduct</w:t>
      </w:r>
    </w:p>
    <w:p>
      <w:pPr>
        <w:spacing w:after="0" w:line="17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board of directors has adopted a Code of Conduct that applies to all of our officers, directors, employees and contingent workers, including our CEO, Chief Financial Officer, and other executive and senior officers. The board has also adopted a Code of Ethics for Senior Financial Executives. The full text of both our Code of Conduct and our Code of Ethics for Senior Financial Executives will be posted on the investor relations page on our website. We intend to promptly disclose any future amendments to either the Code of Conduct or the Code of Ethics for Senior Financial Executives, as well as any waivers under either code, on our website or in a current or periodic report filed with the SEC within four days of the amendment or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221</w:t>
      </w:r>
    </w:p>
    <w:p>
      <w:pPr>
        <w:sectPr>
          <w:pgSz w:w="11900" w:h="16838" w:orient="portrait"/>
          <w:cols w:equalWidth="0" w:num="1">
            <w:col w:w="11260"/>
          </w:cols>
          <w:pgMar w:left="320" w:top="1440" w:right="319" w:bottom="1440" w:gutter="0" w:footer="0" w:header="0"/>
        </w:sectPr>
      </w:pPr>
    </w:p>
    <w:bookmarkStart w:id="244" w:name="page245"/>
    <w:bookmarkEnd w:id="244"/>
    <w:p>
      <w:pPr>
        <w:spacing w:after="0" w:line="13" w:lineRule="exact"/>
        <w:rPr>
          <w:sz w:val="20"/>
          <w:szCs w:val="20"/>
          <w:color w:val="auto"/>
        </w:rPr>
      </w:pPr>
    </w:p>
    <w:p>
      <w:pPr>
        <w:jc w:val="center"/>
        <w:ind w:right="-3"/>
        <w:spacing w:after="0"/>
        <w:rPr>
          <w:sz w:val="20"/>
          <w:szCs w:val="20"/>
          <w:color w:val="auto"/>
        </w:rPr>
      </w:pPr>
      <w:r>
        <w:rPr>
          <w:rFonts w:ascii="Arial" w:cs="Arial" w:eastAsia="Arial" w:hAnsi="Arial"/>
          <w:sz w:val="32"/>
          <w:szCs w:val="32"/>
          <w:color w:val="auto"/>
        </w:rPr>
        <w:t>EXECUTIVE COMPENSATION</w:t>
      </w:r>
    </w:p>
    <w:p>
      <w:pPr>
        <w:spacing w:after="0" w:line="182" w:lineRule="exact"/>
        <w:rPr>
          <w:sz w:val="20"/>
          <w:szCs w:val="20"/>
          <w:color w:val="auto"/>
        </w:rPr>
      </w:pPr>
    </w:p>
    <w:p>
      <w:pPr>
        <w:jc w:val="both"/>
        <w:ind w:left="4" w:right="20" w:firstLine="287"/>
        <w:spacing w:after="0" w:line="252" w:lineRule="auto"/>
        <w:rPr>
          <w:sz w:val="20"/>
          <w:szCs w:val="20"/>
          <w:color w:val="auto"/>
        </w:rPr>
      </w:pPr>
      <w:r>
        <w:rPr>
          <w:rFonts w:ascii="Arial" w:cs="Arial" w:eastAsia="Arial" w:hAnsi="Arial"/>
          <w:sz w:val="16"/>
          <w:szCs w:val="16"/>
          <w:color w:val="auto"/>
        </w:rPr>
        <w:t>As an emerging growth company, we have opted to comply with the executive compensation disclosure rules applicable to smaller reporting companies. This section provides an overview of the compensation awarded to, earned by, or paid to each individual who served as a principal executive officer during fiscal year 2020 and our next two most highly compensated executive officers in respect of their service to our company during fiscal year 2020. We refer to these individuals as our named executive officers (“NEOs”). Our NEOs for fiscal year 2020 were:</w:t>
      </w:r>
    </w:p>
    <w:p>
      <w:pPr>
        <w:spacing w:after="0" w:line="147" w:lineRule="exact"/>
        <w:rPr>
          <w:sz w:val="20"/>
          <w:szCs w:val="20"/>
          <w:color w:val="auto"/>
        </w:rPr>
      </w:pPr>
    </w:p>
    <w:p>
      <w:pPr>
        <w:ind w:left="564" w:hanging="278"/>
        <w:spacing w:after="0"/>
        <w:tabs>
          <w:tab w:leader="none" w:pos="564" w:val="left"/>
        </w:tabs>
        <w:numPr>
          <w:ilvl w:val="0"/>
          <w:numId w:val="98"/>
        </w:numPr>
        <w:rPr>
          <w:rFonts w:ascii="Arial" w:cs="Arial" w:eastAsia="Arial" w:hAnsi="Arial"/>
          <w:sz w:val="16"/>
          <w:szCs w:val="16"/>
          <w:color w:val="auto"/>
        </w:rPr>
      </w:pPr>
      <w:r>
        <w:rPr>
          <w:rFonts w:ascii="Arial" w:cs="Arial" w:eastAsia="Arial" w:hAnsi="Arial"/>
          <w:sz w:val="16"/>
          <w:szCs w:val="16"/>
          <w:color w:val="auto"/>
        </w:rPr>
        <w:t>Vladimir Tenev, Co-Founder, Chief Executive Officer and President;</w:t>
      </w:r>
    </w:p>
    <w:p>
      <w:pPr>
        <w:spacing w:after="0" w:line="174" w:lineRule="exact"/>
        <w:rPr>
          <w:rFonts w:ascii="Arial" w:cs="Arial" w:eastAsia="Arial" w:hAnsi="Arial"/>
          <w:sz w:val="16"/>
          <w:szCs w:val="16"/>
          <w:color w:val="auto"/>
        </w:rPr>
      </w:pPr>
    </w:p>
    <w:p>
      <w:pPr>
        <w:ind w:left="564" w:hanging="278"/>
        <w:spacing w:after="0"/>
        <w:tabs>
          <w:tab w:leader="none" w:pos="564"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Baiju Bhatt, Co-Founder and Chief Creative Officer and, prior to November 2020, Co-Chief Executive Officer and co-President;</w:t>
      </w:r>
    </w:p>
    <w:p>
      <w:pPr>
        <w:spacing w:after="0" w:line="162" w:lineRule="exact"/>
        <w:rPr>
          <w:rFonts w:ascii="Arial" w:cs="Arial" w:eastAsia="Arial" w:hAnsi="Arial"/>
          <w:sz w:val="16"/>
          <w:szCs w:val="16"/>
          <w:color w:val="auto"/>
        </w:rPr>
      </w:pPr>
    </w:p>
    <w:p>
      <w:pPr>
        <w:ind w:left="564" w:hanging="278"/>
        <w:spacing w:after="0"/>
        <w:tabs>
          <w:tab w:leader="none" w:pos="564" w:val="left"/>
        </w:tabs>
        <w:numPr>
          <w:ilvl w:val="0"/>
          <w:numId w:val="98"/>
        </w:numPr>
        <w:rPr>
          <w:rFonts w:ascii="Arial" w:cs="Arial" w:eastAsia="Arial" w:hAnsi="Arial"/>
          <w:sz w:val="16"/>
          <w:szCs w:val="16"/>
          <w:color w:val="auto"/>
        </w:rPr>
      </w:pPr>
      <w:r>
        <w:rPr>
          <w:rFonts w:ascii="Arial" w:cs="Arial" w:eastAsia="Arial" w:hAnsi="Arial"/>
          <w:sz w:val="16"/>
          <w:szCs w:val="16"/>
          <w:color w:val="auto"/>
        </w:rPr>
        <w:t>Jason Warnick, Chief Financial Officer; and</w:t>
      </w:r>
    </w:p>
    <w:p>
      <w:pPr>
        <w:spacing w:after="0" w:line="162" w:lineRule="exact"/>
        <w:rPr>
          <w:rFonts w:ascii="Arial" w:cs="Arial" w:eastAsia="Arial" w:hAnsi="Arial"/>
          <w:sz w:val="16"/>
          <w:szCs w:val="16"/>
          <w:color w:val="auto"/>
        </w:rPr>
      </w:pPr>
    </w:p>
    <w:p>
      <w:pPr>
        <w:ind w:left="564" w:hanging="278"/>
        <w:spacing w:after="0"/>
        <w:tabs>
          <w:tab w:leader="none" w:pos="564" w:val="left"/>
        </w:tabs>
        <w:numPr>
          <w:ilvl w:val="0"/>
          <w:numId w:val="98"/>
        </w:numPr>
        <w:rPr>
          <w:rFonts w:ascii="Arial" w:cs="Arial" w:eastAsia="Arial" w:hAnsi="Arial"/>
          <w:sz w:val="16"/>
          <w:szCs w:val="16"/>
          <w:color w:val="auto"/>
        </w:rPr>
      </w:pPr>
      <w:r>
        <w:rPr>
          <w:rFonts w:ascii="Arial" w:cs="Arial" w:eastAsia="Arial" w:hAnsi="Arial"/>
          <w:sz w:val="16"/>
          <w:szCs w:val="16"/>
          <w:color w:val="auto"/>
        </w:rPr>
        <w:t>Daniel Gallagher, Chief Legal Officer.</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22"/>
          <w:szCs w:val="22"/>
          <w:color w:val="auto"/>
        </w:rPr>
        <w:t>Summary Compensation Table</w:t>
      </w:r>
    </w:p>
    <w:p>
      <w:pPr>
        <w:spacing w:after="0" w:line="16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following table summarizes information regarding the compensation awarded to, earned by, or paid to our NEOs during fiscal year 2020.</w:t>
      </w:r>
    </w:p>
    <w:p>
      <w:pPr>
        <w:spacing w:after="0" w:line="169"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Year</w:t>
            </w:r>
          </w:p>
        </w:tc>
        <w:tc>
          <w:tcPr>
            <w:tcW w:w="80" w:type="dxa"/>
            <w:vAlign w:val="bottom"/>
            <w:vMerge w:val="restart"/>
          </w:tcPr>
          <w:p>
            <w:pPr>
              <w:spacing w:after="0"/>
              <w:rPr>
                <w:sz w:val="13"/>
                <w:szCs w:val="13"/>
                <w:color w:val="auto"/>
              </w:rPr>
            </w:pPr>
          </w:p>
        </w:tc>
        <w:tc>
          <w:tcPr>
            <w:tcW w:w="1160" w:type="dxa"/>
            <w:vAlign w:val="bottom"/>
            <w:gridSpan w:val="2"/>
          </w:tcPr>
          <w:p>
            <w:pPr>
              <w:ind w:left="340"/>
              <w:spacing w:after="0"/>
              <w:rPr>
                <w:sz w:val="20"/>
                <w:szCs w:val="20"/>
                <w:color w:val="auto"/>
              </w:rPr>
            </w:pPr>
            <w:r>
              <w:rPr>
                <w:rFonts w:ascii="Arial" w:cs="Arial" w:eastAsia="Arial" w:hAnsi="Arial"/>
                <w:sz w:val="13"/>
                <w:szCs w:val="13"/>
                <w:b w:val="1"/>
                <w:bCs w:val="1"/>
                <w:color w:val="auto"/>
              </w:rPr>
              <w:t>Salary</w:t>
            </w:r>
          </w:p>
        </w:tc>
        <w:tc>
          <w:tcPr>
            <w:tcW w:w="1180" w:type="dxa"/>
            <w:vAlign w:val="bottom"/>
            <w:gridSpan w:val="2"/>
          </w:tcPr>
          <w:p>
            <w:pPr>
              <w:ind w:left="340"/>
              <w:spacing w:after="0"/>
              <w:rPr>
                <w:sz w:val="20"/>
                <w:szCs w:val="20"/>
                <w:color w:val="auto"/>
              </w:rPr>
            </w:pPr>
            <w:r>
              <w:rPr>
                <w:rFonts w:ascii="Arial" w:cs="Arial" w:eastAsia="Arial" w:hAnsi="Arial"/>
                <w:sz w:val="13"/>
                <w:szCs w:val="13"/>
                <w:b w:val="1"/>
                <w:bCs w:val="1"/>
                <w:color w:val="auto"/>
              </w:rPr>
              <w:t>Bonus</w:t>
            </w:r>
          </w:p>
        </w:tc>
        <w:tc>
          <w:tcPr>
            <w:tcW w:w="12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xml:space="preserve">Stock Awards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w:t>
            </w:r>
            <w:r>
              <w:rPr>
                <w:rFonts w:ascii="Arial" w:cs="Arial" w:eastAsia="Arial" w:hAnsi="Arial"/>
                <w:sz w:val="8"/>
                <w:szCs w:val="8"/>
                <w:b w:val="1"/>
                <w:bCs w:val="1"/>
                <w:color w:val="auto"/>
              </w:rPr>
              <w:t>(3)</w:t>
            </w:r>
          </w:p>
        </w:tc>
        <w:tc>
          <w:tcPr>
            <w:tcW w:w="100" w:type="dxa"/>
            <w:vAlign w:val="bottom"/>
            <w:vMerge w:val="restart"/>
          </w:tcPr>
          <w:p>
            <w:pPr>
              <w:spacing w:after="0"/>
              <w:rPr>
                <w:sz w:val="13"/>
                <w:szCs w:val="13"/>
                <w:color w:val="auto"/>
              </w:rPr>
            </w:pP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Option</w:t>
            </w:r>
          </w:p>
        </w:tc>
        <w:tc>
          <w:tcPr>
            <w:tcW w:w="1620" w:type="dxa"/>
            <w:vAlign w:val="bottom"/>
            <w:gridSpan w:val="2"/>
          </w:tcPr>
          <w:p>
            <w:pPr>
              <w:ind w:left="40"/>
              <w:spacing w:after="0"/>
              <w:rPr>
                <w:sz w:val="20"/>
                <w:szCs w:val="20"/>
                <w:color w:val="auto"/>
              </w:rPr>
            </w:pPr>
            <w:r>
              <w:rPr>
                <w:rFonts w:ascii="Arial" w:cs="Arial" w:eastAsia="Arial" w:hAnsi="Arial"/>
                <w:sz w:val="13"/>
                <w:szCs w:val="13"/>
                <w:b w:val="1"/>
                <w:bCs w:val="1"/>
                <w:color w:val="auto"/>
              </w:rPr>
              <w:t>All Other Compensation</w:t>
            </w:r>
          </w:p>
        </w:tc>
        <w:tc>
          <w:tcPr>
            <w:tcW w:w="1180" w:type="dxa"/>
            <w:vAlign w:val="bottom"/>
          </w:tcPr>
          <w:p>
            <w:pPr>
              <w:jc w:val="right"/>
              <w:ind w:right="37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Awards ($)</w:t>
            </w:r>
            <w:r>
              <w:rPr>
                <w:rFonts w:ascii="Arial" w:cs="Arial" w:eastAsia="Arial" w:hAnsi="Arial"/>
                <w:sz w:val="8"/>
                <w:szCs w:val="8"/>
                <w:b w:val="1"/>
                <w:bCs w:val="1"/>
                <w:color w:val="auto"/>
              </w:rPr>
              <w:t>(4)</w:t>
            </w:r>
          </w:p>
        </w:tc>
        <w:tc>
          <w:tcPr>
            <w:tcW w:w="8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(5)</w:t>
            </w: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7"/>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Vladimir Tenev</w:t>
            </w:r>
          </w:p>
        </w:tc>
        <w:tc>
          <w:tcPr>
            <w:tcW w:w="8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400,015</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367,908</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767,923</w:t>
            </w:r>
          </w:p>
        </w:tc>
        <w:tc>
          <w:tcPr>
            <w:tcW w:w="0" w:type="dxa"/>
            <w:vAlign w:val="bottom"/>
          </w:tcPr>
          <w:p>
            <w:pPr>
              <w:spacing w:after="0"/>
              <w:rPr>
                <w:sz w:val="1"/>
                <w:szCs w:val="1"/>
                <w:color w:val="auto"/>
              </w:rPr>
            </w:pPr>
          </w:p>
        </w:tc>
      </w:tr>
      <w:tr>
        <w:trPr>
          <w:trHeight w:val="19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Co-Founder and Chief Executive Officer</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900" w:type="dxa"/>
            <w:vAlign w:val="bottom"/>
          </w:tcPr>
          <w:p>
            <w:pPr>
              <w:ind w:left="20"/>
              <w:spacing w:after="0"/>
              <w:rPr>
                <w:sz w:val="20"/>
                <w:szCs w:val="20"/>
                <w:color w:val="auto"/>
              </w:rPr>
            </w:pPr>
            <w:r>
              <w:rPr>
                <w:rFonts w:ascii="Arial" w:cs="Arial" w:eastAsia="Arial" w:hAnsi="Arial"/>
                <w:sz w:val="14"/>
                <w:szCs w:val="14"/>
                <w:color w:val="auto"/>
              </w:rPr>
              <w:t>Baiju Bhatt</w:t>
            </w:r>
          </w:p>
        </w:tc>
        <w:tc>
          <w:tcPr>
            <w:tcW w:w="820" w:type="dxa"/>
            <w:vAlign w:val="bottom"/>
            <w:gridSpan w:val="2"/>
          </w:tcPr>
          <w:p>
            <w:pPr>
              <w:jc w:val="center"/>
              <w:ind w:left="28"/>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400,015</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495,796</w:t>
            </w:r>
          </w:p>
        </w:tc>
        <w:tc>
          <w:tcPr>
            <w:tcW w:w="100" w:type="dxa"/>
            <w:vAlign w:val="bottom"/>
          </w:tcPr>
          <w:p>
            <w:pPr>
              <w:spacing w:after="0"/>
              <w:rPr>
                <w:sz w:val="16"/>
                <w:szCs w:val="16"/>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895,811</w:t>
            </w: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Co-Founder, Chief Creative Officer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00" w:type="dxa"/>
            <w:vAlign w:val="bottom"/>
          </w:tcPr>
          <w:p>
            <w:pPr>
              <w:ind w:left="340"/>
              <w:spacing w:after="0"/>
              <w:rPr>
                <w:sz w:val="20"/>
                <w:szCs w:val="20"/>
                <w:color w:val="auto"/>
              </w:rPr>
            </w:pPr>
            <w:r>
              <w:rPr>
                <w:rFonts w:ascii="Arial" w:cs="Arial" w:eastAsia="Arial" w:hAnsi="Arial"/>
                <w:sz w:val="14"/>
                <w:szCs w:val="14"/>
                <w:i w:val="1"/>
                <w:iCs w:val="1"/>
                <w:color w:val="auto"/>
              </w:rPr>
              <w:t>Former Co-Chief Executive Officer</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Jason Warnick</w:t>
            </w:r>
          </w:p>
        </w:tc>
        <w:tc>
          <w:tcPr>
            <w:tcW w:w="8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400,015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17,166,078</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50,247</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18,066,340</w:t>
            </w:r>
          </w:p>
        </w:tc>
        <w:tc>
          <w:tcPr>
            <w:tcW w:w="0" w:type="dxa"/>
            <w:vAlign w:val="bottom"/>
          </w:tcPr>
          <w:p>
            <w:pPr>
              <w:spacing w:after="0"/>
              <w:rPr>
                <w:sz w:val="1"/>
                <w:szCs w:val="1"/>
                <w:color w:val="auto"/>
              </w:rPr>
            </w:pPr>
          </w:p>
        </w:tc>
      </w:tr>
      <w:tr>
        <w:trPr>
          <w:trHeight w:val="19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Chief Financial Officer</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900" w:type="dxa"/>
            <w:vAlign w:val="bottom"/>
          </w:tcPr>
          <w:p>
            <w:pPr>
              <w:ind w:left="20"/>
              <w:spacing w:after="0"/>
              <w:rPr>
                <w:sz w:val="20"/>
                <w:szCs w:val="20"/>
                <w:color w:val="auto"/>
              </w:rPr>
            </w:pPr>
            <w:r>
              <w:rPr>
                <w:rFonts w:ascii="Arial" w:cs="Arial" w:eastAsia="Arial" w:hAnsi="Arial"/>
                <w:sz w:val="14"/>
                <w:szCs w:val="14"/>
                <w:color w:val="auto"/>
              </w:rPr>
              <w:t>Daniel Gallagher</w:t>
            </w:r>
          </w:p>
        </w:tc>
        <w:tc>
          <w:tcPr>
            <w:tcW w:w="820" w:type="dxa"/>
            <w:vAlign w:val="bottom"/>
            <w:gridSpan w:val="2"/>
          </w:tcPr>
          <w:p>
            <w:pPr>
              <w:jc w:val="center"/>
              <w:ind w:left="28"/>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257,436</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4,200,000</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24,619,577</w:t>
            </w:r>
          </w:p>
        </w:tc>
        <w:tc>
          <w:tcPr>
            <w:tcW w:w="10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990,901</w:t>
            </w:r>
          </w:p>
        </w:tc>
        <w:tc>
          <w:tcPr>
            <w:tcW w:w="8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30,067,914</w:t>
            </w:r>
          </w:p>
        </w:tc>
        <w:tc>
          <w:tcPr>
            <w:tcW w:w="0" w:type="dxa"/>
            <w:vAlign w:val="bottom"/>
          </w:tcPr>
          <w:p>
            <w:pPr>
              <w:spacing w:after="0"/>
              <w:rPr>
                <w:sz w:val="1"/>
                <w:szCs w:val="1"/>
                <w:color w:val="auto"/>
              </w:rPr>
            </w:pPr>
          </w:p>
        </w:tc>
      </w:tr>
      <w:tr>
        <w:trPr>
          <w:trHeight w:val="196"/>
        </w:trPr>
        <w:tc>
          <w:tcPr>
            <w:tcW w:w="2900" w:type="dxa"/>
            <w:vAlign w:val="bottom"/>
          </w:tcPr>
          <w:p>
            <w:pPr>
              <w:ind w:left="200"/>
              <w:spacing w:after="0" w:line="196" w:lineRule="exact"/>
              <w:rPr>
                <w:sz w:val="20"/>
                <w:szCs w:val="20"/>
                <w:color w:val="auto"/>
              </w:rPr>
            </w:pPr>
            <w:r>
              <w:rPr>
                <w:rFonts w:ascii="Arial" w:cs="Arial" w:eastAsia="Arial" w:hAnsi="Arial"/>
                <w:sz w:val="14"/>
                <w:szCs w:val="14"/>
                <w:i w:val="1"/>
                <w:iCs w:val="1"/>
                <w:color w:val="auto"/>
              </w:rPr>
              <w:t>Chief Legal Officer</w:t>
            </w:r>
            <w:r>
              <w:rPr>
                <w:rFonts w:ascii="Arial" w:cs="Arial" w:eastAsia="Arial" w:hAnsi="Arial"/>
                <w:sz w:val="18"/>
                <w:szCs w:val="18"/>
                <w:i w:val="1"/>
                <w:iCs w:val="1"/>
                <w:color w:val="auto"/>
                <w:vertAlign w:val="superscript"/>
              </w:rPr>
              <w:t>(1)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20"/>
                <w:szCs w:val="20"/>
                <w:color w:val="auto"/>
              </w:rPr>
            </w:pPr>
            <w:r>
              <w:rPr>
                <w:rFonts w:ascii="Arial" w:cs="Arial" w:eastAsia="Arial" w:hAnsi="Arial"/>
                <w:sz w:val="16"/>
                <w:szCs w:val="16"/>
                <w:color w:val="auto"/>
              </w:rPr>
              <w:t>_____________</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84" w:hanging="284"/>
        <w:spacing w:after="0" w:line="236" w:lineRule="auto"/>
        <w:tabs>
          <w:tab w:leader="none" w:pos="284" w:val="left"/>
        </w:tabs>
        <w:numPr>
          <w:ilvl w:val="0"/>
          <w:numId w:val="99"/>
        </w:numPr>
        <w:rPr>
          <w:rFonts w:ascii="Arial" w:cs="Arial" w:eastAsia="Arial" w:hAnsi="Arial"/>
          <w:sz w:val="13"/>
          <w:szCs w:val="13"/>
          <w:color w:val="auto"/>
        </w:rPr>
      </w:pPr>
      <w:r>
        <w:rPr>
          <w:rFonts w:ascii="Arial" w:cs="Arial" w:eastAsia="Arial" w:hAnsi="Arial"/>
          <w:sz w:val="13"/>
          <w:szCs w:val="13"/>
          <w:color w:val="auto"/>
        </w:rPr>
        <w:t>Mr. Gallagher joined us as Chief Legal Officer on May 12, 2020.</w:t>
      </w:r>
    </w:p>
    <w:p>
      <w:pPr>
        <w:jc w:val="both"/>
        <w:ind w:left="284" w:hanging="284"/>
        <w:spacing w:after="0" w:line="230" w:lineRule="auto"/>
        <w:tabs>
          <w:tab w:leader="none" w:pos="273" w:val="left"/>
        </w:tabs>
        <w:numPr>
          <w:ilvl w:val="0"/>
          <w:numId w:val="99"/>
        </w:numPr>
        <w:rPr>
          <w:rFonts w:ascii="Arial" w:cs="Arial" w:eastAsia="Arial" w:hAnsi="Arial"/>
          <w:sz w:val="13"/>
          <w:szCs w:val="13"/>
          <w:color w:val="auto"/>
        </w:rPr>
      </w:pPr>
      <w:r>
        <w:rPr>
          <w:rFonts w:ascii="Arial" w:cs="Arial" w:eastAsia="Arial" w:hAnsi="Arial"/>
          <w:sz w:val="13"/>
          <w:szCs w:val="13"/>
          <w:color w:val="auto"/>
        </w:rPr>
        <w:t>For Mr. Warnick, the bonus amount includes a retention bonus of $100,000 paid in December 2020 and a one-time discretionary bonus of $350,000 also paid in December 2020. For Mr. Gallagher, the bonus amount includes (i) a prepaid retention bonus of $2.1 million paid in connection with the commencement of his employment on May 12, 2020 and (ii) an additional prepaid retention bonus of $2.1 million paid in December 2020. The terms of Messrs. Warnick’s and Gallagher’s retention bonuses are further described in detail below under “—Narrative Description of Executive Compensation Arrangements—Offer Letters.”</w:t>
      </w:r>
    </w:p>
    <w:p>
      <w:pPr>
        <w:jc w:val="both"/>
        <w:ind w:left="284" w:right="20" w:hanging="284"/>
        <w:spacing w:after="0" w:line="230" w:lineRule="auto"/>
        <w:tabs>
          <w:tab w:leader="none" w:pos="273" w:val="left"/>
        </w:tabs>
        <w:numPr>
          <w:ilvl w:val="0"/>
          <w:numId w:val="99"/>
        </w:numPr>
        <w:rPr>
          <w:rFonts w:ascii="Arial" w:cs="Arial" w:eastAsia="Arial" w:hAnsi="Arial"/>
          <w:sz w:val="13"/>
          <w:szCs w:val="13"/>
          <w:color w:val="auto"/>
        </w:rPr>
      </w:pPr>
      <w:r>
        <w:rPr>
          <w:rFonts w:ascii="Arial" w:cs="Arial" w:eastAsia="Arial" w:hAnsi="Arial"/>
          <w:sz w:val="13"/>
          <w:szCs w:val="13"/>
          <w:color w:val="auto"/>
        </w:rPr>
        <w:t>In accordance with SEC rules, the amounts in this column represent the grant date fair value of RSUs calculated in accordance with FASB ASC Topic 718. For additional information, see Note 1 to our consolidated financial statements included elsewhere in this prospectus. The assumptions used in calculating the grant date fair value of the RSUs reported in this table are set forth in the section titled “Management’s Discussion and Analysis of Financial Condition and Results of Operations—Critical Accounting Policies and Estimates—Share-based Compensation.”</w:t>
      </w:r>
    </w:p>
    <w:p>
      <w:pPr>
        <w:jc w:val="both"/>
        <w:ind w:left="284" w:hanging="284"/>
        <w:spacing w:after="0" w:line="262" w:lineRule="auto"/>
        <w:tabs>
          <w:tab w:leader="none" w:pos="273" w:val="left"/>
        </w:tabs>
        <w:numPr>
          <w:ilvl w:val="0"/>
          <w:numId w:val="99"/>
        </w:numPr>
        <w:rPr>
          <w:rFonts w:ascii="Arial" w:cs="Arial" w:eastAsia="Arial" w:hAnsi="Arial"/>
          <w:sz w:val="12"/>
          <w:szCs w:val="12"/>
          <w:color w:val="auto"/>
        </w:rPr>
      </w:pPr>
      <w:r>
        <w:rPr>
          <w:rFonts w:ascii="Arial" w:cs="Arial" w:eastAsia="Arial" w:hAnsi="Arial"/>
          <w:sz w:val="12"/>
          <w:szCs w:val="12"/>
          <w:color w:val="auto"/>
        </w:rPr>
        <w:t>In accordance with SEC rules, the amounts in this column represent the grant date fair value of stock options calculated in accordance with FASB ASC Topic 718. For additional information, see Note 1 to our consolidated financial statements included elsewhere in this prospectus. The assumptions used in calculating the grant date fair value of the stock options reported in this table are set forth in the section titled “Management’s Discussion and Analysis of Financial Condition and Results of Operations—Critical Accounting Policies and Estimates—Share-based Compensation.”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222</w:t>
      </w:r>
    </w:p>
    <w:p>
      <w:pPr>
        <w:sectPr>
          <w:pgSz w:w="11900" w:h="16838" w:orient="portrait"/>
          <w:cols w:equalWidth="0" w:num="1">
            <w:col w:w="11264"/>
          </w:cols>
          <w:pgMar w:left="316" w:top="1440" w:right="319" w:bottom="1440" w:gutter="0" w:footer="0" w:header="0"/>
        </w:sectPr>
      </w:pPr>
    </w:p>
    <w:bookmarkStart w:id="245" w:name="page246"/>
    <w:bookmarkEnd w:id="245"/>
    <w:p>
      <w:pPr>
        <w:spacing w:after="0" w:line="7" w:lineRule="exact"/>
        <w:rPr>
          <w:sz w:val="20"/>
          <w:szCs w:val="20"/>
          <w:color w:val="auto"/>
        </w:rPr>
      </w:pPr>
    </w:p>
    <w:p>
      <w:pPr>
        <w:jc w:val="both"/>
        <w:ind w:left="284" w:hanging="284"/>
        <w:spacing w:after="0" w:line="235" w:lineRule="auto"/>
        <w:tabs>
          <w:tab w:leader="none" w:pos="273" w:val="left"/>
        </w:tabs>
        <w:numPr>
          <w:ilvl w:val="0"/>
          <w:numId w:val="100"/>
        </w:numPr>
        <w:rPr>
          <w:rFonts w:ascii="Arial" w:cs="Arial" w:eastAsia="Arial" w:hAnsi="Arial"/>
          <w:sz w:val="13"/>
          <w:szCs w:val="13"/>
          <w:color w:val="auto"/>
        </w:rPr>
      </w:pPr>
      <w:r>
        <w:rPr>
          <w:rFonts w:ascii="Arial" w:cs="Arial" w:eastAsia="Arial" w:hAnsi="Arial"/>
          <w:sz w:val="13"/>
          <w:szCs w:val="13"/>
          <w:color w:val="auto"/>
        </w:rPr>
        <w:t>For Mr. Tenev, the amount reflects executive medical plan premiums and $343,584 in personal security costs. For Mr. Bhatt, the amount reflects executive medical plan premiums and $472,653 in personal security costs. For Mr. Warnick, the amount reflects executive medical plan premiums, health reimbursements, including the reimbursement of taxes associated with such reimbursements, and $8,195 in company matching contributions to his 401(k) plan account.</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22"/>
          <w:szCs w:val="22"/>
          <w:color w:val="auto"/>
        </w:rPr>
        <w:t>Outstanding Equity Awards as of December 31, 2020</w:t>
      </w:r>
    </w:p>
    <w:p>
      <w:pPr>
        <w:spacing w:after="0" w:line="16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following table presents information regarding outstanding equity awards held by our NEOs as of December 31, 2020.</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ind w:left="620"/>
              <w:spacing w:after="0"/>
              <w:rPr>
                <w:sz w:val="20"/>
                <w:szCs w:val="20"/>
                <w:color w:val="auto"/>
              </w:rPr>
            </w:pPr>
            <w:r>
              <w:rPr>
                <w:rFonts w:ascii="Arial" w:cs="Arial" w:eastAsia="Arial" w:hAnsi="Arial"/>
                <w:sz w:val="10"/>
                <w:szCs w:val="10"/>
                <w:b w:val="1"/>
                <w:bCs w:val="1"/>
                <w:color w:val="auto"/>
              </w:rPr>
              <w:t>Option Awards</w:t>
            </w: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ind w:left="820"/>
              <w:spacing w:after="0"/>
              <w:rPr>
                <w:sz w:val="20"/>
                <w:szCs w:val="20"/>
                <w:color w:val="auto"/>
              </w:rPr>
            </w:pPr>
            <w:r>
              <w:rPr>
                <w:rFonts w:ascii="Arial" w:cs="Arial" w:eastAsia="Arial" w:hAnsi="Arial"/>
                <w:sz w:val="10"/>
                <w:szCs w:val="10"/>
                <w:b w:val="1"/>
                <w:bCs w:val="1"/>
                <w:color w:val="auto"/>
              </w:rPr>
              <w:t>Stock Awards</w:t>
            </w: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6"/>
              </w:rPr>
              <w:t>Equity Incentive</w:t>
            </w: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Equity Incentive Plan</w:t>
            </w: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5"/>
              </w:rPr>
              <w:t>Number of</w:t>
            </w: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7"/>
              </w:rPr>
              <w:t>Plan Awards:</w:t>
            </w: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5"/>
              </w:rPr>
              <w:t>Equity Incentive Plan</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1"/>
              </w:rPr>
              <w:t>Number of</w:t>
            </w: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6"/>
              </w:rPr>
              <w:t>Awards: Market or</w:t>
            </w: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96"/>
              </w:rPr>
              <w:t>Securities</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5"/>
              </w:rPr>
              <w:t>Number of Securities</w:t>
            </w:r>
          </w:p>
        </w:tc>
        <w:tc>
          <w:tcPr>
            <w:tcW w:w="106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6"/>
              </w:rPr>
              <w:t>Securities</w:t>
            </w: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5"/>
              </w:rPr>
              <w:t>Number of Shares</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4"/>
              </w:rPr>
              <w:t>Market Value of</w:t>
            </w:r>
          </w:p>
        </w:tc>
        <w:tc>
          <w:tcPr>
            <w:tcW w:w="120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5"/>
              </w:rPr>
              <w:t>Awards: Number of</w:t>
            </w:r>
          </w:p>
        </w:tc>
        <w:tc>
          <w:tcPr>
            <w:tcW w:w="108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5"/>
              </w:rPr>
              <w:t>Payout Value of</w:t>
            </w: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95"/>
              </w:rPr>
              <w:t>Underlying</w:t>
            </w:r>
          </w:p>
        </w:tc>
        <w:tc>
          <w:tcPr>
            <w:tcW w:w="1180" w:type="dxa"/>
            <w:vAlign w:val="bottom"/>
            <w:gridSpan w:val="2"/>
            <w:vMerge w:val="continue"/>
          </w:tcPr>
          <w:p>
            <w:pPr>
              <w:spacing w:after="0"/>
              <w:rPr>
                <w:sz w:val="8"/>
                <w:szCs w:val="8"/>
                <w:color w:val="auto"/>
              </w:rPr>
            </w:pPr>
          </w:p>
        </w:tc>
        <w:tc>
          <w:tcPr>
            <w:tcW w:w="106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5"/>
              </w:rPr>
              <w:t>Underlying</w:t>
            </w: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2"/>
              </w:rPr>
              <w:t>Option</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0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96"/>
              </w:rPr>
              <w:t>Unearned Shares,</w:t>
            </w:r>
          </w:p>
        </w:tc>
        <w:tc>
          <w:tcPr>
            <w:tcW w:w="108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6"/>
              </w:rPr>
              <w:t>Unearned Shares,</w:t>
            </w: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94"/>
              </w:rPr>
              <w:t>Unexercised</w:t>
            </w:r>
          </w:p>
        </w:tc>
        <w:tc>
          <w:tcPr>
            <w:tcW w:w="118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5"/>
              </w:rPr>
              <w:t>Underlying</w:t>
            </w:r>
          </w:p>
        </w:tc>
        <w:tc>
          <w:tcPr>
            <w:tcW w:w="106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7"/>
              </w:rPr>
              <w:t>Unexercised</w:t>
            </w:r>
          </w:p>
        </w:tc>
        <w:tc>
          <w:tcPr>
            <w:tcW w:w="860" w:type="dxa"/>
            <w:vAlign w:val="bottom"/>
            <w:gridSpan w:val="2"/>
            <w:vMerge w:val="continue"/>
          </w:tcPr>
          <w:p>
            <w:pPr>
              <w:spacing w:after="0"/>
              <w:rPr>
                <w:sz w:val="8"/>
                <w:szCs w:val="8"/>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2"/>
              </w:rPr>
              <w:t>Option</w:t>
            </w:r>
          </w:p>
        </w:tc>
        <w:tc>
          <w:tcPr>
            <w:tcW w:w="96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4"/>
              </w:rPr>
              <w:t>or Units of Stock</w:t>
            </w:r>
          </w:p>
        </w:tc>
        <w:tc>
          <w:tcPr>
            <w:tcW w:w="96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95"/>
              </w:rPr>
              <w:t>Shares or Units of</w:t>
            </w:r>
          </w:p>
        </w:tc>
        <w:tc>
          <w:tcPr>
            <w:tcW w:w="120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96"/>
              </w:rPr>
              <w:t>Units or Other Rights</w:t>
            </w:r>
          </w:p>
        </w:tc>
        <w:tc>
          <w:tcPr>
            <w:tcW w:w="108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4"/>
              </w:rPr>
              <w:t>Units or Other Rights</w:t>
            </w:r>
          </w:p>
        </w:tc>
        <w:tc>
          <w:tcPr>
            <w:tcW w:w="0" w:type="dxa"/>
            <w:vAlign w:val="bottom"/>
          </w:tcPr>
          <w:p>
            <w:pPr>
              <w:spacing w:after="0"/>
              <w:rPr>
                <w:sz w:val="1"/>
                <w:szCs w:val="1"/>
                <w:color w:val="auto"/>
              </w:rPr>
            </w:pPr>
          </w:p>
        </w:tc>
      </w:tr>
      <w:tr>
        <w:trPr>
          <w:trHeight w:val="96"/>
        </w:trPr>
        <w:tc>
          <w:tcPr>
            <w:tcW w:w="8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Name</w:t>
            </w:r>
          </w:p>
        </w:tc>
        <w:tc>
          <w:tcPr>
            <w:tcW w:w="16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Grant Date</w:t>
            </w:r>
          </w:p>
        </w:tc>
        <w:tc>
          <w:tcPr>
            <w:tcW w:w="100" w:type="dxa"/>
            <w:vAlign w:val="bottom"/>
            <w:vMerge w:val="restart"/>
          </w:tcPr>
          <w:p>
            <w:pPr>
              <w:spacing w:after="0"/>
              <w:rPr>
                <w:sz w:val="8"/>
                <w:szCs w:val="8"/>
                <w:color w:val="auto"/>
              </w:rPr>
            </w:pPr>
          </w:p>
        </w:tc>
        <w:tc>
          <w:tcPr>
            <w:tcW w:w="108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95"/>
              </w:rPr>
              <w:t>Options Exercisable</w:t>
            </w:r>
          </w:p>
        </w:tc>
        <w:tc>
          <w:tcPr>
            <w:tcW w:w="118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95"/>
              </w:rPr>
              <w:t>Unexercised Options</w:t>
            </w:r>
          </w:p>
        </w:tc>
        <w:tc>
          <w:tcPr>
            <w:tcW w:w="106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4"/>
              </w:rPr>
              <w:t>Unearned Options</w:t>
            </w:r>
          </w:p>
        </w:tc>
        <w:tc>
          <w:tcPr>
            <w:tcW w:w="86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6"/>
              </w:rPr>
              <w:t>Exercise Price</w:t>
            </w:r>
          </w:p>
        </w:tc>
        <w:tc>
          <w:tcPr>
            <w:tcW w:w="920" w:type="dxa"/>
            <w:vAlign w:val="bottom"/>
            <w:gridSpan w:val="2"/>
            <w:vMerge w:val="continue"/>
          </w:tcPr>
          <w:p>
            <w:pPr>
              <w:spacing w:after="0"/>
              <w:rPr>
                <w:sz w:val="8"/>
                <w:szCs w:val="8"/>
                <w:color w:val="auto"/>
              </w:rPr>
            </w:pPr>
          </w:p>
        </w:tc>
        <w:tc>
          <w:tcPr>
            <w:tcW w:w="96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5"/>
              </w:rPr>
              <w:t>That Have Not</w:t>
            </w:r>
          </w:p>
        </w:tc>
        <w:tc>
          <w:tcPr>
            <w:tcW w:w="96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95"/>
              </w:rPr>
              <w:t>Stock That Have</w:t>
            </w:r>
          </w:p>
        </w:tc>
        <w:tc>
          <w:tcPr>
            <w:tcW w:w="120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5"/>
              </w:rPr>
              <w:t>That Have Not</w:t>
            </w:r>
          </w:p>
        </w:tc>
        <w:tc>
          <w:tcPr>
            <w:tcW w:w="108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5"/>
              </w:rPr>
              <w:t>That Have Not Vested</w:t>
            </w:r>
          </w:p>
        </w:tc>
        <w:tc>
          <w:tcPr>
            <w:tcW w:w="0" w:type="dxa"/>
            <w:vAlign w:val="bottom"/>
          </w:tcPr>
          <w:p>
            <w:pPr>
              <w:spacing w:after="0"/>
              <w:rPr>
                <w:sz w:val="1"/>
                <w:szCs w:val="1"/>
                <w:color w:val="auto"/>
              </w:rPr>
            </w:pPr>
          </w:p>
        </w:tc>
      </w:tr>
      <w:tr>
        <w:trPr>
          <w:trHeight w:val="143"/>
        </w:trPr>
        <w:tc>
          <w:tcPr>
            <w:tcW w:w="8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1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Unexercisable (#)</w:t>
            </w: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w:t>
            </w: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Expiration Date</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Vested (#)</w:t>
            </w: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Not Vested ($)</w:t>
            </w:r>
            <w:r>
              <w:rPr>
                <w:rFonts w:ascii="Arial" w:cs="Arial" w:eastAsia="Arial" w:hAnsi="Arial"/>
                <w:sz w:val="6"/>
                <w:szCs w:val="6"/>
                <w:b w:val="1"/>
                <w:bCs w:val="1"/>
                <w:color w:val="auto"/>
                <w:w w:val="96"/>
              </w:rPr>
              <w:t>(1)</w:t>
            </w:r>
          </w:p>
        </w:tc>
        <w:tc>
          <w:tcPr>
            <w:tcW w:w="1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Vested(#)</w:t>
            </w: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6"/>
                <w:szCs w:val="16"/>
                <w:b w:val="1"/>
                <w:bCs w:val="1"/>
                <w:color w:val="auto"/>
                <w:w w:val="97"/>
                <w:vertAlign w:val="subscript"/>
              </w:rPr>
              <w:t>($)</w:t>
            </w:r>
            <w:r>
              <w:rPr>
                <w:rFonts w:ascii="Arial" w:cs="Arial" w:eastAsia="Arial" w:hAnsi="Arial"/>
                <w:sz w:val="6"/>
                <w:szCs w:val="6"/>
                <w:b w:val="1"/>
                <w:bCs w:val="1"/>
                <w:color w:val="auto"/>
                <w:w w:val="97"/>
              </w:rPr>
              <w:t>(1)</w:t>
            </w:r>
          </w:p>
        </w:tc>
        <w:tc>
          <w:tcPr>
            <w:tcW w:w="0" w:type="dxa"/>
            <w:vAlign w:val="bottom"/>
          </w:tcPr>
          <w:p>
            <w:pPr>
              <w:spacing w:after="0"/>
              <w:rPr>
                <w:sz w:val="1"/>
                <w:szCs w:val="1"/>
                <w:color w:val="auto"/>
              </w:rPr>
            </w:pPr>
          </w:p>
        </w:tc>
      </w:tr>
      <w:tr>
        <w:trPr>
          <w:trHeight w:val="135"/>
        </w:trPr>
        <w:tc>
          <w:tcPr>
            <w:tcW w:w="116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auto"/>
              </w:rPr>
              <w:t>Vladimir Tenev</w:t>
            </w:r>
          </w:p>
        </w:tc>
        <w:tc>
          <w:tcPr>
            <w:tcW w:w="700" w:type="dxa"/>
            <w:vAlign w:val="bottom"/>
            <w:shd w:val="clear" w:color="auto" w:fill="CCEEFF"/>
          </w:tcPr>
          <w:p>
            <w:pPr>
              <w:jc w:val="center"/>
              <w:ind w:right="92"/>
              <w:spacing w:after="0"/>
              <w:rPr>
                <w:sz w:val="20"/>
                <w:szCs w:val="20"/>
                <w:color w:val="auto"/>
              </w:rPr>
            </w:pPr>
            <w:r>
              <w:rPr>
                <w:rFonts w:ascii="Arial" w:cs="Arial" w:eastAsia="Arial" w:hAnsi="Arial"/>
                <w:sz w:val="10"/>
                <w:szCs w:val="10"/>
                <w:color w:val="auto"/>
                <w:w w:val="98"/>
              </w:rPr>
              <w:t>10/8/2019</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2,904,024</w:t>
            </w:r>
            <w:r>
              <w:rPr>
                <w:rFonts w:ascii="Arial" w:cs="Arial" w:eastAsia="Arial" w:hAnsi="Arial"/>
                <w:sz w:val="6"/>
                <w:szCs w:val="6"/>
                <w:color w:val="auto"/>
                <w:w w:val="96"/>
              </w:rPr>
              <w:t>(2)</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47,422,712</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13,831,829</w:t>
            </w:r>
            <w:r>
              <w:rPr>
                <w:rFonts w:ascii="Arial" w:cs="Arial" w:eastAsia="Arial" w:hAnsi="Arial"/>
                <w:sz w:val="6"/>
                <w:szCs w:val="6"/>
                <w:color w:val="auto"/>
                <w:w w:val="94"/>
              </w:rPr>
              <w:t>(3)</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7"/>
              </w:rPr>
              <w:t>225,873,768</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16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auto"/>
              </w:rPr>
              <w:t>Baiju Bhatt</w:t>
            </w:r>
          </w:p>
        </w:tc>
        <w:tc>
          <w:tcPr>
            <w:tcW w:w="700" w:type="dxa"/>
            <w:vAlign w:val="bottom"/>
            <w:shd w:val="clear" w:color="auto" w:fill="CCEEFF"/>
          </w:tcPr>
          <w:p>
            <w:pPr>
              <w:jc w:val="center"/>
              <w:ind w:right="92"/>
              <w:spacing w:after="0"/>
              <w:rPr>
                <w:sz w:val="20"/>
                <w:szCs w:val="20"/>
                <w:color w:val="auto"/>
              </w:rPr>
            </w:pPr>
            <w:r>
              <w:rPr>
                <w:rFonts w:ascii="Arial" w:cs="Arial" w:eastAsia="Arial" w:hAnsi="Arial"/>
                <w:sz w:val="10"/>
                <w:szCs w:val="10"/>
                <w:color w:val="auto"/>
                <w:w w:val="98"/>
              </w:rPr>
              <w:t>10/8/2019</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2,904,024</w:t>
            </w:r>
            <w:r>
              <w:rPr>
                <w:rFonts w:ascii="Arial" w:cs="Arial" w:eastAsia="Arial" w:hAnsi="Arial"/>
                <w:sz w:val="6"/>
                <w:szCs w:val="6"/>
                <w:color w:val="auto"/>
                <w:w w:val="96"/>
              </w:rPr>
              <w:t>(2)</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47,422,712</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13,831,829</w:t>
            </w:r>
            <w:r>
              <w:rPr>
                <w:rFonts w:ascii="Arial" w:cs="Arial" w:eastAsia="Arial" w:hAnsi="Arial"/>
                <w:sz w:val="6"/>
                <w:szCs w:val="6"/>
                <w:color w:val="auto"/>
                <w:w w:val="94"/>
              </w:rPr>
              <w:t>(3)</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7"/>
              </w:rPr>
              <w:t>225,873,768</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16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auto"/>
              </w:rPr>
              <w:t>Jason Warnick</w:t>
            </w:r>
          </w:p>
        </w:tc>
        <w:tc>
          <w:tcPr>
            <w:tcW w:w="700" w:type="dxa"/>
            <w:vAlign w:val="bottom"/>
            <w:shd w:val="clear" w:color="auto" w:fill="CCEEFF"/>
          </w:tcPr>
          <w:p>
            <w:pPr>
              <w:jc w:val="center"/>
              <w:ind w:right="92"/>
              <w:spacing w:after="0"/>
              <w:rPr>
                <w:sz w:val="20"/>
                <w:szCs w:val="20"/>
                <w:color w:val="auto"/>
              </w:rPr>
            </w:pPr>
            <w:r>
              <w:rPr>
                <w:rFonts w:ascii="Arial" w:cs="Arial" w:eastAsia="Arial" w:hAnsi="Arial"/>
                <w:sz w:val="10"/>
                <w:szCs w:val="10"/>
                <w:color w:val="auto"/>
                <w:w w:val="95"/>
              </w:rPr>
              <w:t>12/15/2018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rPr>
              <w:t>350,000</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center"/>
              <w:ind w:right="272"/>
              <w:spacing w:after="0"/>
              <w:rPr>
                <w:sz w:val="20"/>
                <w:szCs w:val="20"/>
                <w:color w:val="auto"/>
              </w:rPr>
            </w:pPr>
            <w:r>
              <w:rPr>
                <w:rFonts w:ascii="Arial" w:cs="Arial" w:eastAsia="Arial" w:hAnsi="Arial"/>
                <w:sz w:val="10"/>
                <w:szCs w:val="10"/>
                <w:color w:val="auto"/>
              </w:rPr>
              <w:t>350,000</w:t>
            </w:r>
            <w:r>
              <w:rPr>
                <w:rFonts w:ascii="Arial" w:cs="Arial" w:eastAsia="Arial" w:hAnsi="Arial"/>
                <w:sz w:val="6"/>
                <w:szCs w:val="6"/>
                <w:color w:val="auto"/>
              </w:rPr>
              <w:t>(4)</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2"/>
              </w:rPr>
              <w:t>5.93</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12/14/2028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700,000</w:t>
            </w:r>
            <w:r>
              <w:rPr>
                <w:rFonts w:ascii="Arial" w:cs="Arial" w:eastAsia="Arial" w:hAnsi="Arial"/>
                <w:sz w:val="6"/>
                <w:szCs w:val="6"/>
                <w:color w:val="auto"/>
                <w:w w:val="96"/>
              </w:rPr>
              <w:t>(5)</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11,431,000</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92"/>
              <w:spacing w:after="0"/>
              <w:rPr>
                <w:sz w:val="20"/>
                <w:szCs w:val="20"/>
                <w:color w:val="auto"/>
              </w:rPr>
            </w:pPr>
            <w:r>
              <w:rPr>
                <w:rFonts w:ascii="Arial" w:cs="Arial" w:eastAsia="Arial" w:hAnsi="Arial"/>
                <w:sz w:val="10"/>
                <w:szCs w:val="10"/>
                <w:color w:val="auto"/>
                <w:w w:val="98"/>
              </w:rPr>
              <w:t>1/13/2020</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0"/>
                <w:szCs w:val="10"/>
                <w:color w:val="auto"/>
                <w:w w:val="96"/>
              </w:rPr>
              <w:t>699,432</w:t>
            </w:r>
            <w:r>
              <w:rPr>
                <w:rFonts w:ascii="Arial" w:cs="Arial" w:eastAsia="Arial" w:hAnsi="Arial"/>
                <w:sz w:val="6"/>
                <w:szCs w:val="6"/>
                <w:color w:val="auto"/>
                <w:w w:val="96"/>
              </w:rPr>
              <w:t>(6)</w:t>
            </w:r>
          </w:p>
        </w:tc>
        <w:tc>
          <w:tcPr>
            <w:tcW w:w="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11,421,725</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center"/>
              <w:ind w:right="92"/>
              <w:spacing w:after="0"/>
              <w:rPr>
                <w:sz w:val="20"/>
                <w:szCs w:val="20"/>
                <w:color w:val="auto"/>
              </w:rPr>
            </w:pPr>
            <w:r>
              <w:rPr>
                <w:rFonts w:ascii="Arial" w:cs="Arial" w:eastAsia="Arial" w:hAnsi="Arial"/>
                <w:sz w:val="10"/>
                <w:szCs w:val="10"/>
                <w:color w:val="auto"/>
                <w:w w:val="98"/>
              </w:rPr>
              <w:t>12/9/2020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6"/>
              </w:rPr>
              <w:t>645,160</w:t>
            </w:r>
            <w:r>
              <w:rPr>
                <w:rFonts w:ascii="Arial" w:cs="Arial" w:eastAsia="Arial" w:hAnsi="Arial"/>
                <w:sz w:val="6"/>
                <w:szCs w:val="6"/>
                <w:color w:val="auto"/>
                <w:w w:val="96"/>
              </w:rPr>
              <w:t>(7)</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10,535,463</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16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auto"/>
              </w:rPr>
              <w:t>Daniel Gallagher</w:t>
            </w:r>
          </w:p>
        </w:tc>
        <w:tc>
          <w:tcPr>
            <w:tcW w:w="700" w:type="dxa"/>
            <w:vAlign w:val="bottom"/>
            <w:shd w:val="clear" w:color="auto" w:fill="CCEEFF"/>
          </w:tcPr>
          <w:p>
            <w:pPr>
              <w:jc w:val="center"/>
              <w:ind w:right="92"/>
              <w:spacing w:after="0"/>
              <w:rPr>
                <w:sz w:val="20"/>
                <w:szCs w:val="20"/>
                <w:color w:val="auto"/>
              </w:rPr>
            </w:pPr>
            <w:r>
              <w:rPr>
                <w:rFonts w:ascii="Arial" w:cs="Arial" w:eastAsia="Arial" w:hAnsi="Arial"/>
                <w:sz w:val="10"/>
                <w:szCs w:val="10"/>
                <w:color w:val="auto"/>
                <w:w w:val="98"/>
              </w:rPr>
              <w:t>10/8/2019</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10,013</w:t>
            </w:r>
            <w:r>
              <w:rPr>
                <w:rFonts w:ascii="Arial" w:cs="Arial" w:eastAsia="Arial" w:hAnsi="Arial"/>
                <w:sz w:val="6"/>
                <w:szCs w:val="6"/>
                <w:color w:val="auto"/>
                <w:w w:val="94"/>
              </w:rPr>
              <w:t>(8)</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3"/>
              </w:rPr>
              <w:t>163,512</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92"/>
              <w:spacing w:after="0"/>
              <w:rPr>
                <w:sz w:val="20"/>
                <w:szCs w:val="20"/>
                <w:color w:val="auto"/>
              </w:rPr>
            </w:pPr>
            <w:r>
              <w:rPr>
                <w:rFonts w:ascii="Arial" w:cs="Arial" w:eastAsia="Arial" w:hAnsi="Arial"/>
                <w:sz w:val="10"/>
                <w:szCs w:val="10"/>
                <w:color w:val="auto"/>
                <w:w w:val="98"/>
              </w:rPr>
              <w:t>6/16/2020</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0"/>
                <w:szCs w:val="10"/>
                <w:color w:val="auto"/>
                <w:w w:val="96"/>
              </w:rPr>
              <w:t>308,419</w:t>
            </w:r>
            <w:r>
              <w:rPr>
                <w:rFonts w:ascii="Arial" w:cs="Arial" w:eastAsia="Arial" w:hAnsi="Arial"/>
                <w:sz w:val="6"/>
                <w:szCs w:val="6"/>
                <w:color w:val="auto"/>
                <w:w w:val="96"/>
              </w:rPr>
              <w:t>(9)</w:t>
            </w:r>
          </w:p>
        </w:tc>
        <w:tc>
          <w:tcPr>
            <w:tcW w:w="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auto"/>
                <w:w w:val="94"/>
              </w:rPr>
              <w:t>5,036,482</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center"/>
              <w:ind w:right="92"/>
              <w:spacing w:after="0"/>
              <w:rPr>
                <w:sz w:val="20"/>
                <w:szCs w:val="20"/>
                <w:color w:val="auto"/>
              </w:rPr>
            </w:pPr>
            <w:r>
              <w:rPr>
                <w:rFonts w:ascii="Arial" w:cs="Arial" w:eastAsia="Arial" w:hAnsi="Arial"/>
                <w:sz w:val="10"/>
                <w:szCs w:val="10"/>
                <w:color w:val="auto"/>
                <w:w w:val="92"/>
              </w:rPr>
              <w:t>7/6/2020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center"/>
              <w:ind w:right="272"/>
              <w:spacing w:after="0"/>
              <w:rPr>
                <w:sz w:val="20"/>
                <w:szCs w:val="20"/>
                <w:color w:val="auto"/>
              </w:rPr>
            </w:pPr>
            <w:r>
              <w:rPr>
                <w:rFonts w:ascii="Arial" w:cs="Arial" w:eastAsia="Arial" w:hAnsi="Arial"/>
                <w:sz w:val="10"/>
                <w:szCs w:val="10"/>
                <w:color w:val="auto"/>
              </w:rPr>
              <w:t>264,360</w:t>
            </w:r>
            <w:r>
              <w:rPr>
                <w:rFonts w:ascii="Arial" w:cs="Arial" w:eastAsia="Arial" w:hAnsi="Arial"/>
                <w:sz w:val="6"/>
                <w:szCs w:val="6"/>
                <w:color w:val="auto"/>
              </w:rPr>
              <w:t>(10)</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10.24</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rPr>
              <w:t>7/5/2030</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92"/>
              <w:spacing w:after="0"/>
              <w:rPr>
                <w:sz w:val="20"/>
                <w:szCs w:val="20"/>
                <w:color w:val="auto"/>
              </w:rPr>
            </w:pPr>
            <w:r>
              <w:rPr>
                <w:rFonts w:ascii="Arial" w:cs="Arial" w:eastAsia="Arial" w:hAnsi="Arial"/>
                <w:sz w:val="10"/>
                <w:szCs w:val="10"/>
                <w:color w:val="auto"/>
                <w:w w:val="92"/>
              </w:rPr>
              <w:t>9/3/2020</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0"/>
                <w:szCs w:val="10"/>
                <w:color w:val="auto"/>
                <w:w w:val="96"/>
              </w:rPr>
              <w:t>1,332,014</w:t>
            </w:r>
            <w:r>
              <w:rPr>
                <w:rFonts w:ascii="Arial" w:cs="Arial" w:eastAsia="Arial" w:hAnsi="Arial"/>
                <w:sz w:val="6"/>
                <w:szCs w:val="6"/>
                <w:color w:val="auto"/>
                <w:w w:val="96"/>
              </w:rPr>
              <w:t>(9)</w:t>
            </w:r>
          </w:p>
        </w:tc>
        <w:tc>
          <w:tcPr>
            <w:tcW w:w="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21,751,789</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center"/>
              <w:ind w:right="92"/>
              <w:spacing w:after="0"/>
              <w:rPr>
                <w:sz w:val="20"/>
                <w:szCs w:val="20"/>
                <w:color w:val="auto"/>
              </w:rPr>
            </w:pPr>
            <w:r>
              <w:rPr>
                <w:rFonts w:ascii="Arial" w:cs="Arial" w:eastAsia="Arial" w:hAnsi="Arial"/>
                <w:sz w:val="10"/>
                <w:szCs w:val="10"/>
                <w:color w:val="auto"/>
                <w:w w:val="98"/>
              </w:rPr>
              <w:t>12/9/2020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8"/>
              </w:rPr>
              <w:t>270,968</w:t>
            </w:r>
            <w:r>
              <w:rPr>
                <w:rFonts w:ascii="Arial" w:cs="Arial" w:eastAsia="Arial" w:hAnsi="Arial"/>
                <w:sz w:val="6"/>
                <w:szCs w:val="6"/>
                <w:color w:val="auto"/>
                <w:w w:val="98"/>
              </w:rPr>
              <w:t>(11)</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4,424,907</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60" w:type="dxa"/>
            <w:vAlign w:val="bottom"/>
            <w:gridSpan w:val="3"/>
          </w:tcPr>
          <w:p>
            <w:pPr>
              <w:spacing w:after="0" w:line="148" w:lineRule="exact"/>
              <w:rPr>
                <w:sz w:val="20"/>
                <w:szCs w:val="20"/>
                <w:color w:val="auto"/>
              </w:rPr>
            </w:pPr>
            <w:r>
              <w:rPr>
                <w:rFonts w:ascii="Arial" w:cs="Arial" w:eastAsia="Arial" w:hAnsi="Arial"/>
                <w:sz w:val="13"/>
                <w:szCs w:val="13"/>
                <w:color w:val="auto"/>
                <w:w w:val="98"/>
              </w:rPr>
              <w:t>________________</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84" w:right="20" w:hanging="284"/>
        <w:spacing w:after="0" w:line="230" w:lineRule="auto"/>
        <w:tabs>
          <w:tab w:leader="none" w:pos="273"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Amounts are calculated by multiplying the number of shares shown in the table by $16.33, the fair market value of our common stock as of December 31, 2020, as determined by our board of directors.</w:t>
      </w:r>
    </w:p>
    <w:p>
      <w:pPr>
        <w:ind w:left="284" w:hanging="284"/>
        <w:spacing w:after="0" w:line="230" w:lineRule="auto"/>
        <w:tabs>
          <w:tab w:leader="none" w:pos="273" w:val="left"/>
        </w:tabs>
        <w:numPr>
          <w:ilvl w:val="0"/>
          <w:numId w:val="101"/>
        </w:numPr>
        <w:rPr>
          <w:rFonts w:ascii="Arial" w:cs="Arial" w:eastAsia="Arial" w:hAnsi="Arial"/>
          <w:sz w:val="13"/>
          <w:szCs w:val="13"/>
          <w:color w:val="auto"/>
        </w:rPr>
      </w:pPr>
      <w:r>
        <w:rPr>
          <w:rFonts w:ascii="Arial" w:cs="Arial" w:eastAsia="Arial" w:hAnsi="Arial"/>
          <w:sz w:val="13"/>
          <w:szCs w:val="13"/>
          <w:color w:val="auto"/>
        </w:rPr>
        <w:t>One-fourth of these Time-Based RSUs time vested on August 1, 2019 and an additional one-sixteenth time vest on each quarterly anniversary thereafter, in each case, subject to continued service through the applicable vesting date and the occurrence of a Liquidity Event (as defined below).</w:t>
      </w:r>
    </w:p>
    <w:p>
      <w:pPr>
        <w:ind w:left="284" w:right="20" w:hanging="284"/>
        <w:spacing w:after="0" w:line="230" w:lineRule="auto"/>
        <w:tabs>
          <w:tab w:leader="none" w:pos="273"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These 2019 Market-Based RSUs vest based upon achievement of specified prices for the shares of our Class A common stock and multi-year service vesting requirements. The terms of these awards are further described below under “—Narrative Description of Executive Compensation Arrangements—Market-Based RSUs.”</w:t>
      </w:r>
    </w:p>
    <w:p>
      <w:pPr>
        <w:ind w:left="284" w:hanging="284"/>
        <w:spacing w:after="0"/>
        <w:tabs>
          <w:tab w:leader="none" w:pos="284" w:val="left"/>
        </w:tabs>
        <w:numPr>
          <w:ilvl w:val="0"/>
          <w:numId w:val="101"/>
        </w:numPr>
        <w:rPr>
          <w:rFonts w:ascii="Arial" w:cs="Arial" w:eastAsia="Arial" w:hAnsi="Arial"/>
          <w:sz w:val="12"/>
          <w:szCs w:val="12"/>
          <w:color w:val="auto"/>
        </w:rPr>
      </w:pPr>
      <w:r>
        <w:rPr>
          <w:rFonts w:ascii="Arial" w:cs="Arial" w:eastAsia="Arial" w:hAnsi="Arial"/>
          <w:sz w:val="12"/>
          <w:szCs w:val="12"/>
          <w:color w:val="auto"/>
        </w:rPr>
        <w:t>One forty-eighth of these stock options vest monthly on the fourth day of each month through December 4, 2022, in each case, subject to continued service through the applicable vesting date.</w:t>
      </w:r>
    </w:p>
    <w:p>
      <w:pPr>
        <w:spacing w:after="0" w:line="5" w:lineRule="exact"/>
        <w:rPr>
          <w:rFonts w:ascii="Arial" w:cs="Arial" w:eastAsia="Arial" w:hAnsi="Arial"/>
          <w:sz w:val="12"/>
          <w:szCs w:val="12"/>
          <w:color w:val="auto"/>
        </w:rPr>
      </w:pPr>
    </w:p>
    <w:p>
      <w:pPr>
        <w:ind w:left="284" w:right="20" w:hanging="284"/>
        <w:spacing w:after="0" w:line="230" w:lineRule="auto"/>
        <w:tabs>
          <w:tab w:leader="none" w:pos="273" w:val="left"/>
        </w:tabs>
        <w:numPr>
          <w:ilvl w:val="0"/>
          <w:numId w:val="101"/>
        </w:numPr>
        <w:rPr>
          <w:rFonts w:ascii="Arial" w:cs="Arial" w:eastAsia="Arial" w:hAnsi="Arial"/>
          <w:sz w:val="13"/>
          <w:szCs w:val="13"/>
          <w:color w:val="auto"/>
        </w:rPr>
      </w:pPr>
      <w:r>
        <w:rPr>
          <w:rFonts w:ascii="Arial" w:cs="Arial" w:eastAsia="Arial" w:hAnsi="Arial"/>
          <w:sz w:val="13"/>
          <w:szCs w:val="13"/>
          <w:color w:val="auto"/>
        </w:rPr>
        <w:t>One-fourth of these Time-Based RSUs time vested on December 4, 2019 and an additional one forty-eighth time vest monthly thereafter, in each case, subject to continued service through the applicable vesting date and the occurrence of a Liquidity Event (as defined below).</w:t>
      </w:r>
    </w:p>
    <w:p>
      <w:pPr>
        <w:ind w:left="284" w:right="20" w:hanging="284"/>
        <w:spacing w:after="0" w:line="230" w:lineRule="auto"/>
        <w:tabs>
          <w:tab w:leader="none" w:pos="273" w:val="left"/>
        </w:tabs>
        <w:numPr>
          <w:ilvl w:val="0"/>
          <w:numId w:val="101"/>
        </w:numPr>
        <w:rPr>
          <w:rFonts w:ascii="Arial" w:cs="Arial" w:eastAsia="Arial" w:hAnsi="Arial"/>
          <w:sz w:val="13"/>
          <w:szCs w:val="13"/>
          <w:color w:val="auto"/>
        </w:rPr>
      </w:pPr>
      <w:r>
        <w:rPr>
          <w:rFonts w:ascii="Arial" w:cs="Arial" w:eastAsia="Arial" w:hAnsi="Arial"/>
          <w:sz w:val="13"/>
          <w:szCs w:val="13"/>
          <w:color w:val="auto"/>
        </w:rPr>
        <w:t>One-fourth of these Time-Based RSUs time vested on December 1, 2020 and an additional one-sixteenth time vest quarterly thereafter, in each case, subject to continued service through the applicable vesting date and the occurrence of a Liquidity Event (as defined below).</w:t>
      </w:r>
    </w:p>
    <w:p>
      <w:pPr>
        <w:ind w:left="284" w:right="20" w:hanging="284"/>
        <w:spacing w:after="0" w:line="230" w:lineRule="auto"/>
        <w:tabs>
          <w:tab w:leader="none" w:pos="273" w:val="left"/>
        </w:tabs>
        <w:numPr>
          <w:ilvl w:val="0"/>
          <w:numId w:val="101"/>
        </w:numPr>
        <w:rPr>
          <w:rFonts w:ascii="Arial" w:cs="Arial" w:eastAsia="Arial" w:hAnsi="Arial"/>
          <w:sz w:val="13"/>
          <w:szCs w:val="13"/>
          <w:color w:val="auto"/>
        </w:rPr>
      </w:pPr>
      <w:r>
        <w:rPr>
          <w:rFonts w:ascii="Arial" w:cs="Arial" w:eastAsia="Arial" w:hAnsi="Arial"/>
          <w:sz w:val="13"/>
          <w:szCs w:val="13"/>
          <w:color w:val="auto"/>
        </w:rPr>
        <w:t>Half of these Time-Based RSUs time vest one-sixteenth each quarter, commencing on January 1, 2021, and the remaining half time vest one-eighth each quarter, commencing on January 1, 2023, subject to continued service through the applicable vesting date and the occurrence of a Liquidity Event (as defined below).</w:t>
      </w:r>
    </w:p>
    <w:p>
      <w:pPr>
        <w:ind w:left="284" w:right="20" w:hanging="284"/>
        <w:spacing w:after="0" w:line="230" w:lineRule="auto"/>
        <w:tabs>
          <w:tab w:leader="none" w:pos="273"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These Time-Based RSUs were granted to Mr. Gallagher in connection with his prior service as a member of our board of directors. The time-based vesting conditions for these Time-Based RSUs have been satisfied, but they remain subject to the occurrence of a Liquidity Event (as defined below).</w:t>
      </w:r>
    </w:p>
    <w:p>
      <w:pPr>
        <w:ind w:left="284" w:right="20" w:hanging="284"/>
        <w:spacing w:after="0" w:line="230" w:lineRule="auto"/>
        <w:tabs>
          <w:tab w:leader="none" w:pos="273"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Three-sixteenths of these Time-Based RSUs time vested on March 10, 2021, one-sixteenth time vested on May 12, 2021 and an additional one-sixteenth time vests each quarterly anniversary thereafter, in each case, subject to continued service through the applicable vesting date and the occurrence of a Liquidity Event (as defined below).</w:t>
      </w:r>
    </w:p>
    <w:p>
      <w:pPr>
        <w:ind w:left="284" w:hanging="284"/>
        <w:spacing w:after="0" w:line="230" w:lineRule="auto"/>
        <w:tabs>
          <w:tab w:leader="none" w:pos="284" w:val="left"/>
        </w:tabs>
        <w:numPr>
          <w:ilvl w:val="0"/>
          <w:numId w:val="101"/>
        </w:numPr>
        <w:rPr>
          <w:rFonts w:ascii="Arial" w:cs="Arial" w:eastAsia="Arial" w:hAnsi="Arial"/>
          <w:sz w:val="13"/>
          <w:szCs w:val="13"/>
          <w:color w:val="auto"/>
        </w:rPr>
      </w:pPr>
      <w:r>
        <w:rPr>
          <w:rFonts w:ascii="Arial" w:cs="Arial" w:eastAsia="Arial" w:hAnsi="Arial"/>
          <w:sz w:val="13"/>
          <w:szCs w:val="13"/>
          <w:color w:val="auto"/>
        </w:rPr>
        <w:t>One-fourth of these stock options time vested on May 12, 2021 and an additional one-sixteenth time vest on each quarterly anniversary thereafter, in each case, subject to continued service through the applicable vesting date.</w:t>
      </w:r>
    </w:p>
    <w:p>
      <w:pPr>
        <w:ind w:left="284" w:hanging="284"/>
        <w:spacing w:after="0" w:line="238" w:lineRule="auto"/>
        <w:tabs>
          <w:tab w:leader="none" w:pos="284" w:val="left"/>
        </w:tabs>
        <w:numPr>
          <w:ilvl w:val="0"/>
          <w:numId w:val="101"/>
        </w:numPr>
        <w:rPr>
          <w:rFonts w:ascii="Arial" w:cs="Arial" w:eastAsia="Arial" w:hAnsi="Arial"/>
          <w:sz w:val="13"/>
          <w:szCs w:val="13"/>
          <w:color w:val="auto"/>
        </w:rPr>
      </w:pPr>
      <w:r>
        <w:rPr>
          <w:rFonts w:ascii="Arial" w:cs="Arial" w:eastAsia="Arial" w:hAnsi="Arial"/>
          <w:sz w:val="13"/>
          <w:szCs w:val="13"/>
          <w:color w:val="auto"/>
        </w:rPr>
        <w:t>One-twelfth of these Time-Based RSUs time vested on January 1, 2021 and the remaining Time-Based RSUs time vest in equal quarterly installments beginning on the first day of our second fiscal quarter in 2021 and then on each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223</w:t>
      </w:r>
    </w:p>
    <w:p>
      <w:pPr>
        <w:sectPr>
          <w:pgSz w:w="11900" w:h="16838" w:orient="portrait"/>
          <w:cols w:equalWidth="0" w:num="1">
            <w:col w:w="11264"/>
          </w:cols>
          <w:pgMar w:left="316" w:top="1440" w:right="319" w:bottom="1440" w:gutter="0" w:footer="0" w:header="0"/>
        </w:sectPr>
      </w:pPr>
    </w:p>
    <w:bookmarkStart w:id="246" w:name="page247"/>
    <w:bookmarkEnd w:id="246"/>
    <w:p>
      <w:pPr>
        <w:spacing w:after="0" w:line="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anniversary thereafter, subject to continued service through the applicable vesting date and the occurrence of a Liquidity Event (as defined below).</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Narrative Description of Executive Compensation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Base Salaries</w:t>
      </w:r>
    </w:p>
    <w:p>
      <w:pPr>
        <w:spacing w:after="0" w:line="179"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We use base salaries to recognize the experience, skills, knowledge and responsibilities required of all our employees, including our NEOs. Base salaries are reviewed periodically and adjusted from time to time to realign salaries with market levels after taking into account individual responsibilities, performance and experience. On April 22, 2021, our board of directors approved, effective upon completion of this offering, an adjustment to each of Mr. Tenev’s and Mr. Bhatt’s annual base salary from $400,000 to $34,248, which was the 2019 median wage for individuals in the U.S. (as reported by the Social Security Administration), representing both the board’s and our co-founders’ desire to more heavily weight our co-founders’ compensation following this offering toward equity-based compensation, subject to continued review in the future.</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Bonuses</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have historically utilized retention bonuses to retain and compensate certain employees, including certain of our NEOs. We have not historically maintained an annual bonus program for our NEOs.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 Awards</w:t>
      </w:r>
    </w:p>
    <w:p>
      <w:pPr>
        <w:spacing w:after="0" w:line="191" w:lineRule="exact"/>
        <w:rPr>
          <w:sz w:val="20"/>
          <w:szCs w:val="20"/>
          <w:color w:val="auto"/>
        </w:rPr>
      </w:pPr>
    </w:p>
    <w:p>
      <w:pPr>
        <w:jc w:val="both"/>
        <w:ind w:firstLine="287"/>
        <w:spacing w:after="0" w:line="270" w:lineRule="auto"/>
        <w:rPr>
          <w:sz w:val="20"/>
          <w:szCs w:val="20"/>
          <w:color w:val="auto"/>
        </w:rPr>
      </w:pPr>
      <w:r>
        <w:rPr>
          <w:rFonts w:ascii="Arial" w:cs="Arial" w:eastAsia="Arial" w:hAnsi="Arial"/>
          <w:sz w:val="15"/>
          <w:szCs w:val="15"/>
          <w:color w:val="auto"/>
        </w:rPr>
        <w:t>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NEOs and from time to time may grant equity incentive awards to them. Our equity awards have been primarily in the form of RSUs that require continued employment over a multi-year vesting period and the occurrence of a liquidity event (the earlier of (i) this initial public offering and (ii) an acquisition, including a change in ownership, effective control or sale of substantially all of our assets) (a “Liquidity Event”). The terms of the equity awards held by our NEOs are described under “—Outstanding Equity Awards as of December 31, 2020” above and further described below.</w:t>
      </w:r>
    </w:p>
    <w:p>
      <w:pPr>
        <w:spacing w:after="0" w:line="13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On March 10, 2021, our board of directors modified the time-vesting schedule of certain outstanding RSUs to replace the one-year cliff vesting schedule applicable to one-quarter of certain RSU awards with a simplified quarterly vesting schedule. The time-vesting schedule applicable to outstanding RSUs held by our employees, including our NEOs, for which the original one-year time-based cliff vesting condition had not yet been satisfied as of March 10, 2021, was amended such that, on March 10, 2021, one-sixteenth of such RSUs vested for each full fiscal quarter that elapsed between the vesting commencement date and March 10, 2021, and the remaining RSUs will vest quarterly thereafter on quarterly vesting dates.</w:t>
      </w:r>
    </w:p>
    <w:p>
      <w:pPr>
        <w:spacing w:after="0" w:line="14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addition to the terms described below, on March 10, 2021, our board of directors adopted a policy intended to provide our employees, including our NEOs, with additional financial security in the event of loss and hardship in recognition of the significant weight we place on equity incentive compensation. In the event that an employee’s (including any NEO’s) employment terminates due to death or permanent disability, a portion of such employee’s RSUs that are subject to time-based vesting conditions and would have otherwise vested within the two years following such termination will vest and become exercisable; provided, that the maximum value of RSUs that will vest and become exercisable may not exceed $10 million in the aggregate. Any RSUs that time vest in accordance with this policy will continue to be subject to any liquidity or performance-based vesting conditions,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224</w:t>
      </w:r>
    </w:p>
    <w:p>
      <w:pPr>
        <w:sectPr>
          <w:pgSz w:w="11900" w:h="16838" w:orient="portrait"/>
          <w:cols w:equalWidth="0" w:num="1">
            <w:col w:w="11260"/>
          </w:cols>
          <w:pgMar w:left="320" w:top="1440" w:right="319" w:bottom="1440" w:gutter="0" w:footer="0" w:header="0"/>
        </w:sectPr>
      </w:pPr>
    </w:p>
    <w:bookmarkStart w:id="247" w:name="page248"/>
    <w:bookmarkEnd w:id="247"/>
    <w:p>
      <w:pPr>
        <w:spacing w:after="0"/>
        <w:rPr>
          <w:sz w:val="20"/>
          <w:szCs w:val="20"/>
          <w:color w:val="auto"/>
        </w:rPr>
      </w:pPr>
      <w:r>
        <w:rPr>
          <w:rFonts w:ascii="Arial" w:cs="Arial" w:eastAsia="Arial" w:hAnsi="Arial"/>
          <w:sz w:val="19"/>
          <w:szCs w:val="19"/>
          <w:b w:val="1"/>
          <w:bCs w:val="1"/>
          <w:i w:val="1"/>
          <w:iCs w:val="1"/>
          <w:color w:val="auto"/>
        </w:rPr>
        <w:t>Market-Based RSUs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Market-Based RSUs</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2019, each of our Co-Founders was granted an award of 13,831,829 Market-Based RSUs under our 2013 Stock Plan (the “2019 Market-Based RSUs”). This award was designed to incentivize the Co-Founders toward growing our share price and is subject to both challenging share price goals and multi-year service vesting requirements. The following table sets forth the percentage of the 2019 Market-Based RSUs eligible to vest based on our share price (the “2019 Market-Based RSU Share Price Condition”):</w:t>
      </w:r>
    </w:p>
    <w:p>
      <w:pPr>
        <w:spacing w:after="0" w:line="152" w:lineRule="exact"/>
        <w:rPr>
          <w:sz w:val="20"/>
          <w:szCs w:val="20"/>
          <w:color w:val="auto"/>
        </w:rPr>
      </w:pPr>
    </w:p>
    <w:tbl>
      <w:tblPr>
        <w:tblLayout w:type="fixed"/>
        <w:tblInd w:w="2210" w:type="dxa"/>
        <w:tblCellMar>
          <w:top w:w="0" w:type="dxa"/>
          <w:left w:w="0" w:type="dxa"/>
          <w:bottom w:w="0" w:type="dxa"/>
          <w:right w:w="0" w:type="dxa"/>
        </w:tblCellMar>
      </w:tblPr>
      <w:tr>
        <w:trPr>
          <w:trHeight w:val="234"/>
        </w:trPr>
        <w:tc>
          <w:tcPr>
            <w:tcW w:w="344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97"/>
              </w:rPr>
              <w:t>Share Price</w:t>
            </w:r>
          </w:p>
        </w:tc>
        <w:tc>
          <w:tcPr>
            <w:tcW w:w="3440" w:type="dxa"/>
            <w:vAlign w:val="bottom"/>
            <w:tcBorders>
              <w:top w:val="single" w:sz="8" w:color="auto"/>
              <w:bottom w:val="single" w:sz="8" w:color="auto"/>
              <w:right w:val="single" w:sz="8" w:color="auto"/>
            </w:tcBorders>
            <w:shd w:val="clear" w:color="auto" w:fill="D9D9D9"/>
          </w:tcPr>
          <w:p>
            <w:pPr>
              <w:ind w:left="860"/>
              <w:spacing w:after="0"/>
              <w:rPr>
                <w:sz w:val="20"/>
                <w:szCs w:val="20"/>
                <w:color w:val="auto"/>
              </w:rPr>
            </w:pPr>
            <w:r>
              <w:rPr>
                <w:rFonts w:ascii="Arial" w:cs="Arial" w:eastAsia="Arial" w:hAnsi="Arial"/>
                <w:sz w:val="13"/>
                <w:szCs w:val="13"/>
                <w:b w:val="1"/>
                <w:bCs w:val="1"/>
                <w:color w:val="auto"/>
              </w:rPr>
              <w:t>Eligible Market-Based RSUs</w:t>
            </w:r>
          </w:p>
        </w:tc>
      </w:tr>
      <w:tr>
        <w:trPr>
          <w:trHeight w:val="212"/>
        </w:trPr>
        <w:tc>
          <w:tcPr>
            <w:tcW w:w="3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Less than $30.45</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r>
      <w:tr>
        <w:trPr>
          <w:trHeight w:val="24"/>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07"/>
        </w:trPr>
        <w:tc>
          <w:tcPr>
            <w:tcW w:w="3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$30.45 to less than $50.75</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20%</w:t>
            </w:r>
          </w:p>
        </w:tc>
      </w:tr>
      <w:tr>
        <w:trPr>
          <w:trHeight w:val="24"/>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07"/>
        </w:trPr>
        <w:tc>
          <w:tcPr>
            <w:tcW w:w="3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$50.75 to less than $101.50</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50%</w:t>
            </w:r>
          </w:p>
        </w:tc>
      </w:tr>
      <w:tr>
        <w:trPr>
          <w:trHeight w:val="24"/>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07"/>
        </w:trPr>
        <w:tc>
          <w:tcPr>
            <w:tcW w:w="3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$101.50 or more</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r>
      <w:tr>
        <w:trPr>
          <w:trHeight w:val="24"/>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16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Once the number of 2019 Market-Based RSUs eligible to vest has been determined based on the satisfaction of the 2019 Market-Based RSU Share Price Condition (the “Eligible 2019 Market-Based RSUs”), half of those Eligible 2019 Market-Based RSUs will immediately vest and be settled and the remaining half vest according to a quarterly time-based vesting condition, which is satisfied based on three-month service periods retroactive to August 1, 2018 through August 1, 2024, subject to continued service on each such vesting date during that period except as specified below.</w:t>
      </w:r>
    </w:p>
    <w:p>
      <w:pPr>
        <w:spacing w:after="0" w:line="147"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2019 Market-Based RSU Share Price Condition will initially be tested based on our initial public offering price, with half of the Eligible 2019 Market-Based RSUs vesting and settling immediately at the time of this offering, the remaining half of the Eligible 2019 Market-Based RSUs for which the three-month service periods have been satisfied as of this offering also vesting and settling immediately and any Eligible 2019 Market-Based RSUs for which the three-month service period has not yet been satisfied as of this offering vesting over time, subject to continued service on the remaining quarterly vesting dates.</w:t>
      </w:r>
    </w:p>
    <w:p>
      <w:pPr>
        <w:spacing w:after="0" w:line="147"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The share price targets and number of RSUs eligible for vesting will be adjusted to reflect any stock splits, stock dividends, combinations, reorganizations, reclassifications or similar event under the 2013 Stock Plan. Except as specified below, there will be no partial vesting of tranches between the applicable share price goals.</w:t>
      </w:r>
    </w:p>
    <w:p>
      <w:pPr>
        <w:spacing w:after="0" w:line="157"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the event of a sale event (as defined in the 2013 Stock Plan) before the award expires, the 2019 Market-Based RSUs may be eligible to vest in additional tranche(s) of RSUs if the per share deal price in the sale event results in the achievement of an additional price goal that has not previously been achieved, in which case the tranche(s) of RSUs corresponding to that price target will be eligible for vesting immediately prior to the closing of the sale event. If the transaction price falls between two price goals (and the upper of those goals has not previously been achieved), then a portion of the tranche of RSUs corresponding to the upper price will vest based on a linear interpolation between those two goals.</w:t>
      </w:r>
    </w:p>
    <w:p>
      <w:pPr>
        <w:spacing w:after="0" w:line="14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the event a Co-Founder is terminated without cause or resigns for good reason (each as defined in the Co-Founder’s award agreement) within 30 days prior to a sale event, he will be eligible to vest in any 2019 Market-Based RSUs that would have otherwise vested as a result of the transaction. In addition, in the event of any such termination within 30 days prior to a sale event or 18 months following a sale event, any Eligible 2019 Market-Based RSUs for which the service-based vesting requirement has not been satisfied will vest and be settled.</w:t>
      </w:r>
    </w:p>
    <w:p>
      <w:pPr>
        <w:spacing w:after="0" w:line="147"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In order to maintain the incentives of the 2019 Market-Based RSUs, on May 25 and May 26, 2021, respectively, the independent members of our board of directors and a majority of our disinterested stockholders approved an amendment to the 2019 Market-Based RSUs to provide that any 2019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225</w:t>
      </w:r>
    </w:p>
    <w:p>
      <w:pPr>
        <w:sectPr>
          <w:pgSz w:w="11900" w:h="16838" w:orient="portrait"/>
          <w:cols w:equalWidth="0" w:num="1">
            <w:col w:w="11260"/>
          </w:cols>
          <w:pgMar w:left="320" w:top="1426" w:right="319" w:bottom="1440" w:gutter="0" w:footer="0" w:header="0"/>
        </w:sectPr>
      </w:pPr>
    </w:p>
    <w:bookmarkStart w:id="248" w:name="page249"/>
    <w:bookmarkEnd w:id="248"/>
    <w:p>
      <w:pPr>
        <w:spacing w:after="0" w:line="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Based RSUs for which the 2019 Market-Based RSU Share Price Condition is not satisfied as of this offering will continue to be eligible for vesting subject to achievement of the same price hurdles based on our public trading prices following this offering through December 31, 2025. For this purpose, achievement of the price hurdles will be based on the average of the daily volume weighted average of our stock prices for each day over a consecutive 60-day trading period. Upon vesting and settlement of the 2019 Market-Based RSUs, any tax withholding obligations will be satisfied either through net settlement or selling to cover. Any vested shares of our Class A common stock issued to the Co-Founders in settlement of 2019 Market-Based RSUs may be exchanged by them for shares of our Class B common stock pursuant to their Equity Exchange Rights.</w:t>
      </w:r>
    </w:p>
    <w:p>
      <w:pPr>
        <w:spacing w:after="0" w:line="160"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Because the amendment to the 2019 Market-based RSUs was determined to be a modification of a market condition, we estimated the pre-modification and post-modification fair value of the awards in order to determine the incremental fair value generated by the modification. To value the awards, we used a model based on multiple stock price paths developed through the use of a Monte Carlo simulation that incorporates into the valuation the possibility that the price targets may not be satisfied. The weighted average incremental fair value of the modification was estimated to be $21.95 per RSU. Approximately $144.8 million of the incremental share-based compensation expense will be recognized upon this offering based on past service. The remaining incremental share-based compensation expense of approximately $462.4 million will be recognized over a weighted average requisite service period of 1.38 years, 50% of which is based on an explicit service period and 50% of which is based on a derived service period based on the median of the passage of time it takes to achieve the price target in the Monte Carlo simulations. If the price targets are met sooner than the derived service period, we will adjust our share-based compensation expense to reflect the cumulative expense associated with the vested award.</w:t>
      </w:r>
    </w:p>
    <w:p>
      <w:pPr>
        <w:spacing w:after="0" w:line="15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We anticipate that a total of 5,532,732 of the 2019 Market-Based RSUs (or 2,766,366 RSUs per Co-Founder) will become Eligible 2019 Market-Based RSUs in connection with this offering (based on an assumed initial public offering price of our Class A common stock of $40.00 per share, which is the midpoint of the estimated offering price range set forth on the cover page of this prospectus). Of these, a total of 2,155,458 (or 1,077,729 per Co-Founder) of such RSUs will vest in connection with this offering (assuming the effectiveness of this offering on March 31, 2021 for purposes of any applicable time-based vesting conditions), after giving effect to net settlement of such RSUs (assuming a 45% tax withholding rate), and the remaining 1,613,714 (or 806,857 per Co-Founder) of such RSUs will be subject to vesting in equal installments on each August 1, November 1, February 1 and May 1 through August 1, 2024 (before giving effect to any tax withholding).</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 Market-Based RSUs</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On May 25 and May 26, 2021, respectively, the independent members of our board of directors and a majority of our disinterested stockholders, approved awards of 22,200,000 and 13,320,000 RSUs to Messrs. Tenev and Bhatt, respectively, under our 2020 Plan (the “2021 Market-Based RSUs”). The 2021 Market-Based RSUs are designed to incentivize the Co-Founders toward further growing our share price over and above the price hurdles applicable to the 2019 Market-Based RSUs and are subject to both challenging share price goals and service vesting requirements.</w:t>
      </w:r>
    </w:p>
    <w:p>
      <w:pPr>
        <w:spacing w:after="0" w:line="147"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The independent directors, in consultation with Compensia, their independent compensation consultant, considered several factors in determining whether to grant the 2021 Market-Based RSUs and the size and terms of the awards, including market data for similarly situated executives at comparable companies, the Co-Founders’ past and expected future contributions to us, and the desire to provide meaningful incentives to grow the Company for the benefit of all stockholders. It is intended that the Co-Founders will not be granted any other equity awards through the eighth anniversary of the grant date of the 2021 Market-Based RSUs, unless there are changes in circumstance or our business that our board of directors determines would merit granting additional equity awards to the Co-Founders.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226</w:t>
      </w:r>
    </w:p>
    <w:p>
      <w:pPr>
        <w:sectPr>
          <w:pgSz w:w="11900" w:h="16838" w:orient="portrait"/>
          <w:cols w:equalWidth="0" w:num="1">
            <w:col w:w="11260"/>
          </w:cols>
          <w:pgMar w:left="320" w:top="1440" w:right="319" w:bottom="1440" w:gutter="0" w:footer="0" w:header="0"/>
        </w:sectPr>
      </w:pPr>
    </w:p>
    <w:bookmarkStart w:id="249" w:name="page250"/>
    <w:bookmarkEnd w:id="249"/>
    <w:p>
      <w:pPr>
        <w:spacing w:after="0" w:line="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2021 Market-Based RSUs are eligible to vest based on our stock price trading performance over a performance period beginning on the first trading day following this offering and ending on the eighth anniversary of the grant date. The 2021 Market-Based RSUs are divided into seven tranches that are eligible to vest based on the achievement of specified stock price goals, measured based on the average of the volume weighted average of our stock prices for each day over a consecutive 60-day trading period during the performance period as set forth below. The measurement period was selected to reward the Co-Founders only if we achieve sustained share price growth.</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3760" w:type="dxa"/>
            <w:vAlign w:val="bottom"/>
            <w:tcBorders>
              <w:top w:val="single" w:sz="8" w:color="929292"/>
              <w:left w:val="single" w:sz="8" w:color="929292"/>
              <w:bottom w:val="single" w:sz="8" w:color="929292"/>
              <w:right w:val="single" w:sz="8" w:color="929292"/>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97"/>
              </w:rPr>
              <w:t>Share Price</w:t>
            </w:r>
          </w:p>
        </w:tc>
        <w:tc>
          <w:tcPr>
            <w:tcW w:w="3760" w:type="dxa"/>
            <w:vAlign w:val="bottom"/>
            <w:tcBorders>
              <w:top w:val="single" w:sz="8" w:color="929292"/>
              <w:bottom w:val="single" w:sz="8" w:color="929292"/>
              <w:right w:val="single" w:sz="8" w:color="929292"/>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97"/>
              </w:rPr>
              <w:t>Tenev Eligible RSUs</w:t>
            </w:r>
          </w:p>
        </w:tc>
        <w:tc>
          <w:tcPr>
            <w:tcW w:w="3760" w:type="dxa"/>
            <w:vAlign w:val="bottom"/>
            <w:tcBorders>
              <w:top w:val="single" w:sz="8" w:color="929292"/>
              <w:bottom w:val="single" w:sz="8" w:color="929292"/>
              <w:right w:val="single" w:sz="8" w:color="929292"/>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98"/>
              </w:rPr>
              <w:t>Bhatt Eligible RSUs</w:t>
            </w:r>
          </w:p>
        </w:tc>
      </w:tr>
      <w:tr>
        <w:trPr>
          <w:trHeight w:val="212"/>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6"/>
                <w:szCs w:val="16"/>
                <w:color w:val="auto"/>
              </w:rPr>
              <w:t>$120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2,850,000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1,710,000</w:t>
            </w:r>
          </w:p>
        </w:tc>
      </w:tr>
      <w:tr>
        <w:trPr>
          <w:trHeight w:val="24"/>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0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6"/>
                <w:szCs w:val="16"/>
                <w:color w:val="auto"/>
              </w:rPr>
              <w:t>$150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2,850,000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1,710,000</w:t>
            </w:r>
          </w:p>
        </w:tc>
      </w:tr>
      <w:tr>
        <w:trPr>
          <w:trHeight w:val="24"/>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0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6"/>
                <w:szCs w:val="16"/>
                <w:color w:val="auto"/>
              </w:rPr>
              <w:t>$180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1,980,000</w:t>
            </w:r>
          </w:p>
        </w:tc>
      </w:tr>
      <w:tr>
        <w:trPr>
          <w:trHeight w:val="24"/>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0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6"/>
                <w:szCs w:val="16"/>
                <w:color w:val="auto"/>
              </w:rPr>
              <w:t>$210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1,980,000</w:t>
            </w:r>
          </w:p>
        </w:tc>
      </w:tr>
      <w:tr>
        <w:trPr>
          <w:trHeight w:val="24"/>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0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6"/>
                <w:szCs w:val="16"/>
                <w:color w:val="auto"/>
              </w:rPr>
              <w:t>$240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1,980,000</w:t>
            </w:r>
          </w:p>
        </w:tc>
      </w:tr>
      <w:tr>
        <w:trPr>
          <w:trHeight w:val="24"/>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0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6"/>
                <w:szCs w:val="16"/>
                <w:color w:val="auto"/>
              </w:rPr>
              <w:t>$270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1,980,000</w:t>
            </w:r>
          </w:p>
        </w:tc>
      </w:tr>
      <w:tr>
        <w:trPr>
          <w:trHeight w:val="24"/>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0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6"/>
                <w:szCs w:val="16"/>
                <w:color w:val="auto"/>
              </w:rPr>
              <w:t>$300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w w:val="98"/>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6"/>
                <w:szCs w:val="16"/>
                <w:color w:val="auto"/>
              </w:rPr>
              <w:t>1,980,000</w:t>
            </w:r>
          </w:p>
        </w:tc>
      </w:tr>
      <w:tr>
        <w:trPr>
          <w:trHeight w:val="24"/>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bl>
    <w:p>
      <w:pPr>
        <w:spacing w:after="0" w:line="155"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If our share price fails to reach $120 during the performance period, no portion of the 2021 Market-Based RSUs will vest. The share price targets and number of RSUs eligible for vesting will be adjusted to reflect any stock splits, stock dividends, combinations, reorganizations, reclassifications or similar event under the 2020 Plan. Except as specified below, there will be no partial vesting of tranches between the applicable share price goals.</w:t>
      </w:r>
    </w:p>
    <w:p>
      <w:pPr>
        <w:spacing w:after="0" w:line="14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the event of a change in control of the Company following the closing of this offering but before the end of the performance period, the 2021 Market-Based RSUs may be eligible to vest in additional tranche(s) of RSUs if the per share deal price in the change in control results in the achievement of an additional price goal that has not previously been achieved, in which case the tranche(s) of RSUs corresponding to that price target will vest immediately prior to the closing of the change in control. If the transaction price falls between two price goals (and the upper of those goals has not previously been achieved), then a portion of the tranche of RSUs corresponding to the upper price will vest based on a linear interpolation between those two goals.</w:t>
      </w:r>
    </w:p>
    <w:p>
      <w:pPr>
        <w:spacing w:after="0" w:line="15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Mr. Tenev and Mr. Bhatt must be employed as of the applicable achievement date to be eligible for vesting in a particular tranche. However, in the event Mr. Tenev or Mr. Bhatt is terminated without cause (as defined in the award agreement) within 30 days prior to a change in control, he will be eligible to vest in any 2021 Market-Based RSUs that would have otherwise vested as a result of the transaction. In the event Mr. Tenev remains employed as a member of management but does not serve as our Chief Executive Officer or Executive Chairman, the RSUs that may vest following the date he ceases to serve in those roles will be reduced by 40%. Each vested RSU under the 2021 Market-Based RSUs will be settled in a share of our Class A common stock on the tenth trading day of the month following the applicable achievement date. Upon vesting and settlement of the 2021 Market-Based RSUs, any tax withholding obligations will be satisfied either through net settlement or selling to cover. Any vested shares of our Class A common stock issued to Mr. Tenev or Mr. Bhatt in settlement of 2021 Market-Based RSUs may be exchanged by them for shares of our Class B common stock pursuant to their Equity Exchange Rights.</w:t>
      </w:r>
    </w:p>
    <w:p>
      <w:pPr>
        <w:spacing w:after="0" w:line="152"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estimated the grant date fair value of the 2021 Market-Based RSUs using a model based on multiple stock price paths developed through the use of a Monte Carlo simulation that incorporates into the valuation the possibility that the price targets may not be satisfied. The weighted average grant date fair value of the 2021 Market-Based RSUs was estimated to be $22.68 per RSU, and we will recognize total share-based compensation expense of approximately $806 million over a weighted average derived requisite service period of 4.43 years, considering Monte Carlo simulation median time to achieve each of the seven separate tranches. If the price targets are met sooner than the derived service period, we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227</w:t>
      </w:r>
    </w:p>
    <w:p>
      <w:pPr>
        <w:sectPr>
          <w:pgSz w:w="11900" w:h="16838" w:orient="portrait"/>
          <w:cols w:equalWidth="0" w:num="1">
            <w:col w:w="11260"/>
          </w:cols>
          <w:pgMar w:left="320" w:top="1440" w:right="319" w:bottom="1440" w:gutter="0" w:footer="0" w:header="0"/>
        </w:sectPr>
      </w:pPr>
    </w:p>
    <w:bookmarkStart w:id="250" w:name="page251"/>
    <w:bookmarkEnd w:id="250"/>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adjust our share-based compensation expense to reflect the cumulative expense associated with the vested award.</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Offer Letters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December 31, 2020, we had not entered into offer letters or employment agreements with Mr. Tenev or Mr. Bhatt.</w:t>
      </w:r>
    </w:p>
    <w:p>
      <w:pPr>
        <w:spacing w:after="0" w:line="163"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have entered into offer letters with each of Mr. Warnick and Mr. Gallagher. These offer letters provide for at-will employment and generally include the NEO’s initial base salary, initial equity awards, eligibility to participate in our employee benefit plans generally and, for Mr. Gallagher, severance payments and other benefits in the event of termination of employment by us without “cause” or by the executive for “good reason” (each, as defined in the applicable offer letter or award agreement) (a “Qualifying Termination”).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Jason Warnick</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We have entered into an offer letter with Mr. Warnick, dated November 8, 2019 (the “Warnick Offer Letter”). Pursuant to the Warnick Offer Letter, Mr. Warnick’s initial base salary was $300,000 and Mr. Warnick received a retention bonus opportunity of $300,000, the last installment of which was paid on the second anniversary following the commencement of his employment.</w:t>
      </w:r>
    </w:p>
    <w:p>
      <w:pPr>
        <w:spacing w:after="0" w:line="14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Pursuant to the Warnick Offer Letter, Mr. Warnick received an initial grant of 700,000 Time-Based RSUs and 700,000 stock options (the “Warnick Sign-On Grants”). One-fourth of the Warnick Sign-On Grants vested on December 4, 2019, and the remaining vest in equal monthly installments thereafter, subject to continued service though the applicable vesting date.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Daniel Gallagher</w:t>
      </w:r>
    </w:p>
    <w:p>
      <w:pPr>
        <w:spacing w:after="0" w:line="179"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We have entered into an amended and restated offer letter with Mr. Gallagher, dated December 15, 2020 (the “Gallagher Offer Letter”). Pursuant to the Gallagher Offer Letter, Mr. Gallagher’s initial base salary was $400,000 and Mr. Gallagher received an initial prepaid retention bonus of $2.1 million, which was paid following the commencement of his employment (the “First Retention Bonus”), and an additional prepaid retention bonus of $2.1 million, which was paid in December 2020 (the “Second Retention Bonus”). One-twelfth of the First Retention Bonus vests on each monthly anniversary of May 12, 2020 (his employment commencement date) and one-twelfth of the Second Retention Bonus vests on each monthly anniversary of May 12, 2021 (the first anniversary of his employment commencement date). In the event of Mr. Gallagher’s termination of employment, other than a Qualifying Termination, prior to May 12, 2022, Mr. Gallagher will be required to repay any then-unvested portion of the First Retention Bonus and Second Retention Bonus.</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Pursuant to the Gallagher Offer Letter, Mr. Gallagher received two separate grants of Time-Based RSUs (308,419 Time-Based RSUs and 1,332,014 Time-Based RSUs, respectively (the “Gallagher Sign-On RSUs”)) and 264,360 stock options. Pursuant to the amendment approved by our board of directors on March 10, 2021, three-sixteenths of the Gallagher Sign-On RSUs vested on March 10, 2021, one-sixteenth vested on May 12, 2021 and an additional one-sixteenth will vest on each quarterly anniversary thereafter, subject to continued service through the applicable vesting date and the occurrence of a Liquidity Event (as defined below). Pursuant to the Gallagher Offer Letter, one-fourth of Mr. Gallagher’s stock options vested on May 12, 2021 and an additional one-sixteenth vest on each quarterly anniversary thereafter, subject to continued service through the applicable vesting date. In addition, pursuant to the Gallagher Offer Letter, Mr. Gallagher received an additional grant of 270,968 Time-Based RSUs (the “Gallagher Supplemental RSUs”), one-twelfth of which vested on January 1, 2021, with the remainder vesting in equal quarterly installments beginning on the first day of our second fiscal quarter in 2021 and on each quarterly anniversary thereafter, subject to continued service through the applicable vesting date and, in each case, the occurrence of a Liquidity Event (as defined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228</w:t>
      </w:r>
    </w:p>
    <w:p>
      <w:pPr>
        <w:sectPr>
          <w:pgSz w:w="11900" w:h="16838" w:orient="portrait"/>
          <w:cols w:equalWidth="0" w:num="1">
            <w:col w:w="11260"/>
          </w:cols>
          <w:pgMar w:left="320" w:top="1440" w:right="319" w:bottom="1440" w:gutter="0" w:footer="0" w:header="0"/>
        </w:sectPr>
      </w:pPr>
    </w:p>
    <w:bookmarkStart w:id="251" w:name="page252"/>
    <w:bookmarkEnd w:id="251"/>
    <w:p>
      <w:pPr>
        <w:spacing w:after="0" w:line="4" w:lineRule="exact"/>
        <w:rPr>
          <w:sz w:val="20"/>
          <w:szCs w:val="20"/>
          <w:color w:val="auto"/>
        </w:rPr>
      </w:pPr>
    </w:p>
    <w:p>
      <w:pPr>
        <w:ind w:left="4"/>
        <w:spacing w:after="0"/>
        <w:rPr>
          <w:sz w:val="20"/>
          <w:szCs w:val="20"/>
          <w:color w:val="auto"/>
        </w:rPr>
      </w:pPr>
      <w:r>
        <w:rPr>
          <w:rFonts w:ascii="Arial" w:cs="Arial" w:eastAsia="Arial" w:hAnsi="Arial"/>
          <w:sz w:val="22"/>
          <w:szCs w:val="22"/>
          <w:color w:val="auto"/>
        </w:rPr>
        <w:t>Potential Payments upon Termination and Change in Control</w:t>
      </w:r>
    </w:p>
    <w:p>
      <w:pPr>
        <w:spacing w:after="0" w:line="175" w:lineRule="exact"/>
        <w:rPr>
          <w:sz w:val="20"/>
          <w:szCs w:val="20"/>
          <w:color w:val="auto"/>
        </w:rPr>
      </w:pPr>
    </w:p>
    <w:p>
      <w:pPr>
        <w:jc w:val="both"/>
        <w:ind w:left="4" w:firstLine="287"/>
        <w:spacing w:after="0" w:line="250" w:lineRule="auto"/>
        <w:rPr>
          <w:sz w:val="20"/>
          <w:szCs w:val="20"/>
          <w:color w:val="auto"/>
        </w:rPr>
      </w:pPr>
      <w:r>
        <w:rPr>
          <w:rFonts w:ascii="Arial" w:cs="Arial" w:eastAsia="Arial" w:hAnsi="Arial"/>
          <w:sz w:val="16"/>
          <w:szCs w:val="16"/>
          <w:color w:val="auto"/>
        </w:rPr>
        <w:t>As of December 31, 2020, we did not have a formal plan with respect to severance payments and benefits payable to our NEOs. In March 2021, our board of directors adopted our CIC and Severance Plan (as defined below), which provides severance payments and benefits in the event of certain terminations, as described in more detail below under “—Employee Benefits and Stock Plans—Change in Control and Severance Plan.” From time to time, we granted equity awards to our NEOs subject to accelerated vesting in the event of such NEO’s Qualifying Termination and entered into employment offer letters with certain key employees, including the Gallagher Offer Letter, that provide for certain severance payments and benefits in the event of a Qualifying Termination. In addition, as described in more detail above under “—Narrative Description of Executive Compensation Arrangements—Equity Awards,” in the event an NEO’s employment terminates due to death or permanent disability, the portion of the NEO’s outstanding RSUs that are subject to time-based vesting conditions and would have otherwise vested within the two years following such termination will vest and become exercisable, subject to an aggregate cap and certain other conditions.</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Vladimir Tenev</w:t>
      </w:r>
    </w:p>
    <w:p>
      <w:pPr>
        <w:spacing w:after="0" w:line="179" w:lineRule="exact"/>
        <w:rPr>
          <w:sz w:val="20"/>
          <w:szCs w:val="20"/>
          <w:color w:val="auto"/>
        </w:rPr>
      </w:pPr>
    </w:p>
    <w:p>
      <w:pPr>
        <w:jc w:val="both"/>
        <w:ind w:left="4" w:right="20" w:firstLine="287"/>
        <w:spacing w:after="0" w:line="252" w:lineRule="auto"/>
        <w:rPr>
          <w:sz w:val="20"/>
          <w:szCs w:val="20"/>
          <w:color w:val="auto"/>
        </w:rPr>
      </w:pPr>
      <w:r>
        <w:rPr>
          <w:rFonts w:ascii="Arial" w:cs="Arial" w:eastAsia="Arial" w:hAnsi="Arial"/>
          <w:sz w:val="16"/>
          <w:szCs w:val="16"/>
          <w:color w:val="auto"/>
        </w:rPr>
        <w:t>Pursuant to the terms of outstanding 2019 Market-Based RSUs held by Mr. Tenev as of December 31, 2020, in the event Mr. Tenev incurs a Qualifying Termination from the date that is 30 days prior to a “sale event” (as defined in the applicable award agreement) to the date that is 18 months following such sale event, all Eligible 2019 Market-Based RSUs will immediately vest (with achievement of the 2019 Market-Based RSU Share Price Condition determined based on the applicable transaction price).</w:t>
      </w:r>
    </w:p>
    <w:p>
      <w:pPr>
        <w:spacing w:after="0" w:line="159" w:lineRule="exact"/>
        <w:rPr>
          <w:sz w:val="20"/>
          <w:szCs w:val="20"/>
          <w:color w:val="auto"/>
        </w:rPr>
      </w:pPr>
    </w:p>
    <w:p>
      <w:pPr>
        <w:jc w:val="both"/>
        <w:ind w:left="4" w:right="20" w:firstLine="287"/>
        <w:spacing w:after="0" w:line="254" w:lineRule="auto"/>
        <w:rPr>
          <w:sz w:val="20"/>
          <w:szCs w:val="20"/>
          <w:color w:val="auto"/>
        </w:rPr>
      </w:pPr>
      <w:r>
        <w:rPr>
          <w:rFonts w:ascii="Arial" w:cs="Arial" w:eastAsia="Arial" w:hAnsi="Arial"/>
          <w:sz w:val="16"/>
          <w:szCs w:val="16"/>
          <w:color w:val="auto"/>
        </w:rPr>
        <w:t>Pursuant to the terms of outstanding Time-Based RSUs held by Mr. Tenev, in the event Mr. Tenev incurs a Qualifying Termination from the date that is 30 days prior to a sale event to the date that is 18 months following such sale event, all such Time-Based RSUs will immediately vest on the later of such termination and such sale event.</w:t>
      </w:r>
    </w:p>
    <w:p>
      <w:pPr>
        <w:spacing w:after="0" w:line="130"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Baiju Bhatt</w:t>
      </w:r>
    </w:p>
    <w:p>
      <w:pPr>
        <w:spacing w:after="0" w:line="179" w:lineRule="exact"/>
        <w:rPr>
          <w:sz w:val="20"/>
          <w:szCs w:val="20"/>
          <w:color w:val="auto"/>
        </w:rPr>
      </w:pPr>
    </w:p>
    <w:p>
      <w:pPr>
        <w:jc w:val="both"/>
        <w:ind w:left="4" w:right="20" w:firstLine="287"/>
        <w:spacing w:after="0" w:line="254" w:lineRule="auto"/>
        <w:rPr>
          <w:sz w:val="20"/>
          <w:szCs w:val="20"/>
          <w:color w:val="auto"/>
        </w:rPr>
      </w:pPr>
      <w:r>
        <w:rPr>
          <w:rFonts w:ascii="Arial" w:cs="Arial" w:eastAsia="Arial" w:hAnsi="Arial"/>
          <w:sz w:val="16"/>
          <w:szCs w:val="16"/>
          <w:color w:val="auto"/>
        </w:rPr>
        <w:t>Pursuant to the terms of outstanding 2019 Market-Based RSUs held by Mr. Bhatt as of December 31, 2020, in the event Mr. Bhatt incurs a Qualifying Termination from the date that is 30 days prior to a sale event to the date that is 18 months following such sale event, all Eligible 2019 Market-Based RSUs will immediately vest (with achievement of the 2019 Market-Based RSU Share Price Condition determined based on the applicable transaction price).</w:t>
      </w:r>
    </w:p>
    <w:p>
      <w:pPr>
        <w:spacing w:after="0" w:line="157" w:lineRule="exact"/>
        <w:rPr>
          <w:sz w:val="20"/>
          <w:szCs w:val="20"/>
          <w:color w:val="auto"/>
        </w:rPr>
      </w:pPr>
    </w:p>
    <w:p>
      <w:pPr>
        <w:jc w:val="both"/>
        <w:ind w:left="4" w:right="20" w:firstLine="287"/>
        <w:spacing w:after="0" w:line="254" w:lineRule="auto"/>
        <w:rPr>
          <w:sz w:val="20"/>
          <w:szCs w:val="20"/>
          <w:color w:val="auto"/>
        </w:rPr>
      </w:pPr>
      <w:r>
        <w:rPr>
          <w:rFonts w:ascii="Arial" w:cs="Arial" w:eastAsia="Arial" w:hAnsi="Arial"/>
          <w:sz w:val="16"/>
          <w:szCs w:val="16"/>
          <w:color w:val="auto"/>
        </w:rPr>
        <w:t>Pursuant to the terms of outstanding Time-Based RSUs held by Mr. Bhatt, in the event Mr. Bhatt incurs a Qualifying Termination from the date that is 30 days prior to a sale event to the date that is 18 months following such sale event, all such Time-Based RSUs will immediately vest on the later of such termination and such sale event.</w:t>
      </w:r>
    </w:p>
    <w:p>
      <w:pPr>
        <w:spacing w:after="0" w:line="130"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Jason Warnick</w:t>
      </w:r>
    </w:p>
    <w:p>
      <w:pPr>
        <w:spacing w:after="0" w:line="179" w:lineRule="exact"/>
        <w:rPr>
          <w:sz w:val="20"/>
          <w:szCs w:val="20"/>
          <w:color w:val="auto"/>
        </w:rPr>
      </w:pPr>
    </w:p>
    <w:p>
      <w:pPr>
        <w:jc w:val="both"/>
        <w:ind w:left="4" w:right="20" w:firstLine="287"/>
        <w:spacing w:after="0" w:line="266" w:lineRule="auto"/>
        <w:rPr>
          <w:sz w:val="20"/>
          <w:szCs w:val="20"/>
          <w:color w:val="auto"/>
        </w:rPr>
      </w:pPr>
      <w:r>
        <w:rPr>
          <w:rFonts w:ascii="Arial" w:cs="Arial" w:eastAsia="Arial" w:hAnsi="Arial"/>
          <w:sz w:val="15"/>
          <w:szCs w:val="15"/>
          <w:color w:val="auto"/>
        </w:rPr>
        <w:t>Pursuant to the terms of outstanding Time-Based RSUs and stock options held by Mr. Warnick, (i) in the event of a “corporate transaction,” in the case of stock options, or a “change in control” (as defined in the applicable award agreement), in the case of Time-Based RSUs, in which the acquirer does not assume, substitute or continue such awards, then all such awards will immediately vest, subject to Mr. Warnick’s continued employment through such date, and</w:t>
      </w:r>
    </w:p>
    <w:p>
      <w:pPr>
        <w:jc w:val="both"/>
        <w:ind w:left="4" w:hanging="4"/>
        <w:spacing w:after="0" w:line="254" w:lineRule="auto"/>
        <w:tabs>
          <w:tab w:leader="none" w:pos="23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the event Mr. Warnick incurs a Qualifying Termination from the date that is three months prior to a “change in control” (as defined in the applicable award agreement) to the date that is 18 months following such change in control in which the acquirer assumes, substitutes or continues such awards, then all such awards will immediately vest on the later of such termination and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229</w:t>
      </w:r>
    </w:p>
    <w:p>
      <w:pPr>
        <w:sectPr>
          <w:pgSz w:w="11900" w:h="16838" w:orient="portrait"/>
          <w:cols w:equalWidth="0" w:num="1">
            <w:col w:w="11264"/>
          </w:cols>
          <w:pgMar w:left="316" w:top="1440" w:right="319" w:bottom="1440" w:gutter="0" w:footer="0" w:header="0"/>
        </w:sectPr>
      </w:pPr>
    </w:p>
    <w:bookmarkStart w:id="252" w:name="page253"/>
    <w:bookmarkEnd w:id="252"/>
    <w:p>
      <w:pPr>
        <w:spacing w:after="0"/>
        <w:rPr>
          <w:sz w:val="20"/>
          <w:szCs w:val="20"/>
          <w:color w:val="auto"/>
        </w:rPr>
      </w:pPr>
      <w:r>
        <w:rPr>
          <w:rFonts w:ascii="Arial" w:cs="Arial" w:eastAsia="Arial" w:hAnsi="Arial"/>
          <w:sz w:val="19"/>
          <w:szCs w:val="19"/>
          <w:b w:val="1"/>
          <w:bCs w:val="1"/>
          <w:i w:val="1"/>
          <w:iCs w:val="1"/>
          <w:color w:val="auto"/>
        </w:rPr>
        <w:t>Daniel Gallagher</w:t>
      </w:r>
    </w:p>
    <w:p>
      <w:pPr>
        <w:spacing w:after="0" w:line="19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Pursuant to the Gallagher Offer Letter, in the event Mr. Gallagher incurs a Qualifying Termination prior to the first anniversary of his employment commencement date, he will be entitled to the following severance payments and benefits, subject to his execution of a release of claims within 60 days following such termination:</w:t>
      </w:r>
    </w:p>
    <w:p>
      <w:pPr>
        <w:spacing w:after="0" w:line="145" w:lineRule="exact"/>
        <w:rPr>
          <w:sz w:val="20"/>
          <w:szCs w:val="20"/>
          <w:color w:val="auto"/>
        </w:rPr>
      </w:pPr>
    </w:p>
    <w:p>
      <w:pPr>
        <w:ind w:left="560" w:hanging="278"/>
        <w:spacing w:after="0"/>
        <w:tabs>
          <w:tab w:leader="none" w:pos="5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lump-sum cash severance payment equal to his base salary (the “Gallagher Severance Amount”);</w:t>
      </w:r>
    </w:p>
    <w:p>
      <w:pPr>
        <w:spacing w:after="0" w:line="162" w:lineRule="exact"/>
        <w:rPr>
          <w:rFonts w:ascii="Arial" w:cs="Arial" w:eastAsia="Arial" w:hAnsi="Arial"/>
          <w:sz w:val="16"/>
          <w:szCs w:val="16"/>
          <w:color w:val="auto"/>
        </w:rPr>
      </w:pPr>
    </w:p>
    <w:p>
      <w:pPr>
        <w:jc w:val="both"/>
        <w:ind w:left="560" w:right="20" w:hanging="278"/>
        <w:spacing w:after="0" w:line="254" w:lineRule="auto"/>
        <w:tabs>
          <w:tab w:leader="none" w:pos="55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Mr. Gallagher elects continued health coverage under the Consolidated Omnibus Reconciliation Act of 1985 as amended (“COBRA”), payment of COBRA premiums for Mr. Gallagher and his covered dependents until (i) 12 months following such termination and (ii) the date Mr. Gallagher and his covered dependent become eligible for coverage under another employer’s plans; and</w:t>
      </w:r>
    </w:p>
    <w:p>
      <w:pPr>
        <w:spacing w:after="0" w:line="156" w:lineRule="exact"/>
        <w:rPr>
          <w:rFonts w:ascii="Arial" w:cs="Arial" w:eastAsia="Arial" w:hAnsi="Arial"/>
          <w:sz w:val="16"/>
          <w:szCs w:val="16"/>
          <w:color w:val="auto"/>
        </w:rPr>
      </w:pPr>
    </w:p>
    <w:p>
      <w:pPr>
        <w:ind w:left="560" w:hanging="278"/>
        <w:spacing w:after="0"/>
        <w:tabs>
          <w:tab w:leader="none" w:pos="5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accelerated vesting of the portion of the Gallagher Sign-On Grants that would have otherwise vested through and including May 12, 2021.</w:t>
      </w:r>
    </w:p>
    <w:p>
      <w:pPr>
        <w:spacing w:after="0" w:line="163"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addition, in the event Mr. Gallagher incurs a Qualifying Termination from the date that is three months prior to a “change in control” (as defined in the Gallagher Offer Letter) to the date that is 18 months following such change in control, he will be entitled to receive, subject to his execution of a release of claims within 60 days following such termination, (i) the Gallagher Severance Amount and (ii) accelerated vesting of the Gallagher Sign-On Grants and the Gallagher Supplemental RSUs.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Employee Benefits and Stock Plans</w:t>
      </w:r>
    </w:p>
    <w:p>
      <w:pPr>
        <w:spacing w:after="0" w:line="175"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The principal features of certain other benefit plans and policies are summarized below. These summaries are qualified in their entirety by reference to the actual text of the plans, which, other than our 401(k) plan and policies, are or will be filed as exhibits to the registration statement of which this prospectus is a part.</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 in Control and Severance Plan</w:t>
      </w:r>
    </w:p>
    <w:p>
      <w:pPr>
        <w:spacing w:after="0" w:line="179" w:lineRule="exact"/>
        <w:rPr>
          <w:sz w:val="20"/>
          <w:szCs w:val="20"/>
          <w:color w:val="auto"/>
        </w:rPr>
      </w:pPr>
    </w:p>
    <w:p>
      <w:pPr>
        <w:jc w:val="both"/>
        <w:ind w:firstLine="287"/>
        <w:spacing w:after="0" w:line="279" w:lineRule="auto"/>
        <w:rPr>
          <w:sz w:val="20"/>
          <w:szCs w:val="20"/>
          <w:color w:val="auto"/>
        </w:rPr>
      </w:pPr>
      <w:r>
        <w:rPr>
          <w:rFonts w:ascii="Arial" w:cs="Arial" w:eastAsia="Arial" w:hAnsi="Arial"/>
          <w:sz w:val="15"/>
          <w:szCs w:val="15"/>
          <w:color w:val="auto"/>
        </w:rPr>
        <w:t>In March 2021, our board of directors adopted our Change in Control and Severance Plan for Key Employees (our “CIC and Severance Plan”). Our board of directors (or a committee thereof), or, solely with respect to employees who are not our executive officers, our CEO, administers our CIC and Severance Plan. Each of our executive officers and each of our other employees at the level of vice president or above is eligible to participate in our CIC and Severance Plan.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Non-Change in Control Severance</w:t>
      </w:r>
    </w:p>
    <w:p>
      <w:pPr>
        <w:spacing w:after="0" w:line="17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In the event of a Qualifying Termination that occurs outside of the change in control period (as described below), a participant will be eligible for the following payments and benefits:</w:t>
      </w:r>
    </w:p>
    <w:p>
      <w:pPr>
        <w:spacing w:after="0" w:line="139" w:lineRule="exact"/>
        <w:rPr>
          <w:sz w:val="20"/>
          <w:szCs w:val="20"/>
          <w:color w:val="auto"/>
        </w:rPr>
      </w:pPr>
    </w:p>
    <w:p>
      <w:pPr>
        <w:ind w:left="560" w:right="20" w:hanging="278"/>
        <w:spacing w:after="0" w:line="260" w:lineRule="auto"/>
        <w:tabs>
          <w:tab w:leader="none" w:pos="55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lump sum payment equal to (x) in the case of our CEO, the greater of $1,500,000 and 18 months’ base salary, (y) in the case of our other executive officers, 12 months’ base salary and (z) in the case of our other employees at the level of vice president or above, nine months’ base salary;</w:t>
      </w:r>
    </w:p>
    <w:p>
      <w:pPr>
        <w:spacing w:after="0" w:line="151"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lump sum payment equal to the participant’s target annual bonus, prorated based on the number of days the participant was employed with us during the year of termination; and</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lump sum payment equal to the monthly premiums for continued health coverage under the Consolidated Omnibus Reconciliation Act of 1985 as amended, or COBRA, on an after-tax basis, for a period of (x) in the case of our CEO, 18 months, (y) in the case of our other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230</w:t>
      </w:r>
    </w:p>
    <w:p>
      <w:pPr>
        <w:sectPr>
          <w:pgSz w:w="11900" w:h="16838" w:orient="portrait"/>
          <w:cols w:equalWidth="0" w:num="1">
            <w:col w:w="11260"/>
          </w:cols>
          <w:pgMar w:left="320" w:top="1426" w:right="319" w:bottom="1440" w:gutter="0" w:footer="0" w:header="0"/>
        </w:sectPr>
      </w:pPr>
    </w:p>
    <w:bookmarkStart w:id="253" w:name="page254"/>
    <w:bookmarkEnd w:id="253"/>
    <w:p>
      <w:pPr>
        <w:spacing w:after="0" w:line="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officers, 12 months and (z) in the case of our other employees at the level of vice president or above, nine months.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Change-in-Control Severance</w:t>
      </w:r>
    </w:p>
    <w:p>
      <w:pPr>
        <w:spacing w:after="0" w:line="179"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In the event of a Qualifying Termination that occurs within a period beginning three months prior to and ending 18 months following a “change in control” (as defined in our CIC and Severance Plan) (such period, the “change in control period”), the participant will be eligible for the following payments and benefits:</w:t>
      </w:r>
    </w:p>
    <w:p>
      <w:pPr>
        <w:spacing w:after="0" w:line="139" w:lineRule="exact"/>
        <w:rPr>
          <w:sz w:val="20"/>
          <w:szCs w:val="20"/>
          <w:color w:val="auto"/>
        </w:rPr>
      </w:pPr>
    </w:p>
    <w:p>
      <w:pPr>
        <w:ind w:left="560" w:right="20" w:hanging="278"/>
        <w:spacing w:after="0" w:line="260" w:lineRule="auto"/>
        <w:tabs>
          <w:tab w:leader="none" w:pos="55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lump sum payment equal to (x) in the case of our CEO, the greater of $2,000,000 and 24 months’ base salary, (y) in the case of our other executive officers, 18 months’ base salary and (z) in the case of our other employees at the level of vice president or above, 12 months’ base salary;</w:t>
      </w:r>
    </w:p>
    <w:p>
      <w:pPr>
        <w:spacing w:after="0" w:line="151"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lump sum payment equal to the sum of (x) the participant’s target annual bonus at the time of termination and (y) the participant’s target annual bonus, prorated based on the number of days the participant was employed with us during the year of termination;</w:t>
      </w:r>
    </w:p>
    <w:p>
      <w:pPr>
        <w:spacing w:after="0" w:line="139" w:lineRule="exact"/>
        <w:rPr>
          <w:rFonts w:ascii="Arial" w:cs="Arial" w:eastAsia="Arial" w:hAnsi="Arial"/>
          <w:sz w:val="16"/>
          <w:szCs w:val="16"/>
          <w:color w:val="auto"/>
        </w:rPr>
      </w:pPr>
    </w:p>
    <w:p>
      <w:pPr>
        <w:jc w:val="both"/>
        <w:ind w:left="560" w:right="20" w:hanging="278"/>
        <w:spacing w:after="0" w:line="254" w:lineRule="auto"/>
        <w:tabs>
          <w:tab w:leader="none" w:pos="55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lump sum payment equal to the monthly premiums for continued health coverage under COBRA, on an after-tax basis, for a period of (x) in the case of our CEO, 24 months, (y) in the case of our other executive officers, 18 months or (z) in the case of our other employees at the level of vice president or above, 12 months; and</w:t>
      </w:r>
    </w:p>
    <w:p>
      <w:pPr>
        <w:spacing w:after="0" w:line="144"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accelerated vesting of all outstanding equity awards held by the participant, with all applicable performance goals or other vesting criteria deemed achieved at 100% of target levels for the relevant performance period(s), excluding any performance-based award granted prior to this offering.</w:t>
      </w:r>
    </w:p>
    <w:p>
      <w:pPr>
        <w:spacing w:after="0" w:line="15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In the event that a participant is party to an agreement providing for severance payments and benefits, such participant will be entitled to receive the greater of the cash severance payments and benefits and accelerated vesting of equity awards provided under such agreement and those provided under our CIC and Severance Plan.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Release</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receipt of the payments and benefits provided for under our CIC and Severance Plan described above is conditioned on the participant signing and not revoking a separation and release of claims satisfactory to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Section 280G</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addition, if any of the payments or benefits provided for under our CIC and Severance Plan or otherwise payable to a participant would constitute “parachute payments” within the meaning of Section 280G of the Code and could be subject to the related excise tax, the participant will receive either the full payments and benefits under our CIC and Severance Plan (and be subject to the applicable excise tax) or such lesser amount that would result in no portion of the payments and benefits being subject to the excise tax, whichever results in the greater after-tax benefit to the participant. Our CIC and Severance Plan does not require us to provide any tax gross-up payments to the participants.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 and Termination</w:t>
      </w:r>
    </w:p>
    <w:p>
      <w:pPr>
        <w:spacing w:after="0" w:line="19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Our board of directors may amend or terminate our CIC and Severance Plan at any time prior to a change in control. Following a change in control, our CIC and Severance Plan may not be amended or terminated in any way that would prevent the participant from becoming eligible for the payments and benefits described above or reduce or alter such payments and benefits to the detriment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231</w:t>
      </w:r>
    </w:p>
    <w:p>
      <w:pPr>
        <w:sectPr>
          <w:pgSz w:w="11900" w:h="16838" w:orient="portrait"/>
          <w:cols w:equalWidth="0" w:num="1">
            <w:col w:w="11260"/>
          </w:cols>
          <w:pgMar w:left="320" w:top="1440" w:right="319" w:bottom="1440" w:gutter="0" w:footer="0" w:header="0"/>
        </w:sectPr>
      </w:pPr>
    </w:p>
    <w:bookmarkStart w:id="254" w:name="page255"/>
    <w:bookmarkEnd w:id="254"/>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participant. No amendment or termination will affect the rights of any participant to claim benefits under our CIC and Severance Plan for events occurring prior to the effective date of such amendment or termination.</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2021 Omnibus Incentive Plan</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In June 2021, our board of directors and our stockholders approved and adopted our 2021 Plan. Our 2021 Plan will be effective immediately prior to the effective date of this prospectus. Upon effectiveness of our 2021 Plan, no new awards will be granted under our 2020 Plan, but any awards outstanding under our 2020 Plan will remain in effect pursuant to their terms.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Awards Available for Grant and Eligibility</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2021 Plan provides for the grant of stock options, including incentive stock options (“ISOs”) and nonstatutory stock options (“NQSOs”), stock appreciation rights (“SARs”), restricted stock, RSUs, performance units, other equity-based awards and cash-based awards. ISOs may be granted only to our employees, including employees of any parent entity. All other awards may be granted to our and our affiliates’ employees and consultants and members of our board of directors. As of the date of this prospectus, we have approximately 2,900 employees and consultants and seven members of our board of directors, each of whom will be eligible to receive awards under our 2021 Plan.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Authorized Shares</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number of shares of our Class A common stock that will be reserved for issuance pursuant to our 2021 Plan will include an initial share reserve equal to approximately (i) 11% of the number of shares of our common stock (of all classes) that will be outstanding immediately after the closing of this offering plus (ii)(A) shares reserved but unissued (and not subject to any awards) under our 2020 Plan as of the effective date of our 2021 Plan and (B) any shares subject to stock options, RSUs and other equity-based awards granted under our 2020 Plan or 2013 Plan that, on or after the effective date of our 2021 Plan, expire or otherwise terminate without having been exercised in full, are tendered to or withheld by us for payment of an exercise price or to satisfy tax withholding obligations or are forfeited to or repurchased by us due to failure to vest. We expect that, when our 2021 Plan becomes effective (and after giving effect to the shares entering the pool on the date of this prospectus under clause (ii)(B) above in connection with the net settlement of RSUs granted under our 2020 Plan or 2013 Plan), the aggregate number of shares reserved for issuance under our 2021 Plan will be equal to approximately 14% of the number of shares of our common stock (of all classes) that will be outstanding immediately after the closing of this offering.</w:t>
      </w:r>
    </w:p>
    <w:p>
      <w:pPr>
        <w:spacing w:after="0" w:line="163"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The number of shares available under our 2021 Plan will automatically increase on the first day of each calendar year beginning on January 1, 2022 and ending with (and including) January 1, 2031. Such annual increase will equal the lesser of (i) 5% of the outstanding shares of all classes of our common stock on the last day of the immediately preceding fiscal year and (ii) such number of shares determined by the administrator.</w:t>
      </w:r>
    </w:p>
    <w:p>
      <w:pPr>
        <w:spacing w:after="0" w:line="14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maximum number of shares of our Class A common stock that may be issued with respect to ISOs under our 2021 Plan is equal to 400,000,000. The maximum amount that may be paid, issued or granted to any non-employee director under our 2021 Plan in any calendar year, taken together with any other cash compensation paid during the calendar year to the non-employee director in respect of the non-employee director’s service as a member of our board of directors (including service as a member or chair of any committee thereof) is $1,000,000 (with the value of each equity award based on its grant date fair value (determined in accordance with U.S. generally accepted accounting principles) and counted toward this limit for the year in which it was granted). Any cash compensation paid or equity awards granted to a non-employee director for his or her services as an employee or a consultant (other than as a non-employee director), or any cash compensation paid or equity awards granted to a non-employee director prior to the effective date of our 2021 Plan, in each case, will not count for purposes of this non-employee director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232</w:t>
      </w:r>
    </w:p>
    <w:p>
      <w:pPr>
        <w:sectPr>
          <w:pgSz w:w="11900" w:h="16838" w:orient="portrait"/>
          <w:cols w:equalWidth="0" w:num="1">
            <w:col w:w="11260"/>
          </w:cols>
          <w:pgMar w:left="320" w:top="1440" w:right="319" w:bottom="1440" w:gutter="0" w:footer="0" w:header="0"/>
        </w:sectPr>
      </w:pPr>
    </w:p>
    <w:bookmarkStart w:id="255" w:name="page256"/>
    <w:bookmarkEnd w:id="255"/>
    <w:p>
      <w:pPr>
        <w:spacing w:after="0" w:line="2"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If an award granted under our 2021 Plan is forfeited, or otherwise expires, terminates or is canceled, without the delivery of shares subject to the award or we repurchase the shares subject to such award, then, in each case, the number of shares subject to such award that were not issued or that were repurchased, as applicable, will remain available for future grant or sale under our 2021 Plan. With respect to SARs, only the net shares actually issued will cease to be available under our 2021 Plan and all remaining shares under SARs will remain available for future grant or sale under our 2021 Plan. Shares used to pay the exercise price of an award or to satisfy tax withholding obligations related to an award will remain or become available for future grant or sale under our 2021 Plan. To the extent an award is paid out in cash rather than shares, such cash payment will not result in a reduction in the number of shares available for issuance under our 2021 Plan.</w:t>
      </w:r>
    </w:p>
    <w:p>
      <w:pPr>
        <w:spacing w:after="0" w:line="159" w:lineRule="exact"/>
        <w:rPr>
          <w:sz w:val="20"/>
          <w:szCs w:val="20"/>
          <w:color w:val="auto"/>
        </w:rPr>
      </w:pPr>
    </w:p>
    <w:p>
      <w:pPr>
        <w:ind w:right="840" w:firstLine="287"/>
        <w:spacing w:after="0" w:line="452" w:lineRule="auto"/>
        <w:rPr>
          <w:sz w:val="20"/>
          <w:szCs w:val="20"/>
          <w:color w:val="auto"/>
        </w:rPr>
      </w:pPr>
      <w:r>
        <w:rPr>
          <w:rFonts w:ascii="Arial" w:cs="Arial" w:eastAsia="Arial" w:hAnsi="Arial"/>
          <w:sz w:val="16"/>
          <w:szCs w:val="16"/>
          <w:color w:val="auto"/>
        </w:rPr>
        <w:t xml:space="preserve">Shares issued under our 2021 Plan may be previously authorized but unissued shares, repurchased shares, forfeited shares or treasury shares. </w:t>
      </w:r>
      <w:r>
        <w:rPr>
          <w:rFonts w:ascii="Arial" w:cs="Arial" w:eastAsia="Arial" w:hAnsi="Arial"/>
          <w:sz w:val="16"/>
          <w:szCs w:val="16"/>
          <w:i w:val="1"/>
          <w:iCs w:val="1"/>
          <w:color w:val="auto"/>
        </w:rPr>
        <w:t>Administration</w:t>
      </w:r>
    </w:p>
    <w:p>
      <w:pPr>
        <w:jc w:val="both"/>
        <w:ind w:firstLine="287"/>
        <w:spacing w:after="0" w:line="250" w:lineRule="auto"/>
        <w:rPr>
          <w:sz w:val="20"/>
          <w:szCs w:val="20"/>
          <w:color w:val="auto"/>
        </w:rPr>
      </w:pPr>
      <w:r>
        <w:rPr>
          <w:rFonts w:ascii="Arial" w:cs="Arial" w:eastAsia="Arial" w:hAnsi="Arial"/>
          <w:sz w:val="16"/>
          <w:szCs w:val="16"/>
          <w:color w:val="auto"/>
        </w:rPr>
        <w:t>Our board of directors and/or a committee appointed by our board of directors will administer our 2021 Plan. The administrator has the authority to, among other things: (i) determine the fair market value of shares; (ii) select eligible persons to receive awards; (iii) determine the number and class of shares to be covered by each award; (iv) approve forms of award agreement; (v) determine, modify and amend the terms and conditions of, and all other matters relating to, awards; (vi) determine the vesting, exercisability, transferability and payment of awards, including the authority to accelerate the vesting of awards or waiving of applicable restrictions or limitations, including pausing vesting of awards during a participant’s approved leave of absence; (vii) construe and interpret the terms of our 2021 Plan and awards; (viii) prescribe, amend and rescind rules and regulations relating to our 2021 Plan, including adopting sub-plans; (ix) allow a participant to defer the receipt of the payment of cash or the delivery of shares that would otherwise be due to such participant under an award; and (x) make all other determinations deemed necessary or advisable for administering our 2021 Plan.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Capitalization</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the event of an extraordinary dividend or other extraordinary distribution (whether in the form of cash, shares or other securities or property), recapitalization, stock split, reverse stock split, reorganization, merger, consolidation, split-up, spin-off, combination, repurchase, exchange of shares of our Class A common stock or our other securities or other change in our corporate structure affecting our Class A common stock, the administrator will equitably adjust any or all of the following in order to prevent diminution or enlargement of benefits under our 2021 Plan: (i) the number and class of shares reserved for issuance under our 2021 Plan; (ii) share and other limits under our 2021 Plan; (iii) the number and class of shares covered by awards then outstanding under our 2021 Plan; (iv) the terms of any outstanding awards; and (v) to the extent applicable, the exercise price with respect to any award and any performance goal, target or measure. The administrator will determine the method and manner in which to effect such equitable adjustment.</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addition, upon any reorganization, merger, consolidation, combination, repurchase, or exchange of shares of our Class A common stock or our other securities, issuance of warrants or other rights to purchase our Class A common stock or other securities, or other similar corporate transaction or event affecting our securities or our financial statements or any of our affiliates (including a change in control), or any changes in applicable rules, rulings, regulations or other requirements of any governmental body or securities exchange, accounting principles or law, then the administrator may, in such manner as it may deem appropriate or desirable: (i) make any equitable adjustments described above; (ii) provide for a cash payment to the holder of an outstanding award in consideration for the cancellation of such award, including, in the case of any outstanding stock option or SAR, a cash payment to the holder of such outstanding award in consideration for the cancellation of such award in an amount equal to the excess, if any, of the fair market value of our Class A common stock subject to such award over the aggregate exercise price of such stock option or SAR; (iii) provide for the cancellation and termination of 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233</w:t>
      </w:r>
    </w:p>
    <w:p>
      <w:pPr>
        <w:sectPr>
          <w:pgSz w:w="11900" w:h="16838" w:orient="portrait"/>
          <w:cols w:equalWidth="0" w:num="1">
            <w:col w:w="11260"/>
          </w:cols>
          <w:pgMar w:left="320" w:top="1440" w:right="319" w:bottom="1440" w:gutter="0" w:footer="0" w:header="0"/>
        </w:sectPr>
      </w:pPr>
    </w:p>
    <w:bookmarkStart w:id="256" w:name="page257"/>
    <w:bookmarkEnd w:id="256"/>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option or SAR that has a per share exercise price equal to, or in excess of, the fair market value of a security subject to such award without any payment or consideration for the cancellation and termination of such award; or (iv) provide for the substitution, assumption, acceleration of vesting, lapse of restrictions or termination of any award or prior exercise of any award.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Control</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Unless otherwise determined by the administrator or provided in an award agreement, in the event of a “change in control” (as defined in our 2021 Plan) in which no provision is made for the acquirer’s assumption of or substitution for awards (with appropriate adjustments as to the number and kinds of shares and the exercise prices), if applicable, then:</w:t>
      </w:r>
    </w:p>
    <w:p>
      <w:pPr>
        <w:spacing w:after="0" w:line="145" w:lineRule="exact"/>
        <w:rPr>
          <w:sz w:val="20"/>
          <w:szCs w:val="20"/>
          <w:color w:val="auto"/>
        </w:rPr>
      </w:pPr>
    </w:p>
    <w:p>
      <w:pPr>
        <w:jc w:val="both"/>
        <w:ind w:left="560" w:hanging="278"/>
        <w:spacing w:after="0" w:line="254" w:lineRule="auto"/>
        <w:tabs>
          <w:tab w:leader="none" w:pos="55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outstanding stock options or SARs that are unexercisable or otherwise unvested will automatically be deemed exercisable or otherwise vested as of immediately prior to such change of control, and the administrator will have authority to cancel such stock option or SARs in exchange for cash payment equal to the applicable spread value, if any;</w:t>
      </w:r>
    </w:p>
    <w:p>
      <w:pPr>
        <w:spacing w:after="0" w:line="156" w:lineRule="exact"/>
        <w:rPr>
          <w:rFonts w:ascii="Arial" w:cs="Arial" w:eastAsia="Arial" w:hAnsi="Arial"/>
          <w:sz w:val="16"/>
          <w:szCs w:val="16"/>
          <w:color w:val="auto"/>
        </w:rPr>
      </w:pPr>
    </w:p>
    <w:p>
      <w:pPr>
        <w:jc w:val="both"/>
        <w:ind w:left="560" w:right="20" w:hanging="278"/>
        <w:spacing w:after="0" w:line="254" w:lineRule="auto"/>
        <w:tabs>
          <w:tab w:leader="none" w:pos="55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all performance-based awards will automatically vest as of immediately prior to such change in control, at either the target or actual level of performance (as determined by the administrator), and will be paid out as soon as practicable following such change in control or such later date as may be required to comply with Section 409A of the Code; and</w:t>
      </w:r>
    </w:p>
    <w:p>
      <w:pPr>
        <w:spacing w:after="0" w:line="144" w:lineRule="exact"/>
        <w:rPr>
          <w:rFonts w:ascii="Arial" w:cs="Arial" w:eastAsia="Arial" w:hAnsi="Arial"/>
          <w:sz w:val="16"/>
          <w:szCs w:val="16"/>
          <w:color w:val="auto"/>
        </w:rPr>
      </w:pPr>
    </w:p>
    <w:p>
      <w:pPr>
        <w:jc w:val="both"/>
        <w:ind w:left="560" w:right="20" w:hanging="278"/>
        <w:spacing w:after="0" w:line="254" w:lineRule="auto"/>
        <w:tabs>
          <w:tab w:leader="none" w:pos="55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all other outstanding awards that are unexercisable, unvested or still subject to restrictions or forfeiture will automatically be deemed exercisable and vested, and all restrictions and forfeiture provisions will lapse as of immediately prior to such change in control, and the award will be paid out within 30 days following such change in control or such later date as may be required to comply with Section 409A of the Code.</w:t>
      </w:r>
    </w:p>
    <w:p>
      <w:pPr>
        <w:spacing w:after="0" w:line="14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Unless otherwise determined by the administrator or provided in an award agreement or a service provider’s employment or service agreement with us or any of our affiliates, if within 12 months following a change of control in which the acquirer assumes or substitutes awards in accordance with our 2021 Plan, a participant’s employment or service is terminated by us (or our successor) without “cause” (as defined in our 2021 Plan), then:</w:t>
      </w:r>
    </w:p>
    <w:p>
      <w:pPr>
        <w:spacing w:after="0" w:line="157" w:lineRule="exact"/>
        <w:rPr>
          <w:sz w:val="20"/>
          <w:szCs w:val="20"/>
          <w:color w:val="auto"/>
        </w:rPr>
      </w:pPr>
    </w:p>
    <w:p>
      <w:pPr>
        <w:jc w:val="both"/>
        <w:ind w:left="560" w:right="20" w:hanging="278"/>
        <w:spacing w:after="0" w:line="254" w:lineRule="auto"/>
        <w:tabs>
          <w:tab w:leader="none" w:pos="55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outstanding stock options or SARs that are unexercisable or otherwise unvested will automatically be deemed exercisable or otherwise vested as of the date of such termination, and will remain exercisable until the earlier of the expiration of the existing term and 90 days following the date of such termination;</w:t>
      </w:r>
    </w:p>
    <w:p>
      <w:pPr>
        <w:spacing w:after="0" w:line="144" w:lineRule="exact"/>
        <w:rPr>
          <w:rFonts w:ascii="Arial" w:cs="Arial" w:eastAsia="Arial" w:hAnsi="Arial"/>
          <w:sz w:val="16"/>
          <w:szCs w:val="16"/>
          <w:color w:val="auto"/>
        </w:rPr>
      </w:pPr>
    </w:p>
    <w:p>
      <w:pPr>
        <w:jc w:val="both"/>
        <w:ind w:left="560" w:right="20" w:hanging="278"/>
        <w:spacing w:after="0" w:line="254" w:lineRule="auto"/>
        <w:tabs>
          <w:tab w:leader="none" w:pos="55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all performance-based awards will automatically vest as of the date of such termination, at either the target or actual level of performance (as determined by the administrator), and such deemed earned amount will be paid out as soon as practicable following such termination or such later date as may be required to comply with Section 409A of the Code; and</w:t>
      </w:r>
    </w:p>
    <w:p>
      <w:pPr>
        <w:spacing w:after="0" w:line="144" w:lineRule="exact"/>
        <w:rPr>
          <w:rFonts w:ascii="Arial" w:cs="Arial" w:eastAsia="Arial" w:hAnsi="Arial"/>
          <w:sz w:val="16"/>
          <w:szCs w:val="16"/>
          <w:color w:val="auto"/>
        </w:rPr>
      </w:pPr>
    </w:p>
    <w:p>
      <w:pPr>
        <w:jc w:val="both"/>
        <w:ind w:left="560" w:right="20" w:hanging="278"/>
        <w:spacing w:after="0" w:line="254" w:lineRule="auto"/>
        <w:tabs>
          <w:tab w:leader="none" w:pos="55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all other outstanding awards that are unexercisable, unvested or still subject to restrictions or forfeiture will automatically be deemed exercisable and vested, and all restrictions and forfeiture provisions related thereto will lapse as of the date of such termination, and the award will be paid out as soon as practicable following such date of termination or such later date as may be required to comply with Section 409A of the Code.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Nontransferability</w:t>
      </w:r>
    </w:p>
    <w:p>
      <w:pPr>
        <w:spacing w:after="0" w:line="179"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Awards granted under our 2021 Plan generally may not be transferred or assigned in any manner other than by will, by the laws of descent and distribution or by beneficiary designation, unless otherwise permitted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234</w:t>
      </w:r>
    </w:p>
    <w:p>
      <w:pPr>
        <w:sectPr>
          <w:pgSz w:w="11900" w:h="16838" w:orient="portrait"/>
          <w:cols w:equalWidth="0" w:num="1">
            <w:col w:w="11260"/>
          </w:cols>
          <w:pgMar w:left="320" w:top="1440" w:right="319" w:bottom="1440" w:gutter="0" w:footer="0" w:header="0"/>
        </w:sectPr>
      </w:pPr>
    </w:p>
    <w:bookmarkStart w:id="257" w:name="page258"/>
    <w:bookmarkEnd w:id="257"/>
    <w:p>
      <w:pPr>
        <w:spacing w:after="0"/>
        <w:rPr>
          <w:sz w:val="20"/>
          <w:szCs w:val="20"/>
          <w:color w:val="auto"/>
        </w:rPr>
      </w:pPr>
      <w:r>
        <w:rPr>
          <w:rFonts w:ascii="Arial" w:cs="Arial" w:eastAsia="Arial" w:hAnsi="Arial"/>
          <w:sz w:val="16"/>
          <w:szCs w:val="16"/>
          <w:i w:val="1"/>
          <w:iCs w:val="1"/>
          <w:color w:val="auto"/>
        </w:rPr>
        <w:t>Term and Amendment</w:t>
      </w:r>
    </w:p>
    <w:p>
      <w:pPr>
        <w:spacing w:after="0" w:line="19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Our 2021 Plan will have a term of 10 years, unless it is terminated earlier by our board of directors. Our board of directors may amend or terminate our 2021 Plan at any time without stockholder approval, unless stockholder approval for such action is required under applicable laws. No amendment, modification or termination will materially and adversely affect the rights of any holder of any award without the consent of such holder.</w:t>
      </w:r>
    </w:p>
    <w:p>
      <w:pPr>
        <w:spacing w:after="0" w:line="14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addition, the administrator may waive any conditions or rights under, amend any terms of, or alter, suspend, discontinue, cancel or terminate, any award granted or the applicable award agreement, prospectively or retroactively, provided that, unless permitted by the applicable award agreement or as necessary to comply with tax laws, any such waiver, amendment, alteration, suspension, discontinuance, cancellation or termination that would materially and adversely affect the rights of any participant or any holder or beneficiary of any award granted will not be effective without the consent of the affected participant, holder or beneficiary. Without stockholder approval, the administrator may (i) reprice any stock option or SAR, including reduce the exercise price of any stock option or SAR with notice to the affected participants and (ii) with the consent of the respective participants (if required under our 2021 Plan), pay cash or issue new awards in exchange for the cancellation of any or all outstanding awards.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Clawback</w:t>
      </w:r>
    </w:p>
    <w:p>
      <w:pPr>
        <w:spacing w:after="0" w:line="19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Awards under our 2021 Plan will be subject to our clawback or recoupment policy as may be established and/or amended from time to time. The administrator may require a participant to forfeit, return or reimburse us for all or a portion of the award and any amounts paid under our 2021 Plan pursuant to the terms of our clawback policy or to comply with applicable laws.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2021 Employee Share Purchase Plan</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June 2021, our board of directors and our stockholders approved and adopted our ESPP. Our ESPP will be effective immediately prior to the effective date of this prospectus. The purpose of our ESPP is to enable eligible employees to purchase shares of our Class A common stock at a discount following the date of this offering. Our ESPP is intended to qualify as an employee stock purchase plan under Section 423 of the Code (“423 Component”) and also authorizes the grant of purchase rights under a component that is not intended to meet the requirements of Section 423 of the Code.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Eligibility</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Generally, employees, including executive officers, employed by us or by any of our designated affiliates may participate in our ESPP, provided that the administrator, in its discretion, may exclude certain employees from participating. Notwithstanding the foregoing, for purposes of the 423 Component of our ESPP, no employee who owns (or is deemed to own through attribution) 5% or more of the combined voting power or value of all our classes of stock or of any of our affiliates will be permitted to purchase shares of our Class A common stock under our ESPP and no employee may purchase more than $25,000 worth of shares of our Class A common stock, valued at the start of the offering period, under our ESPP for each calendar year in which a purchase right is outstanding. As of the date of this prospectus, we have approximately 2,900 employees who will be eligible to participate in our ESPP.</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Authorized Shares</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expect that, when the ESPP becomes effective, the aggregate number of shares reserved for issuance under the ESPP will be equal to approximately 2% of the number of shares of our common stock (of all classes) that will be outstanding immediately after the closing of this offering. The number of shares available under our ESPP will automatically increase on the first day of each calendar year beginning on January 1, 2022 and ending with (and including) January 1, 2031. Such annual increase will equal to the lesser of (i) 1% of the outstanding shares of all classes of our common stock on the last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235</w:t>
      </w:r>
    </w:p>
    <w:p>
      <w:pPr>
        <w:sectPr>
          <w:pgSz w:w="11900" w:h="16838" w:orient="portrait"/>
          <w:cols w:equalWidth="0" w:num="1">
            <w:col w:w="11260"/>
          </w:cols>
          <w:pgMar w:left="320" w:top="1425" w:right="319" w:bottom="1440" w:gutter="0" w:footer="0" w:header="0"/>
        </w:sectPr>
      </w:pPr>
    </w:p>
    <w:bookmarkStart w:id="258" w:name="page259"/>
    <w:bookmarkEnd w:id="258"/>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of the immediately preceding calendar year and (ii) such number of shares determined by the administrator. No more than 200,000,000 shares of Class A common stock may be issued under our ESPP.</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Administration</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board of directors or a committee appointed by our board of directors will administer our ESPP. The administrator will have full and exclusive discretionary authority to construe, interpret and apply the terms of our ESPP, to delegate ministerial duties to any of our employees, to designate separate offerings under our ESPP, to designate our subsidiaries and affiliates as participating in our ESPP, to determine eligibility, to adjudicate all disputed claims filed under our ESPP and to establish procedures that it deems necessary or advisable for the administration of our ESPP, including adopting such procedures, sub-plans and appendices to the enrollment agreement as are necessary or appropriate to permit participation in our ESPP by employees who are foreign nationals or employed outside the U.S.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Offering Periods and Purchase Periods</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ESPP will be implemented through a series of discrete offerings with durations designated by the administrator (not to exceed 27 months). Our Class A common stock may be purchased for the accounts of participants at a price per share determined under the terms of the applicable offering, which may be at a discount from the trading price of our Class A common stock on the date of purchase. Unless otherwise determined by the administrator, purchases will be made at a price equal to 85% of the fair market value of a share of our Class A common stock on the first date of an offering or the date of purchase, whichever is lower. We may hold concurrent or overlapping offerings under our ESPP. Each offering may consist of one or more purchase periods. We expect that the first offering and first purchase period will commence on the effective date of this prospectus. An offering under our ESPP may be terminated under certain circumstances as determined by the administrator. In addition, in the event the fair market value on any purchase date in an offering is less than the fair market value on the offering start date, such offering will automatically terminate immediately after the then-current purchase period and all participants in such offering will automatically be re-enrolled in the immediately following offering.</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Contributions</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Our ESPP permits participants to purchase shares of our Class A common stock through contributions (in the form of payroll deductions or otherwise to the extent permitted by the administrator) of up to 15% of their eligible compensation. During each purchase period, a participant may not purchase more shares of our Class A common stock than the limit determined by the administrator prior to the commencement of the applicable offering.</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Exercise of Purchase Rights</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Amounts contributed and accumulated by the participant during any offering period will be used to purchase shares of our Class A common stock at the end of each purchase period. Participants may end their participation at any time during an offering period and will be paid their accrued contributions that have not yet been used to purchase shares of our Class A common stock. Participation ends automatically upon termination of employment with us.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Nontransferability</w:t>
      </w:r>
    </w:p>
    <w:p>
      <w:pPr>
        <w:spacing w:after="0" w:line="191"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Rights granted under our ESPP may not be transferred other than by will, by the laws of descent and distribution or by beneficiary designation, or as otherwise provided under our ESPP.</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Capitalization</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In the event of an extraordinary dividend or other extraordinary distribution (whether in the form of cash, shares or other securities or property), recapitalization, stock split,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236</w:t>
      </w:r>
    </w:p>
    <w:p>
      <w:pPr>
        <w:sectPr>
          <w:pgSz w:w="11900" w:h="16838" w:orient="portrait"/>
          <w:cols w:equalWidth="0" w:num="1">
            <w:col w:w="11260"/>
          </w:cols>
          <w:pgMar w:left="320" w:top="1440" w:right="319" w:bottom="1440" w:gutter="0" w:footer="0" w:header="0"/>
        </w:sectPr>
      </w:pPr>
    </w:p>
    <w:bookmarkStart w:id="259" w:name="page260"/>
    <w:bookmarkEnd w:id="259"/>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reorganization, merger, consolidation, split-up, split-off, spin-off, combination, repurchase or exchange of shares of our Class A common stock or our other securities or other change in our corporate structure affecting our Class A common stock, the administrator will equitably adjust any or all of the following in order to prevent dilution or enlargement of benefits under our ESPP: (i) the number and shares of class of shares that may be delivered under our ESPP, (ii) the number of shares and purchase price of each option under our ESPP that has not yet been exercised and (iii) the maximum number and/or class of shares reserved under our ESPP.</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Control</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Our ESPP provides that in the event of a merger or “change in control” (as defined in our ESPP), a successor corporation may assume or substitute each outstanding purchase right. If the successor corporation refuses to assume or substitute the outstanding purchase rights or in the event of our proposed dissolution or liquidation, the offering period then in progress will be shortened, and a new purchase date will be set that will be before the date of such change in control. The administrator will notify each participant that the purchase date has been changed and that the participant’s option will be exercised automatically on the new purchase date unless prior to such date the participant has withdrawn from the offering period.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 and Amendment</w:t>
      </w:r>
    </w:p>
    <w:p>
      <w:pPr>
        <w:spacing w:after="0" w:line="19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Our ESPP has a term of 20 years, unless it is terminated earlier by our board of directors. The administrator, in its sole discretion, has the authority, among other things, to amend, suspend or terminate our ESPP, or any part of it, at any time and for any reason. If our ESPP is terminated, the administrator has the authority to terminate all outstanding offerings or permit offerings to expire in accordance with their terms. The administrator also has the authority, without stockholder consent, to change offering or purchase periods, designate separate offerings, limit the frequency and/or number of changes in the amount withheld during an offering period, establish the exchange ratio, permit contributions in excess of the amount designated by a participant, establish reasonable waiting and adjustment periods and/or accounting and crediting procedures, and establish any other limitations or procedures as the administrator determines in its sole discretion advisable and that are consistent with our ESPP.</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2020 Equity Incentive Plan</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2020 Plan was adopted by our board of directors and our stockholders in April 2020. As of March 31, 2021, we had 27,799,737 shares of our Class A common stock available for issuance under our 2020 Plan, which was subsequently increased by 35,520,000 shares of our Class A common stock on May 26, 2021. As of March 31, 2021, we had outstanding under our 2020 Plan (i) options to purchase 264,360 shares of our Class A common stock, with a weighted-average exercise price of $10.24 per share, and (ii) RSUs (all of which were Time-Based RSUs) representing the right to receive 30,216,141 shares of our Class A common stock. In addition, in May 2021, our founders were granted the 2021 Market-Based RSUs representing the right to receive up to an aggregate of 35,520,000 shares of our Class A common stock subject to the achievement of market-based vesting conditions following this offering and certain other conditions. Upon effectiveness of our 2021 Plan, no new awards will be granted under our 2020 Plan, but any awards outstanding thereunder will remain in effect pursuant to their terms and pursuant to the terms of our 2020 Plan.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Awards Available for Grant and Eligibility</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Our 2020 Plan provides for the grant of stock options, including ISOs and NQSOs, restricted stock, RSUs and SARs. ISOs may be granted only to our employees, including employees of any parent or subsidiary. All other awards may be granted to our employees, non-employee directors and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237</w:t>
      </w:r>
    </w:p>
    <w:p>
      <w:pPr>
        <w:sectPr>
          <w:pgSz w:w="11900" w:h="16838" w:orient="portrait"/>
          <w:cols w:equalWidth="0" w:num="1">
            <w:col w:w="11260"/>
          </w:cols>
          <w:pgMar w:left="320" w:top="1440" w:right="319" w:bottom="1440" w:gutter="0" w:footer="0" w:header="0"/>
        </w:sectPr>
      </w:pPr>
    </w:p>
    <w:bookmarkStart w:id="260" w:name="page261"/>
    <w:bookmarkEnd w:id="260"/>
    <w:p>
      <w:pPr>
        <w:spacing w:after="0"/>
        <w:rPr>
          <w:sz w:val="20"/>
          <w:szCs w:val="20"/>
          <w:color w:val="auto"/>
        </w:rPr>
      </w:pPr>
      <w:r>
        <w:rPr>
          <w:rFonts w:ascii="Arial" w:cs="Arial" w:eastAsia="Arial" w:hAnsi="Arial"/>
          <w:sz w:val="16"/>
          <w:szCs w:val="16"/>
          <w:i w:val="1"/>
          <w:iCs w:val="1"/>
          <w:color w:val="auto"/>
        </w:rPr>
        <w:t>Authorized Shares</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Shares issued under our 2020 Plan may be previously unissued shares, reacquired shares or canceled, forfeited or terminated shares.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Administration</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Our 2020 Plan is currently administered by our board of directors. The administrator has the authority to construe and interpret our 2020 Plan and any agreement or document executed pursuant to the plan, grant awards and make all other determinations necessary or advisable for the administration of our 2020 Plan.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Capitalization</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the event of a stock dividend, recapitalization, stock split, subdivision, combination, reclassification or other change in our corporate structure affecting our common stock, appropriate adjustments will be made to (i) the number and/or class of shares reserved for issuance under our 2020 Plan, (ii) the exercise price or purchase price of, if applicable, outstanding stock options and SARs and (iii) the purchase price of and/or number of class of shares subject to other outstanding awards under our 2020 Plan.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or Other Combination</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the event of an “acquisition” or “other combination” (each, as defined in our 2020 Plan), our 2020 Plan provides that awards may be continued, assumed, substituted, settled by payment (in cash or securities of the surviving corporation or its parent) of the full value of the award, accelerated (in full or in part), or canceled without consideration, and awards would terminate upon the consummation of the acquisition or other combination unless they are continued, assumed or substituted. Our board of directors, in its sole discretion, may provide for the accelerated vesting of awards.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Nontransferability</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Awards granted under our 2020 Plan generally may not be transferred or assignable in any manner other than by will, by the laws of descent and distribution or by beneficiary designation, unless otherwise permitted by the administrator.</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 and Amendment</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Our 2020 Plan will have a term of 10 years, unless it is terminated earlier by our board of directors. Our board of directors may amend or terminate our 2020 Plan at any time, but any amendment that applies to ISOs will require a stockholder approval. Otherwise, stockholder approval of the amendment will not be required unless required by applicable law.</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Amended and Restated 2013 Stock Plan</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2013 Plan was adopted by our board of directors and our stockholders in December 2013, and was last amended and restated on December 15, 2018. Our 2013 Plan was terminated in connection with adoption of our 2020 Plan. As of March 31, 2021, we had outstanding under our 2013 Plan (i) options to purchase 17,831,767 shares of our Class A common stock, with a weighted-average exercise price of $2.11 per share, (ii) 187,885 restricted shares of Class A common stock and (iii) RSUs (comprised of 23,940,361 Time-Based RSUs and 27,663,658 Market-Based RSUs) representing the right to receive 51,604,019 shares of our Class A common stock. Awards granted under our 2013 Plan are generally subject to the terms similar to those described above with respect to awards granted under our 2020 Plan. No new awards may be granted under our 2013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238</w:t>
      </w:r>
    </w:p>
    <w:p>
      <w:pPr>
        <w:sectPr>
          <w:pgSz w:w="11900" w:h="16838" w:orient="portrait"/>
          <w:cols w:equalWidth="0" w:num="1">
            <w:col w:w="11260"/>
          </w:cols>
          <w:pgMar w:left="320" w:top="1425" w:right="319" w:bottom="1440" w:gutter="0" w:footer="0" w:header="0"/>
        </w:sectPr>
      </w:pPr>
    </w:p>
    <w:bookmarkStart w:id="261" w:name="page262"/>
    <w:bookmarkEnd w:id="261"/>
    <w:p>
      <w:pPr>
        <w:spacing w:after="0"/>
        <w:rPr>
          <w:sz w:val="20"/>
          <w:szCs w:val="20"/>
          <w:color w:val="auto"/>
        </w:rPr>
      </w:pPr>
      <w:r>
        <w:rPr>
          <w:rFonts w:ascii="Arial" w:cs="Arial" w:eastAsia="Arial" w:hAnsi="Arial"/>
          <w:sz w:val="16"/>
          <w:szCs w:val="16"/>
          <w:i w:val="1"/>
          <w:iCs w:val="1"/>
          <w:color w:val="auto"/>
        </w:rPr>
        <w:t>Awards Available for Grant and Eligibility</w:t>
      </w:r>
    </w:p>
    <w:p>
      <w:pPr>
        <w:spacing w:after="0" w:line="19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Our 2013 Plan provided for the grant of stock options, including ISOs and NQSOs, restricted stock and RSUs. ISOs may be granted only to our employees, including employees of any parent or subsidiary. All other awards may be granted to our employees, non-employee directors and consultants.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Administration</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Our 2013 Plan is currently administered by our people and compensation committee or by our board of directors acting in place of the committees. The administrator has full authority and discretion to take any actions it deems necessary or advisable for the administration of our 2013 Plan and with respect to awards granted to participants outside of the U.S. and the administrator may take actions that vary from our 2013 Plan terms if it deems necessary and appropriate, provided that such actions may not vary from the plan terms requiring stockholder approval.</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Transaction</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the event of a “corporate transaction” (as defined in our 2013 Plan), our 2013 Plan provides that awards may be continued, assumed or substituted, terminated without consideration (provided that a participant is given an opportunity to exercise vested stock options prior to the consummation of the transaction) or settled by payment (in cash, securities or other property) for a payment equal to the per-share value in the transaction, multiplied by the number of vested shares subject to the stock option minus the aggregate exercise price. Our board of directors, in its sole discretion, may provide for the accelerated vesting and exercisability, in whole or in part, of awards in connection with a corporate transaction.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Nontransferability</w:t>
      </w:r>
    </w:p>
    <w:p>
      <w:pPr>
        <w:spacing w:after="0" w:line="19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Stock options granted under our 2013 Plan generally may not be transferred or assignable in any manner other than by will, by the laws of descent and distribution or by beneficiary designation, or, if the applicable stock option award agreement so provides, an NQSO may not be transferred or assignable in any manner other than by gift or domestic relations order to a “family member” (as defined in our 2013 Plan).</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401(k) Plan</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maintain a 401(k) plan that provides eligible U.S. employees with an opportunity to save for retirement on a tax-advantaged basis. Eligible employees are able to defer eligible compensation up to certain Code limits, which are updated annually. We match 100% of the first 3% of employee contributions. Contributions are allocated to each participant’s individual account and are then invested in selected investment alternatives according to the participants’ directions. Employees are immediately and fully vested in their own contributions.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Policies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Ownership Guidelines</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In March 2021, we adopted director and executive officer stock ownership guidelines, which provide that (i) each of our non-employee directors must hold qualifying securities with a value equal to five times his or her annual cash retainer, (ii) our CEO must hold qualifying securities with a value equal to at least the greater of $5 million and six times his annual base salary and (iii) each of our other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239</w:t>
      </w:r>
    </w:p>
    <w:p>
      <w:pPr>
        <w:sectPr>
          <w:pgSz w:w="11900" w:h="16838" w:orient="portrait"/>
          <w:cols w:equalWidth="0" w:num="1">
            <w:col w:w="11260"/>
          </w:cols>
          <w:pgMar w:left="320" w:top="1425" w:right="319" w:bottom="1440" w:gutter="0" w:footer="0" w:header="0"/>
        </w:sectPr>
      </w:pPr>
    </w:p>
    <w:bookmarkStart w:id="262" w:name="page263"/>
    <w:bookmarkEnd w:id="262"/>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must hold qualifying securities with a value equal to three times his or her annual base salary. Each of our non-employee directors and executive officers generally will have five years from the later of the date of his or her initial appointment or election and the date of this initial public offering to comply with the minimum stock ownership requirement. For purposes of our stock ownership guidelines, qualifying securities include shares of our common stock and vested restricted stock units and performance units.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Clawback Policy</w:t>
      </w:r>
    </w:p>
    <w:p>
      <w:pPr>
        <w:spacing w:after="0" w:line="179"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5"/>
          <w:szCs w:val="15"/>
          <w:color w:val="auto"/>
        </w:rPr>
        <w:t>In March 2021, our board of directors adopted a clawback policy effective upon the closing of this offering. Under our clawback policy, our board of directors may recover incentive compensation from an executive officer in the event of (i) a restatement of our financial statements or a material error in the calculation of one or more performance-based measures used to determine the amount of such compensation or (ii) the executive officer’s “detrimental conduct” (as defined in our clawback policy) that results in an excess performance payout, results in legal proceedings or causes us material financial or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240</w:t>
      </w:r>
    </w:p>
    <w:p>
      <w:pPr>
        <w:sectPr>
          <w:pgSz w:w="11900" w:h="16838" w:orient="portrait"/>
          <w:cols w:equalWidth="0" w:num="1">
            <w:col w:w="11260"/>
          </w:cols>
          <w:pgMar w:left="320" w:top="1440" w:right="319" w:bottom="1440" w:gutter="0" w:footer="0" w:header="0"/>
        </w:sectPr>
      </w:pPr>
    </w:p>
    <w:bookmarkStart w:id="263" w:name="page264"/>
    <w:bookmarkEnd w:id="263"/>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DIRECTOR COMPENSATION</w:t>
      </w:r>
    </w:p>
    <w:p>
      <w:pPr>
        <w:spacing w:after="0" w:line="182"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None of our non-employee directors were awarded or paid any compensation from us for the year ended December 31, 2020 for their service as directors. We reimburse our non-employee directors for necessary and reasonable expenses associated with attending meetings of our board of directors or its committees. In connection with joining our board of directors, Mr. Rubinstein, Mr. Zoellick and Ms. Loop were granted RSUs in respect of 72,446, 36,223 and 36,223 shares of our Class A common stock, respectively, which will vest over four years following the grant date.</w:t>
      </w:r>
    </w:p>
    <w:p>
      <w:pPr>
        <w:spacing w:after="0" w:line="14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February 2021, in connection with this offering, we adopted, and in June 2021 we amended, our Non-Employee Director Compensation Program. The Non-Employee Director Compensation Program will govern compensation paid to our non-employee directors beginning on the closing of this offering and is intended to attract and retain, on a long-term basis, exceptional directors. As we transition to become a publicly traded company, we intend to periodically evaluate our Non-Employee Director Compensation Program as part of our regular reviews of our overall compensation strategy.</w:t>
      </w:r>
    </w:p>
    <w:p>
      <w:pPr>
        <w:spacing w:after="0" w:line="15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Under our Non-Employee Director Compensation Program, following this offering, each non-employee director will receive cash and equity compensation for services on our board of directors. We will also continue to reimburse our non-employee directors for reasonable out-of-pocket and documented expenses incurred in attending meetings of the board of directors or any committee thereof. Each non-employee director will be entitled to receive an annual retainer fee of $50,000, payable quarterly in arrears. In addition, the non-executive chair of our board of directors, lead independent director, committee chairs and committee members will be entitled to receive the following annual retainers, payable quarterly in arrears:</w:t>
      </w:r>
    </w:p>
    <w:p>
      <w:pPr>
        <w:spacing w:after="0" w:line="145" w:lineRule="exact"/>
        <w:rPr>
          <w:sz w:val="20"/>
          <w:szCs w:val="20"/>
          <w:color w:val="auto"/>
        </w:rPr>
      </w:pPr>
    </w:p>
    <w:p>
      <w:pPr>
        <w:ind w:left="560" w:hanging="278"/>
        <w:spacing w:after="0"/>
        <w:tabs>
          <w:tab w:leader="none" w:pos="5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$50,000 for the non-executive chair of our board of directors;</w:t>
      </w:r>
    </w:p>
    <w:p>
      <w:pPr>
        <w:spacing w:after="0" w:line="150" w:lineRule="exact"/>
        <w:rPr>
          <w:rFonts w:ascii="Arial" w:cs="Arial" w:eastAsia="Arial" w:hAnsi="Arial"/>
          <w:sz w:val="16"/>
          <w:szCs w:val="16"/>
          <w:color w:val="auto"/>
        </w:rPr>
      </w:pPr>
    </w:p>
    <w:p>
      <w:pPr>
        <w:ind w:left="560" w:hanging="278"/>
        <w:spacing w:after="0"/>
        <w:tabs>
          <w:tab w:leader="none" w:pos="5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$30,000 for the lead independent director;</w:t>
      </w:r>
    </w:p>
    <w:p>
      <w:pPr>
        <w:spacing w:after="0" w:line="150" w:lineRule="exact"/>
        <w:rPr>
          <w:rFonts w:ascii="Arial" w:cs="Arial" w:eastAsia="Arial" w:hAnsi="Arial"/>
          <w:sz w:val="16"/>
          <w:szCs w:val="16"/>
          <w:color w:val="auto"/>
        </w:rPr>
      </w:pPr>
    </w:p>
    <w:p>
      <w:pPr>
        <w:ind w:left="560" w:hanging="278"/>
        <w:spacing w:after="0"/>
        <w:tabs>
          <w:tab w:leader="none" w:pos="5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$25,000 for the chair of our audit committee;</w:t>
      </w:r>
    </w:p>
    <w:p>
      <w:pPr>
        <w:spacing w:after="0" w:line="150" w:lineRule="exact"/>
        <w:rPr>
          <w:rFonts w:ascii="Arial" w:cs="Arial" w:eastAsia="Arial" w:hAnsi="Arial"/>
          <w:sz w:val="16"/>
          <w:szCs w:val="16"/>
          <w:color w:val="auto"/>
        </w:rPr>
      </w:pPr>
    </w:p>
    <w:p>
      <w:pPr>
        <w:ind w:left="560" w:hanging="278"/>
        <w:spacing w:after="0"/>
        <w:tabs>
          <w:tab w:leader="none" w:pos="5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$20,000 for the chair of our people and compensation committee;</w:t>
      </w:r>
    </w:p>
    <w:p>
      <w:pPr>
        <w:spacing w:after="0" w:line="150" w:lineRule="exact"/>
        <w:rPr>
          <w:rFonts w:ascii="Arial" w:cs="Arial" w:eastAsia="Arial" w:hAnsi="Arial"/>
          <w:sz w:val="16"/>
          <w:szCs w:val="16"/>
          <w:color w:val="auto"/>
        </w:rPr>
      </w:pPr>
    </w:p>
    <w:p>
      <w:pPr>
        <w:ind w:left="560" w:hanging="278"/>
        <w:spacing w:after="0"/>
        <w:tabs>
          <w:tab w:leader="none" w:pos="5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$12,000 for the chair of our nominating and corporate governance committee;</w:t>
      </w:r>
    </w:p>
    <w:p>
      <w:pPr>
        <w:spacing w:after="0" w:line="150" w:lineRule="exact"/>
        <w:rPr>
          <w:rFonts w:ascii="Arial" w:cs="Arial" w:eastAsia="Arial" w:hAnsi="Arial"/>
          <w:sz w:val="16"/>
          <w:szCs w:val="16"/>
          <w:color w:val="auto"/>
        </w:rPr>
      </w:pPr>
    </w:p>
    <w:p>
      <w:pPr>
        <w:ind w:left="560" w:hanging="278"/>
        <w:spacing w:after="0"/>
        <w:tabs>
          <w:tab w:leader="none" w:pos="5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$20,000 for the chair of our safety, risk and regulatory committee;</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$10,000 for each other member of our audit committee;</w:t>
      </w:r>
    </w:p>
    <w:p>
      <w:pPr>
        <w:spacing w:after="0" w:line="150" w:lineRule="exact"/>
        <w:rPr>
          <w:rFonts w:ascii="Arial" w:cs="Arial" w:eastAsia="Arial" w:hAnsi="Arial"/>
          <w:sz w:val="16"/>
          <w:szCs w:val="16"/>
          <w:color w:val="auto"/>
        </w:rPr>
      </w:pPr>
    </w:p>
    <w:p>
      <w:pPr>
        <w:ind w:left="560" w:hanging="278"/>
        <w:spacing w:after="0"/>
        <w:tabs>
          <w:tab w:leader="none" w:pos="5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$8,500 for each other member of our people and compensation committee;</w:t>
      </w:r>
    </w:p>
    <w:p>
      <w:pPr>
        <w:spacing w:after="0" w:line="150" w:lineRule="exact"/>
        <w:rPr>
          <w:rFonts w:ascii="Arial" w:cs="Arial" w:eastAsia="Arial" w:hAnsi="Arial"/>
          <w:sz w:val="16"/>
          <w:szCs w:val="16"/>
          <w:color w:val="auto"/>
        </w:rPr>
      </w:pPr>
    </w:p>
    <w:p>
      <w:pPr>
        <w:ind w:left="560" w:hanging="278"/>
        <w:spacing w:after="0"/>
        <w:tabs>
          <w:tab w:leader="none" w:pos="5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$5,000 for each other member of our nominating and corporate governance committee; and</w:t>
      </w:r>
    </w:p>
    <w:p>
      <w:pPr>
        <w:spacing w:after="0" w:line="150" w:lineRule="exact"/>
        <w:rPr>
          <w:rFonts w:ascii="Arial" w:cs="Arial" w:eastAsia="Arial" w:hAnsi="Arial"/>
          <w:sz w:val="16"/>
          <w:szCs w:val="16"/>
          <w:color w:val="auto"/>
        </w:rPr>
      </w:pPr>
    </w:p>
    <w:p>
      <w:pPr>
        <w:ind w:left="560" w:hanging="278"/>
        <w:spacing w:after="0"/>
        <w:tabs>
          <w:tab w:leader="none" w:pos="5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$8,500 for each other member of our safety, risk and regulatory committee.</w:t>
      </w:r>
    </w:p>
    <w:p>
      <w:pPr>
        <w:spacing w:after="0" w:line="175"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Each person who becomes a non-employee director following the effective date of the registration statement of which this prospectus forms a part will receive an automatic initial award of a number of RSUs determined by dividing $225,000 by the grant date closing price of our Class A common stock. This initial award will vest in equal quarterly installments over three years, subject to the non-employee director providing services through each applicable vesting date. Additionally, on the date of each annual meeting of our stockholders following the effective date of the Non-Employee Director Compensation Program, each non-employee director continuing in service after the meeting will automatically be granted a number of RSUs determined by dividing $225,000 by the grant date closing price of our Class A common stock. Any non-employee director who joins our board of directors between annual meetings will automatically be granted a prorated annual award of RSUs for the first partial year of service. Annual grants will vest in equal quarterly installments over one year, subject to the 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241</w:t>
      </w:r>
    </w:p>
    <w:p>
      <w:pPr>
        <w:sectPr>
          <w:pgSz w:w="11900" w:h="16838" w:orient="portrait"/>
          <w:cols w:equalWidth="0" w:num="1">
            <w:col w:w="11260"/>
          </w:cols>
          <w:pgMar w:left="320" w:top="1440" w:right="319" w:bottom="1440" w:gutter="0" w:footer="0" w:header="0"/>
        </w:sectPr>
      </w:pPr>
    </w:p>
    <w:bookmarkStart w:id="264" w:name="page265"/>
    <w:bookmarkEnd w:id="264"/>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providing services through each applicable vesting date (with the final tranche scheduled to vest the day before the next annual meeting, and with prorated annual grants vesting in tandem with the full-year annual grants).</w:t>
      </w:r>
    </w:p>
    <w:p>
      <w:pPr>
        <w:spacing w:after="0" w:line="15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addition, by no later than December 31 of the applicable year (or, in the case of a newly elected non-employee director, by the 30th day after such director’s election) or, solely in the case of 2021, the 30th day after the Non-Employee Director Compensation Program takes effect, each non-employee director may elect to defer the receipt or settlement of certain compensation payable to such non-employee director in respect of services as a director by completing and filing a deferral election form. Any such deferred compensation will be paid or settled, as applicable at the time specified in the director’s deferral election form.</w:t>
      </w:r>
    </w:p>
    <w:p>
      <w:pPr>
        <w:spacing w:after="0" w:line="14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Each non-employee director may elect to have his or her retainers that would otherwise be paid in cash converted into an equity award. Elections need to be made in advance, and awards are immediately vested upon grant. Each director who elects equity in lieu of cash will automatically be granted a number of RSUs each quarter equal to the amount of his or her quarterly retainer divided by the closing price per share of our Class A common stock on the grant date, which is generally the last day of the calendar quarter for which the retainer would otherwise have been paid. However, if no deferral election is in effect with respect to such RSUs, the award will instead automatically be made in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242</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PRINCIPAL AND SELLING STOCKHOLDERS</w:t>
      </w:r>
    </w:p>
    <w:p>
      <w:pPr>
        <w:spacing w:after="0" w:line="182" w:lineRule="exact"/>
        <w:rPr>
          <w:sz w:val="20"/>
          <w:szCs w:val="20"/>
          <w:color w:val="auto"/>
        </w:rPr>
      </w:pPr>
    </w:p>
    <w:p>
      <w:pPr>
        <w:jc w:val="both"/>
        <w:ind w:right="20" w:firstLine="287"/>
        <w:spacing w:after="0" w:line="279" w:lineRule="auto"/>
        <w:rPr>
          <w:sz w:val="20"/>
          <w:szCs w:val="20"/>
          <w:color w:val="auto"/>
        </w:rPr>
      </w:pPr>
      <w:r>
        <w:rPr>
          <w:rFonts w:ascii="Arial" w:cs="Arial" w:eastAsia="Arial" w:hAnsi="Arial"/>
          <w:sz w:val="15"/>
          <w:szCs w:val="15"/>
          <w:color w:val="auto"/>
        </w:rPr>
        <w:t>The following table sets forth information with respect to the beneficial ownership of our voting securities (which, after this offering, will consist of our Class A common stock and our Class B common stock) as of May 31, 2021 (i) on an actual basis and (ii) as adjusted to reflect the sale of our Class A common stock in this offering, assuming no exercise of the underwriters’ option to purchase additional shares of our Class A common stock solely to cover over-allotments, for:</w:t>
      </w:r>
    </w:p>
    <w:p>
      <w:pPr>
        <w:spacing w:after="0" w:line="127" w:lineRule="exact"/>
        <w:rPr>
          <w:sz w:val="20"/>
          <w:szCs w:val="20"/>
          <w:color w:val="auto"/>
        </w:rPr>
      </w:pPr>
    </w:p>
    <w:p>
      <w:pPr>
        <w:ind w:left="560" w:hanging="278"/>
        <w:spacing w:after="0"/>
        <w:tabs>
          <w:tab w:leader="none" w:pos="5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our outstanding voting securities;</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 and</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selling stockholder, who are our founders and our Chief Financial Officer.</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our Class A common stock subject to options, warrants or other rights held by such person that are currently exercisable or will become exercisable within 60 days of May 31, 2021 (including our outstanding convertible notes, which will automatically convert upon this offering, and our outstanding warrants to purchase shares of our Class A common stock or other equity securities, which will become exercisable following this offering), as well as RSUs that are subject to vesting conditions expected to be satisfied within 60 days of May 31, 2021 (for which the liquidity-based vesting condition or market-based vesting condition, as applicable, will be satisfied in connection with this offering, assuming an initial public offering price of our Class A common stock of $40.00 per share, which is the midpoint of the estimated offering price range set forth on the cover page of this prospectus), are considered outstanding, although these shares are not considered outstanding for purposes of computing the percentage ownership of any other person. We have also assumed the exchange, pursuant to the Equity Exchange Rights of all shares of Class A common stock received upon the vesting and settlement of Time-Based RSUs and Market-Based RSUs held by our founders, Mr. Tenev and Mr. Bhatt, which RSUs are either not subject to a time-based vesting condition or are subject to time-based vesting conditions expected to be satisfied within 60 days of May 31, 2021 (for which the liquidity-based vesting condition or market-based vesting condition, as applicable, will be satisfied in connection with this offering, assuming an initial public offering price of our Class A common stock of $40.00 per share, which is the midpoint of the estimated offering price range set forth on the cover page of this prospectus), for an equivalent number of shares of Class B common stock. In addition, the number of shares beneficially owned by our founders has been computed after giving effect to the entry by our founders and certain of their respective related entities (including estate planning vehicles) into the Founder Voting Agreement, pursuant to which certain of those related entities will grant proxies to Mr. Tenev or to Mr. Bhatt, as further described under “Certain Relationships and Related Party Transactions—Voting Agreements—Founder Voting Agreement” and in the footnotes accompanying the table below.</w:t>
      </w:r>
    </w:p>
    <w:p>
      <w:pPr>
        <w:spacing w:after="0" w:line="147"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have based our calculation of the applicable percentage of beneficial ownership prior to this offering on 648,993,056 shares of our Class A common stock, 134,307,224 shares of our Class B common stock and no shares of our Class C common stock outstanding as of March 31, 2021, assuming (i) the Preferred Share Conversion, (ii) the Convertible Note Conversion, (iii) the IPO-Vesting Time-Based RSU Settlement, (iv) the IPO-Vesting Market-Based RSU Settlement, (v) the filing and effectiveness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243</w:t>
      </w:r>
    </w:p>
    <w:p>
      <w:pPr>
        <w:sectPr>
          <w:pgSz w:w="11900" w:h="16838" w:orient="portrait"/>
          <w:cols w:equalWidth="0" w:num="1">
            <w:col w:w="11260"/>
          </w:cols>
          <w:pgMar w:left="320" w:top="1440" w:right="319" w:bottom="1440" w:gutter="0" w:footer="0" w:header="0"/>
        </w:sectPr>
      </w:pPr>
    </w:p>
    <w:bookmarkStart w:id="266" w:name="page267"/>
    <w:bookmarkEnd w:id="266"/>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Charter in Delaware, which will occur immediately prior to the completion of this offering and will effect the Reclassification, (vi) the Class B Exchange and</w:t>
      </w:r>
    </w:p>
    <w:p>
      <w:pPr>
        <w:spacing w:after="0" w:line="7" w:lineRule="exact"/>
        <w:rPr>
          <w:sz w:val="20"/>
          <w:szCs w:val="20"/>
          <w:color w:val="auto"/>
        </w:rPr>
      </w:pPr>
    </w:p>
    <w:p>
      <w:pPr>
        <w:jc w:val="both"/>
        <w:ind w:left="4" w:hanging="4"/>
        <w:spacing w:after="0" w:line="250" w:lineRule="auto"/>
        <w:tabs>
          <w:tab w:leader="none" w:pos="32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exercise of all outstanding warrants to purchase shares of our equity securities, $379.8 million aggregate maximum purchase amount of which was outstanding as of March 31, 2021, by the holders thereof, for an aggregate of 13,564,134 shares of our Class A common stock, assuming an exercise price of $28.00 (which is the lower of (A) 70% of the assumed initial public offering price of our Class A common stock of $40.00 per share, which is the midpoint of the estimated offering price range set forth on the cover page of this prospectus, and (B) $38.29), as if such exercise had occurred on March 31, 2021. We have based our calculation of the applicable percentage of beneficial ownership after this offering on 52,375,000 shares of our Class A common stock issued by us in this offering, the sale by the selling stockholders of 2,625,000 shares of our Class A common stock in this offering, and 703,868,056 shares of our Class A common stock, 131,807,224 shares of our Class B common stock and no shares of our Class C common stock outstanding immediately after the completion of this offering, giving effect to the foregoing assumptions (i) through (vii) and assuming that the underwriters will not exercise their option to purchase additional shares of our Class A common stock from us.</w:t>
      </w:r>
    </w:p>
    <w:p>
      <w:pPr>
        <w:spacing w:after="0" w:line="163" w:lineRule="exact"/>
        <w:rPr>
          <w:sz w:val="20"/>
          <w:szCs w:val="20"/>
          <w:color w:val="auto"/>
        </w:rPr>
      </w:pPr>
    </w:p>
    <w:p>
      <w:pPr>
        <w:jc w:val="both"/>
        <w:ind w:left="4" w:firstLine="287"/>
        <w:spacing w:after="0" w:line="252" w:lineRule="auto"/>
        <w:rPr>
          <w:sz w:val="20"/>
          <w:szCs w:val="20"/>
          <w:color w:val="auto"/>
        </w:rPr>
      </w:pPr>
      <w:r>
        <w:rPr>
          <w:rFonts w:ascii="Arial" w:cs="Arial" w:eastAsia="Arial" w:hAnsi="Arial"/>
          <w:sz w:val="16"/>
          <w:szCs w:val="16"/>
          <w:color w:val="auto"/>
        </w:rPr>
        <w:t>The table and accompanying footnotes below have been prepared based upon information furnished to us by our stockholders. Unless otherwise indicated, the address of all listed stockholders is c/o Robinhood Markets, Inc., 85 Willow Road in Menlo Park, California 94025. Based on the information furnished to us, we believe that each of the stockholders listed has sole voting and investment power with respect to the shares beneficially owned by the stockholder unless noted otherwise, subject to community property laws where applicable.</w:t>
      </w:r>
    </w:p>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6"/>
          </w:tcPr>
          <w:p>
            <w:pPr>
              <w:jc w:val="right"/>
              <w:ind w:right="752"/>
              <w:spacing w:after="0"/>
              <w:rPr>
                <w:sz w:val="20"/>
                <w:szCs w:val="20"/>
                <w:color w:val="auto"/>
              </w:rPr>
            </w:pPr>
            <w:r>
              <w:rPr>
                <w:rFonts w:ascii="Arial" w:cs="Arial" w:eastAsia="Arial" w:hAnsi="Arial"/>
                <w:sz w:val="10"/>
                <w:szCs w:val="10"/>
                <w:b w:val="1"/>
                <w:bCs w:val="1"/>
                <w:color w:val="auto"/>
                <w:w w:val="94"/>
              </w:rPr>
              <w:t>Shares Beneficially Owned Before the Offering</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auto"/>
                <w:w w:val="95"/>
              </w:rPr>
              <w:t>Shares Beneficially Owned After the Offering</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4"/>
          </w:tcPr>
          <w:p>
            <w:pPr>
              <w:ind w:left="320"/>
              <w:spacing w:after="0"/>
              <w:rPr>
                <w:sz w:val="20"/>
                <w:szCs w:val="20"/>
                <w:color w:val="auto"/>
              </w:rPr>
            </w:pPr>
            <w:r>
              <w:rPr>
                <w:rFonts w:ascii="Arial" w:cs="Arial" w:eastAsia="Arial" w:hAnsi="Arial"/>
                <w:sz w:val="10"/>
                <w:szCs w:val="10"/>
                <w:b w:val="1"/>
                <w:bCs w:val="1"/>
                <w:color w:val="auto"/>
              </w:rPr>
              <w:t>Class A Common Stock</w:t>
            </w:r>
          </w:p>
        </w:tc>
        <w:tc>
          <w:tcPr>
            <w:tcW w:w="1880" w:type="dxa"/>
            <w:vAlign w:val="bottom"/>
            <w:gridSpan w:val="3"/>
          </w:tcPr>
          <w:p>
            <w:pPr>
              <w:jc w:val="right"/>
              <w:ind w:right="352"/>
              <w:spacing w:after="0"/>
              <w:rPr>
                <w:sz w:val="20"/>
                <w:szCs w:val="20"/>
                <w:color w:val="auto"/>
              </w:rPr>
            </w:pPr>
            <w:r>
              <w:rPr>
                <w:rFonts w:ascii="Arial" w:cs="Arial" w:eastAsia="Arial" w:hAnsi="Arial"/>
                <w:sz w:val="10"/>
                <w:szCs w:val="10"/>
                <w:b w:val="1"/>
                <w:bCs w:val="1"/>
                <w:color w:val="auto"/>
              </w:rPr>
              <w:t>Class B Common Stock</w:t>
            </w:r>
          </w:p>
        </w:tc>
        <w:tc>
          <w:tcPr>
            <w:tcW w:w="80" w:type="dxa"/>
            <w:vAlign w:val="bottom"/>
          </w:tcPr>
          <w:p>
            <w:pPr>
              <w:spacing w:after="0"/>
              <w:rPr>
                <w:sz w:val="22"/>
                <w:szCs w:val="22"/>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1"/>
              </w:rPr>
              <w:t>Number of</w:t>
            </w:r>
          </w:p>
        </w:tc>
        <w:tc>
          <w:tcPr>
            <w:tcW w:w="1840" w:type="dxa"/>
            <w:vAlign w:val="bottom"/>
            <w:gridSpan w:val="4"/>
          </w:tcPr>
          <w:p>
            <w:pPr>
              <w:ind w:left="340"/>
              <w:spacing w:after="0"/>
              <w:rPr>
                <w:sz w:val="20"/>
                <w:szCs w:val="20"/>
                <w:color w:val="auto"/>
              </w:rPr>
            </w:pPr>
            <w:r>
              <w:rPr>
                <w:rFonts w:ascii="Arial" w:cs="Arial" w:eastAsia="Arial" w:hAnsi="Arial"/>
                <w:sz w:val="10"/>
                <w:szCs w:val="10"/>
                <w:b w:val="1"/>
                <w:bCs w:val="1"/>
                <w:color w:val="auto"/>
              </w:rPr>
              <w:t>Class A Common Stock</w:t>
            </w:r>
          </w:p>
        </w:tc>
        <w:tc>
          <w:tcPr>
            <w:tcW w:w="1820" w:type="dxa"/>
            <w:vAlign w:val="bottom"/>
            <w:gridSpan w:val="4"/>
          </w:tcPr>
          <w:p>
            <w:pPr>
              <w:jc w:val="right"/>
              <w:ind w:right="312"/>
              <w:spacing w:after="0"/>
              <w:rPr>
                <w:sz w:val="20"/>
                <w:szCs w:val="20"/>
                <w:color w:val="auto"/>
              </w:rPr>
            </w:pPr>
            <w:r>
              <w:rPr>
                <w:rFonts w:ascii="Arial" w:cs="Arial" w:eastAsia="Arial" w:hAnsi="Arial"/>
                <w:sz w:val="10"/>
                <w:szCs w:val="10"/>
                <w:b w:val="1"/>
                <w:bCs w:val="1"/>
                <w:color w:val="auto"/>
              </w:rPr>
              <w:t>Class B Common Stock</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6"/>
        </w:trPr>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3"/>
              </w:rPr>
              <w:t>Shares of Class</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Percentage of Total</w:t>
            </w:r>
          </w:p>
        </w:tc>
        <w:tc>
          <w:tcPr>
            <w:tcW w:w="0" w:type="dxa"/>
            <w:vAlign w:val="bottom"/>
          </w:tcPr>
          <w:p>
            <w:pPr>
              <w:spacing w:after="0"/>
              <w:rPr>
                <w:sz w:val="1"/>
                <w:szCs w:val="1"/>
                <w:color w:val="auto"/>
              </w:rPr>
            </w:pPr>
          </w:p>
        </w:tc>
      </w:tr>
      <w:tr>
        <w:trPr>
          <w:trHeight w:val="96"/>
        </w:trPr>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5"/>
              </w:rPr>
              <w:t>% of Class A</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restart"/>
          </w:tcPr>
          <w:p>
            <w:pPr>
              <w:jc w:val="right"/>
              <w:ind w:right="112"/>
              <w:spacing w:after="0"/>
              <w:rPr>
                <w:sz w:val="20"/>
                <w:szCs w:val="20"/>
                <w:color w:val="auto"/>
              </w:rPr>
            </w:pPr>
            <w:r>
              <w:rPr>
                <w:rFonts w:ascii="Arial" w:cs="Arial" w:eastAsia="Arial" w:hAnsi="Arial"/>
                <w:sz w:val="10"/>
                <w:szCs w:val="10"/>
                <w:b w:val="1"/>
                <w:bCs w:val="1"/>
                <w:color w:val="auto"/>
              </w:rPr>
              <w:t>% of Class B</w:t>
            </w:r>
          </w:p>
        </w:tc>
        <w:tc>
          <w:tcPr>
            <w:tcW w:w="80" w:type="dxa"/>
            <w:vAlign w:val="bottom"/>
          </w:tcPr>
          <w:p>
            <w:pPr>
              <w:spacing w:after="0"/>
              <w:rPr>
                <w:sz w:val="8"/>
                <w:szCs w:val="8"/>
                <w:color w:val="auto"/>
              </w:rPr>
            </w:pPr>
          </w:p>
        </w:tc>
        <w:tc>
          <w:tcPr>
            <w:tcW w:w="86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3"/>
              </w:rPr>
              <w:t>A Common</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5"/>
              </w:rPr>
              <w:t>% of Class A</w:t>
            </w: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restart"/>
          </w:tcPr>
          <w:p>
            <w:pPr>
              <w:jc w:val="right"/>
              <w:ind w:right="72"/>
              <w:spacing w:after="0"/>
              <w:rPr>
                <w:sz w:val="20"/>
                <w:szCs w:val="20"/>
                <w:color w:val="auto"/>
              </w:rPr>
            </w:pPr>
            <w:r>
              <w:rPr>
                <w:rFonts w:ascii="Arial" w:cs="Arial" w:eastAsia="Arial" w:hAnsi="Arial"/>
                <w:sz w:val="10"/>
                <w:szCs w:val="10"/>
                <w:b w:val="1"/>
                <w:bCs w:val="1"/>
                <w:color w:val="auto"/>
              </w:rPr>
              <w:t>% of Class B</w:t>
            </w: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8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Name of Beneficial Owner</w:t>
            </w:r>
          </w:p>
        </w:tc>
        <w:tc>
          <w:tcPr>
            <w:tcW w:w="780" w:type="dxa"/>
            <w:vAlign w:val="bottom"/>
            <w:vMerge w:val="restart"/>
          </w:tcPr>
          <w:p>
            <w:pPr>
              <w:jc w:val="right"/>
              <w:ind w:right="172"/>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Shares</w:t>
            </w: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7"/>
              </w:rPr>
              <w:t>Stock Sold in</w:t>
            </w:r>
          </w:p>
        </w:tc>
        <w:tc>
          <w:tcPr>
            <w:tcW w:w="820" w:type="dxa"/>
            <w:vAlign w:val="bottom"/>
            <w:vMerge w:val="restart"/>
          </w:tcPr>
          <w:p>
            <w:pPr>
              <w:jc w:val="right"/>
              <w:ind w:right="192"/>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40" w:type="dxa"/>
            <w:vAlign w:val="bottom"/>
            <w:gridSpan w:val="3"/>
            <w:vMerge w:val="restart"/>
          </w:tcPr>
          <w:p>
            <w:pPr>
              <w:ind w:left="300"/>
              <w:spacing w:after="0"/>
              <w:rPr>
                <w:sz w:val="20"/>
                <w:szCs w:val="20"/>
                <w:color w:val="auto"/>
              </w:rPr>
            </w:pPr>
            <w:r>
              <w:rPr>
                <w:rFonts w:ascii="Arial" w:cs="Arial" w:eastAsia="Arial" w:hAnsi="Arial"/>
                <w:sz w:val="10"/>
                <w:szCs w:val="10"/>
                <w:b w:val="1"/>
                <w:bCs w:val="1"/>
                <w:color w:val="auto"/>
              </w:rPr>
              <w:t>Shares</w:t>
            </w: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5"/>
              </w:rPr>
              <w:t>Voting Power After</w:t>
            </w:r>
          </w:p>
        </w:tc>
        <w:tc>
          <w:tcPr>
            <w:tcW w:w="0" w:type="dxa"/>
            <w:vAlign w:val="bottom"/>
          </w:tcPr>
          <w:p>
            <w:pPr>
              <w:spacing w:after="0"/>
              <w:rPr>
                <w:sz w:val="1"/>
                <w:szCs w:val="1"/>
                <w:color w:val="auto"/>
              </w:rPr>
            </w:pPr>
          </w:p>
        </w:tc>
      </w:tr>
      <w:tr>
        <w:trPr>
          <w:trHeight w:val="135"/>
        </w:trPr>
        <w:tc>
          <w:tcPr>
            <w:tcW w:w="186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Common Stock</w:t>
            </w:r>
          </w:p>
        </w:tc>
        <w:tc>
          <w:tcPr>
            <w:tcW w:w="980" w:type="dxa"/>
            <w:vAlign w:val="bottom"/>
            <w:gridSpan w:val="2"/>
            <w:vMerge w:val="continue"/>
          </w:tcPr>
          <w:p>
            <w:pPr>
              <w:spacing w:after="0"/>
              <w:rPr>
                <w:sz w:val="11"/>
                <w:szCs w:val="11"/>
                <w:color w:val="auto"/>
              </w:rPr>
            </w:pPr>
          </w:p>
        </w:tc>
        <w:tc>
          <w:tcPr>
            <w:tcW w:w="900" w:type="dxa"/>
            <w:vAlign w:val="bottom"/>
          </w:tcPr>
          <w:p>
            <w:pPr>
              <w:jc w:val="right"/>
              <w:ind w:right="52"/>
              <w:spacing w:after="0"/>
              <w:rPr>
                <w:sz w:val="20"/>
                <w:szCs w:val="20"/>
                <w:color w:val="auto"/>
              </w:rPr>
            </w:pPr>
            <w:r>
              <w:rPr>
                <w:rFonts w:ascii="Arial" w:cs="Arial" w:eastAsia="Arial" w:hAnsi="Arial"/>
                <w:sz w:val="10"/>
                <w:szCs w:val="10"/>
                <w:b w:val="1"/>
                <w:bCs w:val="1"/>
                <w:color w:val="auto"/>
              </w:rPr>
              <w:t>Common Stock</w:t>
            </w:r>
          </w:p>
        </w:tc>
        <w:tc>
          <w:tcPr>
            <w:tcW w:w="80" w:type="dxa"/>
            <w:vAlign w:val="bottom"/>
          </w:tcPr>
          <w:p>
            <w:pPr>
              <w:spacing w:after="0"/>
              <w:rPr>
                <w:sz w:val="11"/>
                <w:szCs w:val="11"/>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the Offering</w:t>
            </w: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Common Stock</w:t>
            </w:r>
          </w:p>
        </w:tc>
        <w:tc>
          <w:tcPr>
            <w:tcW w:w="1040" w:type="dxa"/>
            <w:vAlign w:val="bottom"/>
            <w:gridSpan w:val="3"/>
            <w:vMerge w:val="continue"/>
          </w:tcPr>
          <w:p>
            <w:pPr>
              <w:spacing w:after="0"/>
              <w:rPr>
                <w:sz w:val="11"/>
                <w:szCs w:val="11"/>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b w:val="1"/>
                <w:bCs w:val="1"/>
                <w:color w:val="auto"/>
                <w:w w:val="95"/>
              </w:rPr>
              <w:t>Common Stock</w:t>
            </w:r>
          </w:p>
        </w:tc>
        <w:tc>
          <w:tcPr>
            <w:tcW w:w="10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95"/>
              </w:rPr>
              <w:t>the Offering (%)</w:t>
            </w:r>
          </w:p>
        </w:tc>
        <w:tc>
          <w:tcPr>
            <w:tcW w:w="0" w:type="dxa"/>
            <w:vAlign w:val="bottom"/>
          </w:tcPr>
          <w:p>
            <w:pPr>
              <w:spacing w:after="0"/>
              <w:rPr>
                <w:sz w:val="1"/>
                <w:szCs w:val="1"/>
                <w:color w:val="auto"/>
              </w:rPr>
            </w:pPr>
          </w:p>
        </w:tc>
      </w:tr>
      <w:tr>
        <w:trPr>
          <w:trHeight w:val="108"/>
        </w:trPr>
        <w:tc>
          <w:tcPr>
            <w:tcW w:w="1760" w:type="dxa"/>
            <w:vAlign w:val="bottom"/>
            <w:tcBorders>
              <w:top w:val="single" w:sz="8" w:color="auto"/>
            </w:tcBorders>
            <w:shd w:val="clear" w:color="auto" w:fill="CCEEFF"/>
          </w:tcPr>
          <w:p>
            <w:pPr>
              <w:ind w:left="20"/>
              <w:spacing w:after="0" w:line="108" w:lineRule="exact"/>
              <w:rPr>
                <w:sz w:val="20"/>
                <w:szCs w:val="20"/>
                <w:color w:val="auto"/>
              </w:rPr>
            </w:pPr>
            <w:r>
              <w:rPr>
                <w:rFonts w:ascii="Arial" w:cs="Arial" w:eastAsia="Arial" w:hAnsi="Arial"/>
                <w:sz w:val="11"/>
                <w:szCs w:val="11"/>
                <w:b w:val="1"/>
                <w:bCs w:val="1"/>
                <w:i w:val="1"/>
                <w:iCs w:val="1"/>
                <w:color w:val="auto"/>
              </w:rPr>
              <w:t>Named Executive Officers and</w:t>
            </w:r>
          </w:p>
        </w:tc>
        <w:tc>
          <w:tcPr>
            <w:tcW w:w="1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60" w:type="dxa"/>
            <w:vAlign w:val="bottom"/>
            <w:gridSpan w:val="2"/>
            <w:shd w:val="clear" w:color="auto" w:fill="CCEEFF"/>
          </w:tcPr>
          <w:p>
            <w:pPr>
              <w:ind w:left="160"/>
              <w:spacing w:after="0"/>
              <w:rPr>
                <w:sz w:val="20"/>
                <w:szCs w:val="20"/>
                <w:color w:val="auto"/>
              </w:rPr>
            </w:pPr>
            <w:r>
              <w:rPr>
                <w:rFonts w:ascii="Arial" w:cs="Arial" w:eastAsia="Arial" w:hAnsi="Arial"/>
                <w:sz w:val="11"/>
                <w:szCs w:val="11"/>
                <w:b w:val="1"/>
                <w:bCs w:val="1"/>
                <w:i w:val="1"/>
                <w:iCs w:val="1"/>
                <w:color w:val="auto"/>
              </w:rPr>
              <w:t>directors:</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6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Vladimir Tenev</w:t>
            </w:r>
            <w:r>
              <w:rPr>
                <w:rFonts w:ascii="Arial" w:cs="Arial" w:eastAsia="Arial" w:hAnsi="Arial"/>
                <w:sz w:val="14"/>
                <w:szCs w:val="14"/>
                <w:color w:val="auto"/>
                <w:vertAlign w:val="superscript"/>
              </w:rPr>
              <w:t>(1)</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54,357,547</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40.4 %</w:t>
            </w:r>
          </w:p>
        </w:tc>
        <w:tc>
          <w:tcPr>
            <w:tcW w:w="860" w:type="dxa"/>
            <w:vAlign w:val="bottom"/>
            <w:gridSpan w:val="2"/>
          </w:tcPr>
          <w:p>
            <w:pPr>
              <w:jc w:val="right"/>
              <w:spacing w:after="0"/>
              <w:rPr>
                <w:sz w:val="20"/>
                <w:szCs w:val="20"/>
                <w:color w:val="auto"/>
              </w:rPr>
            </w:pPr>
            <w:r>
              <w:rPr>
                <w:rFonts w:ascii="Arial" w:cs="Arial" w:eastAsia="Arial" w:hAnsi="Arial"/>
                <w:sz w:val="10"/>
                <w:szCs w:val="10"/>
                <w:color w:val="auto"/>
              </w:rPr>
              <w:t>1,250,000</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53,107,547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40.3 %</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26.3 %</w:t>
            </w:r>
          </w:p>
        </w:tc>
        <w:tc>
          <w:tcPr>
            <w:tcW w:w="0" w:type="dxa"/>
            <w:vAlign w:val="bottom"/>
          </w:tcPr>
          <w:p>
            <w:pPr>
              <w:spacing w:after="0"/>
              <w:rPr>
                <w:sz w:val="1"/>
                <w:szCs w:val="1"/>
                <w:color w:val="auto"/>
              </w:rPr>
            </w:pPr>
          </w:p>
        </w:tc>
      </w:tr>
      <w:tr>
        <w:trPr>
          <w:trHeight w:val="155"/>
        </w:trPr>
        <w:tc>
          <w:tcPr>
            <w:tcW w:w="186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1"/>
                <w:szCs w:val="11"/>
                <w:color w:val="auto"/>
              </w:rPr>
              <w:t>Baiju Bhatt</w:t>
            </w:r>
            <w:r>
              <w:rPr>
                <w:rFonts w:ascii="Arial" w:cs="Arial" w:eastAsia="Arial" w:hAnsi="Arial"/>
                <w:sz w:val="14"/>
                <w:szCs w:val="14"/>
                <w:color w:val="auto"/>
                <w:vertAlign w:val="superscript"/>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80,212,723</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59.7 %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1,250,000</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78,962,723</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59.8 %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39.0 %</w:t>
            </w:r>
          </w:p>
        </w:tc>
        <w:tc>
          <w:tcPr>
            <w:tcW w:w="0" w:type="dxa"/>
            <w:vAlign w:val="bottom"/>
          </w:tcPr>
          <w:p>
            <w:pPr>
              <w:spacing w:after="0"/>
              <w:rPr>
                <w:sz w:val="1"/>
                <w:szCs w:val="1"/>
                <w:color w:val="auto"/>
              </w:rPr>
            </w:pPr>
          </w:p>
        </w:tc>
      </w:tr>
      <w:tr>
        <w:trPr>
          <w:trHeight w:val="155"/>
        </w:trPr>
        <w:tc>
          <w:tcPr>
            <w:tcW w:w="186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Daniel Gallagher</w:t>
            </w:r>
            <w:r>
              <w:rPr>
                <w:rFonts w:ascii="Arial" w:cs="Arial" w:eastAsia="Arial" w:hAnsi="Arial"/>
                <w:sz w:val="14"/>
                <w:szCs w:val="14"/>
                <w:color w:val="auto"/>
                <w:vertAlign w:val="superscript"/>
              </w:rPr>
              <w:t>(3)</w:t>
            </w:r>
          </w:p>
        </w:tc>
        <w:tc>
          <w:tcPr>
            <w:tcW w:w="780" w:type="dxa"/>
            <w:vAlign w:val="bottom"/>
          </w:tcPr>
          <w:p>
            <w:pPr>
              <w:jc w:val="right"/>
              <w:spacing w:after="0"/>
              <w:rPr>
                <w:sz w:val="20"/>
                <w:szCs w:val="20"/>
                <w:color w:val="auto"/>
              </w:rPr>
            </w:pPr>
            <w:r>
              <w:rPr>
                <w:rFonts w:ascii="Arial" w:cs="Arial" w:eastAsia="Arial" w:hAnsi="Arial"/>
                <w:sz w:val="10"/>
                <w:szCs w:val="10"/>
                <w:color w:val="auto"/>
              </w:rPr>
              <w:t>334,414</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334,414</w:t>
            </w:r>
          </w:p>
        </w:tc>
        <w:tc>
          <w:tcPr>
            <w:tcW w:w="9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5"/>
        </w:trPr>
        <w:tc>
          <w:tcPr>
            <w:tcW w:w="186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1"/>
                <w:szCs w:val="11"/>
                <w:color w:val="auto"/>
              </w:rPr>
              <w:t>Jason Warnick</w:t>
            </w:r>
            <w:r>
              <w:rPr>
                <w:rFonts w:ascii="Arial" w:cs="Arial" w:eastAsia="Arial" w:hAnsi="Arial"/>
                <w:sz w:val="14"/>
                <w:szCs w:val="14"/>
                <w:color w:val="auto"/>
                <w:vertAlign w:val="superscript"/>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867,164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125,000</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742,164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5"/>
        </w:trPr>
        <w:tc>
          <w:tcPr>
            <w:tcW w:w="186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Jan Hammer</w:t>
            </w:r>
            <w:r>
              <w:rPr>
                <w:rFonts w:ascii="Arial" w:cs="Arial" w:eastAsia="Arial" w:hAnsi="Arial"/>
                <w:sz w:val="14"/>
                <w:szCs w:val="14"/>
                <w:color w:val="auto"/>
                <w:vertAlign w:val="superscript"/>
              </w:rPr>
              <w:t>(5)</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5"/>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Paula Loop</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5"/>
        </w:trPr>
        <w:tc>
          <w:tcPr>
            <w:tcW w:w="186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Jonathan Rubinstein</w:t>
            </w:r>
            <w:r>
              <w:rPr>
                <w:rFonts w:ascii="Arial" w:cs="Arial" w:eastAsia="Arial" w:hAnsi="Arial"/>
                <w:sz w:val="14"/>
                <w:szCs w:val="14"/>
                <w:color w:val="auto"/>
                <w:vertAlign w:val="superscript"/>
              </w:rPr>
              <w:t>(6)</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5"/>
        </w:trPr>
        <w:tc>
          <w:tcPr>
            <w:tcW w:w="186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1"/>
                <w:szCs w:val="11"/>
                <w:color w:val="auto"/>
              </w:rPr>
              <w:t>Scott Sandell</w:t>
            </w:r>
            <w:r>
              <w:rPr>
                <w:rFonts w:ascii="Arial" w:cs="Arial" w:eastAsia="Arial" w:hAnsi="Arial"/>
                <w:sz w:val="14"/>
                <w:szCs w:val="14"/>
                <w:color w:val="auto"/>
                <w:vertAlign w:val="superscript"/>
              </w:rPr>
              <w:t>(7)</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1860" w:type="dxa"/>
            <w:vAlign w:val="bottom"/>
            <w:gridSpan w:val="2"/>
          </w:tcPr>
          <w:p>
            <w:pPr>
              <w:ind w:left="20"/>
              <w:spacing w:after="0"/>
              <w:rPr>
                <w:sz w:val="20"/>
                <w:szCs w:val="20"/>
                <w:color w:val="auto"/>
              </w:rPr>
            </w:pPr>
            <w:r>
              <w:rPr>
                <w:rFonts w:ascii="Arial" w:cs="Arial" w:eastAsia="Arial" w:hAnsi="Arial"/>
                <w:sz w:val="11"/>
                <w:szCs w:val="11"/>
                <w:color w:val="auto"/>
              </w:rPr>
              <w:t>Robert Zoellick</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1860" w:type="dxa"/>
            <w:vAlign w:val="bottom"/>
            <w:gridSpan w:val="2"/>
            <w:shd w:val="clear" w:color="auto" w:fill="CCEEFF"/>
          </w:tcPr>
          <w:p>
            <w:pPr>
              <w:ind w:left="20"/>
              <w:spacing w:after="0" w:line="116" w:lineRule="exact"/>
              <w:rPr>
                <w:sz w:val="20"/>
                <w:szCs w:val="20"/>
                <w:color w:val="auto"/>
              </w:rPr>
            </w:pPr>
            <w:r>
              <w:rPr>
                <w:rFonts w:ascii="Arial" w:cs="Arial" w:eastAsia="Arial" w:hAnsi="Arial"/>
                <w:sz w:val="11"/>
                <w:szCs w:val="11"/>
                <w:b w:val="1"/>
                <w:bCs w:val="1"/>
                <w:i w:val="1"/>
                <w:iCs w:val="1"/>
                <w:color w:val="auto"/>
              </w:rPr>
              <w:t>All executive officers and</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86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1"/>
                <w:szCs w:val="11"/>
                <w:b w:val="1"/>
                <w:bCs w:val="1"/>
                <w:i w:val="1"/>
                <w:iCs w:val="1"/>
                <w:color w:val="auto"/>
              </w:rPr>
              <w:t>directors as a group (n=12):</w:t>
            </w:r>
            <w:r>
              <w:rPr>
                <w:rFonts w:ascii="Arial" w:cs="Arial" w:eastAsia="Arial" w:hAnsi="Arial"/>
                <w:sz w:val="14"/>
                <w:szCs w:val="14"/>
                <w:b w:val="1"/>
                <w:bCs w:val="1"/>
                <w:i w:val="1"/>
                <w:iCs w:val="1"/>
                <w:color w:val="auto"/>
                <w:vertAlign w:val="superscript"/>
              </w:rPr>
              <w:t>(8)</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2,017,868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_*</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134,307,224</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2,625,000</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1,892,868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131,807,224</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65.4 %</w:t>
            </w:r>
          </w:p>
        </w:tc>
        <w:tc>
          <w:tcPr>
            <w:tcW w:w="0" w:type="dxa"/>
            <w:vAlign w:val="bottom"/>
          </w:tcPr>
          <w:p>
            <w:pPr>
              <w:spacing w:after="0"/>
              <w:rPr>
                <w:sz w:val="1"/>
                <w:szCs w:val="1"/>
                <w:color w:val="auto"/>
              </w:rPr>
            </w:pPr>
          </w:p>
        </w:tc>
      </w:tr>
      <w:tr>
        <w:trPr>
          <w:trHeight w:val="150"/>
        </w:trPr>
        <w:tc>
          <w:tcPr>
            <w:tcW w:w="1860" w:type="dxa"/>
            <w:vAlign w:val="bottom"/>
            <w:gridSpan w:val="2"/>
          </w:tcPr>
          <w:p>
            <w:pPr>
              <w:ind w:left="20"/>
              <w:spacing w:after="0"/>
              <w:rPr>
                <w:sz w:val="20"/>
                <w:szCs w:val="20"/>
                <w:color w:val="auto"/>
              </w:rPr>
            </w:pPr>
            <w:r>
              <w:rPr>
                <w:rFonts w:ascii="Arial" w:cs="Arial" w:eastAsia="Arial" w:hAnsi="Arial"/>
                <w:sz w:val="11"/>
                <w:szCs w:val="11"/>
                <w:b w:val="1"/>
                <w:bCs w:val="1"/>
                <w:i w:val="1"/>
                <w:iCs w:val="1"/>
                <w:color w:val="auto"/>
              </w:rPr>
              <w:t>&gt;5% stockholders: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Entities affiliated with DST Global</w:t>
            </w:r>
            <w:r>
              <w:rPr>
                <w:rFonts w:ascii="Arial" w:cs="Arial" w:eastAsia="Arial" w:hAnsi="Arial"/>
                <w:sz w:val="14"/>
                <w:szCs w:val="14"/>
                <w:color w:val="auto"/>
                <w:vertAlign w:val="superscript"/>
              </w:rPr>
              <w:t>(9)</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58,102,765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9.0 %</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58,102,765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8.3 %</w:t>
            </w:r>
          </w:p>
        </w:tc>
        <w:tc>
          <w:tcPr>
            <w:tcW w:w="1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2.9 %</w:t>
            </w:r>
          </w:p>
        </w:tc>
        <w:tc>
          <w:tcPr>
            <w:tcW w:w="0" w:type="dxa"/>
            <w:vAlign w:val="bottom"/>
          </w:tcPr>
          <w:p>
            <w:pPr>
              <w:spacing w:after="0"/>
              <w:rPr>
                <w:sz w:val="1"/>
                <w:szCs w:val="1"/>
                <w:color w:val="auto"/>
              </w:rPr>
            </w:pPr>
          </w:p>
        </w:tc>
      </w:tr>
      <w:tr>
        <w:trPr>
          <w:trHeight w:val="114"/>
        </w:trPr>
        <w:tc>
          <w:tcPr>
            <w:tcW w:w="1860" w:type="dxa"/>
            <w:vAlign w:val="bottom"/>
            <w:gridSpan w:val="2"/>
          </w:tcPr>
          <w:p>
            <w:pPr>
              <w:ind w:left="20"/>
              <w:spacing w:after="0" w:line="114" w:lineRule="exact"/>
              <w:rPr>
                <w:sz w:val="20"/>
                <w:szCs w:val="20"/>
                <w:color w:val="auto"/>
              </w:rPr>
            </w:pPr>
            <w:r>
              <w:rPr>
                <w:rFonts w:ascii="Arial" w:cs="Arial" w:eastAsia="Arial" w:hAnsi="Arial"/>
                <w:sz w:val="11"/>
                <w:szCs w:val="11"/>
                <w:color w:val="auto"/>
              </w:rPr>
              <w:t>Entities affiliated with Index</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60" w:type="dxa"/>
            <w:vAlign w:val="bottom"/>
            <w:gridSpan w:val="2"/>
          </w:tcPr>
          <w:p>
            <w:pPr>
              <w:ind w:left="160"/>
              <w:spacing w:after="0" w:line="149" w:lineRule="exact"/>
              <w:rPr>
                <w:sz w:val="20"/>
                <w:szCs w:val="20"/>
                <w:color w:val="auto"/>
              </w:rPr>
            </w:pPr>
            <w:r>
              <w:rPr>
                <w:rFonts w:ascii="Arial" w:cs="Arial" w:eastAsia="Arial" w:hAnsi="Arial"/>
                <w:sz w:val="11"/>
                <w:szCs w:val="11"/>
                <w:color w:val="auto"/>
              </w:rPr>
              <w:t>Ventures</w:t>
            </w:r>
            <w:r>
              <w:rPr>
                <w:rFonts w:ascii="Arial" w:cs="Arial" w:eastAsia="Arial" w:hAnsi="Arial"/>
                <w:sz w:val="14"/>
                <w:szCs w:val="14"/>
                <w:color w:val="auto"/>
                <w:vertAlign w:val="superscript"/>
              </w:rPr>
              <w:t>(10)</w:t>
            </w:r>
          </w:p>
        </w:tc>
        <w:tc>
          <w:tcPr>
            <w:tcW w:w="780" w:type="dxa"/>
            <w:vAlign w:val="bottom"/>
          </w:tcPr>
          <w:p>
            <w:pPr>
              <w:jc w:val="right"/>
              <w:spacing w:after="0"/>
              <w:rPr>
                <w:sz w:val="20"/>
                <w:szCs w:val="20"/>
                <w:color w:val="auto"/>
              </w:rPr>
            </w:pPr>
            <w:r>
              <w:rPr>
                <w:rFonts w:ascii="Arial" w:cs="Arial" w:eastAsia="Arial" w:hAnsi="Arial"/>
                <w:sz w:val="10"/>
                <w:szCs w:val="10"/>
                <w:color w:val="auto"/>
              </w:rPr>
              <w:t>84,878,375</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13.1 %</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84,878,375</w:t>
            </w:r>
          </w:p>
        </w:tc>
        <w:tc>
          <w:tcPr>
            <w:tcW w:w="920" w:type="dxa"/>
            <w:vAlign w:val="bottom"/>
            <w:gridSpan w:val="2"/>
          </w:tcPr>
          <w:p>
            <w:pPr>
              <w:jc w:val="right"/>
              <w:spacing w:after="0"/>
              <w:rPr>
                <w:sz w:val="20"/>
                <w:szCs w:val="20"/>
                <w:color w:val="auto"/>
              </w:rPr>
            </w:pPr>
            <w:r>
              <w:rPr>
                <w:rFonts w:ascii="Arial" w:cs="Arial" w:eastAsia="Arial" w:hAnsi="Arial"/>
                <w:sz w:val="10"/>
                <w:szCs w:val="10"/>
                <w:color w:val="auto"/>
              </w:rPr>
              <w:t>12.1 %</w:t>
            </w:r>
          </w:p>
        </w:tc>
        <w:tc>
          <w:tcPr>
            <w:tcW w:w="100" w:type="dxa"/>
            <w:vAlign w:val="bottom"/>
          </w:tcPr>
          <w:p>
            <w:pPr>
              <w:spacing w:after="0"/>
              <w:rPr>
                <w:sz w:val="12"/>
                <w:szCs w:val="12"/>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4.2 %</w:t>
            </w:r>
          </w:p>
        </w:tc>
        <w:tc>
          <w:tcPr>
            <w:tcW w:w="0" w:type="dxa"/>
            <w:vAlign w:val="bottom"/>
          </w:tcPr>
          <w:p>
            <w:pPr>
              <w:spacing w:after="0"/>
              <w:rPr>
                <w:sz w:val="1"/>
                <w:szCs w:val="1"/>
                <w:color w:val="auto"/>
              </w:rPr>
            </w:pPr>
          </w:p>
        </w:tc>
      </w:tr>
      <w:tr>
        <w:trPr>
          <w:trHeight w:val="114"/>
        </w:trPr>
        <w:tc>
          <w:tcPr>
            <w:tcW w:w="186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1"/>
                <w:szCs w:val="11"/>
                <w:color w:val="auto"/>
              </w:rPr>
              <w:t>Entities affiliated with New</w:t>
            </w: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1"/>
                <w:szCs w:val="11"/>
                <w:color w:val="auto"/>
              </w:rPr>
              <w:t>Enterprise Associates</w:t>
            </w:r>
            <w:r>
              <w:rPr>
                <w:rFonts w:ascii="Arial" w:cs="Arial" w:eastAsia="Arial" w:hAnsi="Arial"/>
                <w:sz w:val="14"/>
                <w:szCs w:val="14"/>
                <w:color w:val="auto"/>
                <w:vertAlign w:val="superscript"/>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74,624,328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11.5 %</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74,624,328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10.6 %</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3.7 %</w:t>
            </w:r>
          </w:p>
        </w:tc>
        <w:tc>
          <w:tcPr>
            <w:tcW w:w="0" w:type="dxa"/>
            <w:vAlign w:val="bottom"/>
          </w:tcPr>
          <w:p>
            <w:pPr>
              <w:spacing w:after="0"/>
              <w:rPr>
                <w:sz w:val="1"/>
                <w:szCs w:val="1"/>
                <w:color w:val="auto"/>
              </w:rPr>
            </w:pPr>
          </w:p>
        </w:tc>
      </w:tr>
      <w:tr>
        <w:trPr>
          <w:trHeight w:val="114"/>
        </w:trPr>
        <w:tc>
          <w:tcPr>
            <w:tcW w:w="1860" w:type="dxa"/>
            <w:vAlign w:val="bottom"/>
            <w:gridSpan w:val="2"/>
          </w:tcPr>
          <w:p>
            <w:pPr>
              <w:ind w:left="20"/>
              <w:spacing w:after="0" w:line="114" w:lineRule="exact"/>
              <w:rPr>
                <w:sz w:val="20"/>
                <w:szCs w:val="20"/>
                <w:color w:val="auto"/>
              </w:rPr>
            </w:pPr>
            <w:r>
              <w:rPr>
                <w:rFonts w:ascii="Arial" w:cs="Arial" w:eastAsia="Arial" w:hAnsi="Arial"/>
                <w:sz w:val="11"/>
                <w:szCs w:val="11"/>
                <w:color w:val="auto"/>
              </w:rPr>
              <w:t>Entities affiliated with Ribbit</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60" w:type="dxa"/>
            <w:vAlign w:val="bottom"/>
            <w:gridSpan w:val="2"/>
          </w:tcPr>
          <w:p>
            <w:pPr>
              <w:ind w:left="160"/>
              <w:spacing w:after="0" w:line="153" w:lineRule="exact"/>
              <w:rPr>
                <w:sz w:val="20"/>
                <w:szCs w:val="20"/>
                <w:color w:val="auto"/>
              </w:rPr>
            </w:pPr>
            <w:r>
              <w:rPr>
                <w:rFonts w:ascii="Arial" w:cs="Arial" w:eastAsia="Arial" w:hAnsi="Arial"/>
                <w:sz w:val="11"/>
                <w:szCs w:val="11"/>
                <w:color w:val="auto"/>
              </w:rPr>
              <w:t>Capital</w:t>
            </w:r>
            <w:r>
              <w:rPr>
                <w:rFonts w:ascii="Arial" w:cs="Arial" w:eastAsia="Arial" w:hAnsi="Arial"/>
                <w:sz w:val="14"/>
                <w:szCs w:val="14"/>
                <w:color w:val="auto"/>
                <w:vertAlign w:val="superscript"/>
              </w:rPr>
              <w:t>(12)</w:t>
            </w:r>
          </w:p>
        </w:tc>
        <w:tc>
          <w:tcPr>
            <w:tcW w:w="780" w:type="dxa"/>
            <w:vAlign w:val="bottom"/>
          </w:tcPr>
          <w:p>
            <w:pPr>
              <w:jc w:val="right"/>
              <w:spacing w:after="0"/>
              <w:rPr>
                <w:sz w:val="20"/>
                <w:szCs w:val="20"/>
                <w:color w:val="auto"/>
              </w:rPr>
            </w:pPr>
            <w:r>
              <w:rPr>
                <w:rFonts w:ascii="Arial" w:cs="Arial" w:eastAsia="Arial" w:hAnsi="Arial"/>
                <w:sz w:val="10"/>
                <w:szCs w:val="10"/>
                <w:color w:val="auto"/>
              </w:rPr>
              <w:t>63,321,417</w:t>
            </w:r>
          </w:p>
        </w:tc>
        <w:tc>
          <w:tcPr>
            <w:tcW w:w="940" w:type="dxa"/>
            <w:vAlign w:val="bottom"/>
            <w:gridSpan w:val="2"/>
          </w:tcPr>
          <w:p>
            <w:pPr>
              <w:jc w:val="right"/>
              <w:spacing w:after="0"/>
              <w:rPr>
                <w:sz w:val="20"/>
                <w:szCs w:val="20"/>
                <w:color w:val="auto"/>
              </w:rPr>
            </w:pPr>
            <w:r>
              <w:rPr>
                <w:rFonts w:ascii="Arial" w:cs="Arial" w:eastAsia="Arial" w:hAnsi="Arial"/>
                <w:sz w:val="10"/>
                <w:szCs w:val="10"/>
                <w:color w:val="auto"/>
              </w:rPr>
              <w:t>9.8 %</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63,321,417</w:t>
            </w:r>
          </w:p>
        </w:tc>
        <w:tc>
          <w:tcPr>
            <w:tcW w:w="920" w:type="dxa"/>
            <w:vAlign w:val="bottom"/>
            <w:gridSpan w:val="2"/>
          </w:tcPr>
          <w:p>
            <w:pPr>
              <w:jc w:val="right"/>
              <w:spacing w:after="0"/>
              <w:rPr>
                <w:sz w:val="20"/>
                <w:szCs w:val="20"/>
                <w:color w:val="auto"/>
              </w:rPr>
            </w:pPr>
            <w:r>
              <w:rPr>
                <w:rFonts w:ascii="Arial" w:cs="Arial" w:eastAsia="Arial" w:hAnsi="Arial"/>
                <w:sz w:val="10"/>
                <w:szCs w:val="10"/>
                <w:color w:val="auto"/>
              </w:rPr>
              <w:t>9.0 %</w:t>
            </w:r>
          </w:p>
        </w:tc>
        <w:tc>
          <w:tcPr>
            <w:tcW w:w="100" w:type="dxa"/>
            <w:vAlign w:val="bottom"/>
          </w:tcPr>
          <w:p>
            <w:pPr>
              <w:spacing w:after="0"/>
              <w:rPr>
                <w:sz w:val="13"/>
                <w:szCs w:val="13"/>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3.1 %</w:t>
            </w:r>
          </w:p>
        </w:tc>
        <w:tc>
          <w:tcPr>
            <w:tcW w:w="0" w:type="dxa"/>
            <w:vAlign w:val="bottom"/>
          </w:tcPr>
          <w:p>
            <w:pPr>
              <w:spacing w:after="0"/>
              <w:rPr>
                <w:sz w:val="1"/>
                <w:szCs w:val="1"/>
                <w:color w:val="auto"/>
              </w:rPr>
            </w:pPr>
          </w:p>
        </w:tc>
      </w:tr>
    </w:tbl>
    <w:p>
      <w:pPr>
        <w:ind w:left="4"/>
        <w:spacing w:after="0" w:line="230" w:lineRule="auto"/>
        <w:rPr>
          <w:sz w:val="20"/>
          <w:szCs w:val="20"/>
          <w:color w:val="auto"/>
        </w:rPr>
      </w:pPr>
      <w:r>
        <w:rPr>
          <w:rFonts w:ascii="Arial" w:cs="Arial" w:eastAsia="Arial" w:hAnsi="Arial"/>
          <w:sz w:val="13"/>
          <w:szCs w:val="13"/>
          <w:color w:val="auto"/>
        </w:rPr>
        <w:t>________________</w:t>
      </w:r>
    </w:p>
    <w:p>
      <w:pPr>
        <w:ind w:left="304" w:hanging="234"/>
        <w:spacing w:after="0" w:line="211" w:lineRule="auto"/>
        <w:tabs>
          <w:tab w:leader="none" w:pos="304" w:val="left"/>
        </w:tabs>
        <w:numPr>
          <w:ilvl w:val="0"/>
          <w:numId w:val="111"/>
        </w:numPr>
        <w:rPr>
          <w:rFonts w:ascii="Arial" w:cs="Arial" w:eastAsia="Arial" w:hAnsi="Arial"/>
          <w:sz w:val="13"/>
          <w:szCs w:val="13"/>
          <w:color w:val="auto"/>
        </w:rPr>
      </w:pPr>
      <w:r>
        <w:rPr>
          <w:rFonts w:ascii="Arial" w:cs="Arial" w:eastAsia="Arial" w:hAnsi="Arial"/>
          <w:sz w:val="13"/>
          <w:szCs w:val="13"/>
          <w:color w:val="auto"/>
        </w:rPr>
        <w:t>Represents beneficial ownership of less than 1% of the outstanding shares of our common stock.</w:t>
      </w:r>
    </w:p>
    <w:p>
      <w:pPr>
        <w:jc w:val="both"/>
        <w:ind w:left="284" w:right="20" w:hanging="284"/>
        <w:spacing w:after="0" w:line="219" w:lineRule="auto"/>
        <w:tabs>
          <w:tab w:leader="none" w:pos="273" w:val="left"/>
        </w:tabs>
        <w:numPr>
          <w:ilvl w:val="0"/>
          <w:numId w:val="112"/>
        </w:numPr>
        <w:rPr>
          <w:rFonts w:ascii="Arial" w:cs="Arial" w:eastAsia="Arial" w:hAnsi="Arial"/>
          <w:sz w:val="13"/>
          <w:szCs w:val="13"/>
          <w:color w:val="auto"/>
        </w:rPr>
      </w:pPr>
      <w:r>
        <w:rPr>
          <w:rFonts w:ascii="Arial" w:cs="Arial" w:eastAsia="Arial" w:hAnsi="Arial"/>
          <w:sz w:val="13"/>
          <w:szCs w:val="13"/>
          <w:color w:val="auto"/>
        </w:rPr>
        <w:t>Consists of, before giving effect to the sale of shares of our Class A common stock in this offering, (i) 51,584,956 shares of Class B common stock held of record by Vladimir Tenev, (ii) 1,098,084 shares of our Class B common stock issuable to Mr. Tenev (following the exercise of the Equity Exchange Rights) upon net settlement of Time-Based RSUs for which the time-based vesting condition is expected to be satisfied within 60 days of May 31, 2021, (iii) 1,109,428 shares of our Class B common stock issuable to Mr. Tenev (following the exercise of the Equity Exchange Rights) upon net settlement of 2019</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244</w:t>
      </w:r>
    </w:p>
    <w:p>
      <w:pPr>
        <w:sectPr>
          <w:pgSz w:w="11900" w:h="16838" w:orient="portrait"/>
          <w:cols w:equalWidth="0" w:num="1">
            <w:col w:w="11264"/>
          </w:cols>
          <w:pgMar w:left="316" w:top="1440" w:right="319" w:bottom="1440" w:gutter="0" w:footer="0" w:header="0"/>
        </w:sectPr>
      </w:pPr>
    </w:p>
    <w:bookmarkStart w:id="267" w:name="page268"/>
    <w:bookmarkEnd w:id="267"/>
    <w:p>
      <w:pPr>
        <w:jc w:val="both"/>
        <w:ind w:left="284"/>
        <w:spacing w:after="0" w:line="228" w:lineRule="auto"/>
        <w:rPr>
          <w:sz w:val="20"/>
          <w:szCs w:val="20"/>
          <w:color w:val="auto"/>
        </w:rPr>
      </w:pPr>
      <w:r>
        <w:rPr>
          <w:rFonts w:ascii="Arial" w:cs="Arial" w:eastAsia="Arial" w:hAnsi="Arial"/>
          <w:sz w:val="12"/>
          <w:szCs w:val="12"/>
          <w:color w:val="auto"/>
        </w:rPr>
        <w:t>Market-Based RSUs not subject to a time-based vesting condition, or for which the time-based vesting condition is expected to be satisfied within 60 days of May 31, 2021, and for which the market-based vesting condition will be satisfied in connection with this offering and (iv) 565,079 shares of our Class B common stock held of record by Baiju Bhatt and Adrienne Sussman as Individual Trustees and First Republic Trust Company of Delaware LLC as Administrative Trustee of The Baiju P. Bhatt 2021 Family Trust, dated April 1, 2021. Mr. Tenev has voting and investment power over the shares described in the foregoing clause (iv) pursuant to a proxy granted by the recordholder of such shares (which recordholder is an entity related to Mr. Bhatt) under the Founder Voting Agreement, but does not have an economic interest in such shares. All of the shares identified in this footnote will be subject to the Founder Voting Agreement, which is further described under “Certain Relationships and Related Party Transactions—Voting Agreements—Founder Voting Agreement.” Parties to the Founder Voting Agreement may be deemed to constitute a group for purposes of Section 13(d)(3) under the Exchange Act. Except as set forth in this footnote, Mr. Tenev has no voting or investment power over the securities beneficially owned by the other parties to the Founder Voting Agreement (including the shares described in clauses (vi) through (viii) of footnote (2) below), and disclaims beneficial ownership of such securities.</w:t>
      </w:r>
    </w:p>
    <w:p>
      <w:pPr>
        <w:spacing w:after="0" w:line="3" w:lineRule="exact"/>
        <w:rPr>
          <w:sz w:val="20"/>
          <w:szCs w:val="20"/>
          <w:color w:val="auto"/>
        </w:rPr>
      </w:pPr>
    </w:p>
    <w:p>
      <w:pPr>
        <w:jc w:val="both"/>
        <w:ind w:left="284" w:right="20" w:hanging="284"/>
        <w:spacing w:after="0"/>
        <w:tabs>
          <w:tab w:leader="none" w:pos="273" w:val="left"/>
        </w:tabs>
        <w:numPr>
          <w:ilvl w:val="0"/>
          <w:numId w:val="113"/>
        </w:numPr>
        <w:rPr>
          <w:rFonts w:ascii="Arial" w:cs="Arial" w:eastAsia="Arial" w:hAnsi="Arial"/>
          <w:sz w:val="12"/>
          <w:szCs w:val="12"/>
          <w:color w:val="auto"/>
        </w:rPr>
      </w:pPr>
      <w:r>
        <w:rPr>
          <w:rFonts w:ascii="Arial" w:cs="Arial" w:eastAsia="Arial" w:hAnsi="Arial"/>
          <w:sz w:val="12"/>
          <w:szCs w:val="12"/>
          <w:color w:val="auto"/>
        </w:rPr>
        <w:t>Consists of, before giving effect to the sale of shares of our Class A common stock in this offering, (i) 1,098,084 shares of our Class B common stock issuable to Baiju Bhatt (following the exercise of the Equity Exchange Rights) upon net settlement of Time-Based RSUs for which the time-based vesting condition is expected to be satisfied within 60 days of May 31, 2021, (ii) 1,109,428 shares of our Class B common stock issuable to Mr. Bhatt (following the exercise of the Equity Exchange Rights) upon net settlement of 2019 Market-Based RSUs not subject to a time-based vesting condition, or for which the time-based vesting condition is expected to be satisfied within 60 days of May 31, 2021, and for which the market-based vesting condition will be satisfied in connection with this offering, (iii) 1,720,944 shares of our Class B common stock held of record by The Baiju Prafulkumar Bhatt Grantor Retained Annuity Trust, dated October 4, 2018, for which Mr. Bhatt serves as sole trustee, (iv) 60,791,600 shares of our Class B common stock held of record by The Baiju Prafulkumar Bhatt Living Trust, dated 11/30/17, for which Mr. Bhatt serves as sole trustee, (v) 2,000,000 shares of our Class B common stock held of record by the Baiju P. Bhatt 2021 GRAT Agreement, dated March 29, 2021, for which Mr. Bhatt serves as sole trustee, (vi) 1,408,450 shares of our Class B common stock held of record by Butterfly Management LLC, (vii) 2,414,875 shares of our Class B common stock held of record by Surfboard Management LLC and (viii) 9,669,342 shares of our Class B common stock held of record by The Tenev 2017 Irrevocable Trust. Mr. Bhatt has voting and investment power over the shares described in the foregoing clauses (vi) through (viii) pursuant to a proxy granted by the entities that are the recordholders of such shares (which entities are related to Mr. Tenev) under the Founder Voting Agreement, but does not have an economic interest in such shares. All of the shares identified in this footnote will be subject to the Founder Voting Agreement, which is further described under “Certain Relationships and Related Party Transactions—Voting Agreements—Founder Voting Agreement.” Parties to the Founder Voting Agreement may be deemed to constitute a group for purposes of Section 13(d)(3) under the Exchange Act. Except as set forth in this footnote, Mr. Bhatt has no voting or investment power over the securities beneficially owned by the other parties to the Founder Voting Agreement (including the shares described in clause (iv) of footnote (1) above), and disclaims beneficial ownership of such securities.</w:t>
      </w:r>
    </w:p>
    <w:p>
      <w:pPr>
        <w:spacing w:after="0" w:line="58" w:lineRule="exact"/>
        <w:rPr>
          <w:rFonts w:ascii="Arial" w:cs="Arial" w:eastAsia="Arial" w:hAnsi="Arial"/>
          <w:sz w:val="12"/>
          <w:szCs w:val="12"/>
          <w:color w:val="auto"/>
        </w:rPr>
      </w:pPr>
    </w:p>
    <w:p>
      <w:pPr>
        <w:ind w:left="284" w:right="20" w:hanging="284"/>
        <w:spacing w:after="0" w:line="230" w:lineRule="auto"/>
        <w:tabs>
          <w:tab w:leader="none" w:pos="273" w:val="left"/>
        </w:tabs>
        <w:numPr>
          <w:ilvl w:val="0"/>
          <w:numId w:val="113"/>
        </w:numPr>
        <w:rPr>
          <w:rFonts w:ascii="Arial" w:cs="Arial" w:eastAsia="Arial" w:hAnsi="Arial"/>
          <w:sz w:val="13"/>
          <w:szCs w:val="13"/>
          <w:color w:val="auto"/>
        </w:rPr>
      </w:pPr>
      <w:r>
        <w:rPr>
          <w:rFonts w:ascii="Arial" w:cs="Arial" w:eastAsia="Arial" w:hAnsi="Arial"/>
          <w:sz w:val="13"/>
          <w:szCs w:val="13"/>
          <w:color w:val="auto"/>
        </w:rPr>
        <w:t>Consists of (i) 66,090 shares of our Class A common stock subject to stock options exercisable within 60 days of May 31, 2021 and (ii) 268,324 shares of our Class A common stock issuable upon net settlement of Time-Based RSUs for which the time-based vesting condition is expected to be satisfied within 60 days of May 31, 2021.</w:t>
      </w:r>
    </w:p>
    <w:p>
      <w:pPr>
        <w:jc w:val="both"/>
        <w:ind w:left="284" w:right="20" w:hanging="284"/>
        <w:spacing w:after="0" w:line="230" w:lineRule="auto"/>
        <w:tabs>
          <w:tab w:leader="none" w:pos="273" w:val="left"/>
        </w:tabs>
        <w:numPr>
          <w:ilvl w:val="0"/>
          <w:numId w:val="113"/>
        </w:numPr>
        <w:rPr>
          <w:rFonts w:ascii="Arial" w:cs="Arial" w:eastAsia="Arial" w:hAnsi="Arial"/>
          <w:sz w:val="13"/>
          <w:szCs w:val="13"/>
          <w:color w:val="auto"/>
        </w:rPr>
      </w:pPr>
      <w:r>
        <w:rPr>
          <w:rFonts w:ascii="Arial" w:cs="Arial" w:eastAsia="Arial" w:hAnsi="Arial"/>
          <w:sz w:val="13"/>
          <w:szCs w:val="13"/>
          <w:color w:val="auto"/>
        </w:rPr>
        <w:t>Consists of, before giving effect to the sale of shares of Class A common stock in this offering, (i) 452,083 shares of our Class A common stock subject to stock options exercisable within 60 days of May 31, 2021 and (ii) 415,081 shares of our Class A common stock issuable upon net settlement of Time-Based RSUs for which the time-based vesting condition is expected to be satisfied within 60 days of May 31, 2021.</w:t>
      </w:r>
    </w:p>
    <w:p>
      <w:pPr>
        <w:ind w:left="284" w:hanging="284"/>
        <w:spacing w:after="0" w:line="230" w:lineRule="auto"/>
        <w:tabs>
          <w:tab w:leader="none" w:pos="284" w:val="left"/>
        </w:tabs>
        <w:numPr>
          <w:ilvl w:val="0"/>
          <w:numId w:val="113"/>
        </w:numPr>
        <w:rPr>
          <w:rFonts w:ascii="Arial" w:cs="Arial" w:eastAsia="Arial" w:hAnsi="Arial"/>
          <w:sz w:val="13"/>
          <w:szCs w:val="13"/>
          <w:color w:val="auto"/>
        </w:rPr>
      </w:pPr>
      <w:r>
        <w:rPr>
          <w:rFonts w:ascii="Arial" w:cs="Arial" w:eastAsia="Arial" w:hAnsi="Arial"/>
          <w:sz w:val="13"/>
          <w:szCs w:val="13"/>
          <w:color w:val="auto"/>
        </w:rPr>
        <w:t>Mr. Hammer, who is a member of our board of directors and a Partner at Index Ventures, has no voting or investment control over any of the shares held by Index Ventures.</w:t>
      </w:r>
    </w:p>
    <w:p>
      <w:pPr>
        <w:jc w:val="both"/>
        <w:ind w:left="284" w:hanging="284"/>
        <w:spacing w:after="0" w:line="230" w:lineRule="auto"/>
        <w:tabs>
          <w:tab w:leader="none" w:pos="273" w:val="left"/>
        </w:tabs>
        <w:numPr>
          <w:ilvl w:val="0"/>
          <w:numId w:val="113"/>
        </w:numPr>
        <w:rPr>
          <w:rFonts w:ascii="Arial" w:cs="Arial" w:eastAsia="Arial" w:hAnsi="Arial"/>
          <w:sz w:val="13"/>
          <w:szCs w:val="13"/>
          <w:color w:val="auto"/>
        </w:rPr>
      </w:pPr>
      <w:r>
        <w:rPr>
          <w:rFonts w:ascii="Arial" w:cs="Arial" w:eastAsia="Arial" w:hAnsi="Arial"/>
          <w:sz w:val="13"/>
          <w:szCs w:val="13"/>
          <w:color w:val="auto"/>
        </w:rPr>
        <w:t>Mr. Rubinstein has expressed an interest in purchasing up to $2.0 million worth of shares of our Class A common stock in this offering, which is equal to 50,000 shares of Class A common stock, based upon an assumed initial public offering price of $40.00, which is the midpoint of the price range set forth on the cover page of this prospectus. The table above does not give effect to any such participation by Mr. Rubinstein in the offering. See “Certain Relationships and Related Person Transactions—Director Participation in this Offering” for more information.</w:t>
      </w:r>
    </w:p>
    <w:p>
      <w:pPr>
        <w:ind w:left="284" w:hanging="284"/>
        <w:spacing w:after="0" w:line="249" w:lineRule="auto"/>
        <w:tabs>
          <w:tab w:leader="none" w:pos="273" w:val="left"/>
        </w:tabs>
        <w:numPr>
          <w:ilvl w:val="0"/>
          <w:numId w:val="113"/>
        </w:numPr>
        <w:rPr>
          <w:rFonts w:ascii="Arial" w:cs="Arial" w:eastAsia="Arial" w:hAnsi="Arial"/>
          <w:sz w:val="12"/>
          <w:szCs w:val="12"/>
          <w:color w:val="auto"/>
        </w:rPr>
      </w:pPr>
      <w:r>
        <w:rPr>
          <w:rFonts w:ascii="Arial" w:cs="Arial" w:eastAsia="Arial" w:hAnsi="Arial"/>
          <w:sz w:val="12"/>
          <w:szCs w:val="12"/>
          <w:color w:val="auto"/>
        </w:rPr>
        <w:t>Mr. Sandell, who is a member of our board of directors and the Managing General Partner at New Enterprise Associates, Inc., has no voting or investment power over the shares owned by NEA Ventures (as defined below) and disclaims beneficial ownership of all shares except to the extent of his actual pecuniary interest in such shares, as further described in footnote (11) below.</w:t>
      </w:r>
    </w:p>
    <w:p>
      <w:pPr>
        <w:jc w:val="both"/>
        <w:ind w:left="284" w:right="20" w:hanging="284"/>
        <w:spacing w:after="0" w:line="230" w:lineRule="auto"/>
        <w:tabs>
          <w:tab w:leader="none" w:pos="273" w:val="left"/>
        </w:tabs>
        <w:numPr>
          <w:ilvl w:val="0"/>
          <w:numId w:val="113"/>
        </w:numPr>
        <w:rPr>
          <w:rFonts w:ascii="Arial" w:cs="Arial" w:eastAsia="Arial" w:hAnsi="Arial"/>
          <w:sz w:val="13"/>
          <w:szCs w:val="13"/>
          <w:color w:val="auto"/>
        </w:rPr>
      </w:pPr>
      <w:r>
        <w:rPr>
          <w:rFonts w:ascii="Arial" w:cs="Arial" w:eastAsia="Arial" w:hAnsi="Arial"/>
          <w:sz w:val="13"/>
          <w:szCs w:val="13"/>
          <w:color w:val="auto"/>
        </w:rPr>
        <w:t>Consists of, before giving effect to the sale of shares of Class A common stock in this offering, (i) 172,064 shares of Class A common stock, (ii) 558,809 shares of our Class A common stock subject to stock options exercisable within 60 days of May 31, 2021 and (iii) 1,286,995 shares of our Class A common stock issuable upon net settlement of Time-Based RSUs for which the time-based vesting condition is expected to be satisfied within 60 days of May 31, 2021.</w:t>
      </w:r>
    </w:p>
    <w:p>
      <w:pPr>
        <w:jc w:val="both"/>
        <w:ind w:left="284" w:right="20" w:hanging="284"/>
        <w:spacing w:after="0" w:line="249" w:lineRule="auto"/>
        <w:tabs>
          <w:tab w:leader="none" w:pos="273" w:val="left"/>
        </w:tabs>
        <w:numPr>
          <w:ilvl w:val="0"/>
          <w:numId w:val="113"/>
        </w:numPr>
        <w:rPr>
          <w:rFonts w:ascii="Arial" w:cs="Arial" w:eastAsia="Arial" w:hAnsi="Arial"/>
          <w:sz w:val="12"/>
          <w:szCs w:val="12"/>
          <w:color w:val="auto"/>
        </w:rPr>
      </w:pPr>
      <w:r>
        <w:rPr>
          <w:rFonts w:ascii="Arial" w:cs="Arial" w:eastAsia="Arial" w:hAnsi="Arial"/>
          <w:sz w:val="12"/>
          <w:szCs w:val="12"/>
          <w:color w:val="auto"/>
        </w:rPr>
        <w:t>Consists of (i) 39,320 shares of our Class A common stock held of record by Apoletto Investments IV L.P., (ii) 1,478,561 shares of our Class A common stock held of record by DST Global V Co-Invest L.P., (iii) 28,115,625 shares of our Class A common stock held of record by DST Global V L.P., (iv) 10,013,859 shares of our Class A common stock held of record by DST Global VI L.P.,</w:t>
      </w:r>
    </w:p>
    <w:p>
      <w:pPr>
        <w:ind w:left="284" w:right="20"/>
        <w:spacing w:after="0" w:line="230" w:lineRule="auto"/>
        <w:rPr>
          <w:rFonts w:ascii="Arial" w:cs="Arial" w:eastAsia="Arial" w:hAnsi="Arial"/>
          <w:sz w:val="12"/>
          <w:szCs w:val="12"/>
          <w:color w:val="auto"/>
        </w:rPr>
      </w:pPr>
      <w:r>
        <w:rPr>
          <w:rFonts w:ascii="Arial" w:cs="Arial" w:eastAsia="Arial" w:hAnsi="Arial"/>
          <w:sz w:val="13"/>
          <w:szCs w:val="13"/>
          <w:color w:val="auto"/>
        </w:rPr>
        <w:t>(v) 8,996,319 shares of our Class A common stock held of record by DST Global VII L.P. and (vi) 9,459,081 shares of our Class A common stock held of record by DST Investments XIX L.P. The address of the entities mentioned in this footnote is c/o Tulloch &amp; Co., 4 Hill Street, London WIJ 5NE, United Kingdom.</w:t>
      </w:r>
    </w:p>
    <w:p>
      <w:pPr>
        <w:jc w:val="both"/>
        <w:ind w:left="284" w:hanging="284"/>
        <w:spacing w:after="0" w:line="233" w:lineRule="auto"/>
        <w:tabs>
          <w:tab w:leader="none" w:pos="284" w:val="left"/>
        </w:tabs>
        <w:numPr>
          <w:ilvl w:val="0"/>
          <w:numId w:val="113"/>
        </w:numPr>
        <w:rPr>
          <w:rFonts w:ascii="Arial" w:cs="Arial" w:eastAsia="Arial" w:hAnsi="Arial"/>
          <w:sz w:val="13"/>
          <w:szCs w:val="13"/>
          <w:color w:val="auto"/>
        </w:rPr>
      </w:pPr>
      <w:r>
        <w:rPr>
          <w:rFonts w:ascii="Arial" w:cs="Arial" w:eastAsia="Arial" w:hAnsi="Arial"/>
          <w:sz w:val="13"/>
          <w:szCs w:val="13"/>
          <w:color w:val="auto"/>
        </w:rPr>
        <w:t>Consists of (i) 10,296,520 shares of our Class A common stock held of record by Index Ventures Growth III (Jersey) L.P. (“Index Growth III”), (ii) 70,022,080 shares of our Class A common stock held of record by Index Ventures VI (Jersey) L.P. (“Index Ventures VI”), (iii) 1,413,380 shares of our Class A common stock held of record by Index Ventures VI Parallel Entrepreneur Fund (Jersey) L.P. (“Index Ventures Parallel VI”), (iv) 1,123,580 shares of our Class A common stock held of record by Yucca (Jersey) SLP (“Yucca”) (which includes 54,525 shares to be issued upon conversion of our Tranche I convertible notes and 8,035 shares issuable upon exercise of warrants) and (v) 2,022,815 shares of our Class A common stock held by Index Ventures Growth V (Jersey) L.P. (“Index Growth V”) (which consists of 1,762,994 shares to be issued upon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245</w:t>
      </w:r>
    </w:p>
    <w:p>
      <w:pPr>
        <w:sectPr>
          <w:pgSz w:w="11900" w:h="16838" w:orient="portrait"/>
          <w:cols w:equalWidth="0" w:num="1">
            <w:col w:w="11264"/>
          </w:cols>
          <w:pgMar w:left="316" w:top="1434" w:right="319" w:bottom="1440" w:gutter="0" w:footer="0" w:header="0"/>
        </w:sectPr>
      </w:pPr>
    </w:p>
    <w:bookmarkStart w:id="268" w:name="page269"/>
    <w:bookmarkEnd w:id="268"/>
    <w:p>
      <w:pPr>
        <w:spacing w:after="0" w:line="7" w:lineRule="exact"/>
        <w:rPr>
          <w:sz w:val="20"/>
          <w:szCs w:val="20"/>
          <w:color w:val="auto"/>
        </w:rPr>
      </w:pPr>
    </w:p>
    <w:p>
      <w:pPr>
        <w:jc w:val="both"/>
        <w:ind w:left="284"/>
        <w:spacing w:after="0" w:line="249" w:lineRule="auto"/>
        <w:rPr>
          <w:sz w:val="20"/>
          <w:szCs w:val="20"/>
          <w:color w:val="auto"/>
        </w:rPr>
      </w:pPr>
      <w:r>
        <w:rPr>
          <w:rFonts w:ascii="Arial" w:cs="Arial" w:eastAsia="Arial" w:hAnsi="Arial"/>
          <w:sz w:val="12"/>
          <w:szCs w:val="12"/>
          <w:color w:val="auto"/>
        </w:rPr>
        <w:t>conversion of our Tranche I convertible notes and 259,821 shares issuable upon exercise of warrants). Index Venture Growth Associates III Limited (“IVGA III”) is the managing general partner of Index Growth III and may be deemed to have voting and dispositive power over the shares held by such fund. Index Venture Associates VI Limited (“IVA VI”) is the managing general partner of Index Ventures VI and Index Ventures Parallel VI and may be deemed to have voting and dispositive power over the shares held by such funds. Index Venture Growth Associates V Limited (“IVGA V”) is the managing general partner of Index Growth V and may be deemed to have voting and dispositive power over the shares held by such fund. Yucca is the administrator of the Index co-investment vehicles that are contractually required to mirror the relevant Index funds’ investment, and IVGA III, IVA VI and IVGA V may be deemed to have voting and dispositive power over their respective allocation of shares held by Yucca. The address of the entities mentioned in this footnote is 44 Esplanade, 5th Floor, St. Helier, Jersey JE1 3FG, Channel Islands.</w:t>
      </w:r>
    </w:p>
    <w:p>
      <w:pPr>
        <w:spacing w:after="0" w:line="1" w:lineRule="exact"/>
        <w:rPr>
          <w:sz w:val="20"/>
          <w:szCs w:val="20"/>
          <w:color w:val="auto"/>
        </w:rPr>
      </w:pPr>
    </w:p>
    <w:p>
      <w:pPr>
        <w:jc w:val="both"/>
        <w:ind w:left="284" w:hanging="284"/>
        <w:spacing w:after="0" w:line="230" w:lineRule="auto"/>
        <w:tabs>
          <w:tab w:leader="none" w:pos="284"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(i) 7,650,239 shares of our Class A common stock held of record by New Enterprise Associates 17, L.P. (“NEA 17”) (which consists of 1,363,139 shares to be issued upon conversion of our Tranche I convertible notes and 200,892 shares issuable upon exercise of warrants), (ii) 66,946,549 shares of our Class A common stock held of record by New Enterprise Associates 15, L.P. (“NEA 15”) (which includes 1,363,139 shares to be issued upon conversion of our Tranche I convertible notes and 200,892 shares issuable upon exercise of warrants) and (iii) 27,540 shares of our Class A common stock held of record by NEA Ventures 2015, L.P. (“NEA Ventures”). The shares directly held by NEA 17 are indirectly held by NEA Partners 17, L.P. (“NEA Partners 17”) the sole general partner of NEA 17, NEA 17 GP, LLC (“NEA 17 LLC”), the sole general partner of NEA Partners 17 and each of the individual managers of NEA 17 LLC. The individual managers, or collectively, the NEA 17 Managers, of NEA 17 LLC are Forest Baskett, Ali Behbahani, Carmen Chang, Anthony A. Florence, Jr., Edward Mathers, Mohamad Makhzoumi, Joshua Makower, Scott Sandell, Paul Walker, Rick Yang, Liza Landsman and Peter Sonsini. The NEA 17 Managers share voting and dispositive power with regard to the shares held by NEA 17. The shares directly held by NEA 15 are indirectly held by NEA Partners 15, L.P. (“NEA Partners 15”) the sole general partner of NEA 15, NEA 15 GP, LLC (“NEA 15 LLC”), the sole general partner of NEA Partners 15 and each of the individual managers of NEA 15 LLC. The individual managers, or collectively, the NEA 15 Managers, of NEA 15 LLC are Forest Baskett, Anthony A. Florence, Jr., Mohamad Makhzoumi, Joshua Makower, Scott Sandell and Peter Sonsini. The NEA 15 Managers share voting and dispositive power with regard to the shares held by NEA 15. Karen P. Welsh, the general partner of NEA Ventures, has sole voting and dispositive power with regard to the shares held by NEA Ventures. Scott Sandell, a member of our board of directors and the Managing General Partner at New Enterprise Associates, Inc., has no voting or investment power over the shares owned of record by NEA Ventures, and disclaims beneficial ownership of all shares except to the extent of his actual pecuniary interest in such shares. All indirect owners of the above referenced shares disclaim beneficial ownership of all applicable shares except to the extent of their actual pecuniary interest in such shares. The address of New Enterprise Associates 17, L.P., New Enterprise Associates 15, L.P., and NEA Ventures is c/o New Enterprise Associates, 1954 Greenspring Drive, Suite 600, Timonium, Maryland 21093.</w:t>
      </w:r>
    </w:p>
    <w:p>
      <w:pPr>
        <w:spacing w:after="0" w:line="2" w:lineRule="exact"/>
        <w:rPr>
          <w:rFonts w:ascii="Arial" w:cs="Arial" w:eastAsia="Arial" w:hAnsi="Arial"/>
          <w:sz w:val="13"/>
          <w:szCs w:val="13"/>
          <w:color w:val="auto"/>
        </w:rPr>
      </w:pPr>
    </w:p>
    <w:p>
      <w:pPr>
        <w:jc w:val="both"/>
        <w:ind w:left="284" w:hanging="284"/>
        <w:spacing w:after="0" w:line="232" w:lineRule="auto"/>
        <w:tabs>
          <w:tab w:leader="none" w:pos="284"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Consists of (i) 13,623,494 shares of our Class A common stock held of record by Bullfrog Capital, L.P. (which includes 9,062,153 shares to be issued upon conversion of our Tranche I convertible notes and 1,335,535 shares issuable upon exercise of warrants), (ii) 3,220,080 shares of our Class A common stock held of record by RH Ribbit Opportunity II, LLC, (iii) 2,556,431 shares of our Class A common stock held of record by RH-D Ribbit Opportunity II, LLC, (iv) 2,363,270 shares of our Class A common stock held of record by RH-E Ribbit Opportunity II, LLC, (v) 10,521,768 shares of our Class A common stock held of record by RH-N Bullfrog Opportunity I, LLC (which consists of 9,170,295 shares to be issued upon conversion of our Tranche I convertible notes and 1,351,473 shares issuable upon exercise of warrants), (vi) 26,481,814 shares of Class A common stock held of record by Ribbit Capital II, L.P. and (vii) 4,554,560 shares of our Class A common stock held of record by Ribbit Capital III, L.P. The address of the entities mentioned in this footnote is 364 University Avenue, Palo Alto, CA 94301.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246</w:t>
      </w:r>
    </w:p>
    <w:p>
      <w:pPr>
        <w:sectPr>
          <w:pgSz w:w="11900" w:h="16838" w:orient="portrait"/>
          <w:cols w:equalWidth="0" w:num="1">
            <w:col w:w="11264"/>
          </w:cols>
          <w:pgMar w:left="316" w:top="1440" w:right="319" w:bottom="1440" w:gutter="0" w:footer="0" w:header="0"/>
        </w:sectPr>
      </w:pPr>
    </w:p>
    <w:bookmarkStart w:id="269" w:name="page270"/>
    <w:bookmarkEnd w:id="269"/>
    <w:p>
      <w:pPr>
        <w:spacing w:after="0" w:line="13" w:lineRule="exact"/>
        <w:rPr>
          <w:sz w:val="20"/>
          <w:szCs w:val="20"/>
          <w:color w:val="auto"/>
        </w:rPr>
      </w:pPr>
    </w:p>
    <w:p>
      <w:pPr>
        <w:jc w:val="center"/>
        <w:ind w:right="-3"/>
        <w:spacing w:after="0"/>
        <w:rPr>
          <w:sz w:val="20"/>
          <w:szCs w:val="20"/>
          <w:color w:val="auto"/>
        </w:rPr>
      </w:pPr>
      <w:r>
        <w:rPr>
          <w:rFonts w:ascii="Arial" w:cs="Arial" w:eastAsia="Arial" w:hAnsi="Arial"/>
          <w:sz w:val="32"/>
          <w:szCs w:val="32"/>
          <w:color w:val="auto"/>
        </w:rPr>
        <w:t>CERTAIN RELATIONSHIPS AND RELATED PERSON TRANSACTIONS</w:t>
      </w:r>
    </w:p>
    <w:p>
      <w:pPr>
        <w:spacing w:after="0" w:line="182" w:lineRule="exact"/>
        <w:rPr>
          <w:sz w:val="20"/>
          <w:szCs w:val="20"/>
          <w:color w:val="auto"/>
        </w:rPr>
      </w:pPr>
    </w:p>
    <w:p>
      <w:pPr>
        <w:ind w:left="4" w:right="20" w:firstLine="287"/>
        <w:spacing w:after="0" w:line="260" w:lineRule="auto"/>
        <w:rPr>
          <w:sz w:val="20"/>
          <w:szCs w:val="20"/>
          <w:color w:val="auto"/>
        </w:rPr>
      </w:pPr>
      <w:r>
        <w:rPr>
          <w:rFonts w:ascii="Arial" w:cs="Arial" w:eastAsia="Arial" w:hAnsi="Arial"/>
          <w:sz w:val="16"/>
          <w:szCs w:val="16"/>
          <w:color w:val="auto"/>
        </w:rPr>
        <w:t>Other than compensation arrangements for our executive officers and directors which are described elsewhere in this prospectus, below we describe transactions since January 1, 2018 to which we were or will be a participant and in which:</w:t>
      </w:r>
    </w:p>
    <w:p>
      <w:pPr>
        <w:spacing w:after="0" w:line="139" w:lineRule="exact"/>
        <w:rPr>
          <w:sz w:val="20"/>
          <w:szCs w:val="20"/>
          <w:color w:val="auto"/>
        </w:rPr>
      </w:pPr>
    </w:p>
    <w:p>
      <w:pPr>
        <w:ind w:left="564" w:hanging="278"/>
        <w:spacing w:after="0"/>
        <w:tabs>
          <w:tab w:leader="none" w:pos="56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amounts involved exceeded or will exceed $120,000; and</w:t>
      </w:r>
    </w:p>
    <w:p>
      <w:pPr>
        <w:spacing w:after="0" w:line="174" w:lineRule="exact"/>
        <w:rPr>
          <w:rFonts w:ascii="Arial" w:cs="Arial" w:eastAsia="Arial" w:hAnsi="Arial"/>
          <w:sz w:val="16"/>
          <w:szCs w:val="16"/>
          <w:color w:val="auto"/>
        </w:rPr>
      </w:pPr>
    </w:p>
    <w:p>
      <w:pPr>
        <w:ind w:left="564" w:hanging="278"/>
        <w:spacing w:after="0" w:line="260" w:lineRule="auto"/>
        <w:tabs>
          <w:tab w:leader="none" w:pos="5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voting securities, or any member of the immediate family of, or person sharing the household with, the foregoing persons, had or will have a direct or indirect material interest.</w:t>
      </w:r>
    </w:p>
    <w:p>
      <w:pPr>
        <w:spacing w:after="0" w:line="141" w:lineRule="exact"/>
        <w:rPr>
          <w:sz w:val="20"/>
          <w:szCs w:val="20"/>
          <w:color w:val="auto"/>
        </w:rPr>
      </w:pPr>
    </w:p>
    <w:p>
      <w:pPr>
        <w:ind w:left="4"/>
        <w:spacing w:after="0"/>
        <w:rPr>
          <w:sz w:val="20"/>
          <w:szCs w:val="20"/>
          <w:color w:val="auto"/>
        </w:rPr>
      </w:pPr>
      <w:r>
        <w:rPr>
          <w:rFonts w:ascii="Arial" w:cs="Arial" w:eastAsia="Arial" w:hAnsi="Arial"/>
          <w:sz w:val="22"/>
          <w:szCs w:val="22"/>
          <w:color w:val="auto"/>
        </w:rPr>
        <w:t>Preferred Stock Financings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Series D Redeemable Convertible Preferred Stock Financing</w:t>
      </w:r>
    </w:p>
    <w:p>
      <w:pPr>
        <w:spacing w:after="0" w:line="191" w:lineRule="exact"/>
        <w:rPr>
          <w:sz w:val="20"/>
          <w:szCs w:val="20"/>
          <w:color w:val="auto"/>
        </w:rPr>
      </w:pPr>
    </w:p>
    <w:p>
      <w:pPr>
        <w:jc w:val="both"/>
        <w:ind w:left="4" w:right="20" w:firstLine="287"/>
        <w:spacing w:after="0" w:line="252" w:lineRule="auto"/>
        <w:rPr>
          <w:sz w:val="20"/>
          <w:szCs w:val="20"/>
          <w:color w:val="auto"/>
        </w:rPr>
      </w:pPr>
      <w:r>
        <w:rPr>
          <w:rFonts w:ascii="Arial" w:cs="Arial" w:eastAsia="Arial" w:hAnsi="Arial"/>
          <w:sz w:val="16"/>
          <w:szCs w:val="16"/>
          <w:color w:val="auto"/>
        </w:rPr>
        <w:t>In April 2018, we sold an aggregate of 35,774,761 shares of our Series D redeemable convertible preferred stock at a purchase price of $10.145 per share, for an aggregate purchase price of $362.9 million, pursuant to our Series D redeemable convertible preferred stock financing. The following table summarizes purchases of our Series D redeemable convertible preferred stock by holders of more than 5% of our capital stock and their affiliated entities. None of our executive officers purchased shares of Series D redeemable convertible preferred stock.</w:t>
      </w:r>
    </w:p>
    <w:p>
      <w:pPr>
        <w:spacing w:after="0" w:line="154"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7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Shares of Series D</w:t>
            </w:r>
          </w:p>
        </w:tc>
        <w:tc>
          <w:tcPr>
            <w:tcW w:w="140" w:type="dxa"/>
            <w:vAlign w:val="bottom"/>
          </w:tcPr>
          <w:p>
            <w:pPr>
              <w:spacing w:after="0"/>
              <w:rPr>
                <w:sz w:val="13"/>
                <w:szCs w:val="13"/>
                <w:color w:val="auto"/>
              </w:rPr>
            </w:pPr>
          </w:p>
        </w:tc>
        <w:tc>
          <w:tcPr>
            <w:tcW w:w="1440" w:type="dxa"/>
            <w:vAlign w:val="bottom"/>
            <w:vMerge w:val="restart"/>
          </w:tcPr>
          <w:p>
            <w:pPr>
              <w:jc w:val="right"/>
              <w:ind w:right="87"/>
              <w:spacing w:after="0"/>
              <w:rPr>
                <w:sz w:val="20"/>
                <w:szCs w:val="20"/>
                <w:color w:val="auto"/>
              </w:rPr>
            </w:pPr>
            <w:r>
              <w:rPr>
                <w:rFonts w:ascii="Arial" w:cs="Arial" w:eastAsia="Arial" w:hAnsi="Arial"/>
                <w:sz w:val="13"/>
                <w:szCs w:val="13"/>
                <w:b w:val="1"/>
                <w:bCs w:val="1"/>
                <w:color w:val="auto"/>
                <w:w w:val="97"/>
              </w:rPr>
              <w:t>Total Purchase Price</w:t>
            </w:r>
          </w:p>
        </w:tc>
        <w:tc>
          <w:tcPr>
            <w:tcW w:w="0" w:type="dxa"/>
            <w:vAlign w:val="bottom"/>
          </w:tcPr>
          <w:p>
            <w:pPr>
              <w:spacing w:after="0"/>
              <w:rPr>
                <w:sz w:val="1"/>
                <w:szCs w:val="1"/>
                <w:color w:val="auto"/>
              </w:rPr>
            </w:pPr>
          </w:p>
        </w:tc>
      </w:tr>
      <w:tr>
        <w:trPr>
          <w:trHeight w:val="119"/>
        </w:trPr>
        <w:tc>
          <w:tcPr>
            <w:tcW w:w="7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Stockholder</w:t>
            </w:r>
          </w:p>
        </w:tc>
        <w:tc>
          <w:tcPr>
            <w:tcW w:w="80" w:type="dxa"/>
            <w:vAlign w:val="bottom"/>
            <w:vMerge w:val="restart"/>
          </w:tcPr>
          <w:p>
            <w:pPr>
              <w:spacing w:after="0"/>
              <w:rPr>
                <w:sz w:val="10"/>
                <w:szCs w:val="10"/>
                <w:color w:val="auto"/>
              </w:rPr>
            </w:pPr>
          </w:p>
        </w:tc>
        <w:tc>
          <w:tcPr>
            <w:tcW w:w="16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Redeemable Convertible</w:t>
            </w:r>
          </w:p>
        </w:tc>
        <w:tc>
          <w:tcPr>
            <w:tcW w:w="1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9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Preferred Stock</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27"/>
              <w:spacing w:after="0"/>
              <w:rPr>
                <w:sz w:val="20"/>
                <w:szCs w:val="20"/>
                <w:color w:val="auto"/>
              </w:rPr>
            </w:pPr>
            <w:r>
              <w:rPr>
                <w:rFonts w:ascii="Arial" w:cs="Arial" w:eastAsia="Arial" w:hAnsi="Arial"/>
                <w:sz w:val="13"/>
                <w:szCs w:val="13"/>
                <w:b w:val="1"/>
                <w:bCs w:val="1"/>
                <w:color w:val="auto"/>
              </w:rPr>
              <w:t>(millions)</w:t>
            </w:r>
          </w:p>
        </w:tc>
        <w:tc>
          <w:tcPr>
            <w:tcW w:w="0" w:type="dxa"/>
            <w:vAlign w:val="bottom"/>
          </w:tcPr>
          <w:p>
            <w:pPr>
              <w:spacing w:after="0"/>
              <w:rPr>
                <w:sz w:val="1"/>
                <w:szCs w:val="1"/>
                <w:color w:val="auto"/>
              </w:rPr>
            </w:pPr>
          </w:p>
        </w:tc>
      </w:tr>
      <w:tr>
        <w:trPr>
          <w:trHeight w:val="195"/>
        </w:trPr>
        <w:tc>
          <w:tcPr>
            <w:tcW w:w="802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Entities affiliated with DST Global</w:t>
            </w:r>
            <w:r>
              <w:rPr>
                <w:rFonts w:ascii="Arial" w:cs="Arial" w:eastAsia="Arial" w:hAnsi="Arial"/>
                <w:sz w:val="20"/>
                <w:szCs w:val="20"/>
                <w:color w:val="auto"/>
                <w:vertAlign w:val="superscript"/>
              </w:rPr>
              <w:t>(1)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13,307,047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03"/>
        </w:trPr>
        <w:tc>
          <w:tcPr>
            <w:tcW w:w="8020" w:type="dxa"/>
            <w:vAlign w:val="bottom"/>
            <w:gridSpan w:val="2"/>
          </w:tcPr>
          <w:p>
            <w:pPr>
              <w:ind w:left="20"/>
              <w:spacing w:after="0" w:line="204" w:lineRule="exact"/>
              <w:rPr>
                <w:sz w:val="20"/>
                <w:szCs w:val="20"/>
                <w:color w:val="auto"/>
              </w:rPr>
            </w:pPr>
            <w:r>
              <w:rPr>
                <w:rFonts w:ascii="Arial" w:cs="Arial" w:eastAsia="Arial" w:hAnsi="Arial"/>
                <w:sz w:val="16"/>
                <w:szCs w:val="16"/>
                <w:color w:val="auto"/>
              </w:rPr>
              <w:t>Entities affiliated with New Enterprise Associates</w:t>
            </w:r>
            <w:r>
              <w:rPr>
                <w:rFonts w:ascii="Arial" w:cs="Arial" w:eastAsia="Arial" w:hAnsi="Arial"/>
                <w:sz w:val="20"/>
                <w:szCs w:val="20"/>
                <w:color w:val="auto"/>
                <w:vertAlign w:val="superscript"/>
              </w:rPr>
              <w:t>(2)</w:t>
            </w:r>
          </w:p>
        </w:tc>
        <w:tc>
          <w:tcPr>
            <w:tcW w:w="1580" w:type="dxa"/>
            <w:vAlign w:val="bottom"/>
          </w:tcPr>
          <w:p>
            <w:pPr>
              <w:jc w:val="right"/>
              <w:spacing w:after="0"/>
              <w:rPr>
                <w:sz w:val="20"/>
                <w:szCs w:val="20"/>
                <w:color w:val="auto"/>
              </w:rPr>
            </w:pPr>
            <w:r>
              <w:rPr>
                <w:rFonts w:ascii="Arial" w:cs="Arial" w:eastAsia="Arial" w:hAnsi="Arial"/>
                <w:sz w:val="16"/>
                <w:szCs w:val="16"/>
                <w:color w:val="auto"/>
              </w:rPr>
              <w:t>492,853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6"/>
                <w:szCs w:val="16"/>
                <w:color w:val="auto"/>
              </w:rPr>
              <w:t>Entities affiliated with Ribbit Capital</w:t>
            </w:r>
            <w:r>
              <w:rPr>
                <w:rFonts w:ascii="Arial" w:cs="Arial" w:eastAsia="Arial" w:hAnsi="Arial"/>
                <w:sz w:val="20"/>
                <w:szCs w:val="20"/>
                <w:color w:val="auto"/>
                <w:vertAlign w:val="superscript"/>
              </w:rPr>
              <w:t>(3)</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2,556,431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148"/>
        </w:trPr>
        <w:tc>
          <w:tcPr>
            <w:tcW w:w="7940" w:type="dxa"/>
            <w:vAlign w:val="bottom"/>
          </w:tcPr>
          <w:p>
            <w:pPr>
              <w:spacing w:after="0" w:line="148" w:lineRule="exact"/>
              <w:rPr>
                <w:sz w:val="20"/>
                <w:szCs w:val="20"/>
                <w:color w:val="auto"/>
              </w:rPr>
            </w:pPr>
            <w:r>
              <w:rPr>
                <w:rFonts w:ascii="Arial" w:cs="Arial" w:eastAsia="Arial" w:hAnsi="Arial"/>
                <w:sz w:val="13"/>
                <w:szCs w:val="13"/>
                <w:color w:val="auto"/>
              </w:rPr>
              <w:t>________________</w:t>
            </w: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84" w:hanging="284"/>
        <w:spacing w:after="0" w:line="230" w:lineRule="auto"/>
        <w:tabs>
          <w:tab w:leader="none" w:pos="284"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DST Global V Co-Invest, L.P., DST Global V L.P. and DST Investments XIX, L.P.</w:t>
      </w:r>
    </w:p>
    <w:p>
      <w:pPr>
        <w:ind w:left="284" w:right="20" w:hanging="284"/>
        <w:spacing w:after="0" w:line="230" w:lineRule="auto"/>
        <w:tabs>
          <w:tab w:leader="none" w:pos="27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New Enterprise Associates 15, L.P. Scott Sandell, a member of our board of directors, is affiliated with New Enterprise Associates 15, L.P. See the footnotes to the table in the section titled “Principal and Selling Stockholders” for more information.</w:t>
      </w:r>
    </w:p>
    <w:p>
      <w:pPr>
        <w:ind w:left="284" w:hanging="284"/>
        <w:spacing w:after="0"/>
        <w:tabs>
          <w:tab w:leader="none" w:pos="284"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RH-D Ribbit Opportunity II, LLC.</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Series E Redeemable Convertible Preferred Stock Financing</w:t>
      </w:r>
    </w:p>
    <w:p>
      <w:pPr>
        <w:spacing w:after="0" w:line="191" w:lineRule="exact"/>
        <w:rPr>
          <w:sz w:val="20"/>
          <w:szCs w:val="20"/>
          <w:color w:val="auto"/>
        </w:rPr>
      </w:pPr>
    </w:p>
    <w:p>
      <w:pPr>
        <w:jc w:val="both"/>
        <w:ind w:left="4" w:firstLine="287"/>
        <w:spacing w:after="0" w:line="254" w:lineRule="auto"/>
        <w:rPr>
          <w:sz w:val="20"/>
          <w:szCs w:val="20"/>
          <w:color w:val="auto"/>
        </w:rPr>
      </w:pPr>
      <w:r>
        <w:rPr>
          <w:rFonts w:ascii="Arial" w:cs="Arial" w:eastAsia="Arial" w:hAnsi="Arial"/>
          <w:sz w:val="16"/>
          <w:szCs w:val="16"/>
          <w:color w:val="auto"/>
        </w:rPr>
        <w:t>From August 2019 through October 2019, we sold an aggregate of 29,887,357 shares of our Series E redeemable convertible preferred stock at a purchase price of $ 12.4827 per share, for an aggregate purchase price of $373.1 million, pursuant to our Series E redeemable convertible preferred stock financing. The following table summarizes purchases of our Series E redeemable convertible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247</w:t>
      </w:r>
    </w:p>
    <w:p>
      <w:pPr>
        <w:sectPr>
          <w:pgSz w:w="11900" w:h="16838" w:orient="portrait"/>
          <w:cols w:equalWidth="0" w:num="1">
            <w:col w:w="11264"/>
          </w:cols>
          <w:pgMar w:left="316" w:top="1440" w:right="319" w:bottom="1440" w:gutter="0" w:footer="0" w:header="0"/>
        </w:sectPr>
      </w:pPr>
    </w:p>
    <w:bookmarkStart w:id="270" w:name="page271"/>
    <w:bookmarkEnd w:id="270"/>
    <w:p>
      <w:pPr>
        <w:spacing w:after="0" w:line="2" w:lineRule="exact"/>
        <w:rPr>
          <w:sz w:val="20"/>
          <w:szCs w:val="20"/>
          <w:color w:val="auto"/>
        </w:rPr>
      </w:pPr>
    </w:p>
    <w:p>
      <w:pPr>
        <w:ind w:left="4" w:right="20"/>
        <w:spacing w:after="0" w:line="260" w:lineRule="auto"/>
        <w:rPr>
          <w:sz w:val="20"/>
          <w:szCs w:val="20"/>
          <w:color w:val="auto"/>
        </w:rPr>
      </w:pPr>
      <w:r>
        <w:rPr>
          <w:rFonts w:ascii="Arial" w:cs="Arial" w:eastAsia="Arial" w:hAnsi="Arial"/>
          <w:sz w:val="16"/>
          <w:szCs w:val="16"/>
          <w:color w:val="auto"/>
        </w:rPr>
        <w:t>stock by holders of more than 5% of our capital stock and their affiliated entities. None of our executive officers purchased shares of Series E redeemable convertible preferred stock.</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7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Shares of Series E</w:t>
            </w:r>
          </w:p>
        </w:tc>
        <w:tc>
          <w:tcPr>
            <w:tcW w:w="140" w:type="dxa"/>
            <w:vAlign w:val="bottom"/>
          </w:tcPr>
          <w:p>
            <w:pPr>
              <w:spacing w:after="0"/>
              <w:rPr>
                <w:sz w:val="13"/>
                <w:szCs w:val="13"/>
                <w:color w:val="auto"/>
              </w:rPr>
            </w:pPr>
          </w:p>
        </w:tc>
        <w:tc>
          <w:tcPr>
            <w:tcW w:w="1440" w:type="dxa"/>
            <w:vAlign w:val="bottom"/>
            <w:vMerge w:val="restart"/>
          </w:tcPr>
          <w:p>
            <w:pPr>
              <w:jc w:val="right"/>
              <w:ind w:right="87"/>
              <w:spacing w:after="0"/>
              <w:rPr>
                <w:sz w:val="20"/>
                <w:szCs w:val="20"/>
                <w:color w:val="auto"/>
              </w:rPr>
            </w:pPr>
            <w:r>
              <w:rPr>
                <w:rFonts w:ascii="Arial" w:cs="Arial" w:eastAsia="Arial" w:hAnsi="Arial"/>
                <w:sz w:val="13"/>
                <w:szCs w:val="13"/>
                <w:b w:val="1"/>
                <w:bCs w:val="1"/>
                <w:color w:val="auto"/>
                <w:w w:val="97"/>
              </w:rPr>
              <w:t>Total Purchase Price</w:t>
            </w:r>
          </w:p>
        </w:tc>
        <w:tc>
          <w:tcPr>
            <w:tcW w:w="0" w:type="dxa"/>
            <w:vAlign w:val="bottom"/>
          </w:tcPr>
          <w:p>
            <w:pPr>
              <w:spacing w:after="0"/>
              <w:rPr>
                <w:sz w:val="1"/>
                <w:szCs w:val="1"/>
                <w:color w:val="auto"/>
              </w:rPr>
            </w:pPr>
          </w:p>
        </w:tc>
      </w:tr>
      <w:tr>
        <w:trPr>
          <w:trHeight w:val="119"/>
        </w:trPr>
        <w:tc>
          <w:tcPr>
            <w:tcW w:w="7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Stockholder</w:t>
            </w:r>
          </w:p>
        </w:tc>
        <w:tc>
          <w:tcPr>
            <w:tcW w:w="80" w:type="dxa"/>
            <w:vAlign w:val="bottom"/>
            <w:vMerge w:val="restart"/>
          </w:tcPr>
          <w:p>
            <w:pPr>
              <w:spacing w:after="0"/>
              <w:rPr>
                <w:sz w:val="10"/>
                <w:szCs w:val="10"/>
                <w:color w:val="auto"/>
              </w:rPr>
            </w:pPr>
          </w:p>
        </w:tc>
        <w:tc>
          <w:tcPr>
            <w:tcW w:w="16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Redeemable Convertible</w:t>
            </w:r>
          </w:p>
        </w:tc>
        <w:tc>
          <w:tcPr>
            <w:tcW w:w="1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9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Preferred Stock</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27"/>
              <w:spacing w:after="0"/>
              <w:rPr>
                <w:sz w:val="20"/>
                <w:szCs w:val="20"/>
                <w:color w:val="auto"/>
              </w:rPr>
            </w:pPr>
            <w:r>
              <w:rPr>
                <w:rFonts w:ascii="Arial" w:cs="Arial" w:eastAsia="Arial" w:hAnsi="Arial"/>
                <w:sz w:val="13"/>
                <w:szCs w:val="13"/>
                <w:b w:val="1"/>
                <w:bCs w:val="1"/>
                <w:color w:val="auto"/>
              </w:rPr>
              <w:t>(millions)</w:t>
            </w:r>
          </w:p>
        </w:tc>
        <w:tc>
          <w:tcPr>
            <w:tcW w:w="0" w:type="dxa"/>
            <w:vAlign w:val="bottom"/>
          </w:tcPr>
          <w:p>
            <w:pPr>
              <w:spacing w:after="0"/>
              <w:rPr>
                <w:sz w:val="1"/>
                <w:szCs w:val="1"/>
                <w:color w:val="auto"/>
              </w:rPr>
            </w:pPr>
          </w:p>
        </w:tc>
      </w:tr>
      <w:tr>
        <w:trPr>
          <w:trHeight w:val="195"/>
        </w:trPr>
        <w:tc>
          <w:tcPr>
            <w:tcW w:w="802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Entities affiliated with DST Global</w:t>
            </w:r>
            <w:r>
              <w:rPr>
                <w:rFonts w:ascii="Arial" w:cs="Arial" w:eastAsia="Arial" w:hAnsi="Arial"/>
                <w:sz w:val="20"/>
                <w:szCs w:val="20"/>
                <w:color w:val="auto"/>
                <w:vertAlign w:val="superscript"/>
              </w:rPr>
              <w:t>(1)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12,016,630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03"/>
        </w:trPr>
        <w:tc>
          <w:tcPr>
            <w:tcW w:w="8020" w:type="dxa"/>
            <w:vAlign w:val="bottom"/>
            <w:gridSpan w:val="2"/>
          </w:tcPr>
          <w:p>
            <w:pPr>
              <w:ind w:left="20"/>
              <w:spacing w:after="0" w:line="204" w:lineRule="exact"/>
              <w:rPr>
                <w:sz w:val="20"/>
                <w:szCs w:val="20"/>
                <w:color w:val="auto"/>
              </w:rPr>
            </w:pPr>
            <w:r>
              <w:rPr>
                <w:rFonts w:ascii="Arial" w:cs="Arial" w:eastAsia="Arial" w:hAnsi="Arial"/>
                <w:sz w:val="16"/>
                <w:szCs w:val="16"/>
                <w:color w:val="auto"/>
              </w:rPr>
              <w:t>Entities affiliated with New Enterprise Associates</w:t>
            </w:r>
            <w:r>
              <w:rPr>
                <w:rFonts w:ascii="Arial" w:cs="Arial" w:eastAsia="Arial" w:hAnsi="Arial"/>
                <w:sz w:val="20"/>
                <w:szCs w:val="20"/>
                <w:color w:val="auto"/>
                <w:vertAlign w:val="superscript"/>
              </w:rPr>
              <w:t>(2)</w:t>
            </w:r>
          </w:p>
        </w:tc>
        <w:tc>
          <w:tcPr>
            <w:tcW w:w="1580" w:type="dxa"/>
            <w:vAlign w:val="bottom"/>
          </w:tcPr>
          <w:p>
            <w:pPr>
              <w:jc w:val="right"/>
              <w:spacing w:after="0"/>
              <w:rPr>
                <w:sz w:val="20"/>
                <w:szCs w:val="20"/>
                <w:color w:val="auto"/>
              </w:rPr>
            </w:pPr>
            <w:r>
              <w:rPr>
                <w:rFonts w:ascii="Arial" w:cs="Arial" w:eastAsia="Arial" w:hAnsi="Arial"/>
                <w:sz w:val="16"/>
                <w:szCs w:val="16"/>
                <w:color w:val="auto"/>
              </w:rPr>
              <w:t>6,007,513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6"/>
                <w:szCs w:val="16"/>
                <w:color w:val="auto"/>
              </w:rPr>
              <w:t>Entities affiliated with Ribbit Capital</w:t>
            </w:r>
            <w:r>
              <w:rPr>
                <w:rFonts w:ascii="Arial" w:cs="Arial" w:eastAsia="Arial" w:hAnsi="Arial"/>
                <w:sz w:val="20"/>
                <w:szCs w:val="20"/>
                <w:color w:val="auto"/>
                <w:vertAlign w:val="superscript"/>
              </w:rPr>
              <w:t>(3)</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2,403,325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48"/>
        </w:trPr>
        <w:tc>
          <w:tcPr>
            <w:tcW w:w="7940" w:type="dxa"/>
            <w:vAlign w:val="bottom"/>
          </w:tcPr>
          <w:p>
            <w:pPr>
              <w:spacing w:after="0" w:line="148" w:lineRule="exact"/>
              <w:rPr>
                <w:sz w:val="20"/>
                <w:szCs w:val="20"/>
                <w:color w:val="auto"/>
              </w:rPr>
            </w:pPr>
            <w:r>
              <w:rPr>
                <w:rFonts w:ascii="Arial" w:cs="Arial" w:eastAsia="Arial" w:hAnsi="Arial"/>
                <w:sz w:val="13"/>
                <w:szCs w:val="13"/>
                <w:color w:val="auto"/>
              </w:rPr>
              <w:t>________________</w:t>
            </w: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84" w:hanging="284"/>
        <w:spacing w:after="0" w:line="230" w:lineRule="auto"/>
        <w:tabs>
          <w:tab w:leader="none" w:pos="284"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DST Global VI, L.P. and DST Global VII, L.P.</w:t>
      </w:r>
    </w:p>
    <w:p>
      <w:pPr>
        <w:ind w:left="284" w:right="20" w:hanging="284"/>
        <w:spacing w:after="0" w:line="230" w:lineRule="auto"/>
        <w:tabs>
          <w:tab w:leader="none" w:pos="27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New Enterprise Associates 15, L.P. and New Enterprise Associates 17, L.P. Scott Sandell, a member of our board of directors, is affiliated with New Enterprise Associates 15, L.P. and New Enterprise Associates 17, L.P. See the footnotes to the table in the section titled “Principal and Selling Stockholders” for more information.</w:t>
      </w:r>
    </w:p>
    <w:p>
      <w:pPr>
        <w:ind w:left="284" w:hanging="284"/>
        <w:spacing w:after="0"/>
        <w:tabs>
          <w:tab w:leader="none" w:pos="284"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RH-E Ribbit Opportunity II, LLC and Ribbit Capital II, L.P.</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Series F Redeemable Convertible Preferred Stock Financing</w:t>
      </w:r>
    </w:p>
    <w:p>
      <w:pPr>
        <w:spacing w:after="0" w:line="179" w:lineRule="exact"/>
        <w:rPr>
          <w:sz w:val="20"/>
          <w:szCs w:val="20"/>
          <w:color w:val="auto"/>
        </w:rPr>
      </w:pPr>
    </w:p>
    <w:p>
      <w:pPr>
        <w:jc w:val="both"/>
        <w:ind w:left="4" w:firstLine="287"/>
        <w:spacing w:after="0" w:line="252" w:lineRule="auto"/>
        <w:rPr>
          <w:sz w:val="20"/>
          <w:szCs w:val="20"/>
          <w:color w:val="auto"/>
        </w:rPr>
      </w:pPr>
      <w:r>
        <w:rPr>
          <w:rFonts w:ascii="Arial" w:cs="Arial" w:eastAsia="Arial" w:hAnsi="Arial"/>
          <w:sz w:val="16"/>
          <w:szCs w:val="16"/>
          <w:color w:val="auto"/>
        </w:rPr>
        <w:t>From May 2020 through July 2020, we sold an aggregate of 48,000,000 shares of our Series F redeemable convertible preferred stock at a purchase price of $12.50 per share, for an aggregate purchase price of $600.0 million, pursuant to our Series F redeemable convertible preferred stock financing. The following table summarizes purchases of our Series F convertible preferred stock by holders of more than 5% of our capital stock and their affiliated entities. None of our executive officers purchased shares of Series F redeemable convertible preferred stock.</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7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Shares of Series F</w:t>
            </w:r>
          </w:p>
        </w:tc>
        <w:tc>
          <w:tcPr>
            <w:tcW w:w="140" w:type="dxa"/>
            <w:vAlign w:val="bottom"/>
          </w:tcPr>
          <w:p>
            <w:pPr>
              <w:spacing w:after="0"/>
              <w:rPr>
                <w:sz w:val="13"/>
                <w:szCs w:val="13"/>
                <w:color w:val="auto"/>
              </w:rPr>
            </w:pPr>
          </w:p>
        </w:tc>
        <w:tc>
          <w:tcPr>
            <w:tcW w:w="1440" w:type="dxa"/>
            <w:vAlign w:val="bottom"/>
            <w:vMerge w:val="restart"/>
          </w:tcPr>
          <w:p>
            <w:pPr>
              <w:jc w:val="right"/>
              <w:ind w:right="87"/>
              <w:spacing w:after="0"/>
              <w:rPr>
                <w:sz w:val="20"/>
                <w:szCs w:val="20"/>
                <w:color w:val="auto"/>
              </w:rPr>
            </w:pPr>
            <w:r>
              <w:rPr>
                <w:rFonts w:ascii="Arial" w:cs="Arial" w:eastAsia="Arial" w:hAnsi="Arial"/>
                <w:sz w:val="13"/>
                <w:szCs w:val="13"/>
                <w:b w:val="1"/>
                <w:bCs w:val="1"/>
                <w:color w:val="auto"/>
                <w:w w:val="97"/>
              </w:rPr>
              <w:t>Total Purchase Price</w:t>
            </w:r>
          </w:p>
        </w:tc>
        <w:tc>
          <w:tcPr>
            <w:tcW w:w="0" w:type="dxa"/>
            <w:vAlign w:val="bottom"/>
          </w:tcPr>
          <w:p>
            <w:pPr>
              <w:spacing w:after="0"/>
              <w:rPr>
                <w:sz w:val="1"/>
                <w:szCs w:val="1"/>
                <w:color w:val="auto"/>
              </w:rPr>
            </w:pPr>
          </w:p>
        </w:tc>
      </w:tr>
      <w:tr>
        <w:trPr>
          <w:trHeight w:val="119"/>
        </w:trPr>
        <w:tc>
          <w:tcPr>
            <w:tcW w:w="7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Stockholder</w:t>
            </w:r>
          </w:p>
        </w:tc>
        <w:tc>
          <w:tcPr>
            <w:tcW w:w="80" w:type="dxa"/>
            <w:vAlign w:val="bottom"/>
            <w:vMerge w:val="restart"/>
          </w:tcPr>
          <w:p>
            <w:pPr>
              <w:spacing w:after="0"/>
              <w:rPr>
                <w:sz w:val="10"/>
                <w:szCs w:val="10"/>
                <w:color w:val="auto"/>
              </w:rPr>
            </w:pPr>
          </w:p>
        </w:tc>
        <w:tc>
          <w:tcPr>
            <w:tcW w:w="16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Redeemable Convertible</w:t>
            </w:r>
          </w:p>
        </w:tc>
        <w:tc>
          <w:tcPr>
            <w:tcW w:w="1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9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Preferred Stock</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27"/>
              <w:spacing w:after="0"/>
              <w:rPr>
                <w:sz w:val="20"/>
                <w:szCs w:val="20"/>
                <w:color w:val="auto"/>
              </w:rPr>
            </w:pPr>
            <w:r>
              <w:rPr>
                <w:rFonts w:ascii="Arial" w:cs="Arial" w:eastAsia="Arial" w:hAnsi="Arial"/>
                <w:sz w:val="13"/>
                <w:szCs w:val="13"/>
                <w:b w:val="1"/>
                <w:bCs w:val="1"/>
                <w:color w:val="auto"/>
              </w:rPr>
              <w:t>(millions)</w:t>
            </w:r>
          </w:p>
        </w:tc>
        <w:tc>
          <w:tcPr>
            <w:tcW w:w="0" w:type="dxa"/>
            <w:vAlign w:val="bottom"/>
          </w:tcPr>
          <w:p>
            <w:pPr>
              <w:spacing w:after="0"/>
              <w:rPr>
                <w:sz w:val="1"/>
                <w:szCs w:val="1"/>
                <w:color w:val="auto"/>
              </w:rPr>
            </w:pPr>
          </w:p>
        </w:tc>
      </w:tr>
      <w:tr>
        <w:trPr>
          <w:trHeight w:val="195"/>
        </w:trPr>
        <w:tc>
          <w:tcPr>
            <w:tcW w:w="802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Entities affiliated with DST Global</w:t>
            </w:r>
            <w:r>
              <w:rPr>
                <w:rFonts w:ascii="Arial" w:cs="Arial" w:eastAsia="Arial" w:hAnsi="Arial"/>
                <w:sz w:val="20"/>
                <w:szCs w:val="20"/>
                <w:color w:val="auto"/>
                <w:vertAlign w:val="superscript"/>
              </w:rPr>
              <w:t>(1)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2,800,000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3"/>
        </w:trPr>
        <w:tc>
          <w:tcPr>
            <w:tcW w:w="8020" w:type="dxa"/>
            <w:vAlign w:val="bottom"/>
            <w:gridSpan w:val="2"/>
          </w:tcPr>
          <w:p>
            <w:pPr>
              <w:ind w:left="20"/>
              <w:spacing w:after="0" w:line="204" w:lineRule="exact"/>
              <w:rPr>
                <w:sz w:val="20"/>
                <w:szCs w:val="20"/>
                <w:color w:val="auto"/>
              </w:rPr>
            </w:pPr>
            <w:r>
              <w:rPr>
                <w:rFonts w:ascii="Arial" w:cs="Arial" w:eastAsia="Arial" w:hAnsi="Arial"/>
                <w:sz w:val="16"/>
                <w:szCs w:val="16"/>
                <w:color w:val="auto"/>
              </w:rPr>
              <w:t>Entities affiliated with New Enterprise Associates</w:t>
            </w:r>
            <w:r>
              <w:rPr>
                <w:rFonts w:ascii="Arial" w:cs="Arial" w:eastAsia="Arial" w:hAnsi="Arial"/>
                <w:sz w:val="20"/>
                <w:szCs w:val="20"/>
                <w:color w:val="auto"/>
                <w:vertAlign w:val="superscript"/>
              </w:rPr>
              <w:t>(2)</w:t>
            </w:r>
          </w:p>
        </w:tc>
        <w:tc>
          <w:tcPr>
            <w:tcW w:w="1580" w:type="dxa"/>
            <w:vAlign w:val="bottom"/>
          </w:tcPr>
          <w:p>
            <w:pPr>
              <w:jc w:val="right"/>
              <w:spacing w:after="0"/>
              <w:rPr>
                <w:sz w:val="20"/>
                <w:szCs w:val="20"/>
                <w:color w:val="auto"/>
              </w:rPr>
            </w:pPr>
            <w:r>
              <w:rPr>
                <w:rFonts w:ascii="Arial" w:cs="Arial" w:eastAsia="Arial" w:hAnsi="Arial"/>
                <w:sz w:val="16"/>
                <w:szCs w:val="16"/>
                <w:color w:val="auto"/>
              </w:rPr>
              <w:t>1,600,000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6"/>
                <w:szCs w:val="16"/>
                <w:color w:val="auto"/>
              </w:rPr>
              <w:t>Entities affiliated with Ribbit Capital</w:t>
            </w:r>
            <w:r>
              <w:rPr>
                <w:rFonts w:ascii="Arial" w:cs="Arial" w:eastAsia="Arial" w:hAnsi="Arial"/>
                <w:sz w:val="20"/>
                <w:szCs w:val="20"/>
                <w:color w:val="auto"/>
                <w:vertAlign w:val="superscript"/>
              </w:rPr>
              <w:t>(3)</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48"/>
        </w:trPr>
        <w:tc>
          <w:tcPr>
            <w:tcW w:w="7940" w:type="dxa"/>
            <w:vAlign w:val="bottom"/>
          </w:tcPr>
          <w:p>
            <w:pPr>
              <w:spacing w:after="0" w:line="148" w:lineRule="exact"/>
              <w:rPr>
                <w:sz w:val="20"/>
                <w:szCs w:val="20"/>
                <w:color w:val="auto"/>
              </w:rPr>
            </w:pPr>
            <w:r>
              <w:rPr>
                <w:rFonts w:ascii="Arial" w:cs="Arial" w:eastAsia="Arial" w:hAnsi="Arial"/>
                <w:sz w:val="13"/>
                <w:szCs w:val="13"/>
                <w:color w:val="auto"/>
              </w:rPr>
              <w:t>________________</w:t>
            </w: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84" w:hanging="284"/>
        <w:spacing w:after="0" w:line="230" w:lineRule="auto"/>
        <w:tabs>
          <w:tab w:leader="none" w:pos="284"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Consists of DST Global VII, L.P.</w:t>
      </w:r>
    </w:p>
    <w:p>
      <w:pPr>
        <w:ind w:left="284" w:right="20" w:hanging="284"/>
        <w:spacing w:after="0" w:line="230" w:lineRule="auto"/>
        <w:tabs>
          <w:tab w:leader="none" w:pos="273"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Consists of New Enterprise Associates 17, L.P. Scott Sandell, a member of our board of directors, is affiliated with New Enterprise Associates 17, L.P. See the footnotes to the table in the section titled “Principal and Selling Stockholders” for more information.</w:t>
      </w:r>
    </w:p>
    <w:p>
      <w:pPr>
        <w:ind w:left="284" w:hanging="284"/>
        <w:spacing w:after="0"/>
        <w:tabs>
          <w:tab w:leader="none" w:pos="284"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Consists of Ribbit Capital II, L.P.</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Series G Redeemable Convertible Preferred Stock Financing</w:t>
      </w:r>
    </w:p>
    <w:p>
      <w:pPr>
        <w:spacing w:after="0" w:line="179" w:lineRule="exact"/>
        <w:rPr>
          <w:sz w:val="20"/>
          <w:szCs w:val="20"/>
          <w:color w:val="auto"/>
        </w:rPr>
      </w:pPr>
    </w:p>
    <w:p>
      <w:pPr>
        <w:jc w:val="both"/>
        <w:ind w:left="4" w:right="20" w:firstLine="287"/>
        <w:spacing w:after="0" w:line="252" w:lineRule="auto"/>
        <w:rPr>
          <w:sz w:val="20"/>
          <w:szCs w:val="20"/>
          <w:color w:val="auto"/>
        </w:rPr>
      </w:pPr>
      <w:r>
        <w:rPr>
          <w:rFonts w:ascii="Arial" w:cs="Arial" w:eastAsia="Arial" w:hAnsi="Arial"/>
          <w:sz w:val="16"/>
          <w:szCs w:val="16"/>
          <w:color w:val="auto"/>
        </w:rPr>
        <w:t>From August 2020 through September 2020, we sold an aggregate of 43,116,119 shares of our Series G redeemable convertible preferred stock at a purchase price of $15.50 per share, for an aggregate purchase price of $668.3 million, pursuant to our Series G redeemable convertible preferred stock financing. The following table summarizes purchases of our Series G redeemable convertible preferred stock by holders of more than 5% of our capital stock and their affiliated entities. None of our executive officers purchased shares of Series G redeemable convertible preferred stock.</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7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Shares of Series G</w:t>
            </w:r>
          </w:p>
        </w:tc>
        <w:tc>
          <w:tcPr>
            <w:tcW w:w="140" w:type="dxa"/>
            <w:vAlign w:val="bottom"/>
          </w:tcPr>
          <w:p>
            <w:pPr>
              <w:spacing w:after="0"/>
              <w:rPr>
                <w:sz w:val="12"/>
                <w:szCs w:val="12"/>
                <w:color w:val="auto"/>
              </w:rPr>
            </w:pPr>
          </w:p>
        </w:tc>
        <w:tc>
          <w:tcPr>
            <w:tcW w:w="144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w w:val="97"/>
              </w:rPr>
              <w:t>Total Purchase Price</w:t>
            </w:r>
          </w:p>
        </w:tc>
        <w:tc>
          <w:tcPr>
            <w:tcW w:w="0" w:type="dxa"/>
            <w:vAlign w:val="bottom"/>
          </w:tcPr>
          <w:p>
            <w:pPr>
              <w:spacing w:after="0"/>
              <w:rPr>
                <w:sz w:val="1"/>
                <w:szCs w:val="1"/>
                <w:color w:val="auto"/>
              </w:rPr>
            </w:pPr>
          </w:p>
        </w:tc>
      </w:tr>
      <w:tr>
        <w:trPr>
          <w:trHeight w:val="119"/>
        </w:trPr>
        <w:tc>
          <w:tcPr>
            <w:tcW w:w="7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Stockholder</w:t>
            </w:r>
          </w:p>
        </w:tc>
        <w:tc>
          <w:tcPr>
            <w:tcW w:w="80" w:type="dxa"/>
            <w:vAlign w:val="bottom"/>
            <w:vMerge w:val="restart"/>
          </w:tcPr>
          <w:p>
            <w:pPr>
              <w:spacing w:after="0"/>
              <w:rPr>
                <w:sz w:val="10"/>
                <w:szCs w:val="10"/>
                <w:color w:val="auto"/>
              </w:rPr>
            </w:pPr>
          </w:p>
        </w:tc>
        <w:tc>
          <w:tcPr>
            <w:tcW w:w="16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Redeemable Convertible</w:t>
            </w:r>
          </w:p>
        </w:tc>
        <w:tc>
          <w:tcPr>
            <w:tcW w:w="1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9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Preferred Stock</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28"/>
              <w:spacing w:after="0"/>
              <w:rPr>
                <w:sz w:val="20"/>
                <w:szCs w:val="20"/>
                <w:color w:val="auto"/>
              </w:rPr>
            </w:pPr>
            <w:r>
              <w:rPr>
                <w:rFonts w:ascii="Arial" w:cs="Arial" w:eastAsia="Arial" w:hAnsi="Arial"/>
                <w:sz w:val="13"/>
                <w:szCs w:val="13"/>
                <w:b w:val="1"/>
                <w:bCs w:val="1"/>
                <w:color w:val="auto"/>
              </w:rPr>
              <w:t>(millions)</w:t>
            </w:r>
          </w:p>
        </w:tc>
        <w:tc>
          <w:tcPr>
            <w:tcW w:w="0" w:type="dxa"/>
            <w:vAlign w:val="bottom"/>
          </w:tcPr>
          <w:p>
            <w:pPr>
              <w:spacing w:after="0"/>
              <w:rPr>
                <w:sz w:val="1"/>
                <w:szCs w:val="1"/>
                <w:color w:val="auto"/>
              </w:rPr>
            </w:pPr>
          </w:p>
        </w:tc>
      </w:tr>
      <w:tr>
        <w:trPr>
          <w:trHeight w:val="195"/>
        </w:trPr>
        <w:tc>
          <w:tcPr>
            <w:tcW w:w="802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Entities affiliated with DST Global</w:t>
            </w:r>
            <w:r>
              <w:rPr>
                <w:rFonts w:ascii="Arial" w:cs="Arial" w:eastAsia="Arial" w:hAnsi="Arial"/>
                <w:sz w:val="20"/>
                <w:szCs w:val="20"/>
                <w:color w:val="auto"/>
                <w:vertAlign w:val="superscript"/>
              </w:rPr>
              <w:t>(1)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4,193,548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66"/>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Entities affiliated with Ribbit Capital</w:t>
            </w:r>
            <w:r>
              <w:rPr>
                <w:rFonts w:ascii="Arial" w:cs="Arial" w:eastAsia="Arial" w:hAnsi="Arial"/>
                <w:sz w:val="20"/>
                <w:szCs w:val="20"/>
                <w:color w:val="auto"/>
                <w:vertAlign w:val="superscript"/>
              </w:rPr>
              <w:t>(2)</w:t>
            </w:r>
          </w:p>
        </w:tc>
        <w:tc>
          <w:tcPr>
            <w:tcW w:w="1580" w:type="dxa"/>
            <w:vAlign w:val="bottom"/>
          </w:tcPr>
          <w:p>
            <w:pPr>
              <w:jc w:val="right"/>
              <w:spacing w:after="0"/>
              <w:rPr>
                <w:sz w:val="20"/>
                <w:szCs w:val="20"/>
                <w:color w:val="auto"/>
              </w:rPr>
            </w:pPr>
            <w:r>
              <w:rPr>
                <w:rFonts w:ascii="Arial" w:cs="Arial" w:eastAsia="Arial" w:hAnsi="Arial"/>
                <w:sz w:val="16"/>
                <w:szCs w:val="16"/>
                <w:color w:val="auto"/>
              </w:rPr>
              <w:t>3,225,806</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248</w:t>
      </w:r>
    </w:p>
    <w:p>
      <w:pPr>
        <w:sectPr>
          <w:pgSz w:w="11900" w:h="16838" w:orient="portrait"/>
          <w:cols w:equalWidth="0" w:num="1">
            <w:col w:w="11264"/>
          </w:cols>
          <w:pgMar w:left="316" w:top="1440" w:right="319" w:bottom="1440" w:gutter="0" w:footer="0" w:header="0"/>
        </w:sectPr>
      </w:pPr>
    </w:p>
    <w:bookmarkStart w:id="271" w:name="page272"/>
    <w:bookmarkEnd w:id="271"/>
    <w:p>
      <w:pPr>
        <w:spacing w:after="0" w:line="1"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________________</w:t>
      </w:r>
    </w:p>
    <w:p>
      <w:pPr>
        <w:ind w:left="284" w:hanging="284"/>
        <w:spacing w:after="0" w:line="230" w:lineRule="auto"/>
        <w:tabs>
          <w:tab w:leader="none" w:pos="284" w:val="left"/>
        </w:tabs>
        <w:numPr>
          <w:ilvl w:val="0"/>
          <w:numId w:val="119"/>
        </w:numPr>
        <w:rPr>
          <w:rFonts w:ascii="Arial" w:cs="Arial" w:eastAsia="Arial" w:hAnsi="Arial"/>
          <w:sz w:val="13"/>
          <w:szCs w:val="13"/>
          <w:color w:val="auto"/>
        </w:rPr>
      </w:pPr>
      <w:r>
        <w:rPr>
          <w:rFonts w:ascii="Arial" w:cs="Arial" w:eastAsia="Arial" w:hAnsi="Arial"/>
          <w:sz w:val="13"/>
          <w:szCs w:val="13"/>
          <w:color w:val="auto"/>
        </w:rPr>
        <w:t>Consists of DST Global VII, L.P.</w:t>
      </w:r>
    </w:p>
    <w:p>
      <w:pPr>
        <w:ind w:left="284" w:hanging="284"/>
        <w:spacing w:after="0"/>
        <w:tabs>
          <w:tab w:leader="none" w:pos="284" w:val="left"/>
        </w:tabs>
        <w:numPr>
          <w:ilvl w:val="0"/>
          <w:numId w:val="119"/>
        </w:numPr>
        <w:rPr>
          <w:rFonts w:ascii="Arial" w:cs="Arial" w:eastAsia="Arial" w:hAnsi="Arial"/>
          <w:sz w:val="13"/>
          <w:szCs w:val="13"/>
          <w:color w:val="auto"/>
        </w:rPr>
      </w:pPr>
      <w:r>
        <w:rPr>
          <w:rFonts w:ascii="Arial" w:cs="Arial" w:eastAsia="Arial" w:hAnsi="Arial"/>
          <w:sz w:val="13"/>
          <w:szCs w:val="13"/>
          <w:color w:val="auto"/>
        </w:rPr>
        <w:t>Consists of Bullfrog Capital, L.P.</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22"/>
          <w:szCs w:val="22"/>
          <w:color w:val="auto"/>
        </w:rPr>
        <w:t>Convertible Note and Warrant Financings</w:t>
      </w:r>
    </w:p>
    <w:p>
      <w:pPr>
        <w:spacing w:after="0" w:line="163" w:lineRule="exact"/>
        <w:rPr>
          <w:sz w:val="20"/>
          <w:szCs w:val="20"/>
          <w:color w:val="auto"/>
        </w:rPr>
      </w:pPr>
    </w:p>
    <w:p>
      <w:pPr>
        <w:jc w:val="both"/>
        <w:ind w:left="4" w:firstLine="287"/>
        <w:spacing w:after="0" w:line="250" w:lineRule="auto"/>
        <w:rPr>
          <w:sz w:val="20"/>
          <w:szCs w:val="20"/>
          <w:color w:val="auto"/>
        </w:rPr>
      </w:pPr>
      <w:r>
        <w:rPr>
          <w:rFonts w:ascii="Arial" w:cs="Arial" w:eastAsia="Arial" w:hAnsi="Arial"/>
          <w:sz w:val="16"/>
          <w:szCs w:val="16"/>
          <w:color w:val="auto"/>
        </w:rPr>
        <w:t>In February 2021, we issued two tranches of convertible notes, consisting of $ 2,532.0 million aggregate principal amount of “Tranche I” convertible notes and $ 1,020.0 million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$ 38.29 (in the case of the Tranche I convertible notes) or $42.12 (in the case of the Tranche II convertible notes). Interest on the convertible notes accrues at 6% per annum, compounding semi-annually in arrears, and is payable in kind. As of March 31, 2021, we had $2,551.7 million aggregate amount of Tranche I convertible notes and $1,028.0 million aggregate amount of Tranche II convertible notes, in each case including accrued interest. In addition, we granted to each purchaser of the Tranche I convertible notes a warrant to purchase a number of shares of equity securities equal to 15% of the aggregate proceeds invested by such purchaser in the Tranche I convertible notes (i.e.,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 paid by investors in this offering and (ii) $38.29. The following table summarizes purchases of our convertible notes by holders of more than 5% of our capital stock and their affiliated entities. None of our executive officers purchased our convertible notes or related warrants.</w:t>
      </w:r>
    </w:p>
    <w:p>
      <w:pPr>
        <w:spacing w:after="0" w:line="157"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7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Tranche I Convertible</w:t>
            </w:r>
          </w:p>
        </w:tc>
        <w:tc>
          <w:tcPr>
            <w:tcW w:w="120" w:type="dxa"/>
            <w:vAlign w:val="bottom"/>
          </w:tcPr>
          <w:p>
            <w:pPr>
              <w:spacing w:after="0"/>
              <w:rPr>
                <w:sz w:val="13"/>
                <w:szCs w:val="13"/>
                <w:color w:val="auto"/>
              </w:rPr>
            </w:pPr>
          </w:p>
        </w:tc>
        <w:tc>
          <w:tcPr>
            <w:tcW w:w="1460" w:type="dxa"/>
            <w:vAlign w:val="bottom"/>
          </w:tcPr>
          <w:p>
            <w:pPr>
              <w:jc w:val="center"/>
              <w:ind w:right="47"/>
              <w:spacing w:after="0"/>
              <w:rPr>
                <w:sz w:val="20"/>
                <w:szCs w:val="20"/>
                <w:color w:val="auto"/>
              </w:rPr>
            </w:pPr>
            <w:r>
              <w:rPr>
                <w:rFonts w:ascii="Arial" w:cs="Arial" w:eastAsia="Arial" w:hAnsi="Arial"/>
                <w:sz w:val="13"/>
                <w:szCs w:val="13"/>
                <w:b w:val="1"/>
                <w:bCs w:val="1"/>
                <w:color w:val="auto"/>
                <w:w w:val="98"/>
              </w:rPr>
              <w:t>Tranche II Convertible</w:t>
            </w:r>
          </w:p>
        </w:tc>
        <w:tc>
          <w:tcPr>
            <w:tcW w:w="0" w:type="dxa"/>
            <w:vAlign w:val="bottom"/>
          </w:tcPr>
          <w:p>
            <w:pPr>
              <w:spacing w:after="0"/>
              <w:rPr>
                <w:sz w:val="1"/>
                <w:szCs w:val="1"/>
                <w:color w:val="auto"/>
              </w:rPr>
            </w:pPr>
          </w:p>
        </w:tc>
      </w:tr>
      <w:tr>
        <w:trPr>
          <w:trHeight w:val="119"/>
        </w:trPr>
        <w:tc>
          <w:tcPr>
            <w:tcW w:w="7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Stockholder</w:t>
            </w:r>
          </w:p>
        </w:tc>
        <w:tc>
          <w:tcPr>
            <w:tcW w:w="80" w:type="dxa"/>
            <w:vAlign w:val="bottom"/>
            <w:vMerge w:val="restart"/>
          </w:tcPr>
          <w:p>
            <w:pPr>
              <w:spacing w:after="0"/>
              <w:rPr>
                <w:sz w:val="10"/>
                <w:szCs w:val="10"/>
                <w:color w:val="auto"/>
              </w:rPr>
            </w:pPr>
          </w:p>
        </w:tc>
        <w:tc>
          <w:tcPr>
            <w:tcW w:w="16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Notes (Principal Amount,</w:t>
            </w:r>
          </w:p>
        </w:tc>
        <w:tc>
          <w:tcPr>
            <w:tcW w:w="15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Notes (Principal Amount,</w:t>
            </w:r>
          </w:p>
        </w:tc>
        <w:tc>
          <w:tcPr>
            <w:tcW w:w="0" w:type="dxa"/>
            <w:vAlign w:val="bottom"/>
          </w:tcPr>
          <w:p>
            <w:pPr>
              <w:spacing w:after="0"/>
              <w:rPr>
                <w:sz w:val="1"/>
                <w:szCs w:val="1"/>
                <w:color w:val="auto"/>
              </w:rPr>
            </w:pPr>
          </w:p>
        </w:tc>
      </w:tr>
      <w:tr>
        <w:trPr>
          <w:trHeight w:val="155"/>
        </w:trPr>
        <w:tc>
          <w:tcPr>
            <w:tcW w:w="79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47"/>
              <w:spacing w:after="0"/>
              <w:rPr>
                <w:sz w:val="20"/>
                <w:szCs w:val="20"/>
                <w:color w:val="auto"/>
              </w:rPr>
            </w:pPr>
            <w:r>
              <w:rPr>
                <w:rFonts w:ascii="Arial" w:cs="Arial" w:eastAsia="Arial" w:hAnsi="Arial"/>
                <w:sz w:val="13"/>
                <w:szCs w:val="13"/>
                <w:b w:val="1"/>
                <w:bCs w:val="1"/>
                <w:color w:val="auto"/>
              </w:rPr>
              <w:t>millions)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rPr>
              <w:t>millions)</w:t>
            </w:r>
          </w:p>
        </w:tc>
        <w:tc>
          <w:tcPr>
            <w:tcW w:w="0" w:type="dxa"/>
            <w:vAlign w:val="bottom"/>
          </w:tcPr>
          <w:p>
            <w:pPr>
              <w:spacing w:after="0"/>
              <w:rPr>
                <w:sz w:val="1"/>
                <w:szCs w:val="1"/>
                <w:color w:val="auto"/>
              </w:rPr>
            </w:pPr>
          </w:p>
        </w:tc>
      </w:tr>
      <w:tr>
        <w:trPr>
          <w:trHeight w:val="195"/>
        </w:trPr>
        <w:tc>
          <w:tcPr>
            <w:tcW w:w="802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Entities affiliated with Index Ventures</w:t>
            </w:r>
            <w:r>
              <w:rPr>
                <w:rFonts w:ascii="Arial" w:cs="Arial" w:eastAsia="Arial" w:hAnsi="Arial"/>
                <w:sz w:val="20"/>
                <w:szCs w:val="20"/>
                <w:color w:val="auto"/>
                <w:vertAlign w:val="superscript"/>
              </w:rPr>
              <w:t>(1)</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tcPr>
          <w:p>
            <w:pPr>
              <w:ind w:left="20"/>
              <w:spacing w:after="0" w:line="204" w:lineRule="exact"/>
              <w:rPr>
                <w:sz w:val="20"/>
                <w:szCs w:val="20"/>
                <w:color w:val="auto"/>
              </w:rPr>
            </w:pPr>
            <w:r>
              <w:rPr>
                <w:rFonts w:ascii="Arial" w:cs="Arial" w:eastAsia="Arial" w:hAnsi="Arial"/>
                <w:sz w:val="16"/>
                <w:szCs w:val="16"/>
                <w:color w:val="auto"/>
              </w:rPr>
              <w:t>Entities affiliated with New Enterprise Associates</w:t>
            </w:r>
            <w:r>
              <w:rPr>
                <w:rFonts w:ascii="Arial" w:cs="Arial" w:eastAsia="Arial" w:hAnsi="Arial"/>
                <w:sz w:val="20"/>
                <w:szCs w:val="20"/>
                <w:color w:val="auto"/>
                <w:vertAlign w:val="superscript"/>
              </w:rPr>
              <w:t>(2)</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46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6"/>
                <w:szCs w:val="16"/>
                <w:color w:val="auto"/>
              </w:rPr>
              <w:t>Entities affiliated with Ribbit Capital</w:t>
            </w:r>
            <w:r>
              <w:rPr>
                <w:rFonts w:ascii="Arial" w:cs="Arial" w:eastAsia="Arial" w:hAnsi="Arial"/>
                <w:sz w:val="20"/>
                <w:szCs w:val="20"/>
                <w:color w:val="auto"/>
                <w:vertAlign w:val="superscript"/>
              </w:rPr>
              <w:t>(3)</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501.6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7940" w:type="dxa"/>
            <w:vAlign w:val="bottom"/>
          </w:tcPr>
          <w:p>
            <w:pPr>
              <w:spacing w:after="0" w:line="148" w:lineRule="exact"/>
              <w:rPr>
                <w:sz w:val="20"/>
                <w:szCs w:val="20"/>
                <w:color w:val="auto"/>
              </w:rPr>
            </w:pPr>
            <w:r>
              <w:rPr>
                <w:rFonts w:ascii="Arial" w:cs="Arial" w:eastAsia="Arial" w:hAnsi="Arial"/>
                <w:sz w:val="13"/>
                <w:szCs w:val="13"/>
                <w:color w:val="auto"/>
              </w:rPr>
              <w:t>________________</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84" w:hanging="284"/>
        <w:spacing w:after="0" w:line="230" w:lineRule="auto"/>
        <w:tabs>
          <w:tab w:leader="none" w:pos="284" w:val="left"/>
        </w:tabs>
        <w:numPr>
          <w:ilvl w:val="0"/>
          <w:numId w:val="120"/>
        </w:numPr>
        <w:rPr>
          <w:rFonts w:ascii="Arial" w:cs="Arial" w:eastAsia="Arial" w:hAnsi="Arial"/>
          <w:sz w:val="13"/>
          <w:szCs w:val="13"/>
          <w:color w:val="auto"/>
        </w:rPr>
      </w:pPr>
      <w:r>
        <w:rPr>
          <w:rFonts w:ascii="Arial" w:cs="Arial" w:eastAsia="Arial" w:hAnsi="Arial"/>
          <w:sz w:val="13"/>
          <w:szCs w:val="13"/>
          <w:color w:val="auto"/>
        </w:rPr>
        <w:t>Consists of Index Ventures Growth V (Jersey), L.P. and Yucca (Jersey) SLP.</w:t>
      </w:r>
    </w:p>
    <w:p>
      <w:pPr>
        <w:ind w:left="284" w:right="20" w:hanging="284"/>
        <w:spacing w:after="0" w:line="230" w:lineRule="auto"/>
        <w:tabs>
          <w:tab w:leader="none" w:pos="273" w:val="left"/>
        </w:tabs>
        <w:numPr>
          <w:ilvl w:val="0"/>
          <w:numId w:val="120"/>
        </w:numPr>
        <w:rPr>
          <w:rFonts w:ascii="Arial" w:cs="Arial" w:eastAsia="Arial" w:hAnsi="Arial"/>
          <w:sz w:val="13"/>
          <w:szCs w:val="13"/>
          <w:color w:val="auto"/>
        </w:rPr>
      </w:pPr>
      <w:r>
        <w:rPr>
          <w:rFonts w:ascii="Arial" w:cs="Arial" w:eastAsia="Arial" w:hAnsi="Arial"/>
          <w:sz w:val="13"/>
          <w:szCs w:val="13"/>
          <w:color w:val="auto"/>
        </w:rPr>
        <w:t>Consists of New Enterprise Associates 15, L.P. and New Enterprise Associates 17, L.P. Scott Sandell, a member of our board of directors, is affiliated with New Enterprise Associates 15, L.P. and New Enterprise Associates 17, L.P. See the footnotes to the table in the section titled “Principal and Selling Stockholders” for more information.</w:t>
      </w:r>
    </w:p>
    <w:p>
      <w:pPr>
        <w:ind w:left="284" w:hanging="284"/>
        <w:spacing w:after="0"/>
        <w:tabs>
          <w:tab w:leader="none" w:pos="284" w:val="left"/>
        </w:tabs>
        <w:numPr>
          <w:ilvl w:val="0"/>
          <w:numId w:val="120"/>
        </w:numPr>
        <w:rPr>
          <w:rFonts w:ascii="Arial" w:cs="Arial" w:eastAsia="Arial" w:hAnsi="Arial"/>
          <w:sz w:val="13"/>
          <w:szCs w:val="13"/>
          <w:color w:val="auto"/>
        </w:rPr>
      </w:pPr>
      <w:r>
        <w:rPr>
          <w:rFonts w:ascii="Arial" w:cs="Arial" w:eastAsia="Arial" w:hAnsi="Arial"/>
          <w:sz w:val="13"/>
          <w:szCs w:val="13"/>
          <w:color w:val="auto"/>
        </w:rPr>
        <w:t>Consists of Bullfrog Capital, L.P. and RH-N Bullfrog Opportunity I, LLC</w:t>
      </w:r>
    </w:p>
    <w:p>
      <w:pPr>
        <w:spacing w:after="0" w:line="156" w:lineRule="exact"/>
        <w:rPr>
          <w:sz w:val="20"/>
          <w:szCs w:val="20"/>
          <w:color w:val="auto"/>
        </w:rPr>
      </w:pPr>
    </w:p>
    <w:p>
      <w:pPr>
        <w:jc w:val="both"/>
        <w:ind w:left="4" w:firstLine="287"/>
        <w:spacing w:after="0" w:line="250" w:lineRule="auto"/>
        <w:rPr>
          <w:sz w:val="20"/>
          <w:szCs w:val="20"/>
          <w:color w:val="auto"/>
        </w:rPr>
      </w:pPr>
      <w:r>
        <w:rPr>
          <w:rFonts w:ascii="Arial" w:cs="Arial" w:eastAsia="Arial" w:hAnsi="Arial"/>
          <w:sz w:val="16"/>
          <w:szCs w:val="16"/>
          <w:color w:val="auto"/>
        </w:rPr>
        <w:t>In connection with the convertible note and warrant financings, we entered into a Tranche I convertible note and warrant purchase agreement (the “Tranche I Purchase Agreement”) and a Tranche II convertible note purchase agreement (the “Tranche II Purchase Agreement”), each dated as of February 12, 2021. Pursuant to the Tranche I Purchase Agreement, the holders of our Tranche I convertible notes have the right to request that we file a registration statement, and/or request that the common shares issued upon conversion of the Tranche I convertible notes be covered by a registration statement that we are otherwise filing, in each case subject to certain exceptions. See the section titled “Description of Capital Stock—Registration Rights” for additional information regarding these registration rights. In addition, the purchasers of our convertible notes and warrants entered into market standoff agreements with us for the benefit of the underwriters, pursuant to which the holders of our convertible notes and warrants have entered into lockup agreements in connection with this offering. See “Shares Eligible for Future Sale—Lock-up and Market Standoff Agreements.”</w:t>
      </w:r>
    </w:p>
    <w:p>
      <w:pPr>
        <w:spacing w:after="0" w:line="152" w:lineRule="exact"/>
        <w:rPr>
          <w:sz w:val="20"/>
          <w:szCs w:val="20"/>
          <w:color w:val="auto"/>
        </w:rPr>
      </w:pPr>
    </w:p>
    <w:p>
      <w:pPr>
        <w:jc w:val="both"/>
        <w:ind w:left="4" w:firstLine="574"/>
        <w:spacing w:after="0" w:line="260" w:lineRule="auto"/>
        <w:rPr>
          <w:sz w:val="20"/>
          <w:szCs w:val="20"/>
          <w:color w:val="auto"/>
        </w:rPr>
      </w:pPr>
      <w:r>
        <w:rPr>
          <w:rFonts w:ascii="Arial" w:cs="Arial" w:eastAsia="Arial" w:hAnsi="Arial"/>
          <w:sz w:val="16"/>
          <w:szCs w:val="16"/>
          <w:color w:val="auto"/>
        </w:rPr>
        <w:t>See Note 5 - “Fair Value of Financial Instruments” in our unaudited condensed consolidated financial statements for more information about the accounting treatment of our convertible note and warrant financings.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249</w:t>
      </w:r>
    </w:p>
    <w:p>
      <w:pPr>
        <w:sectPr>
          <w:pgSz w:w="11900" w:h="16838" w:orient="portrait"/>
          <w:cols w:equalWidth="0" w:num="1">
            <w:col w:w="11264"/>
          </w:cols>
          <w:pgMar w:left="316" w:top="1440" w:right="319" w:bottom="1440" w:gutter="0" w:footer="0" w:header="0"/>
        </w:sectPr>
      </w:pPr>
    </w:p>
    <w:bookmarkStart w:id="272" w:name="page273"/>
    <w:bookmarkEnd w:id="272"/>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Third-Party Tender Offers and Secondary Sales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2019 Tender Offer</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August 2019, we entered into a letter agreement with certain holders of our capital stock, pursuant to which we agreed to waive certain transfer restrictions in connection with, and assist in the administration of, a tender offer that such holders proposed to commence. From August 2019 through September 2019, these holders commenced a tender offer to purchase shares of our capital stock from certain of our employee stockholders, including our Co-Founder and CEO, Vladimir Tenev, and Co-Founder and Chief Creative Officer and then-co-CEO Baiju Bhatt. An aggregate of 5.4 million shares of our capital stock were tendered pursuant to the tender offer for an aggregate purchase price of $67.6 million, or $12.4827 per share.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2018 Secondary Sales</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On April 3, 2018, our Co-Founder and CEO, Vladimir Tenev, our Co-Founder and Chief Creative Officer and then-co-CEO, Baiju Bhatt, our then-Chief Operating Officer, Nathan Rodland, and one other employee, each individually entered into common stock purchase agreements with certain other holders of our capital stock, including entities affiliated with DST Global, pursuant to which they sold shares of our common stock to the purchasing stockholders at a purchase price of $10.145 per share. In total, Mr. Bhatt sold 5,421,389 shares of common stock for an aggregate purchase price of $55.0 million; Mr. Rodland sold 295,712 shares of common stock for an aggregate purchase price of $3.0 million; and Mr. Tenev sold 5,421,389 shares of common stock for an aggregate purchase price of $55.0 million. As part of these sales, each of Mr. Bhatt and Mr. Tenev sold 739,280 shares of our common stock to entities affiliated with DST Global.</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Voting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Pre-IPO Voting Agreement</w:t>
      </w:r>
    </w:p>
    <w:p>
      <w:pPr>
        <w:spacing w:after="0" w:line="179"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We are party to the Pre-IPO Voting Agreement, pursuant to which certain holders of our capital stock, including entities affiliated with Index Ventures, New Enterprise Associates, DST Global and Ribbit Capital have agreed to the manner in which they will vote their shares on certain matters, including the election of directors. For more information about the Pre-IPO Voting Agreement, see “Management—Board of Directors Composition—Current Board of Directors.” In connection with this offering, the Pre-IPO Voting Agreement will terminate and none of our stockholders will have any special rights regarding the election or designation of members of our board of directors, the voting of our capital stock or restrictions on transfer of our capital stock pursuant to the Pre-IPO Voting Agreement.</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Holder Voting Agreements</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Co-Founder and CEO, Vladimir Tenev, and our Co-Founder and Chief Creative Officer, Baiju Bhatt, have individually entered into holder voting agreements with entities affiliated with DST Global, which agreements were effective as of May 1, 2017 and as of January 1, 2021 (each, a “Holder Voting Agreement”), which entitled each of Mr. Tenev and Mr. Bhatt individually to vote 50% of the redeemable convertible preferred stock owned by the DST Global entities at their own discretion, whether at a meeting of stockholders or through the solicitation of a written consent of stockholders, in respect of certain matters regarding liquidations, dividends, transfers of intellectual property, acquisitions and indebtedness, among other things. Each Holder Voting Agreement terminates in its entirety upon the earliest of (i) the completion of this offering, (ii) the event of a liquidation, dissolution or winding-up of Robinhood, (iii) the death or permanent and substantial incapacity of Mr. Tenev or Mr. Bhatt, as applicable, (iv) in the case of Mr. Tenev’s Holder Voting Agreements, the date on which Mr. Tenev is no longer serving as President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250</w:t>
      </w:r>
    </w:p>
    <w:p>
      <w:pPr>
        <w:sectPr>
          <w:pgSz w:w="11900" w:h="16838" w:orient="portrait"/>
          <w:cols w:equalWidth="0" w:num="1">
            <w:col w:w="11260"/>
          </w:cols>
          <w:pgMar w:left="320" w:top="1440" w:right="319" w:bottom="1440" w:gutter="0" w:footer="0" w:header="0"/>
        </w:sectPr>
      </w:pPr>
    </w:p>
    <w:bookmarkStart w:id="273" w:name="page274"/>
    <w:bookmarkEnd w:id="273"/>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CEO of Robinhood or, in the case of Mr. Bhatt’s Holder Voting Agreements, the date on which Mr. Bhatt is no longer serving as an officer or director of Robinhood or (v) the date on which Mr. Tenev or Mr. Bhatt, as applicable, beneficially or indirectly transfers to any third party (individually or in the aggregate) more than 15% of capital stock of Robinhood owned by Mr. Tenev or Mr. Bhatt, respectively, as of April 17, 2017 or January 1, 2021, as applicable. All Holder Voting Agreements are expected to terminate on the completion of this offering.</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Founder Voting Agreement</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connection with this offering, our founders and certain of their respective related entities will enter into a voting agreement, which will become effective prior to the completion of this offering (the “Founder Voting Agreement”), to which we will also be a party. Pursuant to the Founder Voting Agreement, each founder and certain of their respective entities (including estate planning vehicles) party to the Founder Voting Agreement (the “Founder Affiliates”) will agree, upon the terms and subject to the conditions set forth therein, to, among other things, (i) vote all of the shares of our common stock held by such founder or Founder Affiliate for the election of each founder to, and against the removal of each founder from, our board of directors and (ii) vote together in the election of other directors generally, subject to deferring to the decision of the nominating and corporate governance committee in the event of any disagreement between the founders. In addition, under the Founder Voting Agreement, certain of the Founder Affiliates will grant, effective upon completion of this offering, to the other, unrelated founder, an irrevocable voting proxy with respect to shares of our common stock owned by such Founder Affiliate. Also pursuant to the Founder Voting Agreement, each founder will grant, effective upon such founder’s death or permanent and total disability, a voting proxy to the other founder with respect to shares of our common stock held by such founder and over which such founder was entitled to vote (or direct the voting of) immediately prior to such founder’s death or permanent and total disability. Moreover, the Founder Voting Agreement will grant to each founder and its respective Founder Affiliates a right of first offer in the event the other founder or any of its respective Founder Affiliates proposes to transfer any shares of Class B common stock in a transaction that would cause such shares of Class B common stock to convert to Class A common stock pursuant to our Charter. The Founder Voting Agreement will be in effect until the Final Conversion Date.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Investors’ Rights Agreement</w:t>
      </w:r>
    </w:p>
    <w:p>
      <w:pPr>
        <w:spacing w:after="0" w:line="17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are party to an Amended and Restated Investors’ Rights Agreement, dated as of August 13, 2020 (“Investors’ Rights Agreement”), with certain holders of our capital stock (which, as of the date of this prospectus, consists of holders of our redeemable convertible preferred stock, and may in the future include holders of shares of Class A common stock issued upon exercise of our warrants or conversion of our convertible notes), including entities affiliated with Index Ventures, New Enterprise Associates, DST Global and Ribbit Capital. This agreement provides, among other things, that certain holders of our capital stock and warrants have the right to request that we file a registration statement, and/or request that their shares be covered by a registration statement that we are otherwise filing, subject to certain exceptions. See the section titled “Description of Capital Stock—Registration Rights” for additional information regarding these registration rights. Also under the Investors’ Rights Agreement, our stockholders party thereto have entered into market standoff agreements with us for the benefit of the underwriters, pursuant to which such stockholders have entered into lockup agreements in connection with this offering. See “Shares Eligible for Future Sale—Lock-up and Market Standoff Agreements.”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Right of First Refusal and Co-Sale Agreement</w:t>
      </w:r>
    </w:p>
    <w:p>
      <w:pPr>
        <w:spacing w:after="0" w:line="163"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Pursuant to certain of our equity compensation plans and certain agreements with our stockholders, including an Amended and Restated Right of First Refusal and Co-Sale Agreement, dated as of August 13, 2020 (“Right of First Refusal and Co-Sale Agreement”), among us, Mr. Tenev and Mr. Bhatt and certain of their respective affiliates and certain of our other stockholders, including entities affiliated with Index Ventures, New Enterprise Associates, DST Global and Ribbit Capital, as well as two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251</w:t>
      </w:r>
    </w:p>
    <w:p>
      <w:pPr>
        <w:sectPr>
          <w:pgSz w:w="11900" w:h="16838" w:orient="portrait"/>
          <w:cols w:equalWidth="0" w:num="1">
            <w:col w:w="11260"/>
          </w:cols>
          <w:pgMar w:left="320" w:top="1440" w:right="319" w:bottom="1440" w:gutter="0" w:footer="0" w:header="0"/>
        </w:sectPr>
      </w:pPr>
    </w:p>
    <w:bookmarkStart w:id="274" w:name="page275"/>
    <w:bookmarkEnd w:id="274"/>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Restriction Agreements, each dated December 4, 2013 (the “Stock Restriction Agreements”), one between us and Mr. Tenev, and one between us and Mr. Bhatt, we or our assignees have a right of first refusal to purchase shares of our common stock which certain of our stockholders, including Mr. Tenev and Mr. and Bhatt, propose to sell to other parties. The Right of First Refusal and Co-Sale Agreement also provides our stockholder investors party thereto with rights of first refusal and co-sale relating to shares of our common stock held and proposed to be transferred by either of Mr. Tenev or Mr. Bhatt or certain of their respective affiliates or permitted transferees. The Right of First Refusal and Co-Sale Agreement will terminate in connection with this offering, as will the Stock Restriction Agreements. Since January 1, 2018, we have waived our rights of first refusal in connection with the transfer or sale of certain shares of our capital stock, including the tender offer and secondary sale transactions described under “—Third-Party Tender Offers and Secondary Sales” above and other transfers by certain of our Co-Founders and other executive officers. See the section titled “Principal and Selling Stockholders” for additional information regarding beneficial ownership of our capital stock.</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Indemnification Agreements</w:t>
      </w:r>
    </w:p>
    <w:p>
      <w:pPr>
        <w:spacing w:after="0" w:line="16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are currently party to and, in connection with this offering, we intend to enter into, an indemnification agreement with each of our directors and officers. These agreements will require us to indemnify these individuals to the fullest extent permitted under the DGCL against liabilities that may arise by reason of their service to us, and to advance expenses incurred as a result of any proceeding against them as to which they could be indemnified. In addition, the indemnification agreements that we have entered into with Jan Hammer, who is a director of ours and a Partner at Index Ventures, and Scott Sandell, who is a director of ours and a Managing General Partner at New Enterprise Associates, also provide that, among other things, Index Ventures and New Enterprise Associates and their respective affiliates, respectively, will also be entitled to indemnification by us to the same extent as such director with respect to any claims that are based on such director’s service to us. See “Description of Capital Stock—Limitations on Liability and Indemnification of Officers and Directors.”</w:t>
      </w:r>
    </w:p>
    <w:p>
      <w:pPr>
        <w:spacing w:after="0" w:line="14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Each of Mr. Tenev and Mr. Bhatt, two of our executive officers and members of our board of directors, is party to an indemnification agreement with us. In 2020, pursuant to such indemnification agreements, we made aggregate payments to counsel to Mr. Bhatt and Mr. Tenev of approximately $ 1,152,775 in connection with the SEC Enforcement Division’s investigation into RHF’s best execution and PFOF practices, as well as statements concerning its source of revenue. In December 2020, RHF, on a neither admit nor deny basis, consented to the entry of an SEC order, concluding the investigation. See “Business— Legal Proceedings—Best Execution, Payment for Order Flow and Sources of Revenue Matters” for more information about this investigation. We do not anticipate making additional payments to counsel for Mr. Bhatt or Mr. Tenev in connection with this matter.</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Director Participation in this Offering</w:t>
      </w:r>
    </w:p>
    <w:p>
      <w:pPr>
        <w:spacing w:after="0" w:line="16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Jon Rubinstein, one of our directors, has expressed an interest in purchasing up to $2.0 million in shares of our Class A common stock in this offering, which is equal to 50,000 shares of Class A common stock, based upon an assumed initial public offering price of $40.00 per share, which is the midpoint of the price range set forth on the cover page of this prospectus. At our request, the underwriters have reserved such shares for sale to Mr. Rubinstein. All such shares would be purchased at the initial public offering price and on the same terms as the other purchasers in this offering. Because there is no binding agreement obligating Mr. Rubinstein to purchase these shares, he may determine to purchase fewer shares than he has expressed an interest in purchasing, or not to purchase any shares at all, in this offering.</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Class B Exchange Agreements</w:t>
      </w:r>
    </w:p>
    <w:p>
      <w:pPr>
        <w:spacing w:after="0" w:line="17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To facilitate the Class B Exchange, we will enter into exchange agreements with our founders and certain of their respective related entities, effective as of immediately following the effectiveness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252</w:t>
      </w:r>
    </w:p>
    <w:p>
      <w:pPr>
        <w:sectPr>
          <w:pgSz w:w="11900" w:h="16838" w:orient="portrait"/>
          <w:cols w:equalWidth="0" w:num="1">
            <w:col w:w="11260"/>
          </w:cols>
          <w:pgMar w:left="320" w:top="1440" w:right="319" w:bottom="1440" w:gutter="0" w:footer="0" w:header="0"/>
        </w:sectPr>
      </w:pPr>
    </w:p>
    <w:bookmarkStart w:id="275" w:name="page276"/>
    <w:bookmarkEnd w:id="275"/>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filing of our Charter (which is expected to occur immediately prior to the completion of this offering). Pursuant to these exchange agreements, an aggregate of 134,307,224 shares of our Class A common stock beneficially owned by our founders and their related entities at the time of this offering (including shares to be issued upon vesting and settlement of IPO-Vesting Time-Based RSUs and IPO-Vesting Market-Based RSUs, assuming, for purposes of any market-based vesting conditions, an initial public offering price of $40.00 per share, which is the midpoint of the price range set forth on the cover page of this prospectus) will automatically be exchanged for an equivalent number of shares of our Class B common stock immediately prior to the completion of this offering. In addition, following the completion of this offering, and pursuant to certain equity exchange agreements to be entered into between us and each of our founders, each of our founders will have the Equity Exchange Rights, pursuant to which each founder will have a right (but not an obligation) to require us to exchange, for shares of Class B common stock, any shares of Class A common stock received by him upon the vesting and settlement of RSUs related to shares of Class A common stock. The Equity Exchange Rights apply only to equity awards granted to our founders prior to the effectiveness of our Charter, which will occur immediately prior to the completion of this offering. As of March 31, 2021, there were 5,808,048 shares of our Class A common stock subject to outstanding Time-Based RSUs and 27,663,658 shares of our Class A common stock subject to outstanding 2019 Market-Based RSUs, in each case held by our founders and that may be exchanged, upon vesting and settlement, for an equivalent number of shares of our Class B common stock following this offering pursuant to the Equity Exchange Rights. In addition, in May 2021, our founders were granted 2021 Market-Based RSUs in respect of 35,520,000 shares of our Class A common stock that may be exchanged, upon vesting and settlement, for an equivalent number of shares of our Class B common stock following this offering pursuant to the Equity Exchange Rights.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Policies and Procedures for Related Person Transactions</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board of directors has adopted a written related person transaction policy, to be effective upon the completion of this offering, setting forth the policies and procedures for the identification,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interest. In reviewing and approving or disproving any such transactions, our audit committee considers all relevant facts and circumstances as appropriate, including, but not limited to, the purpose of the transaction, whether the transaction is on terms comparable to those that could be obtained in an arm’s-length transaction with an unrelated third party under the same or similar circumstances and the extent of the related person’s interest in the transaction. All such approved transactions must be ratified by the audit committee, taking into account the foregoing considerations.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253</w:t>
      </w:r>
    </w:p>
    <w:p>
      <w:pPr>
        <w:sectPr>
          <w:pgSz w:w="11900" w:h="16838" w:orient="portrait"/>
          <w:cols w:equalWidth="0" w:num="1">
            <w:col w:w="11260"/>
          </w:cols>
          <w:pgMar w:left="320" w:top="1440" w:right="319" w:bottom="1440" w:gutter="0" w:footer="0" w:header="0"/>
        </w:sectPr>
      </w:pPr>
    </w:p>
    <w:bookmarkStart w:id="276" w:name="page277"/>
    <w:bookmarkEnd w:id="276"/>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DESCRIPTION OF CAPITAL STOCK</w:t>
      </w:r>
    </w:p>
    <w:p>
      <w:pPr>
        <w:spacing w:after="0" w:line="182"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The following summary describes the material terms of our capital stock and provisions of our Charter and our Bylaws as they will be in effect upon the consummation of this offering. This summary does not purport to be complete and is qualified in its entirety by reference to all of the provisions of our Charter and our Bylaws, the forms of which are filed as exhibits to the registration statement of which this prospectus is a part.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Our Capital Stock</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Authorized Capital Stock</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Upon the filing of our Charter, which is expected to occur immediately prior to this offering and will effect the Reclassification, and the completion of this offering, our authorized capital stock will consist of 28,910,000,000 shares of capital stock, of which:</w:t>
      </w:r>
    </w:p>
    <w:p>
      <w:pPr>
        <w:spacing w:after="0" w:line="139" w:lineRule="exact"/>
        <w:rPr>
          <w:sz w:val="20"/>
          <w:szCs w:val="20"/>
          <w:color w:val="auto"/>
        </w:rPr>
      </w:pPr>
    </w:p>
    <w:p>
      <w:pPr>
        <w:ind w:left="560" w:hanging="278"/>
        <w:spacing w:after="0"/>
        <w:tabs>
          <w:tab w:leader="none" w:pos="5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21,000,000,000 shares will be designated as Class A common stock, par value $0.0001 per share;</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700,000,000 shares will be designated as Class B common stock, par value $0.0001 per share;</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7,000,000,000 shares will be designated as Class C common stock, par value $0.0001 per share; and</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210,000,000 shares will be designated as preferred stock, par value $0.0001 per share.</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Common Stock</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Assuming (i) the Preferred Share Conversion, (ii) the Convertible Note Conversion, (iii) the IPO-Vesting Time-Based RSU Settlement, (iv) the IPO-Vesting Market-Based RSU Settlement, (v) the filing and effectiveness of our Charter in Delaware, which will occur immediately prior to the completion of this offering and will effect the Reclassification, and (vi) the Class B Exchange, as of March 31, 2021, there would have been 648,993,056 shares of Class A common stock outstanding held by 1,636 stockholders of record, 134,307,224 shares of Class B common stock outstanding held by nine stockholders of record, which consist of our founders and their related entities, no shares of our Class C common stock outstanding and no shares of preferred stock outstanding. Pursuant to our Charter, our board of directors will have the authority, without stockholder approval except as required by the listing standards of the Nasdaq, to issue additional shares of our Class A common stock and Class C common stock. Until the Final Conversion Date, any issuance of additional shares of Class B common stock, subject to certain exceptions as set forth in our Charter, requires the approval of the holders of at least 80% of the outstanding shares of Class B common stock, voting as a separate class.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19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Holders of our Class A common stock will be entitled to one vote per share on all matters to be voted upon by our stockholders, holders of our Class B common stock will be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will vote together as a single class, unless otherwise required by our Charter or applicable law. Specifically, the DGCL could require either holders of our Class A common stock, our Class B common stock or our Class C common stock to vote separately as a single class in the following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254</w:t>
      </w:r>
    </w:p>
    <w:p>
      <w:pPr>
        <w:sectPr>
          <w:pgSz w:w="11900" w:h="16838" w:orient="portrait"/>
          <w:cols w:equalWidth="0" w:num="1">
            <w:col w:w="11260"/>
          </w:cols>
          <w:pgMar w:left="320" w:top="1440" w:right="319" w:bottom="1440" w:gutter="0" w:footer="0" w:header="0"/>
        </w:sectPr>
      </w:pPr>
    </w:p>
    <w:bookmarkStart w:id="277" w:name="page278"/>
    <w:bookmarkEnd w:id="277"/>
    <w:p>
      <w:pPr>
        <w:spacing w:after="0" w:line="2" w:lineRule="exact"/>
        <w:rPr>
          <w:sz w:val="20"/>
          <w:szCs w:val="20"/>
          <w:color w:val="auto"/>
        </w:rPr>
      </w:pPr>
    </w:p>
    <w:p>
      <w:pPr>
        <w:ind w:left="560" w:hanging="278"/>
        <w:spacing w:after="0" w:line="260" w:lineRule="auto"/>
        <w:tabs>
          <w:tab w:leader="none" w:pos="55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we were to seek to amend our Charter to increase or decrease the par value of a class of stock, then that class would be required to vote separately as a class to approve the proposed amendment; and</w:t>
      </w:r>
    </w:p>
    <w:p>
      <w:pPr>
        <w:spacing w:after="0" w:line="151"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w:t>
      </w:r>
    </w:p>
    <w:p>
      <w:pPr>
        <w:spacing w:after="0" w:line="139"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In addition, under our Charter, until the Final Conversion Date, approval of at least 80% of the outstanding shares of Class B common stock, voting as a separate class, will be required to:</w:t>
      </w:r>
    </w:p>
    <w:p>
      <w:pPr>
        <w:spacing w:after="0" w:line="139" w:lineRule="exact"/>
        <w:rPr>
          <w:sz w:val="20"/>
          <w:szCs w:val="20"/>
          <w:color w:val="auto"/>
        </w:rPr>
      </w:pPr>
    </w:p>
    <w:p>
      <w:pPr>
        <w:ind w:left="560" w:hanging="278"/>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increase the number of authorized shares of our Class B common stock;</w:t>
      </w:r>
    </w:p>
    <w:p>
      <w:pPr>
        <w:spacing w:after="0" w:line="174"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amend or repeal, or adopt any provision of our Charter inconsistent with, or otherwise alter, any provision of our Charter that modifies the voting, conversion, or other rights, powers, preferences, privileges or restrictions of our Class B common stock;</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reclassify any outstanding shares of our Class A common stock into shares having rights as to dividends or liquidation that are senior to our Class B common stock or the right to have more than one vote for each share thereof;</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issue any shares of our Class B common stock, including by dividend, distribution or otherwise, subject to certain exceptions as set forth in our Charter;</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authorize, or issue any shares of, any class or series of our capital stock having the right to more than one vote for each share thereof;</w:t>
      </w:r>
    </w:p>
    <w:p>
      <w:pPr>
        <w:spacing w:after="0" w:line="162" w:lineRule="exact"/>
        <w:rPr>
          <w:rFonts w:ascii="Arial" w:cs="Arial" w:eastAsia="Arial" w:hAnsi="Arial"/>
          <w:sz w:val="16"/>
          <w:szCs w:val="16"/>
          <w:color w:val="auto"/>
        </w:rPr>
      </w:pPr>
    </w:p>
    <w:p>
      <w:pPr>
        <w:jc w:val="both"/>
        <w:ind w:left="560" w:hanging="278"/>
        <w:spacing w:after="0" w:line="252" w:lineRule="auto"/>
        <w:tabs>
          <w:tab w:leader="none" w:pos="55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treat the shares of our Class B common stock differently in any payment of dividends to the holders of shares of our common stock, any subdivision or combination of the outstanding shares of our common stock, any distribution of assets of our Company to our stockholders in connection with any liquidation, dissolution or winding-up of our Company or any conversion of each share of our common stock into other securities as a result of a merger or consolidation of our Company with or into any other entity, or any other substantially similar transaction; or</w:t>
      </w:r>
    </w:p>
    <w:p>
      <w:pPr>
        <w:spacing w:after="0" w:line="147" w:lineRule="exact"/>
        <w:rPr>
          <w:rFonts w:ascii="Arial" w:cs="Arial" w:eastAsia="Arial" w:hAnsi="Arial"/>
          <w:sz w:val="16"/>
          <w:szCs w:val="16"/>
          <w:color w:val="auto"/>
        </w:rPr>
      </w:pPr>
    </w:p>
    <w:p>
      <w:pPr>
        <w:jc w:val="both"/>
        <w:ind w:left="560" w:right="20" w:hanging="278"/>
        <w:spacing w:after="0" w:line="252" w:lineRule="auto"/>
        <w:tabs>
          <w:tab w:leader="none" w:pos="55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pay dividends or other distributions payable in shares of our common stock to holders of our common stock, unless holders of our Class A common stock receive such dividend or distribution in respect of their Class A common stock in shares of our Class A common stock, holders of our Class B common stock receive such dividend or distribution in respect of their Class B common stock in shares of our Class B common stock and holders of our Class C common stock receive such dividend or distribution in respect of their Class C common stock in shares of our Class C common stock.</w:t>
      </w:r>
    </w:p>
    <w:p>
      <w:pPr>
        <w:spacing w:after="0" w:line="15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Unless a different vote is required by applicable law or specifically required by our Charter or Bylaws, if a quorum exists at any meeting of stockholders, stockholders shall have approved any matter (other than the election of directors, which is described below) if (i) a majority of votes cast on such matter by stockholders and (ii) where a separate vote by a class or series or classes or series is required, a majority of the votes cast on such matter by stockholders of such class or series or classes or series, in each case present in person or represented by proxy at the meeting and entitled to vote on such matter are in favor of such matter.</w:t>
      </w:r>
    </w:p>
    <w:p>
      <w:pPr>
        <w:spacing w:after="0" w:line="14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Subject to the rights of the holders of any series of our preferred stock to elect directors under specified circumstances, if a quorum exists at any meeting of stockholders, stockholders shall have approved the election of a director if a majority of the votes cast at any meeting for the election of such director are in favor of such election. Notwithstanding the foregoing, in the event of a “contested election” of directors, directors will be elected by the vote of a plurality of the votes cast at any meeting for the election of directors at which a quorum is present. A “contested election” means any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255</w:t>
      </w:r>
    </w:p>
    <w:p>
      <w:pPr>
        <w:sectPr>
          <w:pgSz w:w="11900" w:h="16838" w:orient="portrait"/>
          <w:cols w:equalWidth="0" w:num="1">
            <w:col w:w="11260"/>
          </w:cols>
          <w:pgMar w:left="320" w:top="1440" w:right="319" w:bottom="1440" w:gutter="0" w:footer="0" w:header="0"/>
        </w:sectPr>
      </w:pPr>
    </w:p>
    <w:bookmarkStart w:id="278" w:name="page279"/>
    <w:bookmarkEnd w:id="278"/>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which the number of candidates for election as directors exceeds the number of directors to be elected, with the determination thereof being made by the secretary of Robinhood.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of Class B Common Stock</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Each share of Class B common stock is convertible at any time at the option of the holder into one share of Class A common stock. Following the completion of this offering, shares of Class B common stock will automatically convert into shares of Class A common stock upon sale or transfer except for certain permitted transfers described in our Charter, including transfers effected for estate planning or other transfers among our founders, their family members and certain of their related entities. In addition, each share of Class B common stock held by a stockholder who is a natural person, or held by permitted transferees or permitted entities of such natural person (each as described in our Charter) will automatically convert into shares of Class A common stock nine months following the death or permanent and total disability of such natural person, or such later date not to exceed a total period of 18 months after such death or permanent and total disability as may be approved by a majority of our independent directors. Notwithstanding the foregoing, in the event such natural person is a founder, to the extent (i) a person designated by such founder and approved by a majority of the independent directors then in office or (ii) the other founder, in each case, has or shares voting control over the shares of Class B common stock held by the deceased or disabled founder, such shares will be treated as being held of record by such person or other founder and will not convert into shares of Class A common stock as a result of such founder’s death or permanent and total disability.</w:t>
      </w:r>
    </w:p>
    <w:p>
      <w:pPr>
        <w:spacing w:after="0" w:line="150"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Each outstanding share of Class B common stock will convert automatically into one share of Class A common stock upon the earliest of (i) the date and time specified by the affirmative vote of the holders of at least 80% of the then-outstanding shares of Class B common stock, voting separately as a class, (ii) the date fixed by our board of directors that is no less than 61 days and no more than 180 days following the date on which the number of then-outstanding shares of Class B common stock represents less than 5% of the aggregate number of shares of Class A common stock and Class B common stock then outstanding, (iii) the date fixed by our board of directors that is no less than 61 days and no more than 180 days following the date that (A) each founder is no longer providing services to our Company as an officer, employee or consultant and (B) each founder is not a director of our Company as a result of a voluntary resignation by such founder from our board of directors or as a result of a written request or agreement by such founder not to be renominated as a director of our Company at an annual or special meeting of stockholders, (iv) the date that is nine months after the death or permanent and total disability of the last to die or become permanently and totally disabled of our founders, or such later date not to exceed a total period of 18 months after such death or permanent and total disability as may be approved by a majority of our independent directors or (v) the date that is 15 years from the completion of this offering (the “Final Conversion Date”).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of Class C Common Stock</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Upon the conversion or exchange of all outstanding shares of our Class B common stock into shares of Class A common stock, each outstanding share of Class C common stock will convert automatically into one share of Class A common stock on the date or time fixed by our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19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Subject to the rights of any holders of our preferred stock, the holders of our common stock will be entitled to receive ratably dividends, if any, as may be declared from time to time by our board of directors out of funds legally available for the payment of dividends. See the section titled “Dividend Policy”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Right to Receive Liquidation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256</w:t>
      </w:r>
    </w:p>
    <w:p>
      <w:pPr>
        <w:sectPr>
          <w:pgSz w:w="11900" w:h="16838" w:orient="portrait"/>
          <w:cols w:equalWidth="0" w:num="1">
            <w:col w:w="11260"/>
          </w:cols>
          <w:pgMar w:left="320" w:top="1440" w:right="319" w:bottom="1440" w:gutter="0" w:footer="0" w:header="0"/>
        </w:sectPr>
      </w:pPr>
    </w:p>
    <w:bookmarkStart w:id="279" w:name="page280"/>
    <w:bookmarkEnd w:id="279"/>
    <w:p>
      <w:pPr>
        <w:spacing w:after="0" w:line="2"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If we liquidate, dissolve or wind up, after all liabilities and, if applicable, the holders of each series of our preferred stock have been paid in full, the holders of our common stock will be entitled to share ratably in all remaining assets.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Preemptive or Similar Rights</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Our common stock will have no preemptive or conversion rights or other subscription rights. No redemption or sinking fund provisions will be applicable to our common stock. The rights, preferences and privileges of the holders of our common stock will be subject to, and may be adversely affected by, the rights of the holders of shares of any series of our preferred stock that we may designate and issue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Preferred Stock</w:t>
      </w:r>
    </w:p>
    <w:p>
      <w:pPr>
        <w:spacing w:after="0" w:line="19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As of March 31, 2021, we had 412,742,897 shares of redeemable convertible preferred stock outstanding held by 100 stockholders of record, all of which will, immediately prior to the effectiveness of our Charter, automatically convert into shares of our common stock on a one-to-one basis, which such shares of common stock will automatically be reclassified into shares of our Class A common stock pursuant to our Charter immediately prior to the completion of this offering. After the completion of this offering, no shares of our redeemable convertible preferred stock will be outstanding.</w:t>
      </w:r>
    </w:p>
    <w:p>
      <w:pPr>
        <w:spacing w:after="0" w:line="147"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Pursuant to our Charter, our board of directors may issue shares of our preferred stock in one or more series and, subject to the applicable law of the State of Delaware, our board of directors may set the powers, rights, preferences, qualifications, limitations and restrictions of such preferred stock.</w:t>
      </w:r>
    </w:p>
    <w:p>
      <w:pPr>
        <w:spacing w:after="0" w:line="13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board of directors will have the power to issue our preferred stock with voting, conversion and exchange rights that could negatively affect the voting power or other rights of our common stockholders, and our board of directors could take that action without stockholder approval. The issuance of our preferred stock could delay or prevent a change in control of Robinhood. Upon the completion of this offering, no shares of preferred stock will be outstanding, and we have no present plan to issue any shares of preferred stock.</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 Options</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As of March 31, 2021, options to purchase 18,096,127 shares of our Class A common stock were outstanding with a weighted-average exercise price of $2.23 per share, of which options to purchase 15,396,002 shares were vested and exercisable with a weighted-average exercise price of $1.62 per share.</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Stock Units</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March 31, 2021, RSUs representing the right to receive 81,820,160 shares of our common stock were outstanding, none of which were fully vested.</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Warrants</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February 2021, we granted to each purchaser of our Tranche I convertible notes (of which we issued an aggregate principal amount of $2,532.0 million) a warrant to purchase a number of shares of equity securities equal to 15% of the aggregate proceeds invested by such purchaser in the Tranche I convertible notes (i.e.,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257</w:t>
      </w:r>
    </w:p>
    <w:p>
      <w:pPr>
        <w:sectPr>
          <w:pgSz w:w="11900" w:h="16838" w:orient="portrait"/>
          <w:cols w:equalWidth="0" w:num="1">
            <w:col w:w="11260"/>
          </w:cols>
          <w:pgMar w:left="320" w:top="1440" w:right="319" w:bottom="1440" w:gutter="0" w:footer="0" w:header="0"/>
        </w:sectPr>
      </w:pPr>
    </w:p>
    <w:bookmarkStart w:id="280" w:name="page281"/>
    <w:bookmarkEnd w:id="280"/>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paid by investors in this offering and (ii) $38.29. All such warrants were outstanding as of March 31, 2021. Unless earlier exercised, the warrants will expire on February 12, 2031.</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Registration Rights</w:t>
      </w:r>
    </w:p>
    <w:p>
      <w:pPr>
        <w:spacing w:after="0" w:line="163"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After the completion of this offering, certain holders of our Class A common stock will be entitled to rights with respect to the registration of their shares under the Securities Act. These registration rights, which are described below, are contained in the Investors’ Rights Agreement and in the Tranche I Purchase Agreement.</w:t>
      </w:r>
    </w:p>
    <w:p>
      <w:pPr>
        <w:spacing w:after="0" w:line="14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along with certain holders of our capital stock (which, as of the date of this prospectus, consists of holders of our redeemable convertible preferred stock, and may in the future include holders of shares of Class A common stock issued upon exercise of our warrants or conversion of our convertible notes), are parties to the Investors’ Rights Agreement. The registration rights set forth in the Investors’ Rights Agreement terminate upon the earlier of (i) a deemed liquidation event (such as (a) a merger or consolidation of us, (b) the sale, lease, transfer, exclusive license or other disposition by us or any of our subsidiaries of all or substantially all of our assets or intellectual property or (c) the sale, lease, transfer or other disposition of at least 50% of the then-outstanding shares of our capital stock, subject to certain exceptions) where such stockholders receive proceeds solely in the form of cash and/or marketable securities, (ii) such time as Rule 144 or another similar exemption under the Securities Act is available for the sale of all of such stockholders’ shares without limitation during a three-month period without registration and (iii) the fifth anniversary of our initial public offering or direct listing (whichever occurs first). We will pay the registration expenses (other than any underwriting discounts and selling commissions) of the holders of the shares registered for sale pursuant to the registrations under the Investors’ Rights Agreement described below, including the reasonable fees of one counsel for such selling stockholders not to exceed $50,000. However, we will not be required to bear the expenses in connection with the exercise of the demand registration rights of a registration if the request is subsequently withdrawn at the request of the selling stockholders holding a majority of the securities to be registered (in which case all selling stockholders shall bear such expenses pro rata based upon the number of shares that were to be included in the withdrawn registration), subject to certain conditions. For more information about the Investors’ Rights Agreement, see “Certain Relationships and Related Person Transactions—Investors’ Rights Agreement.”</w:t>
      </w:r>
    </w:p>
    <w:p>
      <w:pPr>
        <w:spacing w:after="0" w:line="16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along with the purchasers of our Tranche I convertible notes, are also party to the Tranche I Purchase Agreement. The registration rights set forth in the Tranche I Purchase Agreement will terminate upon the earlier of (i) such time as Rule 144 or another similar exemption under the Securities Act is available for the sale of all of such stockholders’ shares without limitation during a three-month period without registration and (ii) the later to occur of (a) the 12-month anniversary of this offering or (b) if applicable, the 12-month anniversary of certain financing events giving rise to a mandatory conversion of the Tranche I convertible notes (subject to a delay of up to 30 days in the event a suspension or deferral of registration was in effect during the 30-day period immediately prior to such later date). We will pay the registration expenses (other than any underwriting discounts and selling commissions) of the registrations under the Tranche I Purchase Agreement, but not the fees of counsel to the holders of the shares registered for sale pursuant to such registrations. We anticipate filing a resale registration statement on Form S-1 in respect of shares issuable or issued upon conversion of our Tranche I convertible notes shortly after the effectiveness of the registration statement of which this prospectus is a part. For more information about the Tranche I Purchase Agreement and related convertible notes issuance, see “Certain Relationships and Related Person Transactions—Convertible Note and Warrant Financings.”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S-1 Demand Registration Rights</w:t>
      </w:r>
    </w:p>
    <w:p>
      <w:pPr>
        <w:spacing w:after="0" w:line="17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After the completion of this offering, the holders of up to 463,089,501 shares of our Class A common stock will be entitled to certain Form S-1 demand registration rights pursuant to the Investors’ Rights Agreement. At a time beginning 180 days after the registration statement of which this prospectus forms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258</w:t>
      </w:r>
    </w:p>
    <w:p>
      <w:pPr>
        <w:sectPr>
          <w:pgSz w:w="11900" w:h="16838" w:orient="portrait"/>
          <w:cols w:equalWidth="0" w:num="1">
            <w:col w:w="11260"/>
          </w:cols>
          <w:pgMar w:left="320" w:top="1440" w:right="319" w:bottom="1440" w:gutter="0" w:footer="0" w:header="0"/>
        </w:sectPr>
      </w:pPr>
    </w:p>
    <w:bookmarkStart w:id="281" w:name="page282"/>
    <w:bookmarkEnd w:id="281"/>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part is declared effective, the holders of at least a majority of these shares outstanding can request that we register the offer and sale of their shares on a registration statement on Form S-1, if we are eligible to file a registration statement on Form S-1, so long as the request covers at least that number of shares then outstanding with an anticipated aggregate offering price, net of underwriting discounts and selling commissions, of at least $20 million. We are obligated to effect only two such registrations. If we determine that it would be materially detrimental to us and our stockholders to effect such a demand registration, we have the right to defer such registration, not more than once in any 12-month period, for a period of up to 120 days. In addition, we will not be required to effect a demand registration during the period beginning 60 days prior to our good faith estimate of the date of the filing and ending on a date 180 days following the effectiveness of a registration statement initiated by us. In addition, in an underwritten public offering, the underwriters have the right, subject to specified conditions, to limit the number of shares such holders may include for registration. These Form S-1 demand registration rights with respect to any stockholder party to the Investors’ Rights Agreement will terminate once a Rule 144 or other similar exemption under the Securities Act is available for the sale of all of such stockholder’s shares of our Class A common stock without limitation during a three-month period without registration.</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addition, after the completion of this offering, the holders of up to 91,133,420 shares of our Class A common stock issuable upon conversion of our Tranche I convertible notes will be entitled to certain Form S-1 demand registration rights pursuant to the Tranche I Purchase Agreement. We have agreed that, upon request from the holders of these shares outstanding, we will promptly (and in any event within 30 days) after the registration statement of which this prospectus forms a part is declared effective, use reasonable best efforts to promptly file a registration statement on Form S-1, registering the offer and sale of such shares; provided that, if we use such reasonable best efforts but such registration statement has not been filed by the 30th day following the effective date of the registration statement of which this prospectus forms a part, then we shall have an additional 15 days to file such registration statement on Form S-1. If we determine that it would be materially detrimental to us and our stockholders to effect such a demand registration, we have the right to defer such registration, or suspend the use of such registration statement by the selling stockholders, for a period of up to 30 days in any 90-day period.</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S-3 Demand Registration Rights</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After the completion of this offering, the holders of up to approximately 463,089,501 shares of our Class A common stock will be entitled to certain Form S-3 demand registration rights pursuant to the Investors’ Rights Agreement. The holders of at least 30% of these shares then outstanding may make a written request that we register the offer and sale of their shares on a registration statement on Form S-3 if we are eligible to file a registration statement on Form S-3 so long as the request covers at least that number of shares with an anticipated offering price, net of underwriting discounts and selling commissions, of at least $5 million. These stockholders may make an unlimited number of requests for registration on Form S-3; however, we will not be required to effect a registration on Form S-3 if we have effected one such registration within the 12-month period preceding the date of the request. In addition, if we determine that it would be materially detrimental to us and our stockholders to effect such a demand registration, we have the right to defer such registration, not more than once in any 12-month period, for a period of up to 120 days. Further, we will not be required to effect a demand registration during the period beginning 30 days prior to our good faith estimate of the filing of and ending on a date 90 days following the effectiveness of a registration statement initiated by us. In addition, in an underwritten public offering, the underwriters have the right, subject to specified conditions, to limit the number of shares that these stockholders may include for registration. These Form S-3 demand registration rights with respect to any stockholder party to the Investors’ Rights Agreement will terminate once a Rule 144 or other similar exemption under the Securities Act is available for the sale of all of such stockholder’s shares of our Class A common stock without limitation during a three-month period without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259</w:t>
      </w:r>
    </w:p>
    <w:p>
      <w:pPr>
        <w:sectPr>
          <w:pgSz w:w="11900" w:h="16838" w:orient="portrait"/>
          <w:cols w:equalWidth="0" w:num="1">
            <w:col w:w="11260"/>
          </w:cols>
          <w:pgMar w:left="320" w:top="1440" w:right="319" w:bottom="1440" w:gutter="0" w:footer="0" w:header="0"/>
        </w:sectPr>
      </w:pPr>
    </w:p>
    <w:bookmarkStart w:id="282" w:name="page283"/>
    <w:bookmarkEnd w:id="282"/>
    <w:p>
      <w:pPr>
        <w:spacing w:after="0"/>
        <w:rPr>
          <w:sz w:val="20"/>
          <w:szCs w:val="20"/>
          <w:color w:val="auto"/>
        </w:rPr>
      </w:pPr>
      <w:r>
        <w:rPr>
          <w:rFonts w:ascii="Arial" w:cs="Arial" w:eastAsia="Arial" w:hAnsi="Arial"/>
          <w:sz w:val="19"/>
          <w:szCs w:val="19"/>
          <w:b w:val="1"/>
          <w:bCs w:val="1"/>
          <w:i w:val="1"/>
          <w:iCs w:val="1"/>
          <w:color w:val="auto"/>
        </w:rPr>
        <w:t>Piggyback Registration Rights</w:t>
      </w:r>
    </w:p>
    <w:p>
      <w:pPr>
        <w:spacing w:after="0" w:line="191" w:lineRule="exact"/>
        <w:rPr>
          <w:sz w:val="20"/>
          <w:szCs w:val="20"/>
          <w:color w:val="auto"/>
        </w:rPr>
      </w:pPr>
    </w:p>
    <w:p>
      <w:pPr>
        <w:jc w:val="both"/>
        <w:ind w:firstLine="287"/>
        <w:spacing w:after="0" w:line="249" w:lineRule="auto"/>
        <w:rPr>
          <w:sz w:val="20"/>
          <w:szCs w:val="20"/>
          <w:color w:val="auto"/>
        </w:rPr>
      </w:pPr>
      <w:r>
        <w:rPr>
          <w:rFonts w:ascii="Arial" w:cs="Arial" w:eastAsia="Arial" w:hAnsi="Arial"/>
          <w:sz w:val="16"/>
          <w:szCs w:val="16"/>
          <w:color w:val="auto"/>
        </w:rPr>
        <w:t>The Investors’ Rights Agreement provides and, after the completion of this offering, the Tranche I Purchase Agreement will provide, that, in the event that we propose to register the offer and sale of our common stock under the Securities Act, in connection with the public offering of such common stock (including, for purposes of the registration rights under the Investors’ Rights Agreement, this offering), the holders of up to approximately 463,089,501 shares of our Class A common stock party to the Investors’ Rights Agreement and the holders of up to approximately 91,133,420 shares of our Class A common stock issuable upon conversion of our Tranche I convertible notes who, prior to this offering, were holders of our Tranche I convertible notes, will be entitled to certain “piggyback” registration rights allowing such stockholders to include their shares in such registration. Such registration rights will be subject to certain marketing and other limitations, which, in the case of an underwritten offering, will be in the sole discretion of the underwriters. As a result, whenever we propose to file a registration statement under the Securities Act (including, for this purpose, a registration statement effected by us for other stockholders), other than (i) a registration relating to the sale or grant of securities to our employees or one of our subsidiaries pursuant to a stock option, stock purchase, equity incentive or similar plan, (ii) a registration related to an SEC Rule 145 transaction, (iii) a registration on any form that does include substantially the same information as would be required to be included in a registration statement covering the sale of our Class A common stock, (iv) in the case of a registration pursuant to the Investors’ Rights Agreement, a registration in which the only Class A common stock being registered is Class A common stock issuable upon conversion of debt securities that are also being registered, (v) with respect to a selling stockholder, a registration for a direct listing that includes all of the Class A common stock held by such stockholder or (vi) in the case of a registration pursuant to the Tranche I Purchase Agreement, any registration in connection with this offering or any other initial public offering or a de-SPAC or direct listing, we shall, subject to certain conditions, cause to be registered all of the Class A common stock that each such stockholder has requested to be included in such registration. We shall have the right to terminate or withdraw any registration initiated pursuant to such “piggyback registration” rights described above before the effective date of such registration, whether or not any stockholder has elected to include shares of their Class A common stock in such registration. In addition, in an underwritten public offering, the underwriters have the right, subject to specified conditions, to limit the number of shares that these stockholders may include for registration. These "piggyback registration” rights with respect to any stockholder party to the Investors’ Rights Agreement or any holder of our Tranche I convertible notes will terminate once a Rule 144 or other similar exemption under the Securities Act is available for the sale of all of such stockholder’s shares of our Class A common stock without limitation during a three-month period without registration.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Anti-Takeover Effects of Various Provisions of Delaware Law and Our Charter and Our Bylaws</w:t>
      </w:r>
    </w:p>
    <w:p>
      <w:pPr>
        <w:spacing w:after="0" w:line="163"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Provisions of the DGCL, our Charter and our Bylaws could make it more difficult to acquire us by means of a tender offer, a proxy contest or otherwise. These provisions, summarized below, would be expected to discourage certain types of coercive takeover practices and takeover bids our board of directors may consider inadequate and to encourage persons seeking to acquire control of our Company to first negotiate with us.</w:t>
      </w:r>
    </w:p>
    <w:p>
      <w:pPr>
        <w:spacing w:after="0" w:line="13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b w:val="1"/>
          <w:bCs w:val="1"/>
          <w:i w:val="1"/>
          <w:iCs w:val="1"/>
          <w:color w:val="auto"/>
        </w:rPr>
        <w:t xml:space="preserve">Multi-Class Structure. </w:t>
      </w:r>
      <w:r>
        <w:rPr>
          <w:rFonts w:ascii="Arial" w:cs="Arial" w:eastAsia="Arial" w:hAnsi="Arial"/>
          <w:sz w:val="16"/>
          <w:szCs w:val="16"/>
          <w:color w:val="auto"/>
        </w:rPr>
        <w:t>As described above under “—Common Stock—Voting Rights,” our Charter will provide for a multi-class common stock structure,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result of which our founders will maintain, until the Final Conversion Date, significant influence over any matter requiring stockholder approval, including the election of directors, the adoption of any amendments to our Charter or the Bylaws and the approval of any merger, consolidation, sale of all or substantially all of our assets, or other major corporate transaction.</w:t>
      </w:r>
    </w:p>
    <w:p>
      <w:pPr>
        <w:spacing w:after="0" w:line="123" w:lineRule="exact"/>
        <w:rPr>
          <w:sz w:val="20"/>
          <w:szCs w:val="20"/>
          <w:color w:val="auto"/>
        </w:rPr>
      </w:pPr>
    </w:p>
    <w:p>
      <w:pPr>
        <w:jc w:val="both"/>
        <w:ind w:right="20" w:firstLine="287"/>
        <w:spacing w:after="0" w:line="283" w:lineRule="auto"/>
        <w:rPr>
          <w:sz w:val="20"/>
          <w:szCs w:val="20"/>
          <w:color w:val="auto"/>
        </w:rPr>
      </w:pPr>
      <w:r>
        <w:rPr>
          <w:rFonts w:ascii="Arial" w:cs="Arial" w:eastAsia="Arial" w:hAnsi="Arial"/>
          <w:sz w:val="16"/>
          <w:szCs w:val="16"/>
          <w:b w:val="1"/>
          <w:bCs w:val="1"/>
          <w:i w:val="1"/>
          <w:iCs w:val="1"/>
          <w:color w:val="auto"/>
        </w:rPr>
        <w:t xml:space="preserve">Board Classification. </w:t>
      </w:r>
      <w:r>
        <w:rPr>
          <w:rFonts w:ascii="Arial" w:cs="Arial" w:eastAsia="Arial" w:hAnsi="Arial"/>
          <w:sz w:val="16"/>
          <w:szCs w:val="16"/>
          <w:color w:val="auto"/>
        </w:rPr>
        <w:t>Until the third annual meeting of stockholders following the effectiveness of our Charter, our board of directors will be divided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classes (Class I, Class II and Class III), one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260</w:t>
      </w:r>
    </w:p>
    <w:p>
      <w:pPr>
        <w:sectPr>
          <w:pgSz w:w="11900" w:h="16838" w:orient="portrait"/>
          <w:cols w:equalWidth="0" w:num="1">
            <w:col w:w="11260"/>
          </w:cols>
          <w:pgMar w:left="320" w:top="1426" w:right="319" w:bottom="1440" w:gutter="0" w:footer="0" w:header="0"/>
        </w:sectPr>
      </w:pPr>
    </w:p>
    <w:bookmarkStart w:id="283" w:name="page284"/>
    <w:bookmarkEnd w:id="283"/>
    <w:p>
      <w:pPr>
        <w:spacing w:after="0" w:line="2"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of which will be elected each year by our stockholders. The first term of office of the Class I directors will expire at the first annual meeting of stockholders following the effectiveness of our Charter, the first term of office of the Class II directors will expire at the second annual meeting of stockholders following the effectiveness of our Charter and the first term of office of the Class III directors will expire at the third annual meeting of stockholders following the effectiveness of our Charter. Our Charter will provide that our board of directors will be fully declassified by the third annual meeting of stockholders following the effectiveness of our Charter, which is expected to occur in 2024, so that:</w:t>
      </w:r>
    </w:p>
    <w:p>
      <w:pPr>
        <w:spacing w:after="0" w:line="157" w:lineRule="exact"/>
        <w:rPr>
          <w:sz w:val="20"/>
          <w:szCs w:val="20"/>
          <w:color w:val="auto"/>
        </w:rPr>
      </w:pPr>
    </w:p>
    <w:p>
      <w:pPr>
        <w:ind w:left="560" w:right="20" w:hanging="278"/>
        <w:spacing w:after="0" w:line="260" w:lineRule="auto"/>
        <w:tabs>
          <w:tab w:leader="none" w:pos="55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at the first annual meeting of stockholders following the effectiveness of our Charter, the Class I directors will be elected for a term of office to expire at the third annual meeting of stockholders following the effectiveness of our Charter;</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at the second annual meeting of stockholders following the effectiveness of our Charter, the Class II directors will be elected for a term of office to expire at the third annual meeting of stockholders following the effectiveness of our Charter; and</w:t>
      </w:r>
    </w:p>
    <w:p>
      <w:pPr>
        <w:spacing w:after="0" w:line="139"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as of and after the third annual meeting of stockholders following the effectiveness of our Charter, all directors will be elected for one-year terms and will be up for election at each successive annual meeting.</w:t>
      </w:r>
    </w:p>
    <w:p>
      <w:pPr>
        <w:spacing w:after="0" w:line="151"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During the time that our board of directors is classified, a third party may be discouraged from making a tender offer or otherwise attempting to obtain control of our Company because it is more difficult and time-consuming for stockholders to replace a majority of the directors on a classified board.</w:t>
      </w:r>
    </w:p>
    <w:p>
      <w:pPr>
        <w:spacing w:after="0" w:line="121" w:lineRule="exact"/>
        <w:rPr>
          <w:sz w:val="20"/>
          <w:szCs w:val="20"/>
          <w:color w:val="auto"/>
        </w:rPr>
      </w:pPr>
    </w:p>
    <w:p>
      <w:pPr>
        <w:jc w:val="both"/>
        <w:ind w:firstLine="287"/>
        <w:spacing w:after="0" w:line="266" w:lineRule="auto"/>
        <w:rPr>
          <w:sz w:val="20"/>
          <w:szCs w:val="20"/>
          <w:color w:val="auto"/>
        </w:rPr>
      </w:pPr>
      <w:r>
        <w:rPr>
          <w:rFonts w:ascii="Arial" w:cs="Arial" w:eastAsia="Arial" w:hAnsi="Arial"/>
          <w:sz w:val="16"/>
          <w:szCs w:val="16"/>
          <w:b w:val="1"/>
          <w:bCs w:val="1"/>
          <w:i w:val="1"/>
          <w:iCs w:val="1"/>
          <w:color w:val="auto"/>
        </w:rPr>
        <w:t xml:space="preserve">Undesignated Preferred Stock. </w:t>
      </w:r>
      <w:r>
        <w:rPr>
          <w:rFonts w:ascii="Arial" w:cs="Arial" w:eastAsia="Arial" w:hAnsi="Arial"/>
          <w:sz w:val="16"/>
          <w:szCs w:val="16"/>
          <w:color w:val="auto"/>
        </w:rPr>
        <w:t>Pursuant to our Charter, our board of directors will have the power to issue preferred stock with voting, conversion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rights that could negatively affect the voting power or other rights of our common stockholders, and our board of directors could take that action without stockholder approval. The issuance of our preferred stock could delay or prevent a change in control of our Company.</w:t>
      </w:r>
    </w:p>
    <w:p>
      <w:pPr>
        <w:spacing w:after="0" w:line="117" w:lineRule="exact"/>
        <w:rPr>
          <w:sz w:val="20"/>
          <w:szCs w:val="20"/>
          <w:color w:val="auto"/>
        </w:rPr>
      </w:pPr>
    </w:p>
    <w:p>
      <w:pPr>
        <w:jc w:val="both"/>
        <w:ind w:firstLine="287"/>
        <w:spacing w:after="0" w:line="266" w:lineRule="auto"/>
        <w:rPr>
          <w:sz w:val="20"/>
          <w:szCs w:val="20"/>
          <w:color w:val="auto"/>
        </w:rPr>
      </w:pPr>
      <w:r>
        <w:rPr>
          <w:rFonts w:ascii="Arial" w:cs="Arial" w:eastAsia="Arial" w:hAnsi="Arial"/>
          <w:sz w:val="16"/>
          <w:szCs w:val="16"/>
          <w:b w:val="1"/>
          <w:bCs w:val="1"/>
          <w:i w:val="1"/>
          <w:iCs w:val="1"/>
          <w:color w:val="auto"/>
        </w:rPr>
        <w:t xml:space="preserve">Board Vacancies to Be Filled by Remaining Directors and Not Stockholders. </w:t>
      </w:r>
      <w:r>
        <w:rPr>
          <w:rFonts w:ascii="Arial" w:cs="Arial" w:eastAsia="Arial" w:hAnsi="Arial"/>
          <w:sz w:val="16"/>
          <w:szCs w:val="16"/>
          <w:color w:val="auto"/>
        </w:rPr>
        <w:t>Our Charter will provide that any vacancies, including any newly created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directorships, on our board of directors will be filled by the affirmative vote of the majority of the remaining directors then in office, even if such directors constitute less than a quorum, or by a sole remaining director.</w:t>
      </w:r>
    </w:p>
    <w:p>
      <w:pPr>
        <w:spacing w:after="0" w:line="129" w:lineRule="exact"/>
        <w:rPr>
          <w:sz w:val="20"/>
          <w:szCs w:val="20"/>
          <w:color w:val="auto"/>
        </w:rPr>
      </w:pPr>
    </w:p>
    <w:p>
      <w:pPr>
        <w:jc w:val="both"/>
        <w:ind w:firstLine="287"/>
        <w:spacing w:after="0" w:line="257" w:lineRule="auto"/>
        <w:rPr>
          <w:sz w:val="20"/>
          <w:szCs w:val="20"/>
          <w:color w:val="auto"/>
        </w:rPr>
      </w:pPr>
      <w:r>
        <w:rPr>
          <w:rFonts w:ascii="Arial" w:cs="Arial" w:eastAsia="Arial" w:hAnsi="Arial"/>
          <w:sz w:val="16"/>
          <w:szCs w:val="16"/>
          <w:b w:val="1"/>
          <w:bCs w:val="1"/>
          <w:i w:val="1"/>
          <w:iCs w:val="1"/>
          <w:color w:val="auto"/>
        </w:rPr>
        <w:t>Special Meeting</w:t>
      </w:r>
      <w:r>
        <w:rPr>
          <w:rFonts w:ascii="Arial" w:cs="Arial" w:eastAsia="Arial" w:hAnsi="Arial"/>
          <w:sz w:val="16"/>
          <w:szCs w:val="16"/>
          <w:color w:val="auto"/>
        </w:rPr>
        <w:t>. Our Bylaws will provide that special meetings of the stockholders may be called by (i) the chair of our board of directors, (ii) the lead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director, if any, (iii) our board of directors pursuant to a resolution adopted by a majority of the total number of directors that we would have if all vacancies or unfilled directorships were filled, or (iv) subject to certain procedural requirements, the chair of our board of directors or the secretary of our Company at the written request of stockholders of record owning at least 25% of the voting power entitled to vote on the matter or matters entitled to vote at the meeting.</w:t>
      </w:r>
    </w:p>
    <w:p>
      <w:pPr>
        <w:spacing w:after="0" w:line="144"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Bylaws will not permit a special meeting to be held at the request of stockholders if (i) the business to be brought before the special meeting is not a proper subject for stockholder action under applicable law, our Charter or our Bylaws, (ii) our board of directors has called for or calls for an annual meeting to be held within 90 days after the special meeting request is delivered to the secretary of our Company and our board of directors determines that the business of the annual meeting includes an item of business that is identical or substantially similar (a “Similar Item”) to an item of business included in the special meeting request, (iii) the business conducted at the most recent annual meeting or any special meeting held within one year prior to the receipt of the special meeting request included a Similar Item or (iv) the special meeting request is delivered between 61 and 365 days after the earliest date of signature on a different request for a special meeting relating to a Similar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261</w:t>
      </w:r>
    </w:p>
    <w:p>
      <w:pPr>
        <w:sectPr>
          <w:pgSz w:w="11900" w:h="16838" w:orient="portrait"/>
          <w:cols w:equalWidth="0" w:num="1">
            <w:col w:w="11260"/>
          </w:cols>
          <w:pgMar w:left="320" w:top="1440" w:right="319" w:bottom="1440" w:gutter="0" w:footer="0" w:header="0"/>
        </w:sectPr>
      </w:pPr>
    </w:p>
    <w:bookmarkStart w:id="284" w:name="page285"/>
    <w:bookmarkEnd w:id="284"/>
    <w:p>
      <w:pPr>
        <w:jc w:val="both"/>
        <w:ind w:firstLine="287"/>
        <w:spacing w:after="0" w:line="260" w:lineRule="auto"/>
        <w:rPr>
          <w:sz w:val="20"/>
          <w:szCs w:val="20"/>
          <w:color w:val="auto"/>
        </w:rPr>
      </w:pPr>
      <w:r>
        <w:rPr>
          <w:rFonts w:ascii="Arial" w:cs="Arial" w:eastAsia="Arial" w:hAnsi="Arial"/>
          <w:sz w:val="16"/>
          <w:szCs w:val="16"/>
          <w:b w:val="1"/>
          <w:bCs w:val="1"/>
          <w:i w:val="1"/>
          <w:iCs w:val="1"/>
          <w:color w:val="auto"/>
        </w:rPr>
        <w:t xml:space="preserve">Removal of Directors by Stockholders. </w:t>
      </w:r>
      <w:r>
        <w:rPr>
          <w:rFonts w:ascii="Arial" w:cs="Arial" w:eastAsia="Arial" w:hAnsi="Arial"/>
          <w:sz w:val="16"/>
          <w:szCs w:val="16"/>
          <w:color w:val="auto"/>
        </w:rPr>
        <w:t>Our Charter and our Bylaws will provide that directors may be removed by stockholders (i) until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is no longer classified, only for cause by the affirmative vote of the holders of a majority of the voting power of the outstanding capital stock entitled to vote, and (ii) from and after the date our board of directors is no longer classified, with or without cause, by the affirmative vote of the holders of a majority of the voting power of the outstanding capital stock entitled to vote.</w:t>
      </w:r>
    </w:p>
    <w:p>
      <w:pPr>
        <w:spacing w:after="0" w:line="135" w:lineRule="exact"/>
        <w:rPr>
          <w:sz w:val="20"/>
          <w:szCs w:val="20"/>
          <w:color w:val="auto"/>
        </w:rPr>
      </w:pPr>
    </w:p>
    <w:p>
      <w:pPr>
        <w:jc w:val="both"/>
        <w:ind w:right="20" w:firstLine="287"/>
        <w:spacing w:after="0" w:line="292" w:lineRule="auto"/>
        <w:rPr>
          <w:sz w:val="20"/>
          <w:szCs w:val="20"/>
          <w:color w:val="auto"/>
        </w:rPr>
      </w:pPr>
      <w:r>
        <w:rPr>
          <w:rFonts w:ascii="Arial" w:cs="Arial" w:eastAsia="Arial" w:hAnsi="Arial"/>
          <w:sz w:val="15"/>
          <w:szCs w:val="15"/>
          <w:b w:val="1"/>
          <w:bCs w:val="1"/>
          <w:i w:val="1"/>
          <w:iCs w:val="1"/>
          <w:color w:val="auto"/>
        </w:rPr>
        <w:t xml:space="preserve">Stockholder Action. </w:t>
      </w:r>
      <w:r>
        <w:rPr>
          <w:rFonts w:ascii="Arial" w:cs="Arial" w:eastAsia="Arial" w:hAnsi="Arial"/>
          <w:sz w:val="15"/>
          <w:szCs w:val="15"/>
          <w:color w:val="auto"/>
        </w:rPr>
        <w:t>Our Charter will provide that our stockholders may not take action by written consent for any matter and will only be able to take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action at a duly called annual or special meeting of stockholders, except that for so long as any shares of our Class B common stock are outstanding, our Class B stockholders may take action by written consent for any action required or permitted to be taken by our Class B stockholders, voting separately as a class.</w:t>
      </w:r>
    </w:p>
    <w:p>
      <w:pPr>
        <w:spacing w:after="0" w:line="99" w:lineRule="exact"/>
        <w:rPr>
          <w:sz w:val="20"/>
          <w:szCs w:val="20"/>
          <w:color w:val="auto"/>
        </w:rPr>
      </w:pPr>
    </w:p>
    <w:p>
      <w:pPr>
        <w:jc w:val="both"/>
        <w:ind w:firstLine="287"/>
        <w:spacing w:after="0" w:line="257" w:lineRule="auto"/>
        <w:rPr>
          <w:sz w:val="20"/>
          <w:szCs w:val="20"/>
          <w:color w:val="auto"/>
        </w:rPr>
      </w:pPr>
      <w:r>
        <w:rPr>
          <w:rFonts w:ascii="Arial" w:cs="Arial" w:eastAsia="Arial" w:hAnsi="Arial"/>
          <w:sz w:val="16"/>
          <w:szCs w:val="16"/>
          <w:b w:val="1"/>
          <w:bCs w:val="1"/>
          <w:i w:val="1"/>
          <w:iCs w:val="1"/>
          <w:color w:val="auto"/>
        </w:rPr>
        <w:t xml:space="preserve">Advance Notice of Director Nominations and Stockholder Proposals. </w:t>
      </w:r>
      <w:r>
        <w:rPr>
          <w:rFonts w:ascii="Arial" w:cs="Arial" w:eastAsia="Arial" w:hAnsi="Arial"/>
          <w:sz w:val="16"/>
          <w:szCs w:val="16"/>
          <w:color w:val="auto"/>
        </w:rPr>
        <w:t>Our Bylaws will contain advance notice procedures for stockholders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nominations of candidates for election as directors or to bring other business before annual or special meetings of stockholders, as the case may be, and will also specify certain requirements regarding the form, content and timing of such notice. These provisions might preclude our stockholders from making nominations for directors or bringing other business before our annual or special meetings of stockholders, as the case may be, if the specified requirements are not satisfied.</w:t>
      </w:r>
    </w:p>
    <w:p>
      <w:pPr>
        <w:spacing w:after="0" w:line="126" w:lineRule="exact"/>
        <w:rPr>
          <w:sz w:val="20"/>
          <w:szCs w:val="20"/>
          <w:color w:val="auto"/>
        </w:rPr>
      </w:pPr>
    </w:p>
    <w:p>
      <w:pPr>
        <w:jc w:val="both"/>
        <w:ind w:right="20" w:firstLine="287"/>
        <w:spacing w:after="0" w:line="257" w:lineRule="auto"/>
        <w:rPr>
          <w:sz w:val="20"/>
          <w:szCs w:val="20"/>
          <w:color w:val="auto"/>
        </w:rPr>
      </w:pPr>
      <w:r>
        <w:rPr>
          <w:rFonts w:ascii="Arial" w:cs="Arial" w:eastAsia="Arial" w:hAnsi="Arial"/>
          <w:sz w:val="16"/>
          <w:szCs w:val="16"/>
          <w:b w:val="1"/>
          <w:bCs w:val="1"/>
          <w:i w:val="1"/>
          <w:iCs w:val="1"/>
          <w:color w:val="auto"/>
        </w:rPr>
        <w:t xml:space="preserve">Amendments to Our Charter and Our Bylaws. </w:t>
      </w:r>
      <w:r>
        <w:rPr>
          <w:rFonts w:ascii="Arial" w:cs="Arial" w:eastAsia="Arial" w:hAnsi="Arial"/>
          <w:sz w:val="16"/>
          <w:szCs w:val="16"/>
          <w:color w:val="auto"/>
        </w:rPr>
        <w:t>Under the DGCL, provisions of our Charter may not be adopted, altered, amended or repealed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action alone. Any such adoption, alteration, amendment or repeal to any provision of our Charter requires a board resolution approved by the majority of the outstanding capital stock entitled to vote. In addition, until the Final Conversion Date, an adoption, alteration, amendment or repeal of any provision of the Charter that affects the voting, conversion or other rights, powers, preferences, privileges or restrictions of the Class B common stock will require the approval of at least 80% of the outstanding shares of Class B common stock, voting as a separate class.</w:t>
      </w:r>
    </w:p>
    <w:p>
      <w:pPr>
        <w:spacing w:after="0" w:line="156"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Our Charter will provide that our stockholders may adopt, amend, alter or repeal any provision of our Bylaws upon the affirmative vote of the holders of a majority of the voting power of the outstanding capital stock entitled to vote. Subject to the right of stockholders as described in the immediately preceding sentence, our board of directors may also adopt, amend, alter or repeal any provision of our Bylaws.</w:t>
      </w:r>
    </w:p>
    <w:p>
      <w:pPr>
        <w:spacing w:after="0" w:line="127" w:lineRule="exact"/>
        <w:rPr>
          <w:sz w:val="20"/>
          <w:szCs w:val="20"/>
          <w:color w:val="auto"/>
        </w:rPr>
      </w:pPr>
    </w:p>
    <w:p>
      <w:pPr>
        <w:jc w:val="both"/>
        <w:ind w:firstLine="287"/>
        <w:spacing w:after="0" w:line="266" w:lineRule="auto"/>
        <w:rPr>
          <w:sz w:val="20"/>
          <w:szCs w:val="20"/>
          <w:color w:val="auto"/>
        </w:rPr>
      </w:pPr>
      <w:r>
        <w:rPr>
          <w:rFonts w:ascii="Arial" w:cs="Arial" w:eastAsia="Arial" w:hAnsi="Arial"/>
          <w:sz w:val="16"/>
          <w:szCs w:val="16"/>
          <w:b w:val="1"/>
          <w:bCs w:val="1"/>
          <w:i w:val="1"/>
          <w:iCs w:val="1"/>
          <w:color w:val="auto"/>
        </w:rPr>
        <w:t xml:space="preserve">Delaware Anti-Takeover Statute. </w:t>
      </w:r>
      <w:r>
        <w:rPr>
          <w:rFonts w:ascii="Arial" w:cs="Arial" w:eastAsia="Arial" w:hAnsi="Arial"/>
          <w:sz w:val="16"/>
          <w:szCs w:val="16"/>
          <w:color w:val="auto"/>
        </w:rPr>
        <w:t>We will be subject to the provisions of Section 203 of the DGCL. In general, Section 203 prohibits a public Delaware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from engaging in a “business combination” with an “interested stockholder” for a period of three years after the date of the transaction in which the person became an interested stockholder, unless:</w:t>
      </w:r>
    </w:p>
    <w:p>
      <w:pPr>
        <w:spacing w:after="0" w:line="135" w:lineRule="exact"/>
        <w:rPr>
          <w:sz w:val="20"/>
          <w:szCs w:val="20"/>
          <w:color w:val="auto"/>
        </w:rPr>
      </w:pPr>
    </w:p>
    <w:p>
      <w:pPr>
        <w:ind w:left="560" w:right="20" w:hanging="278"/>
        <w:spacing w:after="0" w:line="260" w:lineRule="auto"/>
        <w:tabs>
          <w:tab w:leader="none" w:pos="55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board of directors approved the acquisition of stock pursuant to which the person became an interested stockholder or the transaction that resulted in the person becoming an interested stockholder before the time that the person became an interested stockholder;</w:t>
      </w:r>
    </w:p>
    <w:p>
      <w:pPr>
        <w:spacing w:after="0" w:line="151" w:lineRule="exact"/>
        <w:rPr>
          <w:rFonts w:ascii="Arial" w:cs="Arial" w:eastAsia="Arial" w:hAnsi="Arial"/>
          <w:sz w:val="16"/>
          <w:szCs w:val="16"/>
          <w:color w:val="auto"/>
        </w:rPr>
      </w:pPr>
    </w:p>
    <w:p>
      <w:pPr>
        <w:jc w:val="both"/>
        <w:ind w:left="560" w:hanging="278"/>
        <w:spacing w:after="0" w:line="254" w:lineRule="auto"/>
        <w:tabs>
          <w:tab w:leader="none" w:pos="55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person becoming an interested stockholder such person owned at least 85% of the outstanding voting stock of the corporation, excluding, for purposes of determining the voting stock outstanding, voting stock owned by directors who are also officers and certain employee stock plans; or</w:t>
      </w:r>
    </w:p>
    <w:p>
      <w:pPr>
        <w:spacing w:after="0" w:line="144"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transaction is approved by the board of directors and by the affirmative vote of two-thirds of the outstanding voting stock which is not owned by the interested stockholder.</w:t>
      </w:r>
    </w:p>
    <w:p>
      <w:pPr>
        <w:spacing w:after="0" w:line="139"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262</w:t>
      </w:r>
    </w:p>
    <w:p>
      <w:pPr>
        <w:sectPr>
          <w:pgSz w:w="11900" w:h="16838" w:orient="portrait"/>
          <w:cols w:equalWidth="0" w:num="1">
            <w:col w:w="11260"/>
          </w:cols>
          <w:pgMar w:left="320" w:top="1423" w:right="319" w:bottom="1440" w:gutter="0" w:footer="0" w:header="0"/>
        </w:sectPr>
      </w:pPr>
    </w:p>
    <w:bookmarkStart w:id="285" w:name="page286"/>
    <w:bookmarkEnd w:id="285"/>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corporation’s outstanding voting stock. These provisions may have the effect of delaying, deferring or preventing changes in control of our Company.</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 xml:space="preserve">No Cumulative Voting. </w:t>
      </w:r>
      <w:r>
        <w:rPr>
          <w:rFonts w:ascii="Arial" w:cs="Arial" w:eastAsia="Arial" w:hAnsi="Arial"/>
          <w:sz w:val="16"/>
          <w:szCs w:val="16"/>
          <w:color w:val="auto"/>
        </w:rPr>
        <w:t>Our Charter will prohibit cumulative voting in the election of directors.</w:t>
      </w:r>
    </w:p>
    <w:p>
      <w:pPr>
        <w:spacing w:after="0" w:line="163"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b w:val="1"/>
          <w:bCs w:val="1"/>
          <w:i w:val="1"/>
          <w:iCs w:val="1"/>
          <w:color w:val="auto"/>
        </w:rPr>
        <w:t xml:space="preserve">Exclusive Forum. </w:t>
      </w:r>
      <w:r>
        <w:rPr>
          <w:rFonts w:ascii="Arial" w:cs="Arial" w:eastAsia="Arial" w:hAnsi="Arial"/>
          <w:sz w:val="16"/>
          <w:szCs w:val="16"/>
          <w:color w:val="auto"/>
        </w:rPr>
        <w:t>Under our Charter, unless we consent to a different forum, (i) any derivative action or proceeding brought on our behalf, (ii) any action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proceeding asserting a claim of breach of a fiduciary duty owed by any of our directors, officers or other employees to us or our stockholders, (iii) any action or proceeding arising pursuant to, or seeking to enforce any right, obligation or remedy under, any provision of the DGCL, our Charter or our Bylaws, (iv) any action or proceeding seeking to interpret, apply, enforce or determine the validity of our Charter or our Bylaws, (v) any action or proceeding asserting a claim that is governed by the internal affairs doctrine or (vi) any action or proceeding as to which the DGCL confers jurisdiction on the Court of Chancery of the State of Delaware may only be brought before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In addition, any complaint asserting a cause of action arising under the Securities Act may only be brought before the federal district courts of the United States. Nothing in our Charter will preclude stockholders that assert claims under the Exchange Act from bringing such claims in any court, subject to applicable law.</w:t>
      </w:r>
    </w:p>
    <w:p>
      <w:pPr>
        <w:spacing w:after="0" w:line="146"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Any person or entity purchasing or otherwise acquiring or holding any interest in our securities shall be deemed to have notice of and consented to these exclusive forum provisions.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 contained in our Charter to be inapplicable or unenforceable.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Limitations on Liability and Indemnification of Officers and Directors</w:t>
      </w:r>
    </w:p>
    <w:p>
      <w:pPr>
        <w:spacing w:after="0" w:line="16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Charter and our Bylaws will include provisions that require us to indemnify, to the fullest extent allowable under the laws of the State of Delaware, any person who is or was a director or officer of our Company or serving at our request in any capacity at another corporation, partnership, joint venture, trust, employee benefit plan or other enterprise, as the case may be. Our Charter and our Bylaws will also provide that we must indemnify and advance reasonable expenses to such persons, subject to our receipt of an undertaking from the indemnified party to repay all amounts advanced if it is determined ultimately that the indemnified party is not entitled to be indemnified. We will also be expressly authorized to carry directors’ and officers’ insurance to protect us and our directors and officers for some liabilities.</w:t>
      </w:r>
    </w:p>
    <w:p>
      <w:pPr>
        <w:spacing w:after="0" w:line="148"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limitation of liability and indemnification provisions in our Charter and our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However, these provisions do not limit or eliminate our rights, or those of any stockholder, to seek non-monetary relief such as an injunction or rescission if a director breaches his or her fiduciary duties. Moreover, the provisions do not alter the liability of directors under the federal securities laws. In addition, your investment may be adversely affected to the extent that, in a class action or direct suit, we pay the costs of settlement and damage awards against directors and officers pursuant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263</w:t>
      </w:r>
    </w:p>
    <w:p>
      <w:pPr>
        <w:sectPr>
          <w:pgSz w:w="11900" w:h="16838" w:orient="portrait"/>
          <w:cols w:equalWidth="0" w:num="1">
            <w:col w:w="11260"/>
          </w:cols>
          <w:pgMar w:left="320" w:top="1440" w:right="319" w:bottom="1440" w:gutter="0" w:footer="0" w:header="0"/>
        </w:sectPr>
      </w:pPr>
    </w:p>
    <w:bookmarkStart w:id="286" w:name="page287"/>
    <w:bookmarkEnd w:id="286"/>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Transfer Agent and Registrar</w:t>
      </w:r>
    </w:p>
    <w:p>
      <w:pPr>
        <w:spacing w:after="0" w:line="175"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The transfer agent and registrar for the Class A common stock will be American Stock Transfer &amp; Trust Company, LLC. The transfer agent’s address is 6201 15th Avenue, Brooklyn, NY 11219.</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Listing</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have applied to list our Class A common stock on the Nasdaq under the symbol “HOOD”.</w:t>
      </w:r>
    </w:p>
    <w:p>
      <w:pPr>
        <w:spacing w:after="0" w:line="17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Robinhood is more than just a name. It is a symbol of our inherent belief that participation is power. Community is part of everything we do at Robinhood. It starts with the community of customers we serve and it is enriched by the community of people who build our company.</w:t>
      </w:r>
    </w:p>
    <w:p>
      <w:pPr>
        <w:spacing w:after="0" w:line="13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Our mission to democratize finance for all is felt deep within our culture and driven by Robinhoodies, which is how employees refer to one another. Today, six years into our journey, our community is more important than ever. Our evolution as a business and a culture has stayed true to building a safe, diverse and welcoming place for all—employees, customers, those thinking about investing—anyone who wants to make a bold step forward.</w:t>
      </w:r>
    </w:p>
    <w:p>
      <w:pPr>
        <w:spacing w:after="0" w:line="145"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We have employee resource groups like Rainbowhood, Latinhood, Asianhood, Sisterhood, Parenthood, and of course, Veterans and Black Excellence— they are the Robinhood communities that drive the soul of everything we do. Whether we are producing our Under the Hood podcast or Under the Hood blog or launching a new campaign, Robinhoodies pave the way.</w:t>
      </w:r>
    </w:p>
    <w:p>
      <w:pPr>
        <w:spacing w:after="0" w:line="157"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Many of us benefit from the support of the communities that welcome us as we are. And if there is anything we know for certain, it is that we cannot be the company we are today without the people who helped make us Robinhood and the generation of new investors that embraced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264</w:t>
      </w:r>
    </w:p>
    <w:p>
      <w:pPr>
        <w:sectPr>
          <w:pgSz w:w="11900" w:h="16838" w:orient="portrait"/>
          <w:cols w:equalWidth="0" w:num="1">
            <w:col w:w="11260"/>
          </w:cols>
          <w:pgMar w:left="320" w:top="1440" w:right="319" w:bottom="1440" w:gutter="0" w:footer="0" w:header="0"/>
        </w:sectPr>
      </w:pPr>
    </w:p>
    <w:bookmarkStart w:id="287" w:name="page288"/>
    <w:bookmarkEnd w:id="2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line="12"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SHARES ELIGIBLE FOR FUTURE SALE</w:t>
      </w:r>
    </w:p>
    <w:p>
      <w:pPr>
        <w:spacing w:after="0" w:line="182"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Prior to this offering, there was no public market for our Class A common stock. Future sales of substantial amounts of Class A common stock in the public market, or the perception that such sales may occur, could adversely affect the market price of the Class A common stock. Although we have applied to list our Class A common stock on the Nasdaq, we cannot assure you that there will be an active public market for the Class A common stock.</w:t>
      </w:r>
    </w:p>
    <w:p>
      <w:pPr>
        <w:spacing w:after="0" w:line="14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Upon the completion of this offering, based on the number of shares of our common stock outstanding as of March 31, 2021, we will have outstanding an aggregate of 703,868,056 shares of Class A common stock, 131,807,224 shares of Class B common stock and no shares of Class C common stock, assuming no exercise of the underwriters’ option to purchase additional shares of Class A common stock, solely to cover over-allotments and after giving effect to (i) the Preferred Share Conversion, (ii) the Convertible Note Conversion, (iii) the IPO-Vesting Time-Based RSU Settlement, (iv) the IPO-Vesting Market-Based RSU Settlement, (v) the filing and effectiveness of our Charter in Delaware, which will occur immediately prior to the completion of this offering and will effect the Reclassification, and (vi) the Class B Exchange. Of these shares, all of the shares of Class A common stock sold in this offering by us or the selling stockholders, plus any shares sold by us upon exercise, if any, of the underwriters’ option to purchase additional shares of Class A common stock, solely to cover over-allotments, will be freely tradable in the public market without restriction or further registration under the Securities Act, unless these shares are purchased by one of our “affiliates,” as that term is defined in Rule 144 under the Securities Act (“Rule 144”), with the exception of any shares of our Class A common stock purchased in this offering by the Prospective Investor (who has indicated an interest in purchasing up to an aggregate of $150 million in shares of our Class A common stock in this offering), which shares would be subject to a lock-up agreement, as described under “Underwriting (Conflicts of Interest)— Indication of Interest.”</w:t>
      </w:r>
    </w:p>
    <w:p>
      <w:pPr>
        <w:spacing w:after="0" w:line="16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remaining outstanding shares of Class A common stock (including any shares issuable upon conversion of our Class B common stock) will be, and, unless covered by a registration statement on Form S-8 or otherwise registered under the Securities Act, shares of Class A common stock underlying outstanding RSUs or subject to outstanding stock options will be on issuance, deemed to be “restricted securities” as defined in Rule 144. Restricted securities may be sold in the public market only if they are registered or if they qualify for an exemption from registration under Rule 144 or Rule 701 under the Securities Act (“Rule 701”), which rules are summarized below. Restricted securities may also be sold outside of the United States to non-U.S. persons in accordance with Rule 904 of Regulation S under the Securities Act. As a result of the lock-up and market standoff agreements described below, and subject to such agreements and the provisions of Rules 144 and 701 under the Securities Act (including, with respect to shares held by affiliates, Rule 144 volume limitations), these restricted securities will be available for sale in the public market as follows (assuming no exercise of outstanding stock options subsequent to March 31, 2021 and no settlement of RSUs except as described above (and therefore excluding the settlement of shares underlying approximately 5,507,359 IPO-Vesting Time-Based RSUs and approximately 115,266 IPO-Vesting Market-Based RSUs that would have vested after March 31, 2021 through the date of this prospectus (assuming, for purposes of determining the satisfaction of any applicable market-based vesting condition, an initial public offering price of our Class A common stock of $40.00 per share, which is the midpoint of the estimated offering price range set forth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266</w:t>
      </w:r>
    </w:p>
    <w:p>
      <w:pPr>
        <w:sectPr>
          <w:pgSz w:w="11900" w:h="16838" w:orient="portrait"/>
          <w:cols w:equalWidth="0" w:num="1">
            <w:col w:w="11260"/>
          </w:cols>
          <w:pgMar w:left="320" w:top="1440" w:right="319" w:bottom="1440" w:gutter="0" w:footer="0" w:header="0"/>
        </w:sectPr>
      </w:pPr>
    </w:p>
    <w:bookmarkStart w:id="289" w:name="page290"/>
    <w:bookmarkEnd w:id="289"/>
    <w:p>
      <w:pPr>
        <w:spacing w:after="0" w:line="18"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b w:val="1"/>
          <w:bCs w:val="1"/>
          <w:color w:val="auto"/>
        </w:rPr>
        <w:t>Earliest Date Available for Sale in Public Market</w:t>
      </w:r>
      <w:r>
        <w:rPr>
          <w:sz w:val="20"/>
          <w:szCs w:val="20"/>
          <w:color w:val="auto"/>
        </w:rPr>
        <w:tab/>
      </w:r>
      <w:r>
        <w:rPr>
          <w:rFonts w:ascii="Arial" w:cs="Arial" w:eastAsia="Arial" w:hAnsi="Arial"/>
          <w:sz w:val="15"/>
          <w:szCs w:val="15"/>
          <w:b w:val="1"/>
          <w:bCs w:val="1"/>
          <w:color w:val="auto"/>
        </w:rPr>
        <w:t>Number of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4819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date of this prospectus.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40"/>
        <w:spacing w:after="0" w:line="206" w:lineRule="auto"/>
        <w:rPr>
          <w:sz w:val="20"/>
          <w:szCs w:val="20"/>
          <w:color w:val="auto"/>
        </w:rPr>
      </w:pPr>
      <w:r>
        <w:rPr>
          <w:rFonts w:ascii="Arial" w:cs="Arial" w:eastAsia="Arial" w:hAnsi="Arial"/>
          <w:sz w:val="16"/>
          <w:szCs w:val="16"/>
          <w:color w:val="auto"/>
        </w:rPr>
        <w:t>Up to 45,566,710 shares of Class A common stock, representing 50% of the shares of Class A common stock to be issued upon conversion of the Tranche I convertible notes in connection with this offering pursuant to the Tranche I Note Conversion. However, because the Tranche I convertible notes were issued less than one year prior to the date of this prospectus, such shares will generally not be eligible for sale in the public market until such sales have been registered under the Securities Act, including under the Form S-1 resale registration statement that we have agreed to file promptly (and in any event within 30 days) after the registration statement of which this prospectus forms a part is declared effective in respect of such shares as described under “Description of Capital Stock—Registration Rights—S-1 Demand Registration Rights,” or until the expiration of the applicable holding period under Rule 144 (as described below), if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32385</wp:posOffset>
            </wp:positionV>
            <wp:extent cx="714819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4920" w:space="720"/>
            <w:col w:w="5620"/>
          </w:cols>
          <w:pgMar w:left="320" w:top="1440" w:right="3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The first trading day on which our Class A common stock is traded on Nasdaq. Up to 11,119,174 shares of Class A common stock, representing 15% of the</w:t>
      </w:r>
    </w:p>
    <w:p>
      <w:pPr>
        <w:ind w:left="5640"/>
        <w:spacing w:after="0" w:line="202" w:lineRule="auto"/>
        <w:rPr>
          <w:sz w:val="20"/>
          <w:szCs w:val="20"/>
          <w:color w:val="auto"/>
        </w:rPr>
      </w:pPr>
      <w:r>
        <w:rPr>
          <w:rFonts w:ascii="Arial" w:cs="Arial" w:eastAsia="Arial" w:hAnsi="Arial"/>
          <w:sz w:val="16"/>
          <w:szCs w:val="16"/>
          <w:color w:val="auto"/>
        </w:rPr>
        <w:t>shares of our outstanding Class A common stock and securities directly or</w:t>
      </w:r>
    </w:p>
    <w:p>
      <w:pPr>
        <w:ind w:left="5640"/>
        <w:spacing w:after="0" w:line="203" w:lineRule="auto"/>
        <w:rPr>
          <w:sz w:val="20"/>
          <w:szCs w:val="20"/>
          <w:color w:val="auto"/>
        </w:rPr>
      </w:pPr>
      <w:r>
        <w:rPr>
          <w:rFonts w:ascii="Arial" w:cs="Arial" w:eastAsia="Arial" w:hAnsi="Arial"/>
          <w:sz w:val="16"/>
          <w:szCs w:val="16"/>
          <w:color w:val="auto"/>
        </w:rPr>
        <w:t>indirectly convertible into or exchangeable or exercisable for our Class A</w:t>
      </w:r>
    </w:p>
    <w:p>
      <w:pPr>
        <w:ind w:left="5640"/>
        <w:spacing w:after="0" w:line="202" w:lineRule="auto"/>
        <w:rPr>
          <w:sz w:val="20"/>
          <w:szCs w:val="20"/>
          <w:color w:val="auto"/>
        </w:rPr>
      </w:pPr>
      <w:r>
        <w:rPr>
          <w:rFonts w:ascii="Arial" w:cs="Arial" w:eastAsia="Arial" w:hAnsi="Arial"/>
          <w:sz w:val="16"/>
          <w:szCs w:val="16"/>
          <w:color w:val="auto"/>
        </w:rPr>
        <w:t>common stock held, as of the date of this prospectus, by our General</w:t>
      </w:r>
    </w:p>
    <w:p>
      <w:pPr>
        <w:ind w:left="5640"/>
        <w:spacing w:after="0" w:line="203" w:lineRule="auto"/>
        <w:rPr>
          <w:sz w:val="20"/>
          <w:szCs w:val="20"/>
          <w:color w:val="auto"/>
        </w:rPr>
      </w:pPr>
      <w:r>
        <w:rPr>
          <w:rFonts w:ascii="Arial" w:cs="Arial" w:eastAsia="Arial" w:hAnsi="Arial"/>
          <w:sz w:val="16"/>
          <w:szCs w:val="16"/>
          <w:color w:val="auto"/>
        </w:rPr>
        <w:t>Employees and Directors (as defined below), with such 15% calculated after</w:t>
      </w:r>
    </w:p>
    <w:p>
      <w:pPr>
        <w:ind w:left="5640"/>
        <w:spacing w:after="0" w:line="203" w:lineRule="auto"/>
        <w:rPr>
          <w:sz w:val="20"/>
          <w:szCs w:val="20"/>
          <w:color w:val="auto"/>
        </w:rPr>
      </w:pPr>
      <w:r>
        <w:rPr>
          <w:rFonts w:ascii="Arial" w:cs="Arial" w:eastAsia="Arial" w:hAnsi="Arial"/>
          <w:sz w:val="16"/>
          <w:szCs w:val="16"/>
          <w:color w:val="auto"/>
        </w:rPr>
        <w:t>excluding any shares withheld for taxes associated with IPO-Vesting Time-</w:t>
      </w:r>
    </w:p>
    <w:p>
      <w:pPr>
        <w:ind w:left="5640"/>
        <w:spacing w:after="0"/>
        <w:rPr>
          <w:sz w:val="20"/>
          <w:szCs w:val="20"/>
          <w:color w:val="auto"/>
        </w:rPr>
      </w:pPr>
      <w:r>
        <w:rPr>
          <w:rFonts w:ascii="Arial" w:cs="Arial" w:eastAsia="Arial" w:hAnsi="Arial"/>
          <w:sz w:val="16"/>
          <w:szCs w:val="16"/>
          <w:color w:val="auto"/>
        </w:rPr>
        <w:t>Based RSUs.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20" w:type="dxa"/>
            <w:vAlign w:val="bottom"/>
            <w:tcBorders>
              <w:top w:val="single" w:sz="8" w:color="auto"/>
            </w:tcBorders>
          </w:tcPr>
          <w:p>
            <w:pPr>
              <w:ind w:left="20"/>
              <w:spacing w:after="0" w:line="178" w:lineRule="exact"/>
              <w:rPr>
                <w:sz w:val="20"/>
                <w:szCs w:val="20"/>
                <w:color w:val="auto"/>
              </w:rPr>
            </w:pPr>
            <w:r>
              <w:rPr>
                <w:rFonts w:ascii="Arial" w:cs="Arial" w:eastAsia="Arial" w:hAnsi="Arial"/>
                <w:sz w:val="16"/>
                <w:szCs w:val="16"/>
                <w:color w:val="auto"/>
              </w:rPr>
              <w:t>The Tranche I Release Date (as defined below).</w:t>
            </w:r>
          </w:p>
        </w:tc>
        <w:tc>
          <w:tcPr>
            <w:tcW w:w="6740" w:type="dxa"/>
            <w:vAlign w:val="bottom"/>
            <w:tcBorders>
              <w:top w:val="single" w:sz="8" w:color="auto"/>
            </w:tcBorders>
          </w:tcPr>
          <w:p>
            <w:pPr>
              <w:ind w:left="1120"/>
              <w:spacing w:after="0" w:line="178" w:lineRule="exact"/>
              <w:rPr>
                <w:sz w:val="20"/>
                <w:szCs w:val="20"/>
                <w:color w:val="auto"/>
              </w:rPr>
            </w:pPr>
            <w:r>
              <w:rPr>
                <w:rFonts w:ascii="Arial" w:cs="Arial" w:eastAsia="Arial" w:hAnsi="Arial"/>
                <w:sz w:val="16"/>
                <w:szCs w:val="16"/>
                <w:color w:val="auto"/>
              </w:rPr>
              <w:t>Up to 45,566,710 shares of Class A common stock, representing the remaining</w:t>
            </w:r>
          </w:p>
        </w:tc>
      </w:tr>
      <w:tr>
        <w:trPr>
          <w:trHeight w:val="155"/>
        </w:trPr>
        <w:tc>
          <w:tcPr>
            <w:tcW w:w="4520" w:type="dxa"/>
            <w:vAlign w:val="bottom"/>
          </w:tcPr>
          <w:p>
            <w:pPr>
              <w:spacing w:after="0"/>
              <w:rPr>
                <w:sz w:val="13"/>
                <w:szCs w:val="13"/>
                <w:color w:val="auto"/>
              </w:rPr>
            </w:pPr>
          </w:p>
        </w:tc>
        <w:tc>
          <w:tcPr>
            <w:tcW w:w="6740" w:type="dxa"/>
            <w:vAlign w:val="bottom"/>
          </w:tcPr>
          <w:p>
            <w:pPr>
              <w:ind w:left="1120"/>
              <w:spacing w:after="0" w:line="155" w:lineRule="exact"/>
              <w:rPr>
                <w:sz w:val="20"/>
                <w:szCs w:val="20"/>
                <w:color w:val="auto"/>
              </w:rPr>
            </w:pPr>
            <w:r>
              <w:rPr>
                <w:rFonts w:ascii="Arial" w:cs="Arial" w:eastAsia="Arial" w:hAnsi="Arial"/>
                <w:sz w:val="16"/>
                <w:szCs w:val="16"/>
                <w:color w:val="auto"/>
              </w:rPr>
              <w:t>50% of the shares of Class A common stock to be issued upon conversion of</w:t>
            </w:r>
          </w:p>
        </w:tc>
      </w:tr>
      <w:tr>
        <w:trPr>
          <w:trHeight w:val="155"/>
        </w:trPr>
        <w:tc>
          <w:tcPr>
            <w:tcW w:w="4520" w:type="dxa"/>
            <w:vAlign w:val="bottom"/>
          </w:tcPr>
          <w:p>
            <w:pPr>
              <w:spacing w:after="0"/>
              <w:rPr>
                <w:sz w:val="13"/>
                <w:szCs w:val="13"/>
                <w:color w:val="auto"/>
              </w:rPr>
            </w:pPr>
          </w:p>
        </w:tc>
        <w:tc>
          <w:tcPr>
            <w:tcW w:w="6740" w:type="dxa"/>
            <w:vAlign w:val="bottom"/>
          </w:tcPr>
          <w:p>
            <w:pPr>
              <w:ind w:left="1120"/>
              <w:spacing w:after="0" w:line="155" w:lineRule="exact"/>
              <w:rPr>
                <w:sz w:val="20"/>
                <w:szCs w:val="20"/>
                <w:color w:val="auto"/>
              </w:rPr>
            </w:pPr>
            <w:r>
              <w:rPr>
                <w:rFonts w:ascii="Arial" w:cs="Arial" w:eastAsia="Arial" w:hAnsi="Arial"/>
                <w:sz w:val="16"/>
                <w:szCs w:val="16"/>
                <w:color w:val="auto"/>
              </w:rPr>
              <w:t>the Tranche I convertible notes in connection with this offering pursuant to the</w:t>
            </w:r>
          </w:p>
        </w:tc>
      </w:tr>
      <w:tr>
        <w:trPr>
          <w:trHeight w:val="155"/>
        </w:trPr>
        <w:tc>
          <w:tcPr>
            <w:tcW w:w="4520" w:type="dxa"/>
            <w:vAlign w:val="bottom"/>
          </w:tcPr>
          <w:p>
            <w:pPr>
              <w:spacing w:after="0"/>
              <w:rPr>
                <w:sz w:val="13"/>
                <w:szCs w:val="13"/>
                <w:color w:val="auto"/>
              </w:rPr>
            </w:pPr>
          </w:p>
        </w:tc>
        <w:tc>
          <w:tcPr>
            <w:tcW w:w="6740" w:type="dxa"/>
            <w:vAlign w:val="bottom"/>
          </w:tcPr>
          <w:p>
            <w:pPr>
              <w:ind w:left="1120"/>
              <w:spacing w:after="0" w:line="155" w:lineRule="exact"/>
              <w:rPr>
                <w:sz w:val="20"/>
                <w:szCs w:val="20"/>
                <w:color w:val="auto"/>
              </w:rPr>
            </w:pPr>
            <w:r>
              <w:rPr>
                <w:rFonts w:ascii="Arial" w:cs="Arial" w:eastAsia="Arial" w:hAnsi="Arial"/>
                <w:sz w:val="16"/>
                <w:szCs w:val="16"/>
                <w:color w:val="auto"/>
              </w:rPr>
              <w:t>Tranche I Note Conversion, which shares are subject to lock-up agreements</w:t>
            </w:r>
          </w:p>
        </w:tc>
      </w:tr>
      <w:tr>
        <w:trPr>
          <w:trHeight w:val="155"/>
        </w:trPr>
        <w:tc>
          <w:tcPr>
            <w:tcW w:w="4520" w:type="dxa"/>
            <w:vAlign w:val="bottom"/>
          </w:tcPr>
          <w:p>
            <w:pPr>
              <w:spacing w:after="0"/>
              <w:rPr>
                <w:sz w:val="13"/>
                <w:szCs w:val="13"/>
                <w:color w:val="auto"/>
              </w:rPr>
            </w:pPr>
          </w:p>
        </w:tc>
        <w:tc>
          <w:tcPr>
            <w:tcW w:w="6740" w:type="dxa"/>
            <w:vAlign w:val="bottom"/>
          </w:tcPr>
          <w:p>
            <w:pPr>
              <w:ind w:left="1120"/>
              <w:spacing w:after="0" w:line="155" w:lineRule="exact"/>
              <w:rPr>
                <w:sz w:val="20"/>
                <w:szCs w:val="20"/>
                <w:color w:val="auto"/>
              </w:rPr>
            </w:pPr>
            <w:r>
              <w:rPr>
                <w:rFonts w:ascii="Arial" w:cs="Arial" w:eastAsia="Arial" w:hAnsi="Arial"/>
                <w:sz w:val="16"/>
                <w:szCs w:val="16"/>
                <w:color w:val="auto"/>
              </w:rPr>
              <w:t>during the period beginning on the date of this prospectus and ending on the</w:t>
            </w:r>
          </w:p>
        </w:tc>
      </w:tr>
      <w:tr>
        <w:trPr>
          <w:trHeight w:val="192"/>
        </w:trPr>
        <w:tc>
          <w:tcPr>
            <w:tcW w:w="4520" w:type="dxa"/>
            <w:vAlign w:val="bottom"/>
          </w:tcPr>
          <w:p>
            <w:pPr>
              <w:spacing w:after="0"/>
              <w:rPr>
                <w:sz w:val="16"/>
                <w:szCs w:val="16"/>
                <w:color w:val="auto"/>
              </w:rPr>
            </w:pPr>
          </w:p>
        </w:tc>
        <w:tc>
          <w:tcPr>
            <w:tcW w:w="6740" w:type="dxa"/>
            <w:vAlign w:val="bottom"/>
          </w:tcPr>
          <w:p>
            <w:pPr>
              <w:ind w:left="1120"/>
              <w:spacing w:after="0"/>
              <w:rPr>
                <w:sz w:val="20"/>
                <w:szCs w:val="20"/>
                <w:color w:val="auto"/>
              </w:rPr>
            </w:pPr>
            <w:r>
              <w:rPr>
                <w:rFonts w:ascii="Arial" w:cs="Arial" w:eastAsia="Arial" w:hAnsi="Arial"/>
                <w:sz w:val="16"/>
                <w:szCs w:val="16"/>
                <w:color w:val="auto"/>
              </w:rPr>
              <w:t>Tranche I Release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4819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91st day after the date of this prospectus.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60"/>
        <w:spacing w:after="0" w:line="210" w:lineRule="auto"/>
        <w:rPr>
          <w:sz w:val="20"/>
          <w:szCs w:val="20"/>
          <w:color w:val="auto"/>
        </w:rPr>
      </w:pPr>
      <w:r>
        <w:rPr>
          <w:rFonts w:ascii="Arial" w:cs="Arial" w:eastAsia="Arial" w:hAnsi="Arial"/>
          <w:sz w:val="16"/>
          <w:szCs w:val="16"/>
          <w:color w:val="auto"/>
        </w:rPr>
        <w:t>Up to 11,119,174 shares of Class A common stock, representing an additional 15% of the shares of our outstanding Class A common stock and securities directly or indirectly convertible into or exchangeable or exercisable for our Class A common stock held, as of the date of this prospectus, by our General Employees and Directors, with such 15% calculated after excluding any shares withheld for taxes associated with IPO-Vesting Time-Based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32385</wp:posOffset>
            </wp:positionV>
            <wp:extent cx="714819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620"/>
          </w:cols>
          <w:pgMar w:left="32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267</w:t>
      </w:r>
    </w:p>
    <w:p>
      <w:pPr>
        <w:sectPr>
          <w:pgSz w:w="11900" w:h="16838" w:orient="portrait"/>
          <w:cols w:equalWidth="0" w:num="1">
            <w:col w:w="11260"/>
          </w:cols>
          <w:pgMar w:left="320" w:top="1440" w:right="319" w:bottom="1440" w:gutter="0" w:footer="0" w:header="0"/>
          <w:type w:val="continuous"/>
        </w:sectPr>
      </w:pPr>
    </w:p>
    <w:bookmarkStart w:id="290" w:name="page291"/>
    <w:bookmarkEnd w:id="290"/>
    <w:p>
      <w:pPr>
        <w:spacing w:after="0" w:line="18" w:lineRule="exact"/>
        <w:rPr>
          <w:sz w:val="20"/>
          <w:szCs w:val="20"/>
          <w:color w:val="auto"/>
        </w:rPr>
      </w:pPr>
    </w:p>
    <w:p>
      <w:pPr>
        <w:spacing w:after="0"/>
        <w:tabs>
          <w:tab w:leader="none" w:pos="5600" w:val="left"/>
        </w:tabs>
        <w:rPr>
          <w:sz w:val="20"/>
          <w:szCs w:val="20"/>
          <w:color w:val="auto"/>
        </w:rPr>
      </w:pPr>
      <w:r>
        <w:rPr>
          <w:rFonts w:ascii="Arial" w:cs="Arial" w:eastAsia="Arial" w:hAnsi="Arial"/>
          <w:sz w:val="16"/>
          <w:szCs w:val="16"/>
          <w:b w:val="1"/>
          <w:bCs w:val="1"/>
          <w:color w:val="auto"/>
        </w:rPr>
        <w:t>Earliest Date Available for Sale in Public Market</w:t>
      </w:r>
      <w:r>
        <w:rPr>
          <w:sz w:val="20"/>
          <w:szCs w:val="20"/>
          <w:color w:val="auto"/>
        </w:rPr>
        <w:tab/>
      </w:r>
      <w:r>
        <w:rPr>
          <w:rFonts w:ascii="Arial" w:cs="Arial" w:eastAsia="Arial" w:hAnsi="Arial"/>
          <w:sz w:val="15"/>
          <w:szCs w:val="15"/>
          <w:b w:val="1"/>
          <w:bCs w:val="1"/>
          <w:color w:val="auto"/>
        </w:rPr>
        <w:t>Number of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17780</wp:posOffset>
            </wp:positionV>
            <wp:extent cx="714819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p>
      <w:pPr>
        <w:spacing w:after="0" w:line="51" w:lineRule="exact"/>
        <w:rPr>
          <w:sz w:val="20"/>
          <w:szCs w:val="20"/>
          <w:color w:val="auto"/>
        </w:rPr>
      </w:pPr>
    </w:p>
    <w:p>
      <w:pPr>
        <w:spacing w:after="0" w:line="209" w:lineRule="auto"/>
        <w:rPr>
          <w:sz w:val="20"/>
          <w:szCs w:val="20"/>
          <w:color w:val="auto"/>
        </w:rPr>
      </w:pPr>
      <w:r>
        <w:rPr>
          <w:rFonts w:ascii="Arial" w:cs="Arial" w:eastAsia="Arial" w:hAnsi="Arial"/>
          <w:sz w:val="16"/>
          <w:szCs w:val="16"/>
          <w:color w:val="auto"/>
        </w:rPr>
        <w:t>The First Earnings-Related Release Date (as defined below), provided that the reported closing price of our Class A common stock on Nasdaq is at least 33% greater than the initial public offering price per share set forth on the cover page of this prospectus both (a) on the Pricing Condition Measurement Date (as defined below) and (b) for at least nine of the 14 consecutive trading days immediately preceding, but excluding, the Pricing Condition Measurement Date.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204" w:lineRule="auto"/>
        <w:rPr>
          <w:sz w:val="20"/>
          <w:szCs w:val="20"/>
          <w:color w:val="auto"/>
        </w:rPr>
      </w:pPr>
      <w:r>
        <w:rPr>
          <w:rFonts w:ascii="Arial" w:cs="Arial" w:eastAsia="Arial" w:hAnsi="Arial"/>
          <w:sz w:val="16"/>
          <w:szCs w:val="16"/>
          <w:color w:val="auto"/>
        </w:rPr>
        <w:t>If such reported closing price is at least 33%, but less than 50%, greater than the initial public offering price for the requisite days, up to 48,728,954 shares of Class A common stock, representing 10% of the shares of our outstanding Class A common stock and securities directly or indirectly convertible into or exchangeable or exercisable for our Class A common stock (but excluding our Tranche I convertible notes, Tranche II convertible notes and warrants and shares issued or issuable upon conversion or exercise thereof) held, as of the date of this prospectus, by the parties to our Investors’ Rights Agreement (which includes the holders of our preferred stock outstanding immediately prior to the completion of this offering) and certain other non-employee holders of our common stock outstanding immediately prior to the completion of this offering. Alternatively, if such reported closing price is at least 50% greater than the initial public offering price for the requisite days, up to 97,457,908 shares of Class A common stock, representing 20% of such shares and securities held by such parties as of the date of this prospectus. In addition, up to 10% or 20%, as applicable, of any shares of our Class A common stock purchased by the Prospective Investor in this offering (who has indicated an interest in purchasing up to an aggregate of $150 million in shares of our Class A common stock in this offering), as described under “Underwriting (Conflicts of Interest)—Indication of Interest,” would also be subject to early release upon satisfaction of the closing price conditions described above.</w:t>
      </w:r>
    </w:p>
    <w:p>
      <w:pPr>
        <w:spacing w:after="0" w:line="26" w:lineRule="exact"/>
        <w:rPr>
          <w:sz w:val="20"/>
          <w:szCs w:val="20"/>
          <w:color w:val="auto"/>
        </w:rPr>
      </w:pPr>
    </w:p>
    <w:p>
      <w:pPr>
        <w:ind w:right="60"/>
        <w:spacing w:after="0" w:line="207" w:lineRule="auto"/>
        <w:rPr>
          <w:sz w:val="20"/>
          <w:szCs w:val="20"/>
          <w:color w:val="auto"/>
        </w:rPr>
      </w:pPr>
      <w:r>
        <w:rPr>
          <w:rFonts w:ascii="Arial" w:cs="Arial" w:eastAsia="Arial" w:hAnsi="Arial"/>
          <w:sz w:val="16"/>
          <w:szCs w:val="16"/>
          <w:color w:val="auto"/>
        </w:rPr>
        <w:t>In addition, up to 6,620,638 shares of Class A common stock, representing 5% of the shares of our outstanding Class A common stock and securities directly or indirectly convertible into or exchangeable or exercisable for our Class A common stock (including our Class B common stock) held, as of the date of this prospectus (but after giving effect to the sale of Class A common stock in this offering by the selling stockholders), by each of our founders and our Chief Financial Officer, with such 5% calculated after excluding any shares withheld for taxes associated with IPO-Vesting Time-Based RSUs and any Market-Based RSUs for which all vesting conditions will be met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32385</wp:posOffset>
            </wp:positionV>
            <wp:extent cx="714819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100"/>
            <w:col w:w="560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268</w:t>
      </w:r>
    </w:p>
    <w:p>
      <w:pPr>
        <w:sectPr>
          <w:pgSz w:w="11900" w:h="16838" w:orient="portrait"/>
          <w:cols w:equalWidth="0" w:num="1">
            <w:col w:w="11220"/>
          </w:cols>
          <w:pgMar w:left="340" w:top="1440" w:right="339" w:bottom="1440" w:gutter="0" w:footer="0" w:header="0"/>
          <w:type w:val="continuous"/>
        </w:sectPr>
      </w:pPr>
    </w:p>
    <w:bookmarkStart w:id="291" w:name="page292"/>
    <w:bookmarkEnd w:id="291"/>
    <w:p>
      <w:pPr>
        <w:spacing w:after="0" w:line="17"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b w:val="1"/>
          <w:bCs w:val="1"/>
          <w:color w:val="auto"/>
        </w:rPr>
        <w:t>Earliest Date Available for Sale in Public Market</w:t>
      </w:r>
      <w:r>
        <w:rPr>
          <w:sz w:val="20"/>
          <w:szCs w:val="20"/>
          <w:color w:val="auto"/>
        </w:rPr>
        <w:tab/>
      </w:r>
      <w:r>
        <w:rPr>
          <w:rFonts w:ascii="Arial" w:cs="Arial" w:eastAsia="Arial" w:hAnsi="Arial"/>
          <w:sz w:val="15"/>
          <w:szCs w:val="15"/>
          <w:b w:val="1"/>
          <w:bCs w:val="1"/>
          <w:color w:val="auto"/>
        </w:rPr>
        <w:t>Number of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4819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126th day after the date of this prospectus.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40"/>
        <w:spacing w:after="0" w:line="206" w:lineRule="auto"/>
        <w:rPr>
          <w:sz w:val="20"/>
          <w:szCs w:val="20"/>
          <w:color w:val="auto"/>
        </w:rPr>
      </w:pPr>
      <w:r>
        <w:rPr>
          <w:rFonts w:ascii="Arial" w:cs="Arial" w:eastAsia="Arial" w:hAnsi="Arial"/>
          <w:sz w:val="16"/>
          <w:szCs w:val="16"/>
          <w:color w:val="auto"/>
        </w:rPr>
        <w:t>Up to 563,224,965 shares of Class A common stock representing shares of Class A common stock subject to lock-up or market standoff agreements during the restricted period beginning on the date of this prospectus as described below (which includes 125,216,863 shares of Class A common stock issuable upon conversion of Class B common stock held by our founders), as well as any shares of our Class A common stock purchased by the Prospective Investor in this offering (who has indicated an interest in purchasing up to an aggregate of $150 million in shares of our Class A common stock in this offering, as described under “Underwriting (Conflicts of Interest)—Indication of Interest”), and in each case not subject to early release from such lock-up restrictions pursuant to the release provisions described above and under “— Lock-up and Market Standoff Agreements” below.</w:t>
      </w:r>
    </w:p>
    <w:p>
      <w:pPr>
        <w:spacing w:after="0" w:line="174" w:lineRule="exact"/>
        <w:rPr>
          <w:sz w:val="20"/>
          <w:szCs w:val="20"/>
          <w:color w:val="auto"/>
        </w:rPr>
      </w:pPr>
    </w:p>
    <w:p>
      <w:pPr>
        <w:sectPr>
          <w:pgSz w:w="11900" w:h="16838" w:orient="portrait"/>
          <w:cols w:equalWidth="0" w:num="2">
            <w:col w:w="4920" w:space="720"/>
            <w:col w:w="5620"/>
          </w:cols>
          <w:pgMar w:left="320" w:top="1440" w:right="319" w:bottom="1440" w:gutter="0" w:footer="0" w:header="0"/>
          <w:type w:val="continuous"/>
        </w:sectPr>
      </w:pPr>
    </w:p>
    <w:p>
      <w:pPr>
        <w:spacing w:after="0"/>
        <w:rPr>
          <w:sz w:val="20"/>
          <w:szCs w:val="20"/>
          <w:color w:val="auto"/>
        </w:rPr>
      </w:pPr>
      <w:r>
        <w:rPr>
          <w:rFonts w:ascii="Arial" w:cs="Arial" w:eastAsia="Arial" w:hAnsi="Arial"/>
          <w:sz w:val="22"/>
          <w:szCs w:val="22"/>
          <w:color w:val="auto"/>
        </w:rPr>
        <w:t>Rule 144</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Under Rule 144 as currently in effect, once we have been subject to the public company reporting requirements of the Exchange Act for at least 90 days, provided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 (including before we have been subject to the public company reporting requirements of the Exchange Act for at least 90 days).</w:t>
      </w:r>
    </w:p>
    <w:p>
      <w:pPr>
        <w:spacing w:after="0" w:line="15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pacing w:after="0" w:line="157" w:lineRule="exact"/>
        <w:rPr>
          <w:sz w:val="20"/>
          <w:szCs w:val="20"/>
          <w:color w:val="auto"/>
        </w:rPr>
      </w:pPr>
    </w:p>
    <w:p>
      <w:pPr>
        <w:ind w:left="560" w:right="20" w:hanging="278"/>
        <w:spacing w:after="0" w:line="260" w:lineRule="auto"/>
        <w:tabs>
          <w:tab w:leader="none" w:pos="55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1% of the number of shares of our Class A common stock then outstanding, which will equal approximately 7,038,681 shares immediately after the completion of this offering; or</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average weekly trading volume of our Class A common stock during the four calendar weeks preceding the filing of a notice on Form 144 with respect to such sale.</w:t>
      </w:r>
    </w:p>
    <w:p>
      <w:pPr>
        <w:spacing w:after="0" w:line="139"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Rule 701</w:t>
      </w:r>
    </w:p>
    <w:p>
      <w:pPr>
        <w:spacing w:after="0" w:line="163" w:lineRule="exact"/>
        <w:rPr>
          <w:sz w:val="20"/>
          <w:szCs w:val="20"/>
          <w:color w:val="auto"/>
        </w:rPr>
      </w:pPr>
    </w:p>
    <w:p>
      <w:pPr>
        <w:ind w:firstLine="287"/>
        <w:spacing w:after="0" w:line="260"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Class A common stock from us in connection with a written compensatory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269</w:t>
      </w:r>
    </w:p>
    <w:p>
      <w:pPr>
        <w:sectPr>
          <w:pgSz w:w="11900" w:h="16838" w:orient="portrait"/>
          <w:cols w:equalWidth="0" w:num="1">
            <w:col w:w="11260"/>
          </w:cols>
          <w:pgMar w:left="320" w:top="1440" w:right="319" w:bottom="1440" w:gutter="0" w:footer="0" w:header="0"/>
          <w:type w:val="continuous"/>
        </w:sectPr>
      </w:pPr>
    </w:p>
    <w:bookmarkStart w:id="292" w:name="page293"/>
    <w:bookmarkEnd w:id="292"/>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or option plan or other written agreement in compliance with Rule 701 before the effective date of the registration statement of which this prospectus is a part and who are not our “affiliates” as defined in Rule 144 during 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Lock-up and Market Standoff Agreements</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and all of our directors, executive officers and certain other record holders, that together represent approximately 94% of our outstanding Class A common stock and securities directly or indirectly convertible into or exchangeable or exercisable for our Class A common stock (including our Class B common stock) (before giving effect to the issuance of shares in this offering), are subject to lock-up agreements with the underwriters or certain market standoff agreements with us, in each case on the respective terms described below, which would prohibit the sale of any such shares of Class A common stock during the restricted period or prior to the Tranche I Release Date (each as defined below), as applicable, subject to early release and certain other exceptions. The remaining 6% of shares of our Class A common stock and securities directly or indirectly convertible into or exchangeable or exercisable for our Class A common stock, which are not subject to any such lock-up or market standoff agreements, consist of 50% of the shares of our Class A common stock to be issued upon the conversion of our Tranche I convertible notes in connection with this offering. Of the 94% of shares of our outstanding Class A common stock subject to the restrictions in such agreements, approximately 1% of such shares (consisting of 15% of the shares of our outstanding Class A common stock and securities directly or indirectly convertible into or exchangeable or exercisable for our Class A common stock held, as of the date of this prospectus, by our General Employees and Directors (as defined below)) will no longer be subject to such restrictions beginning at the commencement of trading on the first trading day on which our Class A common stock is traded on Nasdaq; and approximately 6% of such shares (consisting of the remaining 50% of the shares of our Class A common stock to be issued upon the conversion of our Tranche I convertible notes in connection with this offering) will only be subject to such restrictions during the period beginning on the date of this prospectus and ending 28 days after the effective date of the resale registration statement on Form S-1 that we have agreed to file in respect of such shares.</w:t>
      </w:r>
    </w:p>
    <w:p>
      <w:pPr>
        <w:spacing w:after="0" w:line="149"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We and all of our directors, executive officers and certain other record holders, that together represent approximately 84% of our outstanding Class A common stock and securities directly or indirectly convertible into or exchangeable or exercisable for our Class A common stock (including our Class B common stock) (before giving effect to the issuance of shares in this offering), are subject to lock-up agreements with the underwriters or market standoff agreements with us under our Investors’ Rights Agreement, the Tranche II Purchase Agreement, our warrants or certain stockholder agreements, as applicable, for the benefit of the underwriters agreeing that, without the prior written consent of Goldman Sachs &amp; Co. LLC and J.P. Morgan Securities LLC on behalf of the underwriters, we and they will not, in accordance with the terms of such agreements, during the period beginning on the date of this prospectus and ending on the 126th day after the date of this prospectus (such period, the “restricted period”):</w:t>
      </w:r>
    </w:p>
    <w:p>
      <w:pPr>
        <w:spacing w:after="0" w:line="159" w:lineRule="exact"/>
        <w:rPr>
          <w:sz w:val="20"/>
          <w:szCs w:val="20"/>
          <w:color w:val="auto"/>
        </w:rPr>
      </w:pPr>
    </w:p>
    <w:p>
      <w:pPr>
        <w:jc w:val="both"/>
        <w:ind w:left="560" w:right="20" w:hanging="278"/>
        <w:spacing w:after="0" w:line="254" w:lineRule="auto"/>
        <w:tabs>
          <w:tab w:leader="none" w:pos="55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(directly or indirectly)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270</w:t>
      </w:r>
    </w:p>
    <w:p>
      <w:pPr>
        <w:sectPr>
          <w:pgSz w:w="11900" w:h="16838" w:orient="portrait"/>
          <w:cols w:equalWidth="0" w:num="1">
            <w:col w:w="11260"/>
          </w:cols>
          <w:pgMar w:left="320" w:top="1440" w:right="319" w:bottom="1440" w:gutter="0" w:footer="0" w:header="0"/>
        </w:sectPr>
      </w:pPr>
    </w:p>
    <w:bookmarkStart w:id="293" w:name="page294"/>
    <w:bookmarkEnd w:id="293"/>
    <w:p>
      <w:pPr>
        <w:spacing w:after="0" w:line="2" w:lineRule="exact"/>
        <w:rPr>
          <w:sz w:val="20"/>
          <w:szCs w:val="20"/>
          <w:color w:val="auto"/>
        </w:rPr>
      </w:pPr>
    </w:p>
    <w:p>
      <w:pPr>
        <w:jc w:val="both"/>
        <w:ind w:left="560" w:right="20" w:hanging="278"/>
        <w:spacing w:after="0" w:line="251" w:lineRule="auto"/>
        <w:tabs>
          <w:tab w:leader="none" w:pos="55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effect or which reasonably could be expected to lead to or result in a sale or disposition, or transfer of any of the economic consequences of ownership, in whole or in part, directly or indirectly, of any shares of our Class A common stock or any securities convertible into or exercisable or exchangeable (directly or indirectly) for our Class A common stock, whether any such transaction described in this clause (2) or clause (1) above is to be settled by delivery of our Class A common stock or other securities, in cash or otherwise; or</w:t>
      </w:r>
    </w:p>
    <w:p>
      <w:pPr>
        <w:spacing w:after="0" w:line="159" w:lineRule="exact"/>
        <w:rPr>
          <w:rFonts w:ascii="Arial" w:cs="Arial" w:eastAsia="Arial" w:hAnsi="Arial"/>
          <w:sz w:val="16"/>
          <w:szCs w:val="16"/>
          <w:color w:val="auto"/>
        </w:rPr>
      </w:pPr>
    </w:p>
    <w:p>
      <w:pPr>
        <w:ind w:left="560" w:right="20" w:hanging="278"/>
        <w:spacing w:after="0" w:line="260" w:lineRule="auto"/>
        <w:tabs>
          <w:tab w:leader="none" w:pos="55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publicly disclose the intention to take any of the actions restricted by clause (1) or (2) above (except as permitted under the early release or exceptions described elsewhere in this prospectus).</w:t>
      </w:r>
    </w:p>
    <w:p>
      <w:pPr>
        <w:spacing w:after="0" w:line="13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addition to the above, an additional approximately 3% of our outstanding Class A common stock and securities directly or indirectly convertible into or exchangeable or exercisable for our Class A common stock (before giving effect to the issuance of shares in this offering) is subject to market standoff provisions and, in the case of equity awards issued under our 2013 Plan, rights of first refusal, applicable to equity awards issued under our equity incentive plans that restrict the holders of such securities from taking any of the actions with respect to such securities described by clause (1) above during the restricted period.</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Notwithstanding the foregoing, such restricted period will be earlier terminated for certain of our stockholders as follows:</w:t>
      </w:r>
    </w:p>
    <w:p>
      <w:pPr>
        <w:spacing w:after="0" w:line="147" w:lineRule="exact"/>
        <w:rPr>
          <w:sz w:val="20"/>
          <w:szCs w:val="20"/>
          <w:color w:val="auto"/>
        </w:rPr>
      </w:pPr>
    </w:p>
    <w:p>
      <w:pPr>
        <w:jc w:val="both"/>
        <w:ind w:left="560" w:hanging="278"/>
        <w:spacing w:after="0" w:line="237" w:lineRule="auto"/>
        <w:tabs>
          <w:tab w:leader="none" w:pos="556" w:val="left"/>
        </w:tabs>
        <w:numPr>
          <w:ilvl w:val="0"/>
          <w:numId w:val="129"/>
        </w:numPr>
        <w:rPr>
          <w:rFonts w:ascii="Arial" w:cs="Arial" w:eastAsia="Arial" w:hAnsi="Arial"/>
          <w:sz w:val="15"/>
          <w:szCs w:val="15"/>
          <w:color w:val="auto"/>
        </w:rPr>
      </w:pPr>
      <w:r>
        <w:rPr>
          <w:rFonts w:ascii="Arial" w:cs="Arial" w:eastAsia="Arial" w:hAnsi="Arial"/>
          <w:sz w:val="15"/>
          <w:szCs w:val="15"/>
          <w:i w:val="1"/>
          <w:iCs w:val="1"/>
          <w:color w:val="auto"/>
        </w:rPr>
        <w:t>Founders and Chief Financial Officer</w:t>
      </w:r>
      <w:r>
        <w:rPr>
          <w:rFonts w:ascii="Arial" w:cs="Arial" w:eastAsia="Arial" w:hAnsi="Arial"/>
          <w:sz w:val="15"/>
          <w:szCs w:val="15"/>
          <w:color w:val="auto"/>
        </w:rPr>
        <w:t>: up to 5% of the shares of our outstanding Class A common stock and securities directly or indirectly convertible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into or exchangeable or exercisable for our Class A common stock (including our Class B common stock and the Market-Based RSUs) held, as of the date of this prospectus (but after giving effect to the sale of Class A common stock in this offering by the selling stockholders), by each of our founders and our Chief Financial Officer, with such 5% calculated after excluding any shares withheld for taxes associated with IPO-Vesting Time-Based RSUs and IPO-Vesting Market-Based RSUs, may be sold on or after the later of (i) the second trading day after we publicly release earnings for the fiscal quarter ended June 30, 2021 (which for this purpose does not include “flash” numbers or preliminary, partial earnings), which will be the first quarter following the most recent period for which financial statements are included in this prospectus, (our “First Earnings Release”), and (ii) the 91st day after the date of this prospectus (such later date, the “First Earnings-Related Release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reported closing price of our Class A common stock on Nasdaq is at least 33% greater than the initial public offering price per share set forth on the cover page of this prospectus both (a) on the date that is the later of (x) the first full trading day immediately following our First Earnings Release and (y) the 90th day (or, if such 90th day is not a trading day, then the first trading day after such 90th day) after the date of this prospectus (such later date, the “Pricing Condition Measurement Date”) and (b) for at least nine of the 14 consecutive trading days immediately preceding, but excluding, the Pricing Condition Measurement Date. Any sales made by our founders and Chief Financial Officer pursuant to such early release provisions are expected to be made pursuant to one or more 10b5-1 plans;</w:t>
      </w:r>
    </w:p>
    <w:p>
      <w:pPr>
        <w:spacing w:after="0" w:line="127" w:lineRule="exact"/>
        <w:rPr>
          <w:rFonts w:ascii="Arial" w:cs="Arial" w:eastAsia="Arial" w:hAnsi="Arial"/>
          <w:sz w:val="15"/>
          <w:szCs w:val="15"/>
          <w:color w:val="auto"/>
        </w:rPr>
      </w:pPr>
    </w:p>
    <w:p>
      <w:pPr>
        <w:ind w:left="560" w:hanging="278"/>
        <w:spacing w:after="0"/>
        <w:tabs>
          <w:tab w:leader="none" w:pos="560"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Preferred holders and certain non-employee common holders</w:t>
      </w:r>
      <w:r>
        <w:rPr>
          <w:rFonts w:ascii="Arial" w:cs="Arial" w:eastAsia="Arial" w:hAnsi="Arial"/>
          <w:sz w:val="16"/>
          <w:szCs w:val="16"/>
          <w:color w:val="auto"/>
        </w:rPr>
        <w:t>:</w:t>
      </w:r>
    </w:p>
    <w:p>
      <w:pPr>
        <w:spacing w:after="0" w:line="178" w:lineRule="exact"/>
        <w:rPr>
          <w:rFonts w:ascii="Arial" w:cs="Arial" w:eastAsia="Arial" w:hAnsi="Arial"/>
          <w:sz w:val="16"/>
          <w:szCs w:val="16"/>
          <w:color w:val="auto"/>
        </w:rPr>
      </w:pPr>
    </w:p>
    <w:p>
      <w:pPr>
        <w:jc w:val="both"/>
        <w:ind w:left="1140" w:hanging="284"/>
        <w:spacing w:after="0" w:line="252" w:lineRule="auto"/>
        <w:tabs>
          <w:tab w:leader="none" w:pos="1137"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if the reported closing price of our Class A common stock on Nasdaq is at least 33%, but less than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10% of the shares of our outstanding Class A common stock and securities directly or indirectly convertible into or exchangeable or exercisable for our Class A common stock (but excluding our Tranche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271</w:t>
      </w:r>
    </w:p>
    <w:p>
      <w:pPr>
        <w:sectPr>
          <w:pgSz w:w="11900" w:h="16838" w:orient="portrait"/>
          <w:cols w:equalWidth="0" w:num="1">
            <w:col w:w="11260"/>
          </w:cols>
          <w:pgMar w:left="320" w:top="1440" w:right="319" w:bottom="1440" w:gutter="0" w:footer="0" w:header="0"/>
        </w:sectPr>
      </w:pPr>
    </w:p>
    <w:bookmarkStart w:id="294" w:name="page295"/>
    <w:bookmarkEnd w:id="294"/>
    <w:p>
      <w:pPr>
        <w:spacing w:after="0" w:line="2" w:lineRule="exact"/>
        <w:rPr>
          <w:sz w:val="20"/>
          <w:szCs w:val="20"/>
          <w:color w:val="auto"/>
        </w:rPr>
      </w:pPr>
    </w:p>
    <w:p>
      <w:pPr>
        <w:jc w:val="both"/>
        <w:ind w:left="1140"/>
        <w:spacing w:after="0" w:line="252" w:lineRule="auto"/>
        <w:rPr>
          <w:sz w:val="20"/>
          <w:szCs w:val="20"/>
          <w:color w:val="auto"/>
        </w:rPr>
      </w:pPr>
      <w:r>
        <w:rPr>
          <w:rFonts w:ascii="Arial" w:cs="Arial" w:eastAsia="Arial" w:hAnsi="Arial"/>
          <w:sz w:val="16"/>
          <w:szCs w:val="16"/>
          <w:color w:val="auto"/>
        </w:rPr>
        <w:t>convertible notes, Tranche II convertible notes and warrants and shares issued or issuable upon exercise or conversion thereof) held, as of the date of this prospectus, by the parties to our Investors’ Rights Agreement (which includes the holders of our preferred stock outstanding immediately prior to the completion of this offering) and certain other non-employee holders of our common stock outstanding immediately prior to the completion of this offering may be sold beginning on the First Earnings-Related Release Date; or</w:t>
      </w:r>
    </w:p>
    <w:p>
      <w:pPr>
        <w:spacing w:after="0" w:line="159" w:lineRule="exact"/>
        <w:rPr>
          <w:sz w:val="20"/>
          <w:szCs w:val="20"/>
          <w:color w:val="auto"/>
        </w:rPr>
      </w:pPr>
    </w:p>
    <w:p>
      <w:pPr>
        <w:jc w:val="both"/>
        <w:ind w:left="1140" w:right="20" w:hanging="284"/>
        <w:spacing w:after="0" w:line="252" w:lineRule="auto"/>
        <w:tabs>
          <w:tab w:leader="none" w:pos="1137"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if the reported closing price of our Class A common stock on Nasdaq is at least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20% of such shares and securities may be sold beginning on the First Earnings-Related Release Date; and</w:t>
      </w:r>
    </w:p>
    <w:p>
      <w:pPr>
        <w:spacing w:after="0" w:line="131" w:lineRule="exact"/>
        <w:rPr>
          <w:rFonts w:ascii="Arial" w:cs="Arial" w:eastAsia="Arial" w:hAnsi="Arial"/>
          <w:sz w:val="16"/>
          <w:szCs w:val="16"/>
          <w:color w:val="auto"/>
        </w:rPr>
      </w:pPr>
    </w:p>
    <w:p>
      <w:pPr>
        <w:ind w:left="560" w:hanging="278"/>
        <w:spacing w:after="0"/>
        <w:tabs>
          <w:tab w:leader="none" w:pos="560"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General Employees and Directors</w:t>
      </w:r>
      <w:r>
        <w:rPr>
          <w:rFonts w:ascii="Arial" w:cs="Arial" w:eastAsia="Arial" w:hAnsi="Arial"/>
          <w:sz w:val="16"/>
          <w:szCs w:val="16"/>
          <w:color w:val="auto"/>
        </w:rPr>
        <w:t>:</w:t>
      </w:r>
    </w:p>
    <w:p>
      <w:pPr>
        <w:spacing w:after="0" w:line="178" w:lineRule="exact"/>
        <w:rPr>
          <w:rFonts w:ascii="Arial" w:cs="Arial" w:eastAsia="Arial" w:hAnsi="Arial"/>
          <w:sz w:val="16"/>
          <w:szCs w:val="16"/>
          <w:color w:val="auto"/>
        </w:rPr>
      </w:pPr>
    </w:p>
    <w:p>
      <w:pPr>
        <w:jc w:val="both"/>
        <w:ind w:left="1140" w:hanging="284"/>
        <w:spacing w:after="0" w:line="252" w:lineRule="auto"/>
        <w:tabs>
          <w:tab w:leader="none" w:pos="1149" w:val="left"/>
        </w:tabs>
        <w:numPr>
          <w:ilvl w:val="1"/>
          <w:numId w:val="130"/>
        </w:numPr>
        <w:rPr>
          <w:rFonts w:ascii="Arial" w:cs="Arial" w:eastAsia="Arial" w:hAnsi="Arial"/>
          <w:sz w:val="16"/>
          <w:szCs w:val="16"/>
          <w:color w:val="auto"/>
        </w:rPr>
      </w:pPr>
      <w:r>
        <w:rPr>
          <w:rFonts w:ascii="Arial" w:cs="Arial" w:eastAsia="Arial" w:hAnsi="Arial"/>
          <w:sz w:val="16"/>
          <w:szCs w:val="16"/>
          <w:color w:val="auto"/>
        </w:rPr>
        <w:t>up to 15% of the shares of our outstanding Class A common stock and securities directly or indirectly convertible into or exchangeable or exercisable for our Class A common stock held, as of the date of this prospectus, by our directors, officers and current and former employees and consultants (other than our founders and our Chief Financial Officer, who are discussed above) (our “General Employees and Directors”), with such 15% calculated after excluding any shares withheld for taxes associated with IPO-Vesting Time-Based RSUs, may be sold beginning at the commencement of trading on the first trading day on which our Class A common stock is traded on Nasdaq; and</w:t>
      </w:r>
    </w:p>
    <w:p>
      <w:pPr>
        <w:spacing w:after="0" w:line="157" w:lineRule="exact"/>
        <w:rPr>
          <w:rFonts w:ascii="Arial" w:cs="Arial" w:eastAsia="Arial" w:hAnsi="Arial"/>
          <w:sz w:val="16"/>
          <w:szCs w:val="16"/>
          <w:color w:val="auto"/>
        </w:rPr>
      </w:pPr>
    </w:p>
    <w:p>
      <w:pPr>
        <w:jc w:val="both"/>
        <w:ind w:left="1140" w:right="20" w:hanging="284"/>
        <w:spacing w:after="0" w:line="252" w:lineRule="auto"/>
        <w:tabs>
          <w:tab w:leader="none" w:pos="116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up to an additional 15% of the shares of our outstanding Class A common stock and securities directly or indirectly convertible into or exchangeable or exercisable for our Class A common stock held, as of the date of this prospectus, by our General Employees and Directors, with such 15% calculated after excluding any shares withheld for taxes associated with IPO-Vesting Time-Based RSUs, may be sold beginning on the 91st day after the date of this prospectus.</w:t>
      </w:r>
    </w:p>
    <w:p>
      <w:pPr>
        <w:spacing w:after="0" w:line="147"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In addition, pursuant to the Tranche I Purchase Agreement, holders of the shares of our Class A common stock to be issued upon the conversion of our Tranche I convertible notes in this offering have agreed that, during the period beginning on the date of this prospectus and ending 28 days after the effective date of the Form S-1 resale registration statement that we have agreed to file in respect of such shares (as described under “Description of Capital Stock— Registration Rights—S-1 Demand Registration Rights”) (the “Tranche I Release Date”), such holders will not take any of the actions described in the foregoing clauses (1)-(3) with respect to 50% of such shares (it being understood that the remaining 50% of such shares will not be subject to any such lock-up agreement). As a result of the foregoing, approximately 6% of our outstanding Class A common stock and securities directly or indirectly convertible into or exchangeable or exercisable for our Class A common stock (before giving effect to the issuance of shares in this offering) will not be subject to the restrictions in such agreements, and an additional approximately 6% will only be subject to lock-up agreements during the period beginning on the date of this prospectus and ending on the Tranche I Release Date.</w:t>
      </w:r>
    </w:p>
    <w:p>
      <w:pPr>
        <w:spacing w:after="0" w:line="15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lock-up agreements and market standoff agreements described above are subject to a number of exceptions discussed in “Underwriting (Conflicts of Interest)”. Goldman Sachs &amp; Co. LLC and J.P. Morgan Securities LLC, in their sole discretion as representatives of the underwriters, may release the Class A common stock and other securities subject to the lock-up and market standoff agreements described above in whole or in part at any time. See “Underwriting (Conflicts of Interest)” for more information about these exceptions and a further description of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272</w:t>
      </w:r>
    </w:p>
    <w:p>
      <w:pPr>
        <w:sectPr>
          <w:pgSz w:w="11900" w:h="16838" w:orient="portrait"/>
          <w:cols w:equalWidth="0" w:num="1">
            <w:col w:w="11260"/>
          </w:cols>
          <w:pgMar w:left="320" w:top="1440" w:right="319" w:bottom="1440" w:gutter="0" w:footer="0" w:header="0"/>
        </w:sectPr>
      </w:pPr>
    </w:p>
    <w:bookmarkStart w:id="295" w:name="page296"/>
    <w:bookmarkEnd w:id="295"/>
    <w:p>
      <w:pPr>
        <w:spacing w:after="0" w:line="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addition, pursuant to our Investors’ Rights Agreement and agreements entered into by certain non-employee holders of our common stock outstanding immediately prior to the completion of this offering, if the terms of the lock-up agreements with any of our directors, officers or greater than 1% stockholders are terminated or waived (other than pursuant to the lock-up exceptions and early release provisions referenced above), then the parties to our Investors’ Rights Agreement and such non-employee stockholders will be entitled to a pro rata termination or waiver with respect to their securities, subject to the lock-up agreements or market stand-off provisions described above, subject to certain exceptions for permitted terminations and waivers, including any waiver of up to 1% of our total outstanding shares of Class A common stock (calculated on a fully diluted basis, but without giving effect to the conversion of any convertible notes or our warrants), waivers in which the recipient of such shares agreed to be bound by the same lock-up agreement, waivers for hardship and waivers in connection with a follow-on offering of our Class A common stock.</w:t>
      </w:r>
    </w:p>
    <w:p>
      <w:pPr>
        <w:spacing w:after="0" w:line="164"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Upon the expiration of the restricted period, substantially all of the securities subject to such transfer restrictions will become eligible for sale, subject to the Rule 144 and Rule 701 limitations discussed above.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Equity Plans</w:t>
      </w:r>
    </w:p>
    <w:p>
      <w:pPr>
        <w:spacing w:after="0" w:line="16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the offer and sale of all of the shares of our Class A common stock issuable or reserved for issuance under our employee benefit plans. We also intend to file one or more resale registration statements on Form S-8 under the Securities Act covering shares of Class A common stock issued prior to or upon this offering (including upon the settlement of IPO-Vesting Time-Based RSUs and IPO-Vesting Market-Based RSUs) pursuant to awards previously granted under our 2020 Plan and our 2013 Plan. Shares covered by such registration statements will be eligible for sale, or resale, in the public market, subject to vesting restrictions, any applicable lockup and market standoff agreements described above and, with respect to shares held by affiliates, Rule 144 limitations. For more information about our employee benefit plans, see “Executive Compensation—Employee Benefits and Stock Plans.”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Registration Rights</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Pursuant to our Investors’ Rights Agreement, stockholders party thereto (which, as of the date of this prospectus, consists of holders of our outstanding redeemable convertible preferred stock (which will automatically convert into shares of our Class A common stock immediately prior to the completion of this offering)) or their transferees will be entitled to certain rights with respect to the registration of the offer and sale of those shares of Class A common stock under the Securities Act. In addition, pursuant to the Tranche I Purchase Agreement, holders of our outstanding Tranche I convertible notes (which will automatically convert into shares of our Class A common stock immediately upon the completion of this offering) or their transferees will be entitled to certain rights with respect to the registration of the offer and sale of those shares of Class A common stock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 subject to the lock-up and market standoff agreements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273</w:t>
      </w:r>
    </w:p>
    <w:p>
      <w:pPr>
        <w:sectPr>
          <w:pgSz w:w="11900" w:h="16838" w:orient="portrait"/>
          <w:cols w:equalWidth="0" w:num="1">
            <w:col w:w="11260"/>
          </w:cols>
          <w:pgMar w:left="320" w:top="1440" w:right="319" w:bottom="1440" w:gutter="0" w:footer="0" w:header="0"/>
        </w:sectPr>
      </w:pPr>
    </w:p>
    <w:bookmarkStart w:id="296" w:name="page297"/>
    <w:bookmarkEnd w:id="296"/>
    <w:p>
      <w:pPr>
        <w:spacing w:after="0" w:line="13" w:lineRule="exact"/>
        <w:rPr>
          <w:sz w:val="20"/>
          <w:szCs w:val="20"/>
          <w:color w:val="auto"/>
        </w:rPr>
      </w:pPr>
    </w:p>
    <w:p>
      <w:pPr>
        <w:jc w:val="center"/>
        <w:spacing w:after="0" w:line="260" w:lineRule="auto"/>
        <w:rPr>
          <w:sz w:val="20"/>
          <w:szCs w:val="20"/>
          <w:color w:val="auto"/>
        </w:rPr>
      </w:pPr>
      <w:r>
        <w:rPr>
          <w:rFonts w:ascii="Arial" w:cs="Arial" w:eastAsia="Arial" w:hAnsi="Arial"/>
          <w:sz w:val="32"/>
          <w:szCs w:val="32"/>
          <w:color w:val="auto"/>
        </w:rPr>
        <w:t>MATERIAL U.S. FEDERAL INCOME TAX CONSIDERATIONS FOR NON-U.S. HOLDERS OF OUR CLASS A COMMON STOCK</w:t>
      </w:r>
    </w:p>
    <w:p>
      <w:pPr>
        <w:spacing w:after="0" w:line="136"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is no assurance that the IRS or a court will not take a contrary position to that discussed below regarding the tax consequences of the purchase, ownership and disposition of our Class A common stock.</w:t>
      </w:r>
    </w:p>
    <w:p>
      <w:pPr>
        <w:spacing w:after="0" w:line="15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59" w:lineRule="exact"/>
        <w:rPr>
          <w:sz w:val="20"/>
          <w:szCs w:val="20"/>
          <w:color w:val="auto"/>
        </w:rPr>
      </w:pPr>
    </w:p>
    <w:p>
      <w:pPr>
        <w:ind w:left="560" w:hanging="278"/>
        <w:spacing w:after="0"/>
        <w:tabs>
          <w:tab w:leader="none" w:pos="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U.S. expatriates and former citizens or long-term residents of the United States;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persons subject to the alternative minimum tax;</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persons holding our Class A common stock as part of a hedge, straddle or other risk reduction strategy or as part of a conversion transaction or other integrated investment;</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banks, insurance companies and other financial institutions;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brokers, dealers or traders in securities;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tax-exempt organizations or governmental organizations;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persons deemed to sell our Class A common stock under the constructive sale provisions of the Code;</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persons subject to special tax accounting rules as a result of any item of gross income with respect to our Class A common stock being taken into account on an applicable financial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274</w:t>
      </w:r>
    </w:p>
    <w:p>
      <w:pPr>
        <w:sectPr>
          <w:pgSz w:w="11900" w:h="16838" w:orient="portrait"/>
          <w:cols w:equalWidth="0" w:num="1">
            <w:col w:w="11260"/>
          </w:cols>
          <w:pgMar w:left="320" w:top="1440" w:right="319" w:bottom="1440" w:gutter="0" w:footer="0" w:header="0"/>
        </w:sectPr>
      </w:pPr>
    </w:p>
    <w:bookmarkStart w:id="297" w:name="page298"/>
    <w:bookmarkEnd w:id="297"/>
    <w:p>
      <w:pPr>
        <w:spacing w:after="0" w:line="1" w:lineRule="exact"/>
        <w:rPr>
          <w:sz w:val="20"/>
          <w:szCs w:val="20"/>
          <w:color w:val="auto"/>
        </w:rPr>
      </w:pPr>
    </w:p>
    <w:p>
      <w:pPr>
        <w:ind w:left="560" w:hanging="278"/>
        <w:spacing w:after="0"/>
        <w:tabs>
          <w:tab w:leader="none" w:pos="5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tax-qualified retirement plans.</w:t>
      </w:r>
    </w:p>
    <w:p>
      <w:pPr>
        <w:spacing w:after="0" w:line="17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Definition of a Non-U.S. Holder</w:t>
      </w:r>
    </w:p>
    <w:p>
      <w:pPr>
        <w:spacing w:after="0" w:line="17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For purposes of this discussion, a “Non-U.S. Holder” is any beneficial owner of Class A common stock that is neither a “U.S. person” nor an entity treated as a partnership for U.S. federal income tax purposes. A U.S. person is any person that, for U.S. federal income tax purposes, is or is treated as any of the following:</w:t>
      </w:r>
    </w:p>
    <w:p>
      <w:pPr>
        <w:spacing w:after="0" w:line="145" w:lineRule="exact"/>
        <w:rPr>
          <w:sz w:val="20"/>
          <w:szCs w:val="20"/>
          <w:color w:val="auto"/>
        </w:rPr>
      </w:pPr>
    </w:p>
    <w:p>
      <w:pPr>
        <w:ind w:left="560" w:hanging="278"/>
        <w:spacing w:after="0"/>
        <w:tabs>
          <w:tab w:leader="none" w:pos="5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 corporation created or organized under the laws of the United States, any state thereof, or the District of Columbia;</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Distributions</w:t>
      </w:r>
    </w:p>
    <w:p>
      <w:pPr>
        <w:spacing w:after="0" w:line="17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As discussed under “Dividend Policy” above, we do not currently expect to make distributions on our Class A common stock. In the event that we do make distributions of cash or other property,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they will constitute a return of capital, which will first reduce a Non-U.S. Holder’s basis in our Class A common stock, but not below zero, and then will be treated as gain from the sale of our Class A common stock, as described below under “—Gain on Sale or Other Disposition of our Class A Common Stock.”</w:t>
      </w:r>
    </w:p>
    <w:p>
      <w:pPr>
        <w:spacing w:after="0" w:line="148"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Dividends paid to a Non-U.S. Holder generally will be subject to withholding tax at a 30% rate or a reduced rate specified by an applicable income tax treaty. In order to obtain a reduced rate of withholding (subject to the discussion below), a Non-U.S. Holder will be required to provide a properly executed applicable IRS Form W-8BEN or W-8BEN-E (or other applicable or successor form) certifying the Non-U.S. Holder’s entitlement to benefits under a treaty.</w:t>
      </w:r>
    </w:p>
    <w:p>
      <w:pPr>
        <w:spacing w:after="0" w:line="14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in the United States (and, if required by an applicable income tax treaty, are attributable to a permanent establishment or fixed base maintained by the Non-U.S. Holder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275</w:t>
      </w:r>
    </w:p>
    <w:p>
      <w:pPr>
        <w:sectPr>
          <w:pgSz w:w="11900" w:h="16838" w:orient="portrait"/>
          <w:cols w:equalWidth="0" w:num="1">
            <w:col w:w="11260"/>
          </w:cols>
          <w:pgMar w:left="320" w:top="1440" w:right="319" w:bottom="1440" w:gutter="0" w:footer="0" w:header="0"/>
        </w:sectPr>
      </w:pPr>
    </w:p>
    <w:bookmarkStart w:id="298" w:name="page299"/>
    <w:bookmarkEnd w:id="298"/>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States), the Non-U.S. Holder will generally be taxed on the dividends on a net income basis at regular rates applicable to a U.S. person. In this case, the Non-U.S. Holder will be exempt from the withholding tax discussed in the preceding paragraph, although the Non-U.S. Holder will be required to provide a properly executed IRS Form W-8ECI in order to claim an exemption from withholding. Non-U.S. Holders should consult their tax advisors with respect to other U.S. tax consequences of the ownership and disposition of our Class A common stock, including the possible imposition of a branch profits tax at a rate of 30% (or a lower treaty rate) for corporations.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Gain on Sale or Other Disposition of our Class A Common Stock</w:t>
      </w:r>
    </w:p>
    <w:p>
      <w:pPr>
        <w:spacing w:after="0" w:line="163"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 Non-U.S. Holder will not be subject to U.S. federal income tax on any gain realized upon the sale or other taxable disposition of our Class A common stock unless:</w:t>
      </w:r>
    </w:p>
    <w:p>
      <w:pPr>
        <w:spacing w:after="0" w:line="139" w:lineRule="exact"/>
        <w:rPr>
          <w:sz w:val="20"/>
          <w:szCs w:val="20"/>
          <w:color w:val="auto"/>
        </w:rPr>
      </w:pPr>
    </w:p>
    <w:p>
      <w:pPr>
        <w:ind w:left="560" w:right="20" w:hanging="278"/>
        <w:spacing w:after="0" w:line="260" w:lineRule="auto"/>
        <w:tabs>
          <w:tab w:leader="none" w:pos="55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51" w:lineRule="exact"/>
        <w:rPr>
          <w:rFonts w:ascii="Arial" w:cs="Arial" w:eastAsia="Arial" w:hAnsi="Arial"/>
          <w:sz w:val="16"/>
          <w:szCs w:val="16"/>
          <w:color w:val="auto"/>
        </w:rPr>
      </w:pPr>
    </w:p>
    <w:p>
      <w:pPr>
        <w:ind w:left="560" w:right="20" w:hanging="278"/>
        <w:spacing w:after="0" w:line="260" w:lineRule="auto"/>
        <w:tabs>
          <w:tab w:leader="none" w:pos="55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present in the United States for 183 days or more during the taxable year of the disposition and certain other requirements are met; or</w:t>
      </w:r>
    </w:p>
    <w:p>
      <w:pPr>
        <w:spacing w:after="0" w:line="139" w:lineRule="exact"/>
        <w:rPr>
          <w:rFonts w:ascii="Arial" w:cs="Arial" w:eastAsia="Arial" w:hAnsi="Arial"/>
          <w:sz w:val="16"/>
          <w:szCs w:val="16"/>
          <w:color w:val="auto"/>
        </w:rPr>
      </w:pPr>
    </w:p>
    <w:p>
      <w:pPr>
        <w:ind w:left="560" w:hanging="278"/>
        <w:spacing w:after="0" w:line="260" w:lineRule="auto"/>
        <w:tabs>
          <w:tab w:leader="none" w:pos="55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our Class A common stock constitutes a U.S. real property interest (“USRPI”) by reason of our status as a U.S. real property holding corporation (“USRPHC”) for U.S. federal income tax purposes.</w:t>
      </w:r>
    </w:p>
    <w:p>
      <w:pPr>
        <w:spacing w:after="0" w:line="13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57"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45"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a USRPHC in the future. Even if we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Informational Reporting and Backup Withholding</w:t>
      </w:r>
    </w:p>
    <w:p>
      <w:pPr>
        <w:spacing w:after="0" w:line="163"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Payments of dividends on our Class A common stock will not be subject to backup withholding, provided the applicable withholding agent does not have actual knowledge or reason to know the holder is a U.S. person and the holder either certifies its non-U.S. status, such as by furnishing a valid IRS Form W-8BEN, W-8BEN-E or W-8ECI, or otherwise establishes an exemption. However, information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276</w:t>
      </w:r>
    </w:p>
    <w:p>
      <w:pPr>
        <w:sectPr>
          <w:pgSz w:w="11900" w:h="16838" w:orient="portrait"/>
          <w:cols w:equalWidth="0" w:num="1">
            <w:col w:w="11260"/>
          </w:cols>
          <w:pgMar w:left="320" w:top="1440" w:right="319" w:bottom="1440" w:gutter="0" w:footer="0" w:header="0"/>
        </w:sectPr>
      </w:pPr>
    </w:p>
    <w:bookmarkStart w:id="299" w:name="page300"/>
    <w:bookmarkEnd w:id="299"/>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are required to be filed with the IRS in connection with any dividends on our Class A common stock paid to the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Class A common stock conducted through a non-U.S. office of a non-U.S. broker generally will not be subject to backup withholding or information reporting.</w:t>
      </w:r>
    </w:p>
    <w:p>
      <w:pPr>
        <w:spacing w:after="0" w:line="160"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3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Additional Withholding Tax on Payments Made to Foreign Accounts</w:t>
      </w:r>
    </w:p>
    <w:p>
      <w:pPr>
        <w:spacing w:after="0" w:line="17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0"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Class A common stock. Although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47"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277</w:t>
      </w:r>
    </w:p>
    <w:p>
      <w:pPr>
        <w:sectPr>
          <w:pgSz w:w="11900" w:h="16838" w:orient="portrait"/>
          <w:cols w:equalWidth="0" w:num="1">
            <w:col w:w="11260"/>
          </w:cols>
          <w:pgMar w:left="320" w:top="1440" w:right="319" w:bottom="1440" w:gutter="0" w:footer="0" w:header="0"/>
        </w:sectPr>
      </w:pPr>
    </w:p>
    <w:bookmarkStart w:id="300" w:name="page301"/>
    <w:bookmarkEnd w:id="300"/>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UNDERWRITING (CONFLICTS OF INTEREST)</w:t>
      </w:r>
    </w:p>
    <w:p>
      <w:pPr>
        <w:spacing w:after="0" w:line="182"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 named below, for whom Goldman Sachs &amp; Co. LLC and J.P. Morgan Securities LLC are acting as representatives, have severally agreed to purchase, and we and the selling stockholders have agreed to sell to them, severally, the number of shares indicated below:</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460" w:type="dxa"/>
            <w:vAlign w:val="bottom"/>
            <w:vMerge w:val="restart"/>
          </w:tcPr>
          <w:p>
            <w:pPr>
              <w:spacing w:after="0"/>
              <w:rPr>
                <w:sz w:val="20"/>
                <w:szCs w:val="20"/>
                <w:color w:val="auto"/>
              </w:rPr>
            </w:pPr>
            <w:r>
              <w:rPr>
                <w:rFonts w:ascii="Arial" w:cs="Arial" w:eastAsia="Arial" w:hAnsi="Arial"/>
                <w:sz w:val="13"/>
                <w:szCs w:val="13"/>
                <w:b w:val="1"/>
                <w:bCs w:val="1"/>
                <w:color w:val="auto"/>
              </w:rPr>
              <w:t>Underwriters</w:t>
            </w:r>
          </w:p>
        </w:tc>
        <w:tc>
          <w:tcPr>
            <w:tcW w:w="5300" w:type="dxa"/>
            <w:vAlign w:val="bottom"/>
          </w:tcPr>
          <w:p>
            <w:pPr>
              <w:jc w:val="center"/>
              <w:ind w:left="4616"/>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69"/>
        </w:trPr>
        <w:tc>
          <w:tcPr>
            <w:tcW w:w="5460" w:type="dxa"/>
            <w:vAlign w:val="bottom"/>
            <w:vMerge w:val="continue"/>
          </w:tcPr>
          <w:p>
            <w:pPr>
              <w:spacing w:after="0"/>
              <w:rPr>
                <w:sz w:val="14"/>
                <w:szCs w:val="14"/>
                <w:color w:val="auto"/>
              </w:rPr>
            </w:pPr>
          </w:p>
        </w:tc>
        <w:tc>
          <w:tcPr>
            <w:tcW w:w="5300" w:type="dxa"/>
            <w:vAlign w:val="bottom"/>
          </w:tcPr>
          <w:p>
            <w:pPr>
              <w:jc w:val="center"/>
              <w:ind w:left="4616"/>
              <w:spacing w:after="0"/>
              <w:rPr>
                <w:sz w:val="20"/>
                <w:szCs w:val="20"/>
                <w:color w:val="auto"/>
              </w:rPr>
            </w:pPr>
            <w:r>
              <w:rPr>
                <w:rFonts w:ascii="Arial" w:cs="Arial" w:eastAsia="Arial" w:hAnsi="Arial"/>
                <w:sz w:val="13"/>
                <w:szCs w:val="13"/>
                <w:b w:val="1"/>
                <w:bCs w:val="1"/>
                <w:color w:val="auto"/>
                <w:w w:val="96"/>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48195" cy="136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Goldman Sachs &amp; Co.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14819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Barclays Capital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14819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Wells Fargo Securities,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Mizuho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14819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JMP Securities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14819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Piper Sandler &amp; Co.</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Rosenblatt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14819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BMO Capital Markets Corp.</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14819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Santander Investment Securities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Academy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14819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Loop Capital Markets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Samuel A. Ramirez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14819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Siebert Williams Shank &amp; Co., LLC</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6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55,000,000</w:t>
            </w:r>
          </w:p>
        </w:tc>
      </w:tr>
      <w:tr>
        <w:trPr>
          <w:trHeight w:val="20"/>
        </w:trPr>
        <w:tc>
          <w:tcPr>
            <w:tcW w:w="9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the selling stockholders and subject to prior sale. The underwriting agreement provides that the obligations of the several underwriters to pay for and accept delivery of the shares of Class A common stock offered by us and the selling stockholders are subject to the approval of certain legal matters by their counsel and to certain other conditions. The underwriters are obligated to take and pay for all of the shares of Class A common stock offered by us and the selling stockholders if any such shares are taken. However, the underwriters are not required to take or pay for the shares covered by the underwriters’ option to purchase additional shares, solely to cover over-allotments described below.</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underwriters initially propose to offer part of the shares of Class A common stock directly to the public at the offering price listed on the cover page of</w:t>
      </w:r>
    </w:p>
    <w:p>
      <w:pPr>
        <w:spacing w:after="0" w:line="7"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per share under the public offering price. After the initial offering of the shares of Class A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14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an additional 5,500,000 shares of Class A common stock from us at the public offering price listed on the cover page of this prospectus, less underwriting discounts and commissions, solely to cover over-allotments. To the extent the option is exercised, each underwriter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278</w:t>
      </w:r>
    </w:p>
    <w:p>
      <w:pPr>
        <w:sectPr>
          <w:pgSz w:w="11900" w:h="16838" w:orient="portrait"/>
          <w:cols w:equalWidth="0" w:num="1">
            <w:col w:w="11260"/>
          </w:cols>
          <w:pgMar w:left="320" w:top="1440" w:right="319" w:bottom="1440" w:gutter="0" w:footer="0" w:header="0"/>
        </w:sectPr>
      </w:pPr>
    </w:p>
    <w:bookmarkStart w:id="301" w:name="page302"/>
    <w:bookmarkEnd w:id="301"/>
    <w:p>
      <w:pPr>
        <w:spacing w:after="0" w:line="1"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and the selling stockholders have agreed to indemnify the underwriters against certain liabilities, including liabilities under the Securities Act.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Commissions and Discounts</w:t>
      </w:r>
    </w:p>
    <w:p>
      <w:pPr>
        <w:spacing w:after="0" w:line="163"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option to purchase up to an additional 5,500,000 shares of Class A common stock, solely to cover over-allotments.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6"/>
              </w:rPr>
              <w:t>Total</w:t>
            </w:r>
          </w:p>
        </w:tc>
        <w:tc>
          <w:tcPr>
            <w:tcW w:w="1580" w:type="dxa"/>
            <w:vAlign w:val="bottom"/>
            <w:tcBorders>
              <w:bottom w:val="single" w:sz="8" w:color="auto"/>
            </w:tcBorders>
          </w:tcPr>
          <w:p>
            <w:pPr>
              <w:spacing w:after="0"/>
              <w:rPr>
                <w:sz w:val="14"/>
                <w:szCs w:val="14"/>
                <w:color w:val="auto"/>
              </w:rPr>
            </w:pPr>
          </w:p>
        </w:tc>
      </w:tr>
      <w:tr>
        <w:trPr>
          <w:trHeight w:val="123"/>
        </w:trPr>
        <w:tc>
          <w:tcPr>
            <w:tcW w:w="6360" w:type="dxa"/>
            <w:vAlign w:val="bottom"/>
          </w:tcPr>
          <w:p>
            <w:pPr>
              <w:spacing w:after="0"/>
              <w:rPr>
                <w:sz w:val="10"/>
                <w:szCs w:val="10"/>
                <w:color w:val="auto"/>
              </w:rPr>
            </w:pPr>
          </w:p>
        </w:tc>
        <w:tc>
          <w:tcPr>
            <w:tcW w:w="1660" w:type="dxa"/>
            <w:vAlign w:val="bottom"/>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rPr>
              <w:t>Per</w:t>
            </w:r>
          </w:p>
        </w:tc>
        <w:tc>
          <w:tcPr>
            <w:tcW w:w="1660" w:type="dxa"/>
            <w:vAlign w:val="bottom"/>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rPr>
              <w:t>No</w:t>
            </w:r>
          </w:p>
        </w:tc>
        <w:tc>
          <w:tcPr>
            <w:tcW w:w="1580" w:type="dxa"/>
            <w:vAlign w:val="bottom"/>
          </w:tcPr>
          <w:p>
            <w:pPr>
              <w:jc w:val="right"/>
              <w:ind w:right="608"/>
              <w:spacing w:after="0" w:line="124" w:lineRule="exact"/>
              <w:rPr>
                <w:sz w:val="20"/>
                <w:szCs w:val="20"/>
                <w:color w:val="auto"/>
              </w:rPr>
            </w:pPr>
            <w:r>
              <w:rPr>
                <w:rFonts w:ascii="Arial" w:cs="Arial" w:eastAsia="Arial" w:hAnsi="Arial"/>
                <w:sz w:val="13"/>
                <w:szCs w:val="13"/>
                <w:b w:val="1"/>
                <w:bCs w:val="1"/>
                <w:color w:val="auto"/>
              </w:rPr>
              <w:t>Full</w:t>
            </w:r>
          </w:p>
        </w:tc>
      </w:tr>
      <w:tr>
        <w:trPr>
          <w:trHeight w:val="155"/>
        </w:trPr>
        <w:tc>
          <w:tcPr>
            <w:tcW w:w="636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Share</w:t>
            </w: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Exercise</w:t>
            </w:r>
          </w:p>
        </w:tc>
        <w:tc>
          <w:tcPr>
            <w:tcW w:w="1580" w:type="dxa"/>
            <w:vAlign w:val="bottom"/>
          </w:tcPr>
          <w:p>
            <w:pPr>
              <w:jc w:val="right"/>
              <w:ind w:right="448"/>
              <w:spacing w:after="0"/>
              <w:rPr>
                <w:sz w:val="20"/>
                <w:szCs w:val="20"/>
                <w:color w:val="auto"/>
              </w:rPr>
            </w:pPr>
            <w:r>
              <w:rPr>
                <w:rFonts w:ascii="Arial" w:cs="Arial" w:eastAsia="Arial" w:hAnsi="Arial"/>
                <w:sz w:val="13"/>
                <w:szCs w:val="13"/>
                <w:b w:val="1"/>
                <w:bCs w:val="1"/>
                <w:color w:val="auto"/>
              </w:rPr>
              <w:t>Exercise</w:t>
            </w:r>
          </w:p>
        </w:tc>
      </w:tr>
      <w:tr>
        <w:trPr>
          <w:trHeight w:val="195"/>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Public offering price</w:t>
            </w:r>
          </w:p>
        </w:tc>
        <w:tc>
          <w:tcPr>
            <w:tcW w:w="1580" w:type="dxa"/>
            <w:vAlign w:val="bottom"/>
            <w:tcBorders>
              <w:top w:val="single" w:sz="8" w:color="auto"/>
            </w:tcBorders>
            <w:shd w:val="clear" w:color="auto" w:fill="CCEEFF"/>
          </w:tcPr>
          <w:p>
            <w:pPr>
              <w:jc w:val="right"/>
              <w:ind w:right="1408"/>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139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1388"/>
              <w:spacing w:after="0"/>
              <w:rPr>
                <w:sz w:val="20"/>
                <w:szCs w:val="20"/>
                <w:color w:val="auto"/>
              </w:rPr>
            </w:pPr>
            <w:r>
              <w:rPr>
                <w:rFonts w:ascii="Arial" w:cs="Arial" w:eastAsia="Arial" w:hAnsi="Arial"/>
                <w:sz w:val="16"/>
                <w:szCs w:val="16"/>
                <w:color w:val="auto"/>
              </w:rPr>
              <w:t>$</w:t>
            </w: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Underwriting discounts and commissions to be paid by</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6360" w:type="dxa"/>
            <w:vAlign w:val="bottom"/>
          </w:tcPr>
          <w:p>
            <w:pPr>
              <w:ind w:left="200"/>
              <w:spacing w:after="0"/>
              <w:rPr>
                <w:sz w:val="20"/>
                <w:szCs w:val="20"/>
                <w:color w:val="auto"/>
              </w:rPr>
            </w:pPr>
            <w:r>
              <w:rPr>
                <w:rFonts w:ascii="Arial" w:cs="Arial" w:eastAsia="Arial" w:hAnsi="Arial"/>
                <w:sz w:val="16"/>
                <w:szCs w:val="16"/>
                <w:color w:val="auto"/>
              </w:rPr>
              <w:t>Selling stockholders</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before expenses, to us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Proceeds, before expenses, to selling stockholders</w:t>
            </w:r>
          </w:p>
        </w:tc>
        <w:tc>
          <w:tcPr>
            <w:tcW w:w="1580" w:type="dxa"/>
            <w:vAlign w:val="bottom"/>
          </w:tcPr>
          <w:p>
            <w:pPr>
              <w:jc w:val="right"/>
              <w:ind w:right="1408"/>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7"/>
                <w:szCs w:val="17"/>
                <w:color w:val="auto"/>
              </w:rPr>
            </w:pPr>
          </w:p>
        </w:tc>
        <w:tc>
          <w:tcPr>
            <w:tcW w:w="1580" w:type="dxa"/>
            <w:vAlign w:val="bottom"/>
          </w:tcPr>
          <w:p>
            <w:pPr>
              <w:jc w:val="right"/>
              <w:ind w:right="139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580" w:type="dxa"/>
            <w:vAlign w:val="bottom"/>
          </w:tcPr>
          <w:p>
            <w:pPr>
              <w:jc w:val="right"/>
              <w:ind w:right="1388"/>
              <w:spacing w:after="0"/>
              <w:rPr>
                <w:sz w:val="20"/>
                <w:szCs w:val="20"/>
                <w:color w:val="auto"/>
              </w:rPr>
            </w:pPr>
            <w:r>
              <w:rPr>
                <w:rFonts w:ascii="Arial" w:cs="Arial" w:eastAsia="Arial" w:hAnsi="Arial"/>
                <w:sz w:val="16"/>
                <w:szCs w:val="16"/>
                <w:color w:val="auto"/>
              </w:rPr>
              <w:t>$</w:t>
            </w:r>
          </w:p>
        </w:tc>
      </w:tr>
    </w:tbl>
    <w:p>
      <w:pPr>
        <w:spacing w:after="0" w:line="238"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$13.4 million. We will agree to reimburse the underwriters for certain FINRA-related expenses incurred by them in connection with the offering in an amount not to exceed $50,000 as set forth in the underwriting agreement.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Indication of Interest</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Prospective Investor has indicated an interest in purchasing up to an aggregate of $150 million in shares of our Class A common stock offered in this offering at the initial public offering price. In addition, the Prospective Investor, to the extent it elects to purchase any shares of our Class A common stock in this offering, will enter into a lock-up agreement on substantially the same terms as the lock-up agreements entered into by the holders of our preferred stock and certain non-employee holders of our common stock, which would prohibit the sale of any shares of Class A common stock purchased in this offering by the Prospective Investor for a period of 125 days from the date of this prospectus, subject to a potential partial early release and certain other exceptions as set forth below under “—Lock-Up Agreements.” Because this indication of interest is not a binding agreement or commitment to purchase, the Prospective Investor may decide to purchase more, less or no shares of our Class A common stock in this offering, or the underwriters may decide to sell more, less or no shares of our Class A common stock in this offering to the Prospective Investor. The underwriters will receive the same discount from any shares of Class A common stock sold to the Prospective Investor as they will from any other shares of Class A common stock sold to the public in this offering.</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Listing</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have applied to list our Class A common stock on the Nasdaq under the symbol “HOOD”.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279</w:t>
      </w:r>
    </w:p>
    <w:p>
      <w:pPr>
        <w:sectPr>
          <w:pgSz w:w="11900" w:h="16838" w:orient="portrait"/>
          <w:cols w:equalWidth="0" w:num="1">
            <w:col w:w="11260"/>
          </w:cols>
          <w:pgMar w:left="320" w:top="1440" w:right="319" w:bottom="1440" w:gutter="0" w:footer="0" w:header="0"/>
        </w:sectPr>
      </w:pPr>
    </w:p>
    <w:bookmarkStart w:id="302" w:name="page303"/>
    <w:bookmarkEnd w:id="302"/>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Lock-Up Agreements</w:t>
      </w:r>
    </w:p>
    <w:p>
      <w:pPr>
        <w:spacing w:after="0" w:line="17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and all of our directors, executive officers and certain other record holders, that together represent approximately 94% of our outstanding Class A common stock and securities directly or indirectly convertible into or exchangeable or exercisable for our Class A common stock (including our Class B common stock) (before giving effect to the issuance of shares in this offering), are subject to lock-up agreements with the underwriters or certain market standoff agreements with us, in each case on the respective terms described below, which would prohibit the sale of any such shares of Class A common stock during the restricted period or prior to the Tranche I Release Date (each as defined below), as applicable, subject to early release and certain other exceptions described below. The remaining 6% of shares of our Class A common stock and securities directly or indirectly convertible into or exchangeable or exercisable for our Class A common stock, which are not subject to any such lock-up or market standoff agreements, consist of 50% of the shares of our Class A common stock to be issued upon the conversion of our Tranche I convertible notes in connection with this offering, as further described below and under “Shares Eligible for Future Sale.”</w:t>
      </w:r>
    </w:p>
    <w:p>
      <w:pPr>
        <w:spacing w:after="0" w:line="15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In particular, we and all directors and officers and certain stockholders have agreed, subject to certain exceptions, that, without the prior written consent of Goldman Sachs &amp; Co. LLC and J.P. Morgan Securities LLC on behalf of the underwriters, we and they will not, during the period beginning on the date of this prospectus and ending on the 126th day after the date of this prospectus (such period, the “restricted period”):</w:t>
      </w:r>
    </w:p>
    <w:p>
      <w:pPr>
        <w:spacing w:after="0" w:line="145" w:lineRule="exact"/>
        <w:rPr>
          <w:sz w:val="20"/>
          <w:szCs w:val="20"/>
          <w:color w:val="auto"/>
        </w:rPr>
      </w:pPr>
    </w:p>
    <w:p>
      <w:pPr>
        <w:jc w:val="both"/>
        <w:ind w:left="560" w:right="20" w:hanging="278"/>
        <w:spacing w:after="0" w:line="254" w:lineRule="auto"/>
        <w:tabs>
          <w:tab w:leader="none" w:pos="55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(directly or indirectly) for our Class A common stock;</w:t>
      </w:r>
    </w:p>
    <w:p>
      <w:pPr>
        <w:spacing w:after="0" w:line="156" w:lineRule="exact"/>
        <w:rPr>
          <w:rFonts w:ascii="Arial" w:cs="Arial" w:eastAsia="Arial" w:hAnsi="Arial"/>
          <w:sz w:val="16"/>
          <w:szCs w:val="16"/>
          <w:color w:val="auto"/>
        </w:rPr>
      </w:pPr>
    </w:p>
    <w:p>
      <w:pPr>
        <w:jc w:val="both"/>
        <w:ind w:left="560" w:hanging="278"/>
        <w:spacing w:after="0" w:line="251" w:lineRule="auto"/>
        <w:tabs>
          <w:tab w:leader="none" w:pos="55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or disposition, or transfer of any of the economic consequences of ownership, in whole or in part, directly or indirectly, of any shares of our Class A common stock or any securities convertible into or exercisable or exchangeable (directly or indirectly) for our Class A common stock, whether any such transaction described in this clause (2) or clause (1) above is to be settled by delivery of our Class A common stock or other securities, in cash, or otherwise; or</w:t>
      </w:r>
    </w:p>
    <w:p>
      <w:pPr>
        <w:spacing w:after="0" w:line="148" w:lineRule="exact"/>
        <w:rPr>
          <w:rFonts w:ascii="Arial" w:cs="Arial" w:eastAsia="Arial" w:hAnsi="Arial"/>
          <w:sz w:val="16"/>
          <w:szCs w:val="16"/>
          <w:color w:val="auto"/>
        </w:rPr>
      </w:pPr>
    </w:p>
    <w:p>
      <w:pPr>
        <w:ind w:left="560" w:hanging="278"/>
        <w:spacing w:after="0"/>
        <w:tabs>
          <w:tab w:leader="none" w:pos="5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publicly disclose an intention to take any of the actions restricted by clause (1) or (2) above.</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Notwithstanding the foregoing, such restricted period will be earlier terminated for certain of our stockholders as follows:</w:t>
      </w:r>
    </w:p>
    <w:p>
      <w:pPr>
        <w:spacing w:after="0" w:line="147" w:lineRule="exact"/>
        <w:rPr>
          <w:sz w:val="20"/>
          <w:szCs w:val="20"/>
          <w:color w:val="auto"/>
        </w:rPr>
      </w:pPr>
    </w:p>
    <w:p>
      <w:pPr>
        <w:jc w:val="both"/>
        <w:ind w:left="560" w:hanging="278"/>
        <w:spacing w:after="0" w:line="224" w:lineRule="auto"/>
        <w:tabs>
          <w:tab w:leader="none" w:pos="556"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Founders and Chief Financial Officer</w:t>
      </w:r>
      <w:r>
        <w:rPr>
          <w:rFonts w:ascii="Arial" w:cs="Arial" w:eastAsia="Arial" w:hAnsi="Arial"/>
          <w:sz w:val="16"/>
          <w:szCs w:val="16"/>
          <w:color w:val="auto"/>
        </w:rPr>
        <w:t>: up to 5% of the shares of our outstanding Class A common stock and securities directly or indirectly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into or exchangeable or exercisable for our Class A common stock (including our Class B common stock and the Market-Based RSUs) held, as of the date of this prospectus (but after giving effect to the sale of Class A common stock in this offering by the selling stockholders), by each of our founders and our Chief Financial Officer, with such 5% calculated after excluding any shares withheld for taxes associated with IPO-Vesting Time-Based RSUs and IPO-Vesting Market-Based RSUs, may be sold on or after the later of (i) the second trading day after we publicly release earnings for the fiscal quarter ended June 30, 2021 (which for this purpose does not include “flash” numbers or preliminary, partial earnings), which will be the first quarter following the most recent period for which financial statements are included in this prospectus, (our “First Earnings Release”), and (ii) the 91st day after the date of this prospectus (such later date, the “First Earnings-Related Release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280</w:t>
      </w:r>
    </w:p>
    <w:p>
      <w:pPr>
        <w:sectPr>
          <w:pgSz w:w="11900" w:h="16838" w:orient="portrait"/>
          <w:cols w:equalWidth="0" w:num="1">
            <w:col w:w="11260"/>
          </w:cols>
          <w:pgMar w:left="320" w:top="1440" w:right="319" w:bottom="1440" w:gutter="0" w:footer="0" w:header="0"/>
        </w:sectPr>
      </w:pPr>
    </w:p>
    <w:bookmarkStart w:id="303" w:name="page304"/>
    <w:bookmarkEnd w:id="303"/>
    <w:p>
      <w:pPr>
        <w:jc w:val="both"/>
        <w:ind w:left="560"/>
        <w:spacing w:after="0" w:line="227"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reported closing price of our Class A common stock on Nasdaq is at least 33% greater than the initial public offering price per share</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on the cover page of this prospectus both (a) on the date that is the later of (x) the first full trading day immediately following our First Earnings Release and (y) the 90th day (or, if such 90th day is not a trading day, then the first trading day after such 90th day) after the date of this prospectus (such later date, the “Pricing Condition Measurement Date”) and (b) for at least nine of the 14 consecutive trading days immediately preceding, but excluding, the Pricing Condition Measurement Date. Any sales made by our founders and Chief Financial Officer pursuant to such early release provisions are expected to be made pursuant to one or more 10b5-1 plans;</w:t>
      </w:r>
    </w:p>
    <w:p>
      <w:pPr>
        <w:spacing w:after="0" w:line="139" w:lineRule="exact"/>
        <w:rPr>
          <w:sz w:val="20"/>
          <w:szCs w:val="20"/>
          <w:color w:val="auto"/>
        </w:rPr>
      </w:pPr>
    </w:p>
    <w:p>
      <w:pPr>
        <w:ind w:left="560" w:hanging="278"/>
        <w:spacing w:after="0"/>
        <w:tabs>
          <w:tab w:leader="none" w:pos="560"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Preferred holders and certain non-employee common holders</w:t>
      </w:r>
      <w:r>
        <w:rPr>
          <w:rFonts w:ascii="Arial" w:cs="Arial" w:eastAsia="Arial" w:hAnsi="Arial"/>
          <w:sz w:val="16"/>
          <w:szCs w:val="16"/>
          <w:color w:val="auto"/>
        </w:rPr>
        <w:t>:</w:t>
      </w:r>
    </w:p>
    <w:p>
      <w:pPr>
        <w:spacing w:after="0" w:line="178" w:lineRule="exact"/>
        <w:rPr>
          <w:rFonts w:ascii="Arial" w:cs="Arial" w:eastAsia="Arial" w:hAnsi="Arial"/>
          <w:sz w:val="16"/>
          <w:szCs w:val="16"/>
          <w:color w:val="auto"/>
        </w:rPr>
      </w:pPr>
    </w:p>
    <w:p>
      <w:pPr>
        <w:jc w:val="both"/>
        <w:ind w:left="1140" w:hanging="284"/>
        <w:spacing w:after="0" w:line="250" w:lineRule="auto"/>
        <w:tabs>
          <w:tab w:leader="none" w:pos="113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if the reported closing price of our Class A common stock on Nasdaq is at least 33%, but less than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10% of the shares of our outstanding Class A common stock and securities directly or indirectly convertible into or exchangeable or exercisable for our Class A common stock (but excluding our Tranche I convertible notes, Tranche II convertible notes and warrants and shares issued or issuable upon exercise or conversion thereof) held, as of the date of this prospectus, by the parties to our Investors’ Rights Agreement (which includes the holders of our preferred stock outstanding immediately prior to the completion of this offering) and certain other non-employee holders of our common stock outstanding immediately prior to the completion of this offering may be sold beginning on the First Earnings-Related Release Date; or</w:t>
      </w:r>
    </w:p>
    <w:p>
      <w:pPr>
        <w:spacing w:after="0" w:line="151" w:lineRule="exact"/>
        <w:rPr>
          <w:rFonts w:ascii="Arial" w:cs="Arial" w:eastAsia="Arial" w:hAnsi="Arial"/>
          <w:sz w:val="16"/>
          <w:szCs w:val="16"/>
          <w:color w:val="auto"/>
        </w:rPr>
      </w:pPr>
    </w:p>
    <w:p>
      <w:pPr>
        <w:jc w:val="both"/>
        <w:ind w:left="1140" w:right="20" w:hanging="284"/>
        <w:spacing w:after="0" w:line="252" w:lineRule="auto"/>
        <w:tabs>
          <w:tab w:leader="none" w:pos="113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if the reported closing price of our Class A common stock on Nasdaq is at least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20% of such shares and securities may be sold beginning on the First Earnings-Related Release Date; and</w:t>
      </w:r>
    </w:p>
    <w:p>
      <w:pPr>
        <w:spacing w:after="0" w:line="143" w:lineRule="exact"/>
        <w:rPr>
          <w:rFonts w:ascii="Arial" w:cs="Arial" w:eastAsia="Arial" w:hAnsi="Arial"/>
          <w:sz w:val="16"/>
          <w:szCs w:val="16"/>
          <w:color w:val="auto"/>
        </w:rPr>
      </w:pPr>
    </w:p>
    <w:p>
      <w:pPr>
        <w:ind w:left="560" w:hanging="278"/>
        <w:spacing w:after="0"/>
        <w:tabs>
          <w:tab w:leader="none" w:pos="560"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General Employees and Directors</w:t>
      </w:r>
      <w:r>
        <w:rPr>
          <w:rFonts w:ascii="Arial" w:cs="Arial" w:eastAsia="Arial" w:hAnsi="Arial"/>
          <w:sz w:val="16"/>
          <w:szCs w:val="16"/>
          <w:color w:val="auto"/>
        </w:rPr>
        <w:t>:</w:t>
      </w:r>
    </w:p>
    <w:p>
      <w:pPr>
        <w:spacing w:after="0" w:line="178" w:lineRule="exact"/>
        <w:rPr>
          <w:rFonts w:ascii="Arial" w:cs="Arial" w:eastAsia="Arial" w:hAnsi="Arial"/>
          <w:sz w:val="16"/>
          <w:szCs w:val="16"/>
          <w:color w:val="auto"/>
        </w:rPr>
      </w:pPr>
    </w:p>
    <w:p>
      <w:pPr>
        <w:jc w:val="both"/>
        <w:ind w:left="1140" w:hanging="284"/>
        <w:spacing w:after="0" w:line="252" w:lineRule="auto"/>
        <w:tabs>
          <w:tab w:leader="none" w:pos="1149" w:val="left"/>
        </w:tabs>
        <w:numPr>
          <w:ilvl w:val="1"/>
          <w:numId w:val="137"/>
        </w:numPr>
        <w:rPr>
          <w:rFonts w:ascii="Arial" w:cs="Arial" w:eastAsia="Arial" w:hAnsi="Arial"/>
          <w:sz w:val="16"/>
          <w:szCs w:val="16"/>
          <w:color w:val="auto"/>
        </w:rPr>
      </w:pPr>
      <w:r>
        <w:rPr>
          <w:rFonts w:ascii="Arial" w:cs="Arial" w:eastAsia="Arial" w:hAnsi="Arial"/>
          <w:sz w:val="16"/>
          <w:szCs w:val="16"/>
          <w:color w:val="auto"/>
        </w:rPr>
        <w:t>up to 15% of the shares of our outstanding Class A common stock and securities directly or indirectly convertible into or exchangeable or exercisable for our Class A common stock held, as of the date of this prospectus, by our directors, officers and current and former employees and consultants (other than our founders and our Chief Financial Officer, who are discussed above) (our “General Employees and Directors”), with such 15% calculated after excluding any shares withheld for taxes associated with IPO-Vesting Time-Based RSUs, may be sold beginning at the commencement of trading on the first trading day on which our Class A common stock is traded on Nasdaq; and</w:t>
      </w:r>
    </w:p>
    <w:p>
      <w:pPr>
        <w:spacing w:after="0" w:line="145" w:lineRule="exact"/>
        <w:rPr>
          <w:rFonts w:ascii="Arial" w:cs="Arial" w:eastAsia="Arial" w:hAnsi="Arial"/>
          <w:sz w:val="16"/>
          <w:szCs w:val="16"/>
          <w:color w:val="auto"/>
        </w:rPr>
      </w:pPr>
    </w:p>
    <w:p>
      <w:pPr>
        <w:jc w:val="both"/>
        <w:ind w:left="1140" w:right="20" w:hanging="284"/>
        <w:spacing w:after="0" w:line="252" w:lineRule="auto"/>
        <w:tabs>
          <w:tab w:leader="none" w:pos="1161" w:val="left"/>
        </w:tabs>
        <w:numPr>
          <w:ilvl w:val="1"/>
          <w:numId w:val="137"/>
        </w:numPr>
        <w:rPr>
          <w:rFonts w:ascii="Arial" w:cs="Arial" w:eastAsia="Arial" w:hAnsi="Arial"/>
          <w:sz w:val="16"/>
          <w:szCs w:val="16"/>
          <w:color w:val="auto"/>
        </w:rPr>
      </w:pPr>
      <w:r>
        <w:rPr>
          <w:rFonts w:ascii="Arial" w:cs="Arial" w:eastAsia="Arial" w:hAnsi="Arial"/>
          <w:sz w:val="16"/>
          <w:szCs w:val="16"/>
          <w:color w:val="auto"/>
        </w:rPr>
        <w:t>up to an additional 15% of the shares of our outstanding Class A common stock and securities directly or indirectly convertible into or exchangeable or exercisable for our Class A common stock held, as of the date of this prospectus, by our General Employees and Directors, with such 15% calculated after excluding any shares withheld for taxes associated with IPO-Vesting Time-Based RSUs, may be sold beginning on the 91st day after the date of this prospectus.</w:t>
      </w:r>
    </w:p>
    <w:p>
      <w:pPr>
        <w:spacing w:after="0" w:line="159"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In addition, pursuant to the Tranche I Purchase Agreement, holders of the shares of our Class A common stock to be issued upon the conversion of our Tranche I convertible notes in this offering have agreed that, during the period beginning on the date of this prospectus and ending 28 days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281</w:t>
      </w:r>
    </w:p>
    <w:p>
      <w:pPr>
        <w:sectPr>
          <w:pgSz w:w="11900" w:h="16838" w:orient="portrait"/>
          <w:cols w:equalWidth="0" w:num="1">
            <w:col w:w="11260"/>
          </w:cols>
          <w:pgMar w:left="320" w:top="1414" w:right="319" w:bottom="1440" w:gutter="0" w:footer="0" w:header="0"/>
        </w:sectPr>
      </w:pPr>
    </w:p>
    <w:bookmarkStart w:id="304" w:name="page305"/>
    <w:bookmarkEnd w:id="304"/>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effective date of the Form S-1 resale registration statement that we have agreed to file in respect of such shares (as described under “Description of Capital Stock—Registration Rights—S-1 Demand Registration Rights”) (the “Tranche I Release Date”), such holders will not take any of the actions described in the foregoing clauses (1)-(3) with respect to 50% of such shares (it being understood that the remaining 50% of such shares will not be subject to any such lock-up agreement).</w:t>
      </w:r>
    </w:p>
    <w:p>
      <w:pPr>
        <w:spacing w:after="0" w:line="15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lock-up restrictions described in the foregoing paragraphs applicable to our directors, officers, certain securityholders and the selling stockholders are subject to specified exceptions, including the following:</w:t>
      </w:r>
    </w:p>
    <w:p>
      <w:pPr>
        <w:spacing w:after="0" w:line="139" w:lineRule="exact"/>
        <w:rPr>
          <w:sz w:val="20"/>
          <w:szCs w:val="20"/>
          <w:color w:val="auto"/>
        </w:rPr>
      </w:pPr>
    </w:p>
    <w:p>
      <w:pPr>
        <w:ind w:left="560" w:right="20" w:hanging="278"/>
        <w:spacing w:after="0" w:line="260" w:lineRule="auto"/>
        <w:tabs>
          <w:tab w:leader="none" w:pos="55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transfers as a bona fide gift or gifts, as charitable contributions or for bona fide estate planning, provided that any such transfer shall not involve a disposition for value;</w:t>
      </w:r>
    </w:p>
    <w:p>
      <w:pPr>
        <w:spacing w:after="0" w:line="139" w:lineRule="exact"/>
        <w:rPr>
          <w:rFonts w:ascii="Arial" w:cs="Arial" w:eastAsia="Arial" w:hAnsi="Arial"/>
          <w:sz w:val="16"/>
          <w:szCs w:val="16"/>
          <w:color w:val="auto"/>
        </w:rPr>
      </w:pPr>
    </w:p>
    <w:p>
      <w:pPr>
        <w:jc w:val="both"/>
        <w:ind w:left="560" w:right="20" w:hanging="278"/>
        <w:spacing w:after="0" w:line="252" w:lineRule="auto"/>
        <w:tabs>
          <w:tab w:leader="none" w:pos="55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transfers to any immediate family member (as defined below) of the lock-up party or to any trust, partnership, limited liability company or any other entity for the direct or indirect benefit of the lock-up party or an immediate family member of the lock-up party, or, if the lock-up party is a trust, to a trustor or beneficiary of the trust (including such beneficiary’s estate) of the lock-up party, provided that any such transfer shall not involve a disposition for value;</w:t>
      </w:r>
    </w:p>
    <w:p>
      <w:pPr>
        <w:spacing w:after="0" w:line="159" w:lineRule="exact"/>
        <w:rPr>
          <w:rFonts w:ascii="Arial" w:cs="Arial" w:eastAsia="Arial" w:hAnsi="Arial"/>
          <w:sz w:val="16"/>
          <w:szCs w:val="16"/>
          <w:color w:val="auto"/>
        </w:rPr>
      </w:pPr>
    </w:p>
    <w:p>
      <w:pPr>
        <w:ind w:left="560" w:hanging="278"/>
        <w:spacing w:after="0"/>
        <w:tabs>
          <w:tab w:leader="none" w:pos="5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transfers upon death or by will, testamentary document or intestate succession, provided that any such transfer shall not involve a disposition for value;</w:t>
      </w:r>
    </w:p>
    <w:p>
      <w:pPr>
        <w:spacing w:after="0" w:line="162" w:lineRule="exact"/>
        <w:rPr>
          <w:rFonts w:ascii="Arial" w:cs="Arial" w:eastAsia="Arial" w:hAnsi="Arial"/>
          <w:sz w:val="16"/>
          <w:szCs w:val="16"/>
          <w:color w:val="auto"/>
        </w:rPr>
      </w:pPr>
    </w:p>
    <w:p>
      <w:pPr>
        <w:jc w:val="both"/>
        <w:ind w:left="560" w:hanging="278"/>
        <w:spacing w:after="0" w:line="251" w:lineRule="auto"/>
        <w:tabs>
          <w:tab w:leader="none" w:pos="55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transfers in connection with any sale in an open market transaction (including, without limitation, through the establishment or amendment of trading plans pursuant to Rule 10b5-1 under the Exchange Act and any sales pursuant to such trading plans), or any transfer of the lock-up party’s lock-up securities in each case to generate such amount of net proceeds from any such sales or transfers in an aggregate amount up to the total amount of taxes or estimated taxes (as applicable), including any income, employment, or social tax withholding and remittance obligations of the lock-up party that become due as a result of the vesting and/or settlement of equity awards granted under the equity incentive plans described herein (we anticipate that the transfer of up to approximately 1.9 million shares will be permitted pursuant to such exception in connection with the settlement of equity awards expected to occur 90 days after the date of this prospectus);</w:t>
      </w:r>
    </w:p>
    <w:p>
      <w:pPr>
        <w:spacing w:after="0" w:line="146" w:lineRule="exact"/>
        <w:rPr>
          <w:rFonts w:ascii="Arial" w:cs="Arial" w:eastAsia="Arial" w:hAnsi="Arial"/>
          <w:sz w:val="16"/>
          <w:szCs w:val="16"/>
          <w:color w:val="auto"/>
        </w:rPr>
      </w:pPr>
    </w:p>
    <w:p>
      <w:pPr>
        <w:jc w:val="both"/>
        <w:ind w:left="560" w:right="20" w:hanging="278"/>
        <w:spacing w:after="0" w:line="266" w:lineRule="auto"/>
        <w:tabs>
          <w:tab w:leader="none" w:pos="554" w:val="left"/>
        </w:tabs>
        <w:numPr>
          <w:ilvl w:val="0"/>
          <w:numId w:val="138"/>
        </w:numPr>
        <w:rPr>
          <w:rFonts w:ascii="Arial" w:cs="Arial" w:eastAsia="Arial" w:hAnsi="Arial"/>
          <w:sz w:val="15"/>
          <w:szCs w:val="15"/>
          <w:color w:val="auto"/>
        </w:rPr>
      </w:pPr>
      <w:r>
        <w:rPr>
          <w:rFonts w:ascii="Arial" w:cs="Arial" w:eastAsia="Arial" w:hAnsi="Arial"/>
          <w:sz w:val="15"/>
          <w:szCs w:val="15"/>
          <w:color w:val="auto"/>
        </w:rPr>
        <w:t>if the lock-up party is a partnership, limited liability company, corporation, trust or other business entity, transfers (a) to another corporation, partnership, limited liability company, trust or other business entity that is an affiliate (within the meaning set forth in Rule 405 as promulgated by the SEC under the Securities Act, and including the subsidiaries of the lock-up party) of the lock-up party, (b)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w:t>
      </w:r>
    </w:p>
    <w:p>
      <w:pPr>
        <w:jc w:val="both"/>
        <w:ind w:left="560" w:right="20"/>
        <w:spacing w:after="0" w:line="254" w:lineRule="auto"/>
        <w:rPr>
          <w:rFonts w:ascii="Arial" w:cs="Arial" w:eastAsia="Arial" w:hAnsi="Arial"/>
          <w:sz w:val="15"/>
          <w:szCs w:val="15"/>
          <w:color w:val="auto"/>
        </w:rPr>
      </w:pPr>
      <w:r>
        <w:rPr>
          <w:rFonts w:ascii="Arial" w:cs="Arial" w:eastAsia="Arial" w:hAnsi="Arial"/>
          <w:sz w:val="16"/>
          <w:szCs w:val="16"/>
          <w:color w:val="auto"/>
        </w:rPr>
        <w:t>(c) as part of a distribution, transfer or disposition by the lock-up party to its stockholders, limited partners, general partners, limited liability company members or other equityholders or to the estate of any such stockholders, limited partners, general partners, limited liability company members or equityholders;</w:t>
      </w:r>
    </w:p>
    <w:p>
      <w:pPr>
        <w:spacing w:after="0" w:line="156" w:lineRule="exact"/>
        <w:rPr>
          <w:rFonts w:ascii="Arial" w:cs="Arial" w:eastAsia="Arial" w:hAnsi="Arial"/>
          <w:sz w:val="15"/>
          <w:szCs w:val="15"/>
          <w:color w:val="auto"/>
        </w:rPr>
      </w:pPr>
    </w:p>
    <w:p>
      <w:pPr>
        <w:jc w:val="both"/>
        <w:ind w:left="560" w:hanging="278"/>
        <w:spacing w:after="0" w:line="251" w:lineRule="auto"/>
        <w:tabs>
          <w:tab w:leader="none" w:pos="55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transfers in connection with (a) the surrender by the lock-up party to us of stock options in connection with the exercise of such stock options or restricted stock units or other equity awards in connection with the vesting and settlement of such restricted stock units or other equity awards granted under our equity incentive plans described herein, including the receipt by the lock-up party of lock-up securities in connection with such exercise or settlement, or (b) the disposition of lock-up securities to us, or the withholding of shares lock-up securities by us, in connection with the exercise of stock options, including “net” or “cashless” exercises, or the vesting and settlement of restricted stock units or other rights to purchase lock-up securities, for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282</w:t>
      </w:r>
    </w:p>
    <w:p>
      <w:pPr>
        <w:sectPr>
          <w:pgSz w:w="11900" w:h="16838" w:orient="portrait"/>
          <w:cols w:equalWidth="0" w:num="1">
            <w:col w:w="11260"/>
          </w:cols>
          <w:pgMar w:left="320" w:top="1440" w:right="319" w:bottom="1440" w:gutter="0" w:footer="0" w:header="0"/>
        </w:sectPr>
      </w:pPr>
    </w:p>
    <w:bookmarkStart w:id="305" w:name="page306"/>
    <w:bookmarkEnd w:id="305"/>
    <w:p>
      <w:pPr>
        <w:spacing w:after="0" w:line="1" w:lineRule="exact"/>
        <w:rPr>
          <w:sz w:val="20"/>
          <w:szCs w:val="20"/>
          <w:color w:val="auto"/>
        </w:rPr>
      </w:pPr>
    </w:p>
    <w:p>
      <w:pPr>
        <w:ind w:left="349"/>
        <w:spacing w:after="0" w:line="260" w:lineRule="auto"/>
        <w:rPr>
          <w:sz w:val="20"/>
          <w:szCs w:val="20"/>
          <w:color w:val="auto"/>
        </w:rPr>
      </w:pPr>
      <w:r>
        <w:rPr>
          <w:rFonts w:ascii="Arial" w:cs="Arial" w:eastAsia="Arial" w:hAnsi="Arial"/>
          <w:sz w:val="16"/>
          <w:szCs w:val="16"/>
          <w:color w:val="auto"/>
        </w:rPr>
        <w:t>of the exercise price, tax withholdings, or remittance payments due as a result of the exercise of any such stock options or vesting or settlement of such restricted stock units or other rights to purchase lock-up securities;</w:t>
      </w:r>
    </w:p>
    <w:p>
      <w:pPr>
        <w:spacing w:after="0" w:line="151" w:lineRule="exact"/>
        <w:rPr>
          <w:sz w:val="20"/>
          <w:szCs w:val="20"/>
          <w:color w:val="auto"/>
        </w:rPr>
      </w:pPr>
    </w:p>
    <w:p>
      <w:pPr>
        <w:jc w:val="both"/>
        <w:ind w:left="349" w:hanging="278"/>
        <w:spacing w:after="0" w:line="254" w:lineRule="auto"/>
        <w:tabs>
          <w:tab w:leader="none" w:pos="34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transfers to us, in connection with the repurchase of lock-up securities issued under our equity incentive plans described herein or pursuant to the agreements pursuant to which such lock-up securities were issued as described herein, in each case, upon termination of the lock-up party’s relationship with the us;</w:t>
      </w:r>
    </w:p>
    <w:p>
      <w:pPr>
        <w:spacing w:after="0" w:line="144" w:lineRule="exact"/>
        <w:rPr>
          <w:rFonts w:ascii="Arial" w:cs="Arial" w:eastAsia="Arial" w:hAnsi="Arial"/>
          <w:sz w:val="16"/>
          <w:szCs w:val="16"/>
          <w:color w:val="auto"/>
        </w:rPr>
      </w:pPr>
    </w:p>
    <w:p>
      <w:pPr>
        <w:ind w:left="349" w:hanging="349"/>
        <w:spacing w:after="0"/>
        <w:tabs>
          <w:tab w:leader="none" w:pos="34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transfers by operation of law pursuant to a qualified domestic order or in connection with a divorce settlement;</w:t>
      </w:r>
    </w:p>
    <w:p>
      <w:pPr>
        <w:spacing w:after="0" w:line="162" w:lineRule="exact"/>
        <w:rPr>
          <w:rFonts w:ascii="Arial" w:cs="Arial" w:eastAsia="Arial" w:hAnsi="Arial"/>
          <w:sz w:val="16"/>
          <w:szCs w:val="16"/>
          <w:color w:val="auto"/>
        </w:rPr>
      </w:pPr>
    </w:p>
    <w:p>
      <w:pPr>
        <w:jc w:val="both"/>
        <w:ind w:left="349" w:right="20" w:hanging="278"/>
        <w:spacing w:after="0" w:line="254" w:lineRule="auto"/>
        <w:tabs>
          <w:tab w:leader="none" w:pos="34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transfers to us in connection with the conversion or reclassification of the outstanding preferred stock or warrants to acquire our preferred stock into shares of Class A common stock or warrants to acquire shares of Class A common stock prior to or in connection with the consummation this offering, or the conversion of any shares of any class of our common stock into shares of Class A common stock;</w:t>
      </w:r>
    </w:p>
    <w:p>
      <w:pPr>
        <w:spacing w:after="0" w:line="156" w:lineRule="exact"/>
        <w:rPr>
          <w:rFonts w:ascii="Arial" w:cs="Arial" w:eastAsia="Arial" w:hAnsi="Arial"/>
          <w:sz w:val="16"/>
          <w:szCs w:val="16"/>
          <w:color w:val="auto"/>
        </w:rPr>
      </w:pPr>
    </w:p>
    <w:p>
      <w:pPr>
        <w:ind w:left="349" w:right="20" w:hanging="278"/>
        <w:spacing w:after="0" w:line="260" w:lineRule="auto"/>
        <w:tabs>
          <w:tab w:leader="none" w:pos="344"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transfers to us in connection with the exercise of warrants to purchase shares of our Class A common stock that are outstanding as of the date hereof into shares of Class A common stock prior to, after or in connection with the consummation of this offering;</w:t>
      </w:r>
    </w:p>
    <w:p>
      <w:pPr>
        <w:spacing w:after="0" w:line="139" w:lineRule="exact"/>
        <w:rPr>
          <w:rFonts w:ascii="Arial" w:cs="Arial" w:eastAsia="Arial" w:hAnsi="Arial"/>
          <w:sz w:val="16"/>
          <w:szCs w:val="16"/>
          <w:color w:val="auto"/>
        </w:rPr>
      </w:pPr>
    </w:p>
    <w:p>
      <w:pPr>
        <w:ind w:left="349" w:hanging="278"/>
        <w:spacing w:after="0" w:line="260" w:lineRule="auto"/>
        <w:tabs>
          <w:tab w:leader="none" w:pos="34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transfers to us in connection with the conversion of our Tranche I convertible notes or Tranche II convertible notes that are outstanding as of the date hereof into shares of Class A common stock in connection with the consummation this offering;</w:t>
      </w:r>
    </w:p>
    <w:p>
      <w:pPr>
        <w:spacing w:after="0" w:line="139" w:lineRule="exact"/>
        <w:rPr>
          <w:rFonts w:ascii="Arial" w:cs="Arial" w:eastAsia="Arial" w:hAnsi="Arial"/>
          <w:sz w:val="16"/>
          <w:szCs w:val="16"/>
          <w:color w:val="auto"/>
        </w:rPr>
      </w:pPr>
    </w:p>
    <w:p>
      <w:pPr>
        <w:jc w:val="both"/>
        <w:ind w:left="349" w:hanging="278"/>
        <w:spacing w:after="0" w:line="252" w:lineRule="auto"/>
        <w:tabs>
          <w:tab w:leader="none" w:pos="34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transfers to us in connection with any other exchange, conversion or reclassification (or other means by which shares of on class or series can become another class or series) of any class or series of our capital stock for any other class or series of shares of our capital stock as described herein, including pursuant to certain exchange agreements to be entered into between us and our founders to facilitate the Class B Exchange, or as required pursuant to our Charter (including as a result of any automatic conversion of shares of Class B common stock to shares of Class A common stock pursuant to the provisions of the Charter);</w:t>
      </w:r>
    </w:p>
    <w:p>
      <w:pPr>
        <w:spacing w:after="0" w:line="157" w:lineRule="exact"/>
        <w:rPr>
          <w:sz w:val="20"/>
          <w:szCs w:val="20"/>
          <w:color w:val="auto"/>
        </w:rPr>
      </w:pPr>
    </w:p>
    <w:p>
      <w:pPr>
        <w:jc w:val="both"/>
        <w:ind w:left="349" w:hanging="349"/>
        <w:spacing w:after="0" w:line="252" w:lineRule="auto"/>
        <w:tabs>
          <w:tab w:leader="none" w:pos="34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transfers pursuant to a bona fide third-party tender offer, merger, consolidation or other similar transaction made to all holders of our capital stock and approved by our board of directors, and the result of which is that any “person” (as defined in Section 13(d)(3) of the Exchange Act), or group of persons, becomes the beneficial owner (as defined in Rules 13d-3 and 13d-5 under the Exchange Act) of at least 50% of total voting power of our voting stock the surviving entity (a “Change of Control Transaction”); provided that in the event that the Change of Control Transaction is not completed, the lock-up party’s shares shall remain subject to the lock-up restrictions; and</w:t>
      </w:r>
    </w:p>
    <w:p>
      <w:pPr>
        <w:spacing w:after="0" w:line="145" w:lineRule="exact"/>
        <w:rPr>
          <w:rFonts w:ascii="Arial" w:cs="Arial" w:eastAsia="Arial" w:hAnsi="Arial"/>
          <w:sz w:val="16"/>
          <w:szCs w:val="16"/>
          <w:color w:val="auto"/>
        </w:rPr>
      </w:pPr>
    </w:p>
    <w:p>
      <w:pPr>
        <w:ind w:left="349" w:hanging="349"/>
        <w:spacing w:after="0"/>
        <w:tabs>
          <w:tab w:leader="none" w:pos="34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transfers of shares of Class A common stock purchased from the underwriters in this offering or in the open market following this offering,</w:t>
      </w:r>
    </w:p>
    <w:p>
      <w:pPr>
        <w:spacing w:after="0" w:line="163" w:lineRule="exact"/>
        <w:rPr>
          <w:sz w:val="20"/>
          <w:szCs w:val="20"/>
          <w:color w:val="auto"/>
        </w:rPr>
      </w:pPr>
    </w:p>
    <w:p>
      <w:pPr>
        <w:ind w:left="69"/>
        <w:spacing w:after="0"/>
        <w:rPr>
          <w:sz w:val="20"/>
          <w:szCs w:val="20"/>
          <w:color w:val="auto"/>
        </w:rPr>
      </w:pPr>
      <w:r>
        <w:rPr>
          <w:rFonts w:ascii="Arial" w:cs="Arial" w:eastAsia="Arial" w:hAnsi="Arial"/>
          <w:sz w:val="16"/>
          <w:szCs w:val="16"/>
          <w:color w:val="auto"/>
        </w:rPr>
        <w:t>provided that:</w:t>
      </w:r>
    </w:p>
    <w:p>
      <w:pPr>
        <w:spacing w:after="0" w:line="175" w:lineRule="exact"/>
        <w:rPr>
          <w:sz w:val="20"/>
          <w:szCs w:val="20"/>
          <w:color w:val="auto"/>
        </w:rPr>
      </w:pPr>
    </w:p>
    <w:p>
      <w:pPr>
        <w:ind w:left="349" w:right="20" w:hanging="278"/>
        <w:spacing w:after="0" w:line="260" w:lineRule="auto"/>
        <w:tabs>
          <w:tab w:leader="none" w:pos="34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the case of any transfer pursuant to clauses (i), (ii), (v), (viii) and (xiv) above, no filing under the Exchange Act or other public announcement would be required or be voluntarily made;</w:t>
      </w:r>
    </w:p>
    <w:p>
      <w:pPr>
        <w:spacing w:after="0" w:line="139" w:lineRule="exact"/>
        <w:rPr>
          <w:rFonts w:ascii="Arial" w:cs="Arial" w:eastAsia="Arial" w:hAnsi="Arial"/>
          <w:sz w:val="16"/>
          <w:szCs w:val="16"/>
          <w:color w:val="auto"/>
        </w:rPr>
      </w:pPr>
    </w:p>
    <w:p>
      <w:pPr>
        <w:ind w:left="349" w:right="20" w:hanging="278"/>
        <w:spacing w:after="0" w:line="260" w:lineRule="auto"/>
        <w:tabs>
          <w:tab w:leader="none" w:pos="34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the case of any transfer pursuant to clauses (iv), (vi) and (vii) above, any filing under the Exchange Act or other public report or announcement would clearly indicate the nature and conditions of the transfer;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1"/>
        <w:spacing w:after="0"/>
        <w:rPr>
          <w:sz w:val="20"/>
          <w:szCs w:val="20"/>
          <w:color w:val="auto"/>
        </w:rPr>
      </w:pPr>
      <w:r>
        <w:rPr>
          <w:rFonts w:ascii="Arial" w:cs="Arial" w:eastAsia="Arial" w:hAnsi="Arial"/>
          <w:sz w:val="16"/>
          <w:szCs w:val="16"/>
          <w:color w:val="auto"/>
        </w:rPr>
        <w:t>283</w:t>
      </w:r>
    </w:p>
    <w:p>
      <w:pPr>
        <w:sectPr>
          <w:pgSz w:w="11900" w:h="16838" w:orient="portrait"/>
          <w:cols w:equalWidth="0" w:num="1">
            <w:col w:w="11049"/>
          </w:cols>
          <w:pgMar w:left="531" w:top="1440" w:right="319" w:bottom="1440" w:gutter="0" w:footer="0" w:header="0"/>
        </w:sectPr>
      </w:pPr>
    </w:p>
    <w:bookmarkStart w:id="306" w:name="page307"/>
    <w:bookmarkEnd w:id="306"/>
    <w:p>
      <w:pPr>
        <w:spacing w:after="0" w:line="1" w:lineRule="exact"/>
        <w:rPr>
          <w:sz w:val="20"/>
          <w:szCs w:val="20"/>
          <w:color w:val="auto"/>
        </w:rPr>
      </w:pPr>
    </w:p>
    <w:p>
      <w:pPr>
        <w:ind w:left="560" w:right="20" w:hanging="278"/>
        <w:spacing w:after="0" w:line="260" w:lineRule="auto"/>
        <w:tabs>
          <w:tab w:leader="none" w:pos="55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the case of any transfer pursuant to clauses (i) through (iii), (v) and (viii) through (xii) above, each permitted transferee shall be bound by the lock-up restrictions applicable to the relevant transferor.</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addition, the lock-up restrictions applicable to us are subject to specified exceptions, including the following:</w:t>
      </w:r>
    </w:p>
    <w:p>
      <w:pPr>
        <w:spacing w:after="0" w:line="163" w:lineRule="exact"/>
        <w:rPr>
          <w:sz w:val="20"/>
          <w:szCs w:val="20"/>
          <w:color w:val="auto"/>
        </w:rPr>
      </w:pPr>
    </w:p>
    <w:p>
      <w:pPr>
        <w:ind w:left="560" w:hanging="278"/>
        <w:spacing w:after="0"/>
        <w:tabs>
          <w:tab w:leader="none" w:pos="5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issuance of shares of Class A common stock pursuant to the exercise of warrants to purchase our securities outstanding as of the date hereof;</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issuance of stock options, restricted stock units and ESPP purchase rights pursuant to the our equity incentive plans described herein;</w:t>
      </w:r>
    </w:p>
    <w:p>
      <w:pPr>
        <w:spacing w:after="0" w:line="174" w:lineRule="exact"/>
        <w:rPr>
          <w:rFonts w:ascii="Arial" w:cs="Arial" w:eastAsia="Arial" w:hAnsi="Arial"/>
          <w:sz w:val="16"/>
          <w:szCs w:val="16"/>
          <w:color w:val="auto"/>
        </w:rPr>
      </w:pPr>
    </w:p>
    <w:p>
      <w:pPr>
        <w:ind w:left="560" w:right="20" w:hanging="278"/>
        <w:spacing w:after="0" w:line="260" w:lineRule="auto"/>
        <w:tabs>
          <w:tab w:leader="none" w:pos="557"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issuance of shares of Class A common stock upon the exercise of stock options or ESPP purchase rights or upon the settlement of restricted stock units, in each case outstanding as of the date hereof or issued after the date hereof pursuant to our equity incentive plans described herein,</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issuance of shares of Class A common stock upon the conversion of shares of our Class B common stock;</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4"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exchange or conversion (or other means by which shares of one class or series can become another class or series) of any class or series of our capital stock for any other class or series of shares of our capital stock as described herein;</w:t>
      </w:r>
    </w:p>
    <w:p>
      <w:pPr>
        <w:spacing w:after="0" w:line="151" w:lineRule="exact"/>
        <w:rPr>
          <w:rFonts w:ascii="Arial" w:cs="Arial" w:eastAsia="Arial" w:hAnsi="Arial"/>
          <w:sz w:val="16"/>
          <w:szCs w:val="16"/>
          <w:color w:val="auto"/>
        </w:rPr>
      </w:pPr>
    </w:p>
    <w:p>
      <w:pPr>
        <w:jc w:val="both"/>
        <w:ind w:left="560" w:right="20" w:hanging="278"/>
        <w:spacing w:after="0" w:line="251" w:lineRule="auto"/>
        <w:tabs>
          <w:tab w:leader="none" w:pos="554"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issuance of shares of Class A common stock or securities convertible into, exchangeable for or that represent the right to receive Class A common stock in connection with (x) our acquisition of the securities, business, technology, property or other assets of one or more persons or entities (including our assumption of any employee benefit plans or equity incentive plans in connection with any such acquisition, and any issuance of securities pursuant to any such assumed plan), or (y) any joint ventures, commercial relationships and other strategic relationships; provided, that the aggregate number of shares of common stock that we may sell or issue or agree to sell or issue shall not exceed 5% of the total number of shares of our common stock outstanding immediately following the issuance of the lockup-securities;</w:t>
      </w:r>
    </w:p>
    <w:p>
      <w:pPr>
        <w:spacing w:after="0" w:line="148" w:lineRule="exact"/>
        <w:rPr>
          <w:rFonts w:ascii="Arial" w:cs="Arial" w:eastAsia="Arial" w:hAnsi="Arial"/>
          <w:sz w:val="16"/>
          <w:szCs w:val="16"/>
          <w:color w:val="auto"/>
        </w:rPr>
      </w:pPr>
    </w:p>
    <w:p>
      <w:pPr>
        <w:ind w:left="560" w:hanging="278"/>
        <w:spacing w:after="0"/>
        <w:tabs>
          <w:tab w:leader="none" w:pos="5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filing of any registration statement(s) on Form S-8 relating to the lock-up securities (or the shares underlying such lock-up securities); and</w:t>
      </w:r>
    </w:p>
    <w:p>
      <w:pPr>
        <w:spacing w:after="0" w:line="162" w:lineRule="exact"/>
        <w:rPr>
          <w:rFonts w:ascii="Arial" w:cs="Arial" w:eastAsia="Arial" w:hAnsi="Arial"/>
          <w:sz w:val="16"/>
          <w:szCs w:val="16"/>
          <w:color w:val="auto"/>
        </w:rPr>
      </w:pPr>
    </w:p>
    <w:p>
      <w:pPr>
        <w:ind w:left="560" w:hanging="349"/>
        <w:spacing w:after="0" w:line="260" w:lineRule="auto"/>
        <w:tabs>
          <w:tab w:leader="none" w:pos="55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filing of any registration statement(s) on Form S-1 relating to the Class A common stock issuable or issued upon the conversion of any of our convertible notes or of any securities previously issued upon the conversion of such convertible notes as described herein.</w:t>
      </w:r>
    </w:p>
    <w:p>
      <w:pPr>
        <w:spacing w:after="0" w:line="15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Further, we have agreed that, without the prior written consent of Goldman Sachs &amp; Co. LLC and J.P. Morgan Securities LLC on behalf of the underwriters, we will not, during the restricted period (or, if applicable, the period beginning on the date of this prospectus and ending on the Tranche I Release Date), initiate the registration of any shares of Class A common stock or any security convertible into or exercisable or exchangeable for shares of Class A common stock, other than the Form S-1 resale registration statement that we have agreed to file in respect of shares issuable or issued upon conversion of our Tranche I convertible notes. which we anticipate filing shortly after the consummation of this offering (as described under “Description of Capital Stock—Registration Rights—S-1 Demand Registration Rights”).</w:t>
      </w:r>
    </w:p>
    <w:p>
      <w:pPr>
        <w:spacing w:after="0" w:line="148"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None of our other stockholders is subject to any such restrictions and, accordingly, Class A common stock or other securities held by these other stockholders may be transferred or disposed of, to or through any broker-dealer, at any time during or following this offering, subject to such stockholder’s compliance with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284</w:t>
      </w:r>
    </w:p>
    <w:p>
      <w:pPr>
        <w:sectPr>
          <w:pgSz w:w="11900" w:h="16838" w:orient="portrait"/>
          <w:cols w:equalWidth="0" w:num="1">
            <w:col w:w="11260"/>
          </w:cols>
          <w:pgMar w:left="320" w:top="1440" w:right="319" w:bottom="1440" w:gutter="0" w:footer="0" w:header="0"/>
        </w:sectPr>
      </w:pPr>
    </w:p>
    <w:bookmarkStart w:id="307" w:name="page308"/>
    <w:bookmarkEnd w:id="307"/>
    <w:p>
      <w:pPr>
        <w:spacing w:after="0" w:line="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Goldman Sachs &amp; Co. LLC and J.P. Morgan Securities LLC, in their sole discretion as representatives of the underwriters, may release the Class A common stock and other securities subject to the lock-up and market standoff agreements described above in whole or in part at any time.</w:t>
      </w:r>
    </w:p>
    <w:p>
      <w:pPr>
        <w:spacing w:after="0" w:line="15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addition, pursuant to our Investors’ Rights Agreement and agreements entered into by certain non-employee holders of our common stock outstanding immediately prior to the completion of this offering, if the terms of the lock-up agreements with any of our directors, officers or greater than 1% stockholders are terminated or waived (other than pursuant to the lock-up exceptions and early release provisions referenced above), then the parties to our Investors’ Rights Agreement and such non-employee stockholders will be entitled to a pro rata termination or waiver with respect to their securities, subject to the lock-up agreements or market stand-off provisions described above, subject to certain exceptions for permitted terminations and waivers, including any waiver of up to 1% of our total outstanding shares of Class A common stock (calculated on a fully diluted basis, but without giving effect to the conversion of any convertible notes or our warrants), waivers in which the recipient of such shares agreed to be bound by the same lock-up agreement, waivers for hardship and waivers in connection with a follow-on offering of our Class A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Price Stabilization, Short Positions and Penalty Bids</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solely to cover over-allotments. The underwriters can close out a covered short sale by either exercising their option to purchase additional shares, solely to cover over-allotments or purchasing shares in the open market. In determining the source of shares to close out a covered short sale, the underwriters will consider, among other things, the open market price of shares compared to the price at which they may purchase additional shares pursuant to the option described above. The underwriters may also sell shares in excess of their option to purchase additional shares, solely to cover over-allotments,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Electronic Distribution</w:t>
      </w:r>
    </w:p>
    <w:p>
      <w:pPr>
        <w:spacing w:after="0" w:line="163"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A prospectus in electronic format may be made available on websites maintained by one or more underwriters or selling group members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Pricing of the Offering</w:t>
      </w:r>
    </w:p>
    <w:p>
      <w:pPr>
        <w:spacing w:after="0" w:line="17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285</w:t>
      </w:r>
    </w:p>
    <w:p>
      <w:pPr>
        <w:sectPr>
          <w:pgSz w:w="11900" w:h="16838" w:orient="portrait"/>
          <w:cols w:equalWidth="0" w:num="1">
            <w:col w:w="11260"/>
          </w:cols>
          <w:pgMar w:left="320" w:top="1440" w:right="319" w:bottom="1440" w:gutter="0" w:footer="0" w:header="0"/>
        </w:sectPr>
      </w:pPr>
    </w:p>
    <w:bookmarkStart w:id="308" w:name="page309"/>
    <w:bookmarkEnd w:id="308"/>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Participation by Robinhood Customers in the Offering</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RHF, one of our broker-dealer subsidiaries, is a member of the selling group for this offering. We expect the underwriters to reserve approximately 20 to 35% of the shares of our Class A common stock offered by this prospectus for RHF, acting as a selling group member, to allocate for sale to Robinhood customers through our IPO Access feature on our platform. Any such sales will be made at the same initial public offering price, and at the same time, as any other purchases in this offering, including purchases by institutions and other large investors, and in accordance with customary broker-dealer practices and procedures. The final number of shares of our Class A common stock in this offering that will be reserved for allocation to Robinhood customers will be determined at the pricing of this offering and will be based on the level of demand from Robinhood customers and all other purchasers in this offering in accordance with the broker-dealer book building process. Any such reserved shares of our Class A common stock that are not so purchased will be offered by the underwriters to other members of the general public on the same basis as the other shares of our Class A common stock offered by this prospectus. RHF, one of our affiliates, is a member of FINRA and a selling group member in this offering and has a “conflict of interest” within the meaning of FINRA Rule 5121. Accordingly, this offering will be made in compliance with the applicable provisions of FINRA Rule 5121.</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Other Relationships</w:t>
      </w:r>
    </w:p>
    <w:p>
      <w:pPr>
        <w:spacing w:after="0" w:line="17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4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Certain of the underwriters and their respective affiliates have, from time to time, performed, and may in the future perform, various financial advisory and investment banking services for us or for the selling stockholders, for which they received or will receive customary fees and expenses. For example, certain of the underwriters and/or their respective affiliates serve as agents and/or lenders under our revolving credit facilities, for which they have received customary fees and expenses.</w:t>
      </w:r>
    </w:p>
    <w:p>
      <w:pPr>
        <w:spacing w:after="0" w:line="14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Selling Restrictions</w:t>
      </w:r>
    </w:p>
    <w:p>
      <w:pPr>
        <w:spacing w:after="0" w:line="163"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286</w:t>
      </w:r>
    </w:p>
    <w:p>
      <w:pPr>
        <w:sectPr>
          <w:pgSz w:w="11900" w:h="16838" w:orient="portrait"/>
          <w:cols w:equalWidth="0" w:num="1">
            <w:col w:w="11260"/>
          </w:cols>
          <w:pgMar w:left="320" w:top="1440" w:right="319" w:bottom="1440" w:gutter="0" w:footer="0" w:header="0"/>
        </w:sectPr>
      </w:pPr>
    </w:p>
    <w:bookmarkStart w:id="309" w:name="page310"/>
    <w:bookmarkEnd w:id="309"/>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European Economic Area</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relation to each Member State of the European Economic Area (each a “Relevant State”), no shares of Class A common stock have been offered or will be offered pursuant to the offering to the public in that Relevant State prior to the publication of a prospectus in relation to the shares of Class A common stock which has been approved by the competent authority in that Relevant State, all in accordance with the Prospectus Regulation, except that offers of shares of Class A common stock may be made to the public in that Relevant State at any time under the following exemptions under the Prospectus Regulation:</w:t>
      </w:r>
    </w:p>
    <w:p>
      <w:pPr>
        <w:spacing w:after="0" w:line="147" w:lineRule="exact"/>
        <w:rPr>
          <w:sz w:val="20"/>
          <w:szCs w:val="20"/>
          <w:color w:val="auto"/>
        </w:rPr>
      </w:pPr>
    </w:p>
    <w:p>
      <w:pPr>
        <w:ind w:left="560" w:hanging="278"/>
        <w:spacing w:after="0"/>
        <w:tabs>
          <w:tab w:leader="none" w:pos="5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Regulation;</w:t>
      </w:r>
    </w:p>
    <w:p>
      <w:pPr>
        <w:spacing w:after="0" w:line="174" w:lineRule="exact"/>
        <w:rPr>
          <w:rFonts w:ascii="Arial" w:cs="Arial" w:eastAsia="Arial" w:hAnsi="Arial"/>
          <w:sz w:val="16"/>
          <w:szCs w:val="16"/>
          <w:color w:val="auto"/>
        </w:rPr>
      </w:pPr>
    </w:p>
    <w:p>
      <w:pPr>
        <w:ind w:left="560" w:hanging="278"/>
        <w:spacing w:after="0" w:line="260" w:lineRule="auto"/>
        <w:tabs>
          <w:tab w:leader="none" w:pos="55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the Prospectus Regulation), subject to obtaining the prior consent of the representatives for any such offer; or</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163"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provided that no such offer of shares of Class A common stock shall require us or any underwriter to publish a prospectus pursuant to Article 3 of the Prospectus Regulation or supplement a prospectus pursuant to Article 23 of the Prospectus Regulation and each person who initially acquires any shares of Class A common stock or to whom any offer is made will be deemed to have represented, acknowledged and agreed to and with each of the representatives and us that it is a “qualified investor” within the meaning of Article 2(e) of the Prospectus Regulation.</w:t>
      </w:r>
    </w:p>
    <w:p>
      <w:pPr>
        <w:spacing w:after="0" w:line="15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the case of any shares of Class A common stock being offered to a financial intermediary as that term is used in Article 5 of the Prospectus Regulation,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State to qualified investors as so defined or in circumstances in which the prior consent of the representatives has been obtained to each such proposed offer or resale.</w:t>
      </w:r>
    </w:p>
    <w:p>
      <w:pPr>
        <w:spacing w:after="0" w:line="14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For the purposes of this provision, the expression an “offer of shares of Class A common stock to the public” in relation to any shares of Class A common stock in any Relevant State means the communication in any form and by any means of sufficient information on the terms of the offer and the shares of Class A common stock to be offered so as to enable an investor to decide to purchase or subscribe for the shares of Class A common stock, and the expression “Prospectus Regulation” means Regulation (EU) 2017/1129.</w:t>
      </w:r>
    </w:p>
    <w:p>
      <w:pPr>
        <w:spacing w:after="0" w:line="14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have not authorized and do not authorize the making of any offer of shares of Class A common stock through any financial intermediary on their behalf, other than offers made by the underwriters with a view to the final placement of the shares of Class A common stock in this document. Accordingly, no purchaser of the shares of Class A common stock, other than the underwriters, is authorized to make any further offer of the shares on behalf of us or the underwriters.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United Kingdom</w:t>
      </w:r>
    </w:p>
    <w:p>
      <w:pPr>
        <w:spacing w:after="0" w:line="17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In relation to the United Kingdom, no shares of Class A common stock have been offered or will be offered pursuant to this offering to the public in the United Kingdom prior to the publication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287</w:t>
      </w:r>
    </w:p>
    <w:p>
      <w:pPr>
        <w:sectPr>
          <w:pgSz w:w="11900" w:h="16838" w:orient="portrait"/>
          <w:cols w:equalWidth="0" w:num="1">
            <w:col w:w="11260"/>
          </w:cols>
          <w:pgMar w:left="320" w:top="1440" w:right="319" w:bottom="1440" w:gutter="0" w:footer="0" w:header="0"/>
        </w:sectPr>
      </w:pPr>
    </w:p>
    <w:bookmarkStart w:id="310" w:name="page311"/>
    <w:bookmarkEnd w:id="310"/>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prospectus in relation to the shares of Class A common stock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159" w:lineRule="exact"/>
        <w:rPr>
          <w:sz w:val="20"/>
          <w:szCs w:val="20"/>
          <w:color w:val="auto"/>
        </w:rPr>
      </w:pPr>
    </w:p>
    <w:p>
      <w:pPr>
        <w:ind w:left="560" w:hanging="278"/>
        <w:spacing w:after="0"/>
        <w:tabs>
          <w:tab w:leader="none" w:pos="5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Article 2 of the UK Prospectus Regulation;</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Article 2 of the UK Prospectus Regulation); or</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 any other circumstances falling within section 86 of the Financial Services and Markets Act 2000 (“FSMA”);</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provided that no such offer of shares of Class A common stock shall require us or any representative to publish a prospectus pursuant to section 85 of the FSMA or supplement a prospectus pursuant to Article 23 of the UK Prospectus Regulation.</w:t>
      </w:r>
    </w:p>
    <w:p>
      <w:pPr>
        <w:spacing w:after="0" w:line="13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For the purposes of this provision, the expression an “offer of shares of Class A common stock to the public” in relation to any shares of Class A common stock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4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have not authorized and do not authorize the making of any offer of shares of Class A common stock through any financial intermediary on their behalf, other than offers made by the underwriters with a view to the final placement of the shares of Class A common stock as contemplated in this prospectus. Accordingly, no purchaser of the shares of Class A common stock, other than the underwriters, is authorized to make any further offer of the shares on behalf of us or the underwriters.</w:t>
      </w:r>
    </w:p>
    <w:p>
      <w:pPr>
        <w:spacing w:after="0" w:line="15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48"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Canada</w:t>
      </w:r>
    </w:p>
    <w:p>
      <w:pPr>
        <w:spacing w:after="0" w:line="19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shares of our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288</w:t>
      </w:r>
    </w:p>
    <w:p>
      <w:pPr>
        <w:sectPr>
          <w:pgSz w:w="11900" w:h="16838" w:orient="portrait"/>
          <w:cols w:equalWidth="0" w:num="1">
            <w:col w:w="11260"/>
          </w:cols>
          <w:pgMar w:left="320" w:top="1440" w:right="319" w:bottom="1440" w:gutter="0" w:footer="0" w:header="0"/>
        </w:sectPr>
      </w:pPr>
    </w:p>
    <w:bookmarkStart w:id="311" w:name="page312"/>
    <w:bookmarkEnd w:id="311"/>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exemption from, or in a transaction not subject to, the prospectus requirements of applicable securities laws.</w:t>
      </w:r>
    </w:p>
    <w:p>
      <w:pPr>
        <w:spacing w:after="0" w:line="17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7"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Japan</w:t>
      </w:r>
    </w:p>
    <w:p>
      <w:pPr>
        <w:spacing w:after="0" w:line="19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our Class A common stock.</w:t>
      </w:r>
    </w:p>
    <w:p>
      <w:pPr>
        <w:spacing w:after="0" w:line="13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Qualified Institutional Investors (“QII”)</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Class A common stock may only be transferred to QIIs.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Non-QIIs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Hong Kong</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shares of our Class A common stock may not be offered or sold in Hong Kong, by means of any document, other than: (a) to “professional investors” as defined in the Securities and Futures Ordinance (Cap. 571) of Hong Kong (the “SFO”) and any rules made under the SFO; or (b) in other circumstances which do not result in the document being a “prospectus” as defined in the Companies Winding Up and Miscellaneous Provisions Ordinance (Cap. 32) of Hong Kong (the “C(WUMP)O”) or which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289</w:t>
      </w:r>
    </w:p>
    <w:p>
      <w:pPr>
        <w:sectPr>
          <w:pgSz w:w="11900" w:h="16838" w:orient="portrait"/>
          <w:cols w:equalWidth="0" w:num="1">
            <w:col w:w="11260"/>
          </w:cols>
          <w:pgMar w:left="320" w:top="1440" w:right="319" w:bottom="1440" w:gutter="0" w:footer="0" w:header="0"/>
        </w:sectPr>
      </w:pPr>
    </w:p>
    <w:bookmarkStart w:id="312" w:name="page313"/>
    <w:bookmarkEnd w:id="312"/>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constitute an offer to the public within the meaning of the C(WUMP)O.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SFO and any rules made under the SFO.</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Singapore</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This prospectus has not been registered as a prospectus under the Securities and Futures Act, Chapter 289 of Singapore (the “SFA”) by the Monetary Authority of Singapore, and the offer of shares of our Class A common stock in Singapore is made primarily pursuant to the exemptions under Sections 274 and 275 of the SFA. Accordingly, this prospectus and any other document or material in connection with the offer or sale, or invitation for subscription or purchase, of shares of Class A common stock may not be circulated or distributed, nor may shares of Class A common stock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Where shares of our Class A common stock are subscribed or purchased under Section 275 of the SFA by a Relevant Person which is:</w:t>
      </w:r>
    </w:p>
    <w:p>
      <w:pPr>
        <w:spacing w:after="0" w:line="175" w:lineRule="exact"/>
        <w:rPr>
          <w:sz w:val="20"/>
          <w:szCs w:val="20"/>
          <w:color w:val="auto"/>
        </w:rPr>
      </w:pPr>
    </w:p>
    <w:p>
      <w:pPr>
        <w:ind w:left="560" w:right="20" w:hanging="278"/>
        <w:spacing w:after="0" w:line="260" w:lineRule="auto"/>
        <w:tabs>
          <w:tab w:leader="none" w:pos="55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the sole business of which is to hold investments and the entire share capital of which is owned by one or more individuals, each of whom is an Accredited Investor; or</w:t>
      </w:r>
    </w:p>
    <w:p>
      <w:pPr>
        <w:spacing w:after="0" w:line="139" w:lineRule="exact"/>
        <w:rPr>
          <w:rFonts w:ascii="Arial" w:cs="Arial" w:eastAsia="Arial" w:hAnsi="Arial"/>
          <w:sz w:val="16"/>
          <w:szCs w:val="16"/>
          <w:color w:val="auto"/>
        </w:rPr>
      </w:pPr>
    </w:p>
    <w:p>
      <w:pPr>
        <w:ind w:left="560" w:right="20" w:hanging="278"/>
        <w:spacing w:after="0" w:line="260" w:lineRule="auto"/>
        <w:tabs>
          <w:tab w:leader="none" w:pos="55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the sole purpose of which is to hold investments and each beneficiary of the trust is an individual who is an Accredited Investor,</w:t>
      </w:r>
    </w:p>
    <w:p>
      <w:pPr>
        <w:spacing w:after="0" w:line="139"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subscribed for or acquired the shares of Class A common stock, except:</w:t>
      </w:r>
    </w:p>
    <w:p>
      <w:pPr>
        <w:spacing w:after="0" w:line="157" w:lineRule="exact"/>
        <w:rPr>
          <w:sz w:val="20"/>
          <w:szCs w:val="20"/>
          <w:color w:val="auto"/>
        </w:rPr>
      </w:pPr>
    </w:p>
    <w:p>
      <w:pPr>
        <w:ind w:left="560" w:right="20" w:hanging="278"/>
        <w:spacing w:after="0" w:line="260" w:lineRule="auto"/>
        <w:tabs>
          <w:tab w:leader="none" w:pos="55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an Institutional Investor, an Accredited Investor, a Relevant Person, or which arises from an offer referred to in Section 275(1A) of the SFA (in the case of that corporation) or Section 276(4)(i)(B) of the SFA (in the case of that trust);</w:t>
      </w:r>
    </w:p>
    <w:p>
      <w:pPr>
        <w:spacing w:after="0" w:line="139" w:lineRule="exact"/>
        <w:rPr>
          <w:rFonts w:ascii="Arial" w:cs="Arial" w:eastAsia="Arial" w:hAnsi="Arial"/>
          <w:sz w:val="16"/>
          <w:szCs w:val="16"/>
          <w:color w:val="auto"/>
        </w:rPr>
      </w:pPr>
    </w:p>
    <w:p>
      <w:pPr>
        <w:ind w:left="560" w:hanging="278"/>
        <w:spacing w:after="0"/>
        <w:tabs>
          <w:tab w:leader="none" w:pos="5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where the transfer is by operation of law;</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as specified in Section 276(7) of the SFA; or</w:t>
      </w:r>
    </w:p>
    <w:p>
      <w:pPr>
        <w:spacing w:after="0" w:line="162" w:lineRule="exact"/>
        <w:rPr>
          <w:rFonts w:ascii="Arial" w:cs="Arial" w:eastAsia="Arial" w:hAnsi="Arial"/>
          <w:sz w:val="16"/>
          <w:szCs w:val="16"/>
          <w:color w:val="auto"/>
        </w:rPr>
      </w:pPr>
    </w:p>
    <w:p>
      <w:pPr>
        <w:ind w:left="560" w:right="20" w:hanging="278"/>
        <w:spacing w:after="0" w:line="260" w:lineRule="auto"/>
        <w:tabs>
          <w:tab w:leader="none" w:pos="55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as specified in Regulation 37A of the Securities and Futures (Offers of Investments) (Securities and Securities-based Derivatives Contracts) Regulations 2018.</w:t>
      </w:r>
    </w:p>
    <w:p>
      <w:pPr>
        <w:spacing w:after="0" w:line="139"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Notification under Section 309B(1)(c) of the SFA—Solely for the purposes of its obligations pursuant to Sections 309B(1)(a) and 309B(1)(c) of the SFA, the issuer has determined, and hereby notifies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290</w:t>
      </w:r>
    </w:p>
    <w:p>
      <w:pPr>
        <w:sectPr>
          <w:pgSz w:w="11900" w:h="16838" w:orient="portrait"/>
          <w:cols w:equalWidth="0" w:num="1">
            <w:col w:w="11260"/>
          </w:cols>
          <w:pgMar w:left="320" w:top="1440" w:right="319" w:bottom="1440" w:gutter="0" w:footer="0" w:header="0"/>
        </w:sectPr>
      </w:pPr>
    </w:p>
    <w:bookmarkStart w:id="313" w:name="page314"/>
    <w:bookmarkEnd w:id="313"/>
    <w:p>
      <w:pPr>
        <w:spacing w:after="0" w:line="1"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relevant persons (as defined in Section 309A of the SFA) that the shares of Class A common stock are “prescribed capital markets products” / capital markets products other than prescribed capital markets products (as defined in the Securities and Futures (Capital Markets Products) Regulations 2018) and “Excluded Investment Products” / “Specified Investment Products” (as defined in MAS Notice SFA 04-N12: Notice on the Sale of Investment Products and MAS Notice FAA-N16: Notice on Recommendations on Investment Products).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Australia</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4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Any offer in Australia of the shares of Class A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15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Class A common stock must observe such Australian on-sale restrictions.</w:t>
      </w:r>
    </w:p>
    <w:p>
      <w:pPr>
        <w:spacing w:after="0" w:line="147"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Switzerland</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This document is not intended to constitute an offer or solicitation to purchase or invest in the shares of our Class A common stock. The shares of our Class A common stock may not be publicly offered, directly or indirectly, in Switzerland within the meaning of the Swiss Financial Services Act (“FinSA”) and will not be listed on the SIX Swiss Exchange (“SIX”) or on any other stock exchange or regulated trading venue (exchange or multilateral trading facility) in Switzerland. Neither this document nor any other offering or marketing material relating to the shares of our Class A common stock constitutes a prospectus within the meaning of, and has been prepared without regard to, the FinSA, the disclosure standards for issuance prospectuses under art. 652a or art. 1156 of the Swiss Code of Obligations or the disclosure standards for listing prospectuses under art. 27 ff. of the SIX Listing Rules or the listing rules of any other stock exchange or regulated trading venue (exchange or multilateral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152"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Neither this document nor any other offering or marketing material relating to the offering, Robinhood or the shares of Class A common stock have been or will be filed with or approved by any Swiss regulatory authority. In particular, this document will not be filed with, and the offer of shares of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291</w:t>
      </w:r>
    </w:p>
    <w:p>
      <w:pPr>
        <w:sectPr>
          <w:pgSz w:w="11900" w:h="16838" w:orient="portrait"/>
          <w:cols w:equalWidth="0" w:num="1">
            <w:col w:w="11260"/>
          </w:cols>
          <w:pgMar w:left="320" w:top="1440" w:right="319" w:bottom="1440" w:gutter="0" w:footer="0" w:header="0"/>
        </w:sectPr>
      </w:pPr>
    </w:p>
    <w:bookmarkStart w:id="314" w:name="page315"/>
    <w:bookmarkEnd w:id="314"/>
    <w:p>
      <w:pPr>
        <w:spacing w:after="0" w:line="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common stock will not be supervised by, the Swiss Financial Market Supervisory Authority (“FINMA”), and the offer of shares of Class A common stock has not been and will not be authorized under the Swiss Federal Act on Collective Investment Schemes (“CISA”). The investor protection afforded to acquirers of interests in collective investment schemes under the CISA does not extend to acquirers of shares of Class A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United Arab Emirates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shares of our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Dubai International Financial Centre</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or taken steps to verify the information set forth herein and has no responsibility for the prospectus. The shares of Class A common stock to which this prospectus relates may be illiquid and/or subject to restrictions on their resale. Prospective purchasers of the shares of Class A common stock offered should conduct their own due diligence on the shares of Class A common stock. If you do not understand the contents of this prospectus you should consult an authorized financial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292</w:t>
      </w:r>
    </w:p>
    <w:p>
      <w:pPr>
        <w:sectPr>
          <w:pgSz w:w="11900" w:h="16838" w:orient="portrait"/>
          <w:cols w:equalWidth="0" w:num="1">
            <w:col w:w="11260"/>
          </w:cols>
          <w:pgMar w:left="320" w:top="1440" w:right="319" w:bottom="1440" w:gutter="0" w:footer="0" w:header="0"/>
        </w:sectPr>
      </w:pPr>
    </w:p>
    <w:bookmarkStart w:id="315" w:name="page316"/>
    <w:bookmarkEnd w:id="315"/>
    <w:p>
      <w:pPr>
        <w:spacing w:after="0" w:line="12" w:lineRule="exact"/>
        <w:rPr>
          <w:sz w:val="20"/>
          <w:szCs w:val="20"/>
          <w:color w:val="auto"/>
        </w:rPr>
      </w:pPr>
    </w:p>
    <w:p>
      <w:pPr>
        <w:jc w:val="center"/>
        <w:ind w:right="-279"/>
        <w:spacing w:after="0"/>
        <w:rPr>
          <w:sz w:val="20"/>
          <w:szCs w:val="20"/>
          <w:color w:val="auto"/>
        </w:rPr>
      </w:pPr>
      <w:r>
        <w:rPr>
          <w:rFonts w:ascii="Arial" w:cs="Arial" w:eastAsia="Arial" w:hAnsi="Arial"/>
          <w:sz w:val="32"/>
          <w:szCs w:val="32"/>
          <w:color w:val="auto"/>
        </w:rPr>
        <w:t>LEGAL MATTERS</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validity of the shares of Class A common stock offered hereby will be passed upon for us by Cravath, Swaine &amp; Moore LLP, New York, New York.</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Certain legal matters in connection with this offering will be passed upon for the underwriters by Davis Polk &amp; Wardwell LLP, New York, New York.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EXPERTS</w:t>
      </w:r>
    </w:p>
    <w:p>
      <w:pPr>
        <w:spacing w:after="0" w:line="18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consolidated financial statements of Robinhood Markets, Inc. at December 31, 2019 and 2020 and for each of the two years in the period ended December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WHERE YOU CAN FIND MORE INFORMATION</w:t>
      </w:r>
    </w:p>
    <w:p>
      <w:pPr>
        <w:spacing w:after="0" w:line="18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therewith. For further information about us and the Class A common stock offered hereby, we refer you to the registration statement and the exhibits and schedules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48"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SEC maintains an internet website, which is located at www.sec.gov, that contains reports, proxy and information statements and other information regarding issuers that file electronically with the SEC. You may access the registration statement for this offering at the SEC’s internet website.</w:t>
      </w:r>
    </w:p>
    <w:p>
      <w:pPr>
        <w:spacing w:after="0" w:line="15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Upon completion of this offering, we will be subject to the informational and periodic reporting requirements of the Exchange Act. We will fulfill our obligations with respect to such requirements by filing periodic reports and other information with the SEC. We intend to furnish our stockholders with annual reports containing consolidated financial statements certified by an independent registered public accounting firm. We also maintain a website at www.robinhood.com. The information contained in, or which can be accessed through, our website does not constitute a part of this prospectus and you should not consider information contained on our website when deciding whether to purchase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293</w:t>
      </w:r>
    </w:p>
    <w:p>
      <w:pPr>
        <w:sectPr>
          <w:pgSz w:w="11900" w:h="16838" w:orient="portrait"/>
          <w:cols w:equalWidth="0" w:num="1">
            <w:col w:w="11260"/>
          </w:cols>
          <w:pgMar w:left="320" w:top="1440" w:right="319" w:bottom="1440" w:gutter="0" w:footer="0" w:header="0"/>
        </w:sectPr>
      </w:pPr>
    </w:p>
    <w:bookmarkStart w:id="316" w:name="page317"/>
    <w:bookmarkEnd w:id="3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323215</wp:posOffset>
            </wp:positionV>
            <wp:extent cx="6191885" cy="80130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Robinhood Markets,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83"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We have audited the accompanying consolidated balance sheets of Robinhood Markets, Inc. (the Company) as of December 31, 2019 and 2020, the related consolidated statements of operations, comprehensive income (loss), cash flows, and mezzanine equity and stockholders’ deficit for each of the two years in the period ended December 31, 2020, and the related notes (collectively referred to as the “financial statements”). In our opinion, the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83"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7"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March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260"/>
          </w:cols>
          <w:pgMar w:left="320" w:top="1421" w:right="319" w:bottom="1440" w:gutter="0" w:footer="0" w:header="0"/>
        </w:sectPr>
      </w:pPr>
    </w:p>
    <w:bookmarkStart w:id="319" w:name="page320"/>
    <w:bookmarkEnd w:id="319"/>
    <w:p>
      <w:pPr>
        <w:jc w:val="center"/>
        <w:ind w:right="20"/>
        <w:spacing w:after="0"/>
        <w:rPr>
          <w:sz w:val="20"/>
          <w:szCs w:val="20"/>
          <w:color w:val="auto"/>
        </w:rPr>
      </w:pPr>
      <w:r>
        <w:rPr>
          <w:rFonts w:ascii="Arial" w:cs="Arial" w:eastAsia="Arial" w:hAnsi="Arial"/>
          <w:sz w:val="16"/>
          <w:szCs w:val="16"/>
          <w:b w:val="1"/>
          <w:bCs w:val="1"/>
          <w:color w:val="auto"/>
        </w:rPr>
        <w:t>ROBINHOOD MARKETS,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share and per share data)</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644,050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1,402,629</w:t>
            </w: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2,420,354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4,914,660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Receivables from brokers, dealers and clearing organizations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20,714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124,501</w:t>
            </w: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Receivables from users, net</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640,171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3,354,142</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Deposits with clearing organizations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122,477</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225,514</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current assets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28,342</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851,138</w:t>
            </w:r>
          </w:p>
        </w:tc>
        <w:tc>
          <w:tcPr>
            <w:tcW w:w="0" w:type="dxa"/>
            <w:vAlign w:val="bottom"/>
          </w:tcPr>
          <w:p>
            <w:pPr>
              <w:spacing w:after="0"/>
              <w:rPr>
                <w:sz w:val="1"/>
                <w:szCs w:val="1"/>
                <w:color w:val="auto"/>
              </w:rPr>
            </w:pPr>
          </w:p>
        </w:tc>
      </w:tr>
      <w:tr>
        <w:trPr>
          <w:trHeight w:val="195"/>
        </w:trPr>
        <w:tc>
          <w:tcPr>
            <w:tcW w:w="80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3,876,108</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10,872,584</w:t>
            </w:r>
          </w:p>
        </w:tc>
        <w:tc>
          <w:tcPr>
            <w:tcW w:w="0" w:type="dxa"/>
            <w:vAlign w:val="bottom"/>
          </w:tcPr>
          <w:p>
            <w:pPr>
              <w:spacing w:after="0"/>
              <w:rPr>
                <w:sz w:val="1"/>
                <w:szCs w:val="1"/>
                <w:color w:val="auto"/>
              </w:rPr>
            </w:pPr>
          </w:p>
        </w:tc>
      </w:tr>
      <w:tr>
        <w:trPr>
          <w:trHeight w:val="195"/>
        </w:trPr>
        <w:tc>
          <w:tcPr>
            <w:tcW w:w="8020" w:type="dxa"/>
            <w:vAlign w:val="bottom"/>
          </w:tcPr>
          <w:p>
            <w:pPr>
              <w:ind w:left="200"/>
              <w:spacing w:after="0"/>
              <w:rPr>
                <w:sz w:val="20"/>
                <w:szCs w:val="20"/>
                <w:color w:val="auto"/>
              </w:rPr>
            </w:pPr>
            <w:r>
              <w:rPr>
                <w:rFonts w:ascii="Arial" w:cs="Arial" w:eastAsia="Arial" w:hAnsi="Arial"/>
                <w:sz w:val="16"/>
                <w:szCs w:val="16"/>
                <w:color w:val="auto"/>
              </w:rPr>
              <w:t>Property, software and equipment, net</w:t>
            </w:r>
          </w:p>
        </w:tc>
        <w:tc>
          <w:tcPr>
            <w:tcW w:w="380" w:type="dxa"/>
            <w:vAlign w:val="bottom"/>
          </w:tcPr>
          <w:p>
            <w:pPr>
              <w:spacing w:after="0"/>
              <w:rPr>
                <w:sz w:val="16"/>
                <w:szCs w:val="16"/>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25,301</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45,834</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Restricted cash</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5,164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7,364</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Non-current assets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37,827</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62,692</w:t>
            </w:r>
          </w:p>
        </w:tc>
        <w:tc>
          <w:tcPr>
            <w:tcW w:w="0" w:type="dxa"/>
            <w:vAlign w:val="bottom"/>
          </w:tcPr>
          <w:p>
            <w:pPr>
              <w:spacing w:after="0"/>
              <w:rPr>
                <w:sz w:val="1"/>
                <w:szCs w:val="1"/>
                <w:color w:val="auto"/>
              </w:rPr>
            </w:pPr>
          </w:p>
        </w:tc>
      </w:tr>
      <w:tr>
        <w:trPr>
          <w:trHeight w:val="220"/>
        </w:trPr>
        <w:tc>
          <w:tcPr>
            <w:tcW w:w="8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3,944,400</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10,988,474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mezzanine equity and stockholders’ deficit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37,587</w:t>
            </w:r>
          </w:p>
        </w:tc>
        <w:tc>
          <w:tcPr>
            <w:tcW w:w="80" w:type="dxa"/>
            <w:vAlign w:val="bottom"/>
          </w:tcPr>
          <w:p>
            <w:pPr>
              <w:spacing w:after="0"/>
              <w:rPr>
                <w:sz w:val="17"/>
                <w:szCs w:val="17"/>
                <w:color w:val="auto"/>
              </w:rPr>
            </w:pP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104,649</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Payables to users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2,365,151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5,897,242</w:t>
            </w: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Securities loaned</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674,029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1,921,118</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24,613</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893,036</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3,101,380</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8,816,045</w:t>
            </w:r>
          </w:p>
        </w:tc>
        <w:tc>
          <w:tcPr>
            <w:tcW w:w="0" w:type="dxa"/>
            <w:vAlign w:val="bottom"/>
          </w:tcPr>
          <w:p>
            <w:pPr>
              <w:spacing w:after="0"/>
              <w:rPr>
                <w:sz w:val="1"/>
                <w:szCs w:val="1"/>
                <w:color w:val="auto"/>
              </w:rPr>
            </w:pPr>
          </w:p>
        </w:tc>
      </w:tr>
      <w:tr>
        <w:trPr>
          <w:trHeight w:val="195"/>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non-current liabilities</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27,657</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48,012</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3,129,037</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8,864,057</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Mezzanine equity</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260"/>
              <w:spacing w:after="0" w:line="167" w:lineRule="exact"/>
              <w:rPr>
                <w:sz w:val="20"/>
                <w:szCs w:val="20"/>
                <w:color w:val="auto"/>
              </w:rPr>
            </w:pPr>
            <w:r>
              <w:rPr>
                <w:rFonts w:ascii="Arial" w:cs="Arial" w:eastAsia="Arial" w:hAnsi="Arial"/>
                <w:sz w:val="16"/>
                <w:szCs w:val="16"/>
                <w:color w:val="auto"/>
              </w:rPr>
              <w:t>Redeemable convertible preferred stock, $0.0001 par value. 643,333,662 and 414,033,220 authorized at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20" w:type="dxa"/>
            <w:vAlign w:val="bottom"/>
            <w:shd w:val="clear" w:color="auto" w:fill="CCEEFF"/>
          </w:tcPr>
          <w:p>
            <w:pPr>
              <w:ind w:left="400"/>
              <w:spacing w:after="0" w:line="155" w:lineRule="exact"/>
              <w:rPr>
                <w:sz w:val="20"/>
                <w:szCs w:val="20"/>
                <w:color w:val="auto"/>
              </w:rPr>
            </w:pPr>
            <w:r>
              <w:rPr>
                <w:rFonts w:ascii="Arial" w:cs="Arial" w:eastAsia="Arial" w:hAnsi="Arial"/>
                <w:sz w:val="16"/>
                <w:szCs w:val="16"/>
                <w:color w:val="auto"/>
              </w:rPr>
              <w:t>December 31, 2019 and December 31, 2020. 321,626,778 and 412,742,897 issued and outstanding at</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20" w:type="dxa"/>
            <w:vAlign w:val="bottom"/>
            <w:shd w:val="clear" w:color="auto" w:fill="CCEEFF"/>
          </w:tcPr>
          <w:p>
            <w:pPr>
              <w:ind w:left="400"/>
              <w:spacing w:after="0" w:line="155" w:lineRule="exact"/>
              <w:rPr>
                <w:sz w:val="20"/>
                <w:szCs w:val="20"/>
                <w:color w:val="auto"/>
              </w:rPr>
            </w:pPr>
            <w:r>
              <w:rPr>
                <w:rFonts w:ascii="Arial" w:cs="Arial" w:eastAsia="Arial" w:hAnsi="Arial"/>
                <w:sz w:val="16"/>
                <w:szCs w:val="16"/>
                <w:color w:val="auto"/>
              </w:rPr>
              <w:t>December 31, 2019 and December 31, 2020. Liquidation preference of $922,786 and $2,191,086 at</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December 31, 2019 and December 31, 2020.</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912,411</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2,179,739</w:t>
            </w: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Stockholders’ deficit:</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200"/>
              <w:spacing w:after="0" w:line="167" w:lineRule="exact"/>
              <w:rPr>
                <w:sz w:val="20"/>
                <w:szCs w:val="20"/>
                <w:color w:val="auto"/>
              </w:rPr>
            </w:pPr>
            <w:r>
              <w:rPr>
                <w:rFonts w:ascii="Arial" w:cs="Arial" w:eastAsia="Arial" w:hAnsi="Arial"/>
                <w:sz w:val="16"/>
                <w:szCs w:val="16"/>
                <w:color w:val="auto"/>
              </w:rPr>
              <w:t>Common stock, $0.0001 par value, 1,400,000,000 and 777,354,000 shares authorized at December 31, 2019</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20" w:type="dxa"/>
            <w:vAlign w:val="bottom"/>
            <w:shd w:val="clear" w:color="auto" w:fill="CCEEFF"/>
          </w:tcPr>
          <w:p>
            <w:pPr>
              <w:ind w:left="340"/>
              <w:spacing w:after="0" w:line="155" w:lineRule="exact"/>
              <w:rPr>
                <w:sz w:val="20"/>
                <w:szCs w:val="20"/>
                <w:color w:val="auto"/>
              </w:rPr>
            </w:pPr>
            <w:r>
              <w:rPr>
                <w:rFonts w:ascii="Arial" w:cs="Arial" w:eastAsia="Arial" w:hAnsi="Arial"/>
                <w:sz w:val="16"/>
                <w:szCs w:val="16"/>
                <w:color w:val="auto"/>
              </w:rPr>
              <w:t>and December 31, 2020. 224,802,545 and 229,031,546 shares issued and outstanding at December 31,</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2019 and December 31, 2020.</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99,439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134,307</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Accumulated deficit</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(196,677)</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(190,103)</w:t>
            </w:r>
          </w:p>
        </w:tc>
        <w:tc>
          <w:tcPr>
            <w:tcW w:w="0" w:type="dxa"/>
            <w:vAlign w:val="bottom"/>
          </w:tcPr>
          <w:p>
            <w:pPr>
              <w:spacing w:after="0"/>
              <w:rPr>
                <w:sz w:val="1"/>
                <w:szCs w:val="1"/>
                <w:color w:val="auto"/>
              </w:rPr>
            </w:pPr>
          </w:p>
        </w:tc>
      </w:tr>
      <w:tr>
        <w:trPr>
          <w:trHeight w:val="195"/>
        </w:trPr>
        <w:tc>
          <w:tcPr>
            <w:tcW w:w="80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Total stockholders’ deficit</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(97,048)</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(55,322)</w:t>
            </w:r>
          </w:p>
        </w:tc>
        <w:tc>
          <w:tcPr>
            <w:tcW w:w="0" w:type="dxa"/>
            <w:vAlign w:val="bottom"/>
          </w:tcPr>
          <w:p>
            <w:pPr>
              <w:spacing w:after="0"/>
              <w:rPr>
                <w:sz w:val="1"/>
                <w:szCs w:val="1"/>
                <w:color w:val="auto"/>
              </w:rPr>
            </w:pPr>
          </w:p>
        </w:tc>
      </w:tr>
      <w:tr>
        <w:trPr>
          <w:trHeight w:val="195"/>
        </w:trPr>
        <w:tc>
          <w:tcPr>
            <w:tcW w:w="8020" w:type="dxa"/>
            <w:vAlign w:val="bottom"/>
          </w:tcPr>
          <w:p>
            <w:pPr>
              <w:ind w:left="580"/>
              <w:spacing w:after="0"/>
              <w:rPr>
                <w:sz w:val="20"/>
                <w:szCs w:val="20"/>
                <w:color w:val="auto"/>
              </w:rPr>
            </w:pPr>
            <w:r>
              <w:rPr>
                <w:rFonts w:ascii="Arial" w:cs="Arial" w:eastAsia="Arial" w:hAnsi="Arial"/>
                <w:sz w:val="16"/>
                <w:szCs w:val="16"/>
                <w:color w:val="auto"/>
              </w:rPr>
              <w:t>Total liabilities, mezzanine equity and stockholders’ deficit</w:t>
            </w:r>
          </w:p>
        </w:tc>
        <w:tc>
          <w:tcPr>
            <w:tcW w:w="3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3,944,400</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10,988,474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260"/>
          </w:cols>
          <w:pgMar w:left="320" w:top="120" w:right="319" w:bottom="1440" w:gutter="0" w:footer="0" w:header="0"/>
        </w:sectPr>
      </w:pPr>
    </w:p>
    <w:bookmarkStart w:id="320" w:name="page321"/>
    <w:bookmarkEnd w:id="320"/>
    <w:p>
      <w:pPr>
        <w:jc w:val="center"/>
        <w:ind w:right="20"/>
        <w:spacing w:after="0"/>
        <w:rPr>
          <w:sz w:val="20"/>
          <w:szCs w:val="20"/>
          <w:color w:val="auto"/>
        </w:rPr>
      </w:pPr>
      <w:r>
        <w:rPr>
          <w:rFonts w:ascii="Arial" w:cs="Arial" w:eastAsia="Arial" w:hAnsi="Arial"/>
          <w:sz w:val="16"/>
          <w:szCs w:val="16"/>
          <w:b w:val="1"/>
          <w:bCs w:val="1"/>
          <w:color w:val="auto"/>
        </w:rPr>
        <w:t>ROBINHOOD MARKETS,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6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share and per share data)</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Transaction-based revenues</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170,831</w:t>
            </w:r>
          </w:p>
        </w:tc>
        <w:tc>
          <w:tcPr>
            <w:tcW w:w="80" w:type="dxa"/>
            <w:vAlign w:val="bottom"/>
          </w:tcPr>
          <w:p>
            <w:pPr>
              <w:spacing w:after="0"/>
              <w:rPr>
                <w:sz w:val="17"/>
                <w:szCs w:val="17"/>
                <w:color w:val="auto"/>
              </w:rPr>
            </w:pP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720,133</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interest revenues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70,639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177,437</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revenues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36,063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61,263</w:t>
            </w:r>
          </w:p>
        </w:tc>
        <w:tc>
          <w:tcPr>
            <w:tcW w:w="0" w:type="dxa"/>
            <w:vAlign w:val="bottom"/>
          </w:tcPr>
          <w:p>
            <w:pPr>
              <w:spacing w:after="0"/>
              <w:rPr>
                <w:sz w:val="1"/>
                <w:szCs w:val="1"/>
                <w:color w:val="auto"/>
              </w:rPr>
            </w:pPr>
          </w:p>
        </w:tc>
      </w:tr>
      <w:tr>
        <w:trPr>
          <w:trHeight w:val="195"/>
        </w:trPr>
        <w:tc>
          <w:tcPr>
            <w:tcW w:w="80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revenues</w:t>
            </w: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277,533</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958,833</w:t>
            </w:r>
          </w:p>
        </w:tc>
        <w:tc>
          <w:tcPr>
            <w:tcW w:w="0" w:type="dxa"/>
            <w:vAlign w:val="bottom"/>
          </w:tcPr>
          <w:p>
            <w:pPr>
              <w:spacing w:after="0"/>
              <w:rPr>
                <w:sz w:val="1"/>
                <w:szCs w:val="1"/>
                <w:color w:val="auto"/>
              </w:rPr>
            </w:pPr>
          </w:p>
        </w:tc>
      </w:tr>
      <w:tr>
        <w:trPr>
          <w:trHeight w:val="207"/>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Brokerage and transaction</w:t>
            </w:r>
          </w:p>
        </w:tc>
        <w:tc>
          <w:tcPr>
            <w:tcW w:w="3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45,459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111,083</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Technology and development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94,932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215,630</w:t>
            </w: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3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33,869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137,905</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Marketing</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124,699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185,741</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85,504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294,694</w:t>
            </w:r>
          </w:p>
        </w:tc>
        <w:tc>
          <w:tcPr>
            <w:tcW w:w="0" w:type="dxa"/>
            <w:vAlign w:val="bottom"/>
          </w:tcPr>
          <w:p>
            <w:pPr>
              <w:spacing w:after="0"/>
              <w:rPr>
                <w:sz w:val="1"/>
                <w:szCs w:val="1"/>
                <w:color w:val="auto"/>
              </w:rPr>
            </w:pPr>
          </w:p>
        </w:tc>
      </w:tr>
      <w:tr>
        <w:trPr>
          <w:trHeight w:val="195"/>
        </w:trPr>
        <w:tc>
          <w:tcPr>
            <w:tcW w:w="80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384,463</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945,053</w:t>
            </w:r>
          </w:p>
        </w:tc>
        <w:tc>
          <w:tcPr>
            <w:tcW w:w="0" w:type="dxa"/>
            <w:vAlign w:val="bottom"/>
          </w:tcPr>
          <w:p>
            <w:pPr>
              <w:spacing w:after="0"/>
              <w:rPr>
                <w:sz w:val="1"/>
                <w:szCs w:val="1"/>
                <w:color w:val="auto"/>
              </w:rPr>
            </w:pPr>
          </w:p>
        </w:tc>
      </w:tr>
      <w:tr>
        <w:trPr>
          <w:trHeight w:val="207"/>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657</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Income (loss) before income tax</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(107,587)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13,830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6,381</w:t>
            </w: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(106,569)</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7,449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02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(106,569)</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2,848</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(106,569)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2,848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share attributable to common stockholders: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20" w:type="dxa"/>
            <w:vAlign w:val="bottom"/>
          </w:tcPr>
          <w:p>
            <w:pPr>
              <w:ind w:left="200"/>
              <w:spacing w:after="0" w:line="171" w:lineRule="exact"/>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jc w:val="right"/>
              <w:ind w:right="160"/>
              <w:spacing w:after="0" w:line="17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(0.48)</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60"/>
              <w:spacing w:after="0" w:line="17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line="171" w:lineRule="exact"/>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02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rPr>
              <w:t>Weighted-average shares used to compute net income (loss) per share attributable to common stockholders: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221,664,610</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225,748,355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221,664,610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244,997,388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260"/>
          </w:cols>
          <w:pgMar w:left="320" w:top="120" w:right="319" w:bottom="1440" w:gutter="0" w:footer="0" w:header="0"/>
        </w:sectPr>
      </w:pPr>
    </w:p>
    <w:bookmarkStart w:id="321" w:name="page322"/>
    <w:bookmarkEnd w:id="321"/>
    <w:p>
      <w:pPr>
        <w:jc w:val="center"/>
        <w:ind w:right="20"/>
        <w:spacing w:after="0"/>
        <w:rPr>
          <w:sz w:val="20"/>
          <w:szCs w:val="20"/>
          <w:color w:val="auto"/>
        </w:rPr>
      </w:pPr>
      <w:r>
        <w:rPr>
          <w:rFonts w:ascii="Arial" w:cs="Arial" w:eastAsia="Arial" w:hAnsi="Arial"/>
          <w:sz w:val="16"/>
          <w:szCs w:val="16"/>
          <w:b w:val="1"/>
          <w:bCs w:val="1"/>
          <w:color w:val="auto"/>
        </w:rPr>
        <w:t>ROBINHOOD MARKETS,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764"/>
              <w:spacing w:after="0"/>
              <w:rPr>
                <w:sz w:val="20"/>
                <w:szCs w:val="20"/>
                <w:color w:val="auto"/>
              </w:rPr>
            </w:pPr>
            <w:r>
              <w:rPr>
                <w:rFonts w:ascii="Arial" w:cs="Arial" w:eastAsia="Arial" w:hAnsi="Arial"/>
                <w:sz w:val="13"/>
                <w:szCs w:val="13"/>
                <w:b w:val="1"/>
                <w:bCs w:val="1"/>
                <w:color w:val="auto"/>
              </w:rPr>
              <w:t>Year Ended December 31,</w:t>
            </w: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(106,569)</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7,449</w:t>
            </w:r>
          </w:p>
        </w:tc>
      </w:tr>
      <w:tr>
        <w:trPr>
          <w:trHeight w:val="183"/>
        </w:trPr>
        <w:tc>
          <w:tcPr>
            <w:tcW w:w="802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179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284</w:t>
            </w:r>
          </w:p>
        </w:tc>
      </w:tr>
      <w:tr>
        <w:trPr>
          <w:trHeight w:val="195"/>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other comprehensive income, net of tax</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179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284</w:t>
            </w:r>
          </w:p>
        </w:tc>
      </w:tr>
      <w:tr>
        <w:trPr>
          <w:trHeight w:val="22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(106,390)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7,733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260"/>
          </w:cols>
          <w:pgMar w:left="320" w:top="120" w:right="319" w:bottom="1440" w:gutter="0" w:footer="0" w:header="0"/>
        </w:sectPr>
      </w:pPr>
    </w:p>
    <w:bookmarkStart w:id="322" w:name="page323"/>
    <w:bookmarkEnd w:id="322"/>
    <w:p>
      <w:pPr>
        <w:jc w:val="center"/>
        <w:ind w:right="20"/>
        <w:spacing w:after="0"/>
        <w:rPr>
          <w:sz w:val="20"/>
          <w:szCs w:val="20"/>
          <w:color w:val="auto"/>
        </w:rPr>
      </w:pPr>
      <w:r>
        <w:rPr>
          <w:rFonts w:ascii="Arial" w:cs="Arial" w:eastAsia="Arial" w:hAnsi="Arial"/>
          <w:sz w:val="16"/>
          <w:szCs w:val="16"/>
          <w:b w:val="1"/>
          <w:bCs w:val="1"/>
          <w:color w:val="auto"/>
        </w:rPr>
        <w:t>ROBINHOOD MARKETS,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20" w:type="dxa"/>
            <w:vAlign w:val="bottom"/>
            <w:tcBorders>
              <w:bottom w:val="single" w:sz="8" w:color="auto"/>
            </w:tcBorders>
          </w:tcPr>
          <w:p>
            <w:pPr>
              <w:spacing w:after="0"/>
              <w:rPr>
                <w:sz w:val="13"/>
                <w:szCs w:val="13"/>
                <w:color w:val="auto"/>
              </w:rPr>
            </w:pPr>
          </w:p>
        </w:tc>
      </w:tr>
      <w:tr>
        <w:trPr>
          <w:trHeight w:val="15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w w:val="97"/>
              </w:rPr>
              <w:t>2020</w:t>
            </w:r>
          </w:p>
        </w:tc>
      </w:tr>
      <w:tr>
        <w:trPr>
          <w:trHeight w:val="140"/>
        </w:trPr>
        <w:tc>
          <w:tcPr>
            <w:tcW w:w="80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38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(106,569)</w:t>
            </w:r>
          </w:p>
        </w:tc>
        <w:tc>
          <w:tcPr>
            <w:tcW w:w="80" w:type="dxa"/>
            <w:vAlign w:val="bottom"/>
          </w:tcPr>
          <w:p>
            <w:pPr>
              <w:spacing w:after="0"/>
              <w:rPr>
                <w:sz w:val="14"/>
                <w:szCs w:val="14"/>
                <w:color w:val="auto"/>
              </w:rPr>
            </w:pPr>
          </w:p>
        </w:tc>
        <w:tc>
          <w:tcPr>
            <w:tcW w:w="66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7,449</w:t>
            </w:r>
          </w:p>
        </w:tc>
      </w:tr>
      <w:tr>
        <w:trPr>
          <w:trHeight w:val="167"/>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5,444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9,938</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Provision for credit losses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11,109</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59,134</w:t>
            </w: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Share-based compensation</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26,667</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24,330</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Deferred income taxes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Other</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834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2,400</w:t>
            </w:r>
          </w:p>
        </w:tc>
      </w:tr>
      <w:tr>
        <w:trPr>
          <w:trHeight w:val="167"/>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Segregated securities under federal and other regulations</w:t>
            </w: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(134,994)</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Receivables from brokers, dealers and clearing organizations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(103,787)</w:t>
            </w: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Receivables from users, net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(64,711)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(2,771,967)</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Deposits with clearing organizations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(85,547)</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(103,037)</w:t>
            </w: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Other current and non-current assets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(47,758)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(848,538)</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Accounts payable and accrued expenses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13,895</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67,117</w:t>
            </w: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Payables to users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802,817</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3,532,091</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Securities loaned</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674,029</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1,247,089</w:t>
            </w:r>
          </w:p>
        </w:tc>
      </w:tr>
      <w:tr>
        <w:trPr>
          <w:trHeight w:val="167"/>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Other current and non-current liabilities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39,621</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889,290</w:t>
            </w:r>
          </w:p>
        </w:tc>
      </w:tr>
      <w:tr>
        <w:trPr>
          <w:trHeight w:val="159"/>
        </w:trPr>
        <w:tc>
          <w:tcPr>
            <w:tcW w:w="80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provided by operating activities</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1,260,085</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1,876,254</w:t>
            </w:r>
          </w:p>
        </w:tc>
      </w:tr>
      <w:tr>
        <w:trPr>
          <w:trHeight w:val="147"/>
        </w:trPr>
        <w:tc>
          <w:tcPr>
            <w:tcW w:w="802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Investing activities:</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of property, software and equipment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(7,255)</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(24,443)</w:t>
            </w: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Capitalization of internally developed software</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(5,198)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(7,887)</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Sales, maturities and paydowns of marketable securities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802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Net cash used in investing activities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(12,312)</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(32,330)</w:t>
            </w:r>
          </w:p>
        </w:tc>
      </w:tr>
      <w:tr>
        <w:trPr>
          <w:trHeight w:val="147"/>
        </w:trPr>
        <w:tc>
          <w:tcPr>
            <w:tcW w:w="80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Financing activities: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Draws on credit facilities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137,000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937,700</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Repayments on credit facilities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(137,000)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(937,700)</w:t>
            </w:r>
          </w:p>
        </w:tc>
      </w:tr>
      <w:tr>
        <w:trPr>
          <w:trHeight w:val="167"/>
        </w:trPr>
        <w:tc>
          <w:tcPr>
            <w:tcW w:w="8020" w:type="dxa"/>
            <w:vAlign w:val="bottom"/>
          </w:tcPr>
          <w:p>
            <w:pPr>
              <w:ind w:left="220"/>
              <w:spacing w:after="0"/>
              <w:rPr>
                <w:sz w:val="20"/>
                <w:szCs w:val="20"/>
                <w:color w:val="auto"/>
              </w:rPr>
            </w:pPr>
            <w:r>
              <w:rPr>
                <w:rFonts w:ascii="Arial" w:cs="Arial" w:eastAsia="Arial" w:hAnsi="Arial"/>
                <w:sz w:val="13"/>
                <w:szCs w:val="13"/>
                <w:color w:val="auto"/>
              </w:rPr>
              <w:t>Proceeds from issuance of redeemable convertible preferred stock, net of issuance costs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372,733</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1,267,328</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exercise of stock options, net of repurchases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2,617</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8,555</w:t>
            </w:r>
          </w:p>
        </w:tc>
      </w:tr>
      <w:tr>
        <w:trPr>
          <w:trHeight w:val="159"/>
        </w:trPr>
        <w:tc>
          <w:tcPr>
            <w:tcW w:w="802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Net cash provided by financing activities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375,350</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1,275,883</w:t>
            </w:r>
          </w:p>
        </w:tc>
      </w:tr>
      <w:tr>
        <w:trPr>
          <w:trHeight w:val="159"/>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Effect of foreign exchange rate changes on cash and cash equivalents</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w:t>
            </w:r>
          </w:p>
        </w:tc>
      </w:tr>
      <w:tr>
        <w:trPr>
          <w:trHeight w:val="159"/>
        </w:trPr>
        <w:tc>
          <w:tcPr>
            <w:tcW w:w="8020" w:type="dxa"/>
            <w:vAlign w:val="bottom"/>
          </w:tcPr>
          <w:p>
            <w:pPr>
              <w:ind w:left="400"/>
              <w:spacing w:after="0"/>
              <w:rPr>
                <w:sz w:val="20"/>
                <w:szCs w:val="20"/>
                <w:color w:val="auto"/>
              </w:rPr>
            </w:pPr>
            <w:r>
              <w:rPr>
                <w:rFonts w:ascii="Arial" w:cs="Arial" w:eastAsia="Arial" w:hAnsi="Arial"/>
                <w:sz w:val="13"/>
                <w:szCs w:val="13"/>
                <w:color w:val="auto"/>
              </w:rPr>
              <w:t>Net increase in cash, cash equivalents, segregated cash and restricted cash</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1,623,302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3,120,091</w:t>
            </w:r>
          </w:p>
        </w:tc>
      </w:tr>
      <w:tr>
        <w:trPr>
          <w:trHeight w:val="167"/>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segregated cash and restricted cash, beginning of the period</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1,446,266</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3,069,568</w:t>
            </w:r>
          </w:p>
        </w:tc>
      </w:tr>
      <w:tr>
        <w:trPr>
          <w:trHeight w:val="159"/>
        </w:trPr>
        <w:tc>
          <w:tcPr>
            <w:tcW w:w="8020" w:type="dxa"/>
            <w:vAlign w:val="bottom"/>
          </w:tcPr>
          <w:p>
            <w:pPr>
              <w:ind w:left="20"/>
              <w:spacing w:after="0"/>
              <w:rPr>
                <w:sz w:val="20"/>
                <w:szCs w:val="20"/>
                <w:color w:val="auto"/>
              </w:rPr>
            </w:pPr>
            <w:r>
              <w:rPr>
                <w:rFonts w:ascii="Arial" w:cs="Arial" w:eastAsia="Arial" w:hAnsi="Arial"/>
                <w:sz w:val="13"/>
                <w:szCs w:val="13"/>
                <w:color w:val="auto"/>
              </w:rPr>
              <w:t>Cash, cash equivalents, segregated cash and restricted cash, end of the period</w:t>
            </w: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3,069,568</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6,189,659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5"/>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end of the period</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644,050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1,402,629</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Segregated cash, end of the period</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2,420,354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4,779,666</w:t>
            </w:r>
          </w:p>
        </w:tc>
      </w:tr>
      <w:tr>
        <w:trPr>
          <w:trHeight w:val="167"/>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end of the period</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5,164</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7,364</w:t>
            </w:r>
          </w:p>
        </w:tc>
      </w:tr>
      <w:tr>
        <w:trPr>
          <w:trHeight w:val="159"/>
        </w:trPr>
        <w:tc>
          <w:tcPr>
            <w:tcW w:w="8020" w:type="dxa"/>
            <w:vAlign w:val="bottom"/>
          </w:tcPr>
          <w:p>
            <w:pPr>
              <w:ind w:left="20"/>
              <w:spacing w:after="0"/>
              <w:rPr>
                <w:sz w:val="20"/>
                <w:szCs w:val="20"/>
                <w:color w:val="auto"/>
              </w:rPr>
            </w:pPr>
            <w:r>
              <w:rPr>
                <w:rFonts w:ascii="Arial" w:cs="Arial" w:eastAsia="Arial" w:hAnsi="Arial"/>
                <w:sz w:val="13"/>
                <w:szCs w:val="13"/>
                <w:color w:val="auto"/>
              </w:rPr>
              <w:t>Cash, cash equivalents, segregated cash and restricted cash, end of the period</w:t>
            </w:r>
          </w:p>
        </w:tc>
        <w:tc>
          <w:tcPr>
            <w:tcW w:w="38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3,069,568</w:t>
            </w:r>
          </w:p>
        </w:tc>
        <w:tc>
          <w:tcPr>
            <w:tcW w:w="80" w:type="dxa"/>
            <w:vAlign w:val="bottom"/>
          </w:tcPr>
          <w:p>
            <w:pPr>
              <w:spacing w:after="0"/>
              <w:rPr>
                <w:sz w:val="13"/>
                <w:szCs w:val="13"/>
                <w:color w:val="auto"/>
              </w:rPr>
            </w:pPr>
          </w:p>
        </w:tc>
        <w:tc>
          <w:tcPr>
            <w:tcW w:w="66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6,189,659</w:t>
            </w:r>
          </w:p>
        </w:tc>
      </w:tr>
      <w:tr>
        <w:trPr>
          <w:trHeight w:val="167"/>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Cash paid for interest</w:t>
            </w:r>
          </w:p>
        </w:tc>
        <w:tc>
          <w:tcPr>
            <w:tcW w:w="38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621</w:t>
            </w:r>
          </w:p>
        </w:tc>
        <w:tc>
          <w:tcPr>
            <w:tcW w:w="80" w:type="dxa"/>
            <w:vAlign w:val="bottom"/>
          </w:tcPr>
          <w:p>
            <w:pPr>
              <w:spacing w:after="0"/>
              <w:rPr>
                <w:sz w:val="14"/>
                <w:szCs w:val="14"/>
                <w:color w:val="auto"/>
              </w:rPr>
            </w:pPr>
          </w:p>
        </w:tc>
        <w:tc>
          <w:tcPr>
            <w:tcW w:w="66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3,207</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paid for income taxes</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1,396</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5,689</w:t>
            </w:r>
          </w:p>
        </w:tc>
      </w:tr>
    </w:tbl>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260"/>
          </w:cols>
          <w:pgMar w:left="320" w:top="120" w:right="319" w:bottom="1440" w:gutter="0" w:footer="0" w:header="0"/>
        </w:sectPr>
      </w:pPr>
    </w:p>
    <w:bookmarkStart w:id="323" w:name="page324"/>
    <w:bookmarkEnd w:id="323"/>
    <w:p>
      <w:pPr>
        <w:jc w:val="center"/>
        <w:ind w:right="20"/>
        <w:spacing w:after="0"/>
        <w:rPr>
          <w:sz w:val="20"/>
          <w:szCs w:val="20"/>
          <w:color w:val="auto"/>
        </w:rPr>
      </w:pPr>
      <w:r>
        <w:rPr>
          <w:rFonts w:ascii="Arial" w:cs="Arial" w:eastAsia="Arial" w:hAnsi="Arial"/>
          <w:sz w:val="16"/>
          <w:szCs w:val="16"/>
          <w:b w:val="1"/>
          <w:bCs w:val="1"/>
          <w:color w:val="auto"/>
        </w:rPr>
        <w:t>ROBINHOOD MARKETS,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MEZZANINE EQUITY AND STOCKHOLDERS’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00" w:type="dxa"/>
            <w:vAlign w:val="bottom"/>
          </w:tcPr>
          <w:p>
            <w:pPr>
              <w:spacing w:after="0"/>
              <w:rPr>
                <w:sz w:val="14"/>
                <w:szCs w:val="14"/>
                <w:color w:val="auto"/>
              </w:rPr>
            </w:pPr>
          </w:p>
        </w:tc>
        <w:tc>
          <w:tcPr>
            <w:tcW w:w="2140" w:type="dxa"/>
            <w:vAlign w:val="bottom"/>
            <w:tcBorders>
              <w:right w:val="single" w:sz="8" w:color="auto"/>
            </w:tcBorders>
            <w:gridSpan w:val="4"/>
          </w:tcPr>
          <w:p>
            <w:pPr>
              <w:jc w:val="right"/>
              <w:ind w:right="157"/>
              <w:spacing w:after="0"/>
              <w:rPr>
                <w:sz w:val="20"/>
                <w:szCs w:val="20"/>
                <w:color w:val="auto"/>
              </w:rPr>
            </w:pPr>
            <w:r>
              <w:rPr>
                <w:rFonts w:ascii="Arial" w:cs="Arial" w:eastAsia="Arial" w:hAnsi="Arial"/>
                <w:sz w:val="11"/>
                <w:szCs w:val="11"/>
                <w:b w:val="1"/>
                <w:bCs w:val="1"/>
                <w:color w:val="auto"/>
              </w:rPr>
              <w:t>Redeemable convertible preferred</w:t>
            </w:r>
          </w:p>
        </w:tc>
        <w:tc>
          <w:tcPr>
            <w:tcW w:w="60" w:type="dxa"/>
            <w:vAlign w:val="bottom"/>
          </w:tcPr>
          <w:p>
            <w:pPr>
              <w:spacing w:after="0"/>
              <w:rPr>
                <w:sz w:val="14"/>
                <w:szCs w:val="14"/>
                <w:color w:val="auto"/>
              </w:rPr>
            </w:pPr>
          </w:p>
        </w:tc>
        <w:tc>
          <w:tcPr>
            <w:tcW w:w="1820" w:type="dxa"/>
            <w:vAlign w:val="bottom"/>
            <w:gridSpan w:val="3"/>
            <w:vMerge w:val="restart"/>
          </w:tcPr>
          <w:p>
            <w:pPr>
              <w:jc w:val="right"/>
              <w:ind w:right="318"/>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ind w:right="59"/>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1260" w:type="dxa"/>
            <w:vAlign w:val="bottom"/>
            <w:gridSpan w:val="3"/>
          </w:tcPr>
          <w:p>
            <w:pPr>
              <w:jc w:val="right"/>
              <w:ind w:right="36"/>
              <w:spacing w:after="0" w:line="108" w:lineRule="exact"/>
              <w:rPr>
                <w:sz w:val="20"/>
                <w:szCs w:val="20"/>
                <w:color w:val="auto"/>
              </w:rPr>
            </w:pPr>
            <w:r>
              <w:rPr>
                <w:rFonts w:ascii="Arial" w:cs="Arial" w:eastAsia="Arial" w:hAnsi="Arial"/>
                <w:sz w:val="11"/>
                <w:szCs w:val="11"/>
                <w:b w:val="1"/>
                <w:bCs w:val="1"/>
                <w:color w:val="auto"/>
              </w:rPr>
              <w:t>stock</w:t>
            </w:r>
          </w:p>
        </w:tc>
        <w:tc>
          <w:tcPr>
            <w:tcW w:w="8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4"/>
                <w:szCs w:val="4"/>
                <w:b w:val="1"/>
                <w:bCs w:val="1"/>
                <w:color w:val="auto"/>
              </w:rPr>
              <w:t>paid-in</w:t>
            </w:r>
          </w:p>
        </w:tc>
        <w:tc>
          <w:tcPr>
            <w:tcW w:w="80" w:type="dxa"/>
            <w:vAlign w:val="bottom"/>
          </w:tcPr>
          <w:p>
            <w:pPr>
              <w:spacing w:after="0"/>
              <w:rPr>
                <w:sz w:val="4"/>
                <w:szCs w:val="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4"/>
                <w:szCs w:val="4"/>
                <w:b w:val="1"/>
                <w:bCs w:val="1"/>
                <w:color w:val="auto"/>
              </w:rPr>
              <w:t>comprehensive</w:t>
            </w:r>
          </w:p>
        </w:tc>
        <w:tc>
          <w:tcPr>
            <w:tcW w:w="120" w:type="dxa"/>
            <w:vAlign w:val="bottom"/>
          </w:tcPr>
          <w:p>
            <w:pPr>
              <w:spacing w:after="0"/>
              <w:rPr>
                <w:sz w:val="4"/>
                <w:szCs w:val="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4"/>
                <w:szCs w:val="4"/>
                <w:b w:val="1"/>
                <w:bCs w:val="1"/>
                <w:color w:val="auto"/>
              </w:rPr>
              <w:t>Accumulated</w:t>
            </w:r>
          </w:p>
        </w:tc>
        <w:tc>
          <w:tcPr>
            <w:tcW w:w="120" w:type="dxa"/>
            <w:vAlign w:val="bottom"/>
          </w:tcPr>
          <w:p>
            <w:pPr>
              <w:spacing w:after="0"/>
              <w:rPr>
                <w:sz w:val="4"/>
                <w:szCs w:val="4"/>
                <w:color w:val="auto"/>
              </w:rPr>
            </w:pPr>
          </w:p>
        </w:tc>
        <w:tc>
          <w:tcPr>
            <w:tcW w:w="900" w:type="dxa"/>
            <w:vAlign w:val="bottom"/>
          </w:tcPr>
          <w:p>
            <w:pPr>
              <w:jc w:val="center"/>
              <w:ind w:right="59"/>
              <w:spacing w:after="0"/>
              <w:rPr>
                <w:sz w:val="20"/>
                <w:szCs w:val="20"/>
                <w:color w:val="auto"/>
              </w:rPr>
            </w:pPr>
            <w:r>
              <w:rPr>
                <w:rFonts w:ascii="Arial" w:cs="Arial" w:eastAsia="Arial" w:hAnsi="Arial"/>
                <w:sz w:val="4"/>
                <w:szCs w:val="4"/>
                <w:b w:val="1"/>
                <w:bCs w:val="1"/>
                <w:color w:val="auto"/>
              </w:rPr>
              <w:t>stockholders’</w:t>
            </w:r>
          </w:p>
        </w:tc>
        <w:tc>
          <w:tcPr>
            <w:tcW w:w="0" w:type="dxa"/>
            <w:vAlign w:val="bottom"/>
          </w:tcPr>
          <w:p>
            <w:pPr>
              <w:spacing w:after="0"/>
              <w:rPr>
                <w:sz w:val="1"/>
                <w:szCs w:val="1"/>
                <w:color w:val="auto"/>
              </w:rPr>
            </w:pPr>
          </w:p>
        </w:tc>
      </w:tr>
      <w:tr>
        <w:trPr>
          <w:trHeight w:val="155"/>
        </w:trPr>
        <w:tc>
          <w:tcPr>
            <w:tcW w:w="2700" w:type="dxa"/>
            <w:vAlign w:val="bottom"/>
          </w:tcPr>
          <w:p>
            <w:pPr>
              <w:ind w:left="20"/>
              <w:spacing w:after="0"/>
              <w:rPr>
                <w:sz w:val="20"/>
                <w:szCs w:val="20"/>
                <w:color w:val="auto"/>
              </w:rPr>
            </w:pPr>
            <w:r>
              <w:rPr>
                <w:rFonts w:ascii="Arial" w:cs="Arial" w:eastAsia="Arial" w:hAnsi="Arial"/>
                <w:sz w:val="11"/>
                <w:szCs w:val="11"/>
                <w:i w:val="1"/>
                <w:iCs w:val="1"/>
                <w:color w:val="auto"/>
              </w:rPr>
              <w:t>(in thousands, except for number of shares)</w:t>
            </w:r>
          </w:p>
        </w:tc>
        <w:tc>
          <w:tcPr>
            <w:tcW w:w="106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3"/>
                <w:szCs w:val="13"/>
                <w:color w:val="auto"/>
              </w:rPr>
            </w:pPr>
          </w:p>
        </w:tc>
        <w:tc>
          <w:tcPr>
            <w:tcW w:w="880" w:type="dxa"/>
            <w:vAlign w:val="bottom"/>
            <w:tcBorders>
              <w:right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1080" w:type="dxa"/>
            <w:vAlign w:val="bottom"/>
            <w:gridSpan w:val="2"/>
          </w:tcPr>
          <w:p>
            <w:pPr>
              <w:ind w:left="32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capital</w:t>
            </w: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income</w:t>
            </w:r>
          </w:p>
        </w:tc>
        <w:tc>
          <w:tcPr>
            <w:tcW w:w="12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deficit</w:t>
            </w:r>
          </w:p>
        </w:tc>
        <w:tc>
          <w:tcPr>
            <w:tcW w:w="120" w:type="dxa"/>
            <w:vAlign w:val="bottom"/>
          </w:tcPr>
          <w:p>
            <w:pPr>
              <w:spacing w:after="0"/>
              <w:rPr>
                <w:sz w:val="13"/>
                <w:szCs w:val="13"/>
                <w:color w:val="auto"/>
              </w:rPr>
            </w:pPr>
          </w:p>
        </w:tc>
        <w:tc>
          <w:tcPr>
            <w:tcW w:w="900" w:type="dxa"/>
            <w:vAlign w:val="bottom"/>
          </w:tcPr>
          <w:p>
            <w:pPr>
              <w:jc w:val="center"/>
              <w:ind w:right="59"/>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8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291,739,421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539,678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220,339,931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598"/>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68,615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(90,108)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(21,482)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8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3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(106,569)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(106,569)</w:t>
            </w:r>
          </w:p>
        </w:tc>
        <w:tc>
          <w:tcPr>
            <w:tcW w:w="0" w:type="dxa"/>
            <w:vAlign w:val="bottom"/>
          </w:tcPr>
          <w:p>
            <w:pPr>
              <w:spacing w:after="0"/>
              <w:rPr>
                <w:sz w:val="1"/>
                <w:szCs w:val="1"/>
                <w:color w:val="auto"/>
              </w:rPr>
            </w:pPr>
          </w:p>
        </w:tc>
      </w:tr>
      <w:tr>
        <w:trPr>
          <w:trHeight w:val="136"/>
        </w:trPr>
        <w:tc>
          <w:tcPr>
            <w:tcW w:w="270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Shares issued in connection with employee</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8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4,472,624</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2,291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2,291</w:t>
            </w:r>
          </w:p>
        </w:tc>
        <w:tc>
          <w:tcPr>
            <w:tcW w:w="0" w:type="dxa"/>
            <w:vAlign w:val="bottom"/>
          </w:tcPr>
          <w:p>
            <w:pPr>
              <w:spacing w:after="0"/>
              <w:rPr>
                <w:sz w:val="1"/>
                <w:szCs w:val="1"/>
                <w:color w:val="auto"/>
              </w:rPr>
            </w:pPr>
          </w:p>
        </w:tc>
      </w:tr>
      <w:tr>
        <w:trPr>
          <w:trHeight w:val="151"/>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plans</w:t>
            </w:r>
          </w:p>
        </w:tc>
        <w:tc>
          <w:tcPr>
            <w:tcW w:w="106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tcBorders>
              <w:right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700" w:type="dxa"/>
            <w:vAlign w:val="bottom"/>
          </w:tcPr>
          <w:p>
            <w:pPr>
              <w:ind w:left="20"/>
              <w:spacing w:after="0" w:line="136" w:lineRule="exact"/>
              <w:rPr>
                <w:sz w:val="20"/>
                <w:szCs w:val="20"/>
                <w:color w:val="auto"/>
              </w:rPr>
            </w:pPr>
            <w:r>
              <w:rPr>
                <w:rFonts w:ascii="Arial" w:cs="Arial" w:eastAsia="Arial" w:hAnsi="Arial"/>
                <w:sz w:val="13"/>
                <w:szCs w:val="13"/>
                <w:color w:val="auto"/>
              </w:rPr>
              <w:t>Issuance of Series E convertible preferred</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29,887,357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372,733</w:t>
            </w:r>
          </w:p>
        </w:tc>
        <w:tc>
          <w:tcPr>
            <w:tcW w:w="6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700" w:type="dxa"/>
            <w:vAlign w:val="bottom"/>
          </w:tcPr>
          <w:p>
            <w:pPr>
              <w:ind w:left="160"/>
              <w:spacing w:after="0"/>
              <w:rPr>
                <w:sz w:val="20"/>
                <w:szCs w:val="20"/>
                <w:color w:val="auto"/>
              </w:rPr>
            </w:pPr>
            <w:r>
              <w:rPr>
                <w:rFonts w:ascii="Arial" w:cs="Arial" w:eastAsia="Arial" w:hAnsi="Arial"/>
                <w:sz w:val="13"/>
                <w:szCs w:val="13"/>
                <w:color w:val="auto"/>
              </w:rPr>
              <w:t>stock, net of issuance costs</w:t>
            </w: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Repurchases of common stock</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Arial" w:cs="Arial" w:eastAsia="Arial" w:hAnsi="Arial"/>
                <w:sz w:val="13"/>
                <w:szCs w:val="13"/>
                <w:color w:val="auto"/>
              </w:rPr>
              <w:t>Vesting of early-exercised stock options</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1,205</w:t>
            </w: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other comprehensive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27,328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27,328</w:t>
            </w:r>
          </w:p>
        </w:tc>
        <w:tc>
          <w:tcPr>
            <w:tcW w:w="0" w:type="dxa"/>
            <w:vAlign w:val="bottom"/>
          </w:tcPr>
          <w:p>
            <w:pPr>
              <w:spacing w:after="0"/>
              <w:rPr>
                <w:sz w:val="1"/>
                <w:szCs w:val="1"/>
                <w:color w:val="auto"/>
              </w:rPr>
            </w:pPr>
          </w:p>
        </w:tc>
      </w:tr>
      <w:tr>
        <w:trPr>
          <w:trHeight w:val="15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321,626,778</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912,411</w:t>
            </w:r>
          </w:p>
        </w:tc>
        <w:tc>
          <w:tcPr>
            <w:tcW w:w="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224,802,545</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99,439</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(196,677)</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(97,048)</w:t>
            </w: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7,449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7,449</w:t>
            </w:r>
          </w:p>
        </w:tc>
        <w:tc>
          <w:tcPr>
            <w:tcW w:w="0" w:type="dxa"/>
            <w:vAlign w:val="bottom"/>
          </w:tcPr>
          <w:p>
            <w:pPr>
              <w:spacing w:after="0"/>
              <w:rPr>
                <w:sz w:val="1"/>
                <w:szCs w:val="1"/>
                <w:color w:val="auto"/>
              </w:rPr>
            </w:pPr>
          </w:p>
        </w:tc>
      </w:tr>
      <w:tr>
        <w:trPr>
          <w:trHeight w:val="136"/>
        </w:trPr>
        <w:tc>
          <w:tcPr>
            <w:tcW w:w="270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Shares issued in connection with employee</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8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4,310,197</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9,415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9,415</w:t>
            </w:r>
          </w:p>
        </w:tc>
        <w:tc>
          <w:tcPr>
            <w:tcW w:w="0" w:type="dxa"/>
            <w:vAlign w:val="bottom"/>
          </w:tcPr>
          <w:p>
            <w:pPr>
              <w:spacing w:after="0"/>
              <w:rPr>
                <w:sz w:val="1"/>
                <w:szCs w:val="1"/>
                <w:color w:val="auto"/>
              </w:rPr>
            </w:pPr>
          </w:p>
        </w:tc>
      </w:tr>
      <w:tr>
        <w:trPr>
          <w:trHeight w:val="151"/>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plans</w:t>
            </w:r>
          </w:p>
        </w:tc>
        <w:tc>
          <w:tcPr>
            <w:tcW w:w="106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tcBorders>
              <w:right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700" w:type="dxa"/>
            <w:vAlign w:val="bottom"/>
          </w:tcPr>
          <w:p>
            <w:pPr>
              <w:ind w:left="20"/>
              <w:spacing w:after="0" w:line="136" w:lineRule="exact"/>
              <w:rPr>
                <w:sz w:val="20"/>
                <w:szCs w:val="20"/>
                <w:color w:val="auto"/>
              </w:rPr>
            </w:pPr>
            <w:r>
              <w:rPr>
                <w:rFonts w:ascii="Arial" w:cs="Arial" w:eastAsia="Arial" w:hAnsi="Arial"/>
                <w:sz w:val="13"/>
                <w:szCs w:val="13"/>
                <w:color w:val="auto"/>
              </w:rPr>
              <w:t>Issuance of Series F convertible preferred</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48,000,000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599,284</w:t>
            </w:r>
          </w:p>
        </w:tc>
        <w:tc>
          <w:tcPr>
            <w:tcW w:w="6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700" w:type="dxa"/>
            <w:vAlign w:val="bottom"/>
          </w:tcPr>
          <w:p>
            <w:pPr>
              <w:ind w:left="160"/>
              <w:spacing w:after="0"/>
              <w:rPr>
                <w:sz w:val="20"/>
                <w:szCs w:val="20"/>
                <w:color w:val="auto"/>
              </w:rPr>
            </w:pPr>
            <w:r>
              <w:rPr>
                <w:rFonts w:ascii="Arial" w:cs="Arial" w:eastAsia="Arial" w:hAnsi="Arial"/>
                <w:sz w:val="13"/>
                <w:szCs w:val="13"/>
                <w:color w:val="auto"/>
              </w:rPr>
              <w:t>stock, net of issuance costs</w:t>
            </w: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70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Issuance of Series G convertible preferred</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43,116,119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668,044</w:t>
            </w:r>
          </w:p>
        </w:tc>
        <w:tc>
          <w:tcPr>
            <w:tcW w:w="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7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 net of issuance costs</w:t>
            </w:r>
          </w:p>
        </w:tc>
        <w:tc>
          <w:tcPr>
            <w:tcW w:w="9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tcBorders>
              <w:right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Arial" w:cs="Arial" w:eastAsia="Arial" w:hAnsi="Arial"/>
                <w:sz w:val="13"/>
                <w:szCs w:val="13"/>
                <w:color w:val="auto"/>
              </w:rPr>
              <w:t>Repurchases of common stock</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(81,196)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(875)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(875)</w:t>
            </w: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early-exercised stock options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Arial" w:cs="Arial" w:eastAsia="Arial" w:hAnsi="Arial"/>
                <w:sz w:val="13"/>
                <w:szCs w:val="13"/>
                <w:color w:val="auto"/>
              </w:rPr>
              <w:t>Change in other comprehensive income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24,926</w:t>
            </w:r>
          </w:p>
        </w:tc>
        <w:tc>
          <w:tcPr>
            <w:tcW w:w="0" w:type="dxa"/>
            <w:vAlign w:val="bottom"/>
          </w:tcPr>
          <w:p>
            <w:pPr>
              <w:spacing w:after="0"/>
              <w:rPr>
                <w:sz w:val="1"/>
                <w:szCs w:val="1"/>
                <w:color w:val="auto"/>
              </w:rPr>
            </w:pPr>
          </w:p>
        </w:tc>
      </w:tr>
      <w:tr>
        <w:trPr>
          <w:trHeight w:val="199"/>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412,742,897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2,179,739</w:t>
            </w:r>
          </w:p>
        </w:tc>
        <w:tc>
          <w:tcPr>
            <w:tcW w:w="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229,031,546</w:t>
            </w: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134,307</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(190,103)</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(55,322)</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260"/>
          </w:cols>
          <w:pgMar w:left="320" w:top="120" w:right="31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6"/>
          <w:szCs w:val="16"/>
          <w:b w:val="1"/>
          <w:bCs w:val="1"/>
          <w:color w:val="auto"/>
        </w:rPr>
        <w:t>ROBINHOOD MARKETS,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color w:val="auto"/>
        </w:rPr>
        <w:t>NOTE 1: DESCRIPTION OF BUSINESS AND SUMMARY OF SIGNIFICANT ACCOUNTING POLICIES</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Robinhood Markets, Inc. (“RHM”, together with its subsidiaries, “Robinhood”, the “Company”, “we”, or “us”) was incorporated in the State of Delaware 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November 22, 2013. Our most significant, wholly-owned subsidiaries are:</w:t>
      </w:r>
    </w:p>
    <w:p>
      <w:pPr>
        <w:spacing w:after="0" w:line="163" w:lineRule="exact"/>
        <w:rPr>
          <w:sz w:val="20"/>
          <w:szCs w:val="20"/>
          <w:color w:val="auto"/>
        </w:rPr>
      </w:pPr>
    </w:p>
    <w:p>
      <w:pPr>
        <w:ind w:left="560" w:hanging="278"/>
        <w:spacing w:after="0"/>
        <w:tabs>
          <w:tab w:leader="none" w:pos="5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Robinhood Financial LLC (“RHF”), a registered introducing broker-dealer;</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Robinhood Securities, LLC (“RHS”), a registered clearing broker-dealer; and</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Robinhood Crypto, LLC (“RHC”), provides users the ability to buy and sell cryptocurrencies</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mission is to democratize finance for all. We are building products and services that make it easier for people from all backgrounds to participate in the financial system. Our approach is to build easy-to-use and low cost financial products and services for our users. When we first began operating, we started by offering users the ability to buy and sell equities, and have since expanded our brokerage operations to allow retail investors access to other investment vehicles by offering commission-free trading for both options and cryptocurrencies, in addition to equities. We now offer a variety of services to our users to facilitate their trading experience, including a subscription service, Robinhood Gold, which allows users to access premium features such as enhanced instant access to deposits, professional research, Nasdaq Level II market data and, upon approval, access to margin investing. We have a fractional shares program which allows users to purchase and sell fractions of a share in certain equities, enabling users to place real-time fractional share orders in dollar amounts or share amounts, with purchases rounded to the nearest penny and the ability to purchase as small as 1/1,000,000 of a share. We also have a cash management program which allows users’ uninvested cash balances to earn interest through a cash sweep program with program banks insured by Federal Deposit Insurance Corporation (“FDIC”) and to be used to make purchases and ATM withdrawals through a co-branded debit card with Mastercard® bearing the logo of Robinhood (“Robinhood debit card”).</w:t>
      </w:r>
    </w:p>
    <w:p>
      <w:pPr>
        <w:spacing w:after="0" w:line="150"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Acting as the agent of the user, we facilitate the purchase and sale of equities, options and cryptocurrencies through our platform by routing transactions through market makers for trade execution. Upon execution of a trade, users are legally required to purchase equities, options, or cryptocurrencies for cash from the transaction counterparty or to sell equities, options or cryptocurrencies for cash to the transaction counterparty, depending on the transaction. We, acting as agent for our users, are the counterparty to our users in connection with executing trades and we are also the counterparty to the relevant market maker in connection with executing such trades. Acting as agent, we facilitate and confirm trades only when there are binding, matched legal obligations from the user and the market maker on both sides of the trade. Our users have ownership of the securities, including those that collateralize margin loans, and cryptocurrencies transacted on our platform and, as a result, any such securities or cryptocurrencies owned by users are not presented in our consolidated balance sheets.</w:t>
      </w:r>
    </w:p>
    <w:p>
      <w:pPr>
        <w:spacing w:after="0" w:line="164"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In March 2020, the World Health Organization declared the outbreak of the novel coronavirus referred to as “COVID-19” to be a global pandemic. The COVID-19 pandemic has negatively impacted the global economy and caused significant volatility in the financial markets. In response to the pandemic, we have enabled nearly all of our employees to work remotely and have restricted business travel. Throughout the COVID-19 pandemic, we have seen substantial growth in our user base, retention, engagement and trading activity metrics, as well as continued gains and periodic all-time highs achieved by the equity markets generally. During the COVID-19 pandemic, we have seen an increasing interest in personal finance and investing, coupled with low interest rates and a positive market environment, especially in the U.S. equity markets, that has encouraged an unprecedented number of first-time retail investors to become our customers and begin trading on our platform. At the same time, the COVID-19 pandemic has resulted, in part, in inefficiencies or delays in our business, operational challenges and additional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260"/>
          </w:cols>
          <w:pgMar w:left="320" w:top="120" w:right="319" w:bottom="1440" w:gutter="0" w:footer="0" w:header="0"/>
        </w:sectPr>
      </w:pPr>
    </w:p>
    <w:bookmarkStart w:id="325" w:name="page326"/>
    <w:bookmarkEnd w:id="325"/>
    <w:p>
      <w:pPr>
        <w:jc w:val="both"/>
        <w:spacing w:after="0" w:line="252" w:lineRule="auto"/>
        <w:rPr>
          <w:sz w:val="20"/>
          <w:szCs w:val="20"/>
          <w:color w:val="auto"/>
        </w:rPr>
      </w:pPr>
      <w:r>
        <w:rPr>
          <w:rFonts w:ascii="Arial" w:cs="Arial" w:eastAsia="Arial" w:hAnsi="Arial"/>
          <w:sz w:val="16"/>
          <w:szCs w:val="16"/>
          <w:color w:val="auto"/>
        </w:rPr>
        <w:t>related to business continuity initiatives as our workforce has fully transitioned to remote working. The extent of the impact of COVID-19 on our business and financial results will depend largely on future developments, including the duration of the pandemic, actions taken to contain COVID-19 or address its impact, the ability to reintegrate our workforce or of our workforce to adapt to the long-term distributed workforce model (with some employees part- or full-time remote, and others not) we expect to adopt, the impact on capital and financial markets and the related impact on the financial circumstances of our customers, all of which are highly uncertain and cannot be predicted.</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19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(“U.S. GAAP”). The consolidated financial statements include the accounts of RHM and its wholly-owned subsidiaries. All intercompany balances and transactions have been eliminated.</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preparation of consolidated financial statements in accordance with U.S. GAAP requires management to make estimates and assumptions that affect the reported amounts in the consolidated financial statements and accompanying notes. We base our estimates on historical experience, and other assumptions we believe to be reasonable under the circumstances, which together form the basis for making judgments about the carrying values of assets and liabilities. Assumptions and estimates used in preparing our consolidated financial statements include those related to the determination of allowances for credit losses, the capitalization and estimated useful life of internally developed software, contingent liabilities, useful lives of property and equipment, the incremental borrowing rate used to determine the present value of lease payments, the valuation and recognition of share-based compensation, uncertain tax positions, and the recognition and measurement of current and deferred income tax assets and liabilities. Actual results could differ from these estimates and could have a material adverse effect on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Information</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operate and report financial information in one operating segment. Operating segments are defined as components of an enterprise for which separate financial information is evaluated regularly by the chief operating decision maker in deciding how to allocate resources and assess performance. All our revenues and substantially all of our assets are attributed to or located in the 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Transaction-based revenues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primarily earn transaction-based revenues from routing user orders for options, equities and cryptocurrencies to market makers when the performance obligation is satisfied, which is at the point in time when a routed order is executed by the market maker. The transaction price for options is on a per contract basis, while for equities it is primarily based on the bid-ask spread of the underlying trading activity. For cryptocurrencies, the transaction price is a fixed percentage of the notional order value. For each trade type, all market makers pay the same transaction price. Payments are collected monthly in arrears from each market maker.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interest revenues</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interest revenues consist of interest revenues less interest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260"/>
          </w:cols>
          <w:pgMar w:left="320" w:top="1285" w:right="319" w:bottom="1440" w:gutter="0" w:footer="0" w:header="0"/>
        </w:sectPr>
      </w:pPr>
    </w:p>
    <w:bookmarkStart w:id="326" w:name="page327"/>
    <w:bookmarkEnd w:id="326"/>
    <w:p>
      <w:pPr>
        <w:jc w:val="both"/>
        <w:ind w:left="4" w:right="20" w:firstLine="287"/>
        <w:spacing w:after="0" w:line="254" w:lineRule="auto"/>
        <w:rPr>
          <w:sz w:val="20"/>
          <w:szCs w:val="20"/>
          <w:color w:val="auto"/>
        </w:rPr>
      </w:pPr>
      <w:r>
        <w:rPr>
          <w:rFonts w:ascii="Arial" w:cs="Arial" w:eastAsia="Arial" w:hAnsi="Arial"/>
          <w:sz w:val="16"/>
          <w:szCs w:val="16"/>
          <w:color w:val="auto"/>
        </w:rPr>
        <w:t>We earn and incur interest revenues and expense on securities lending transactions. We also earn interest on margin loans to users, which constitute the majority of receivables from users, net in the consolidated balance sheets, and on our segregated cash, cash and cash equivalents, and deposits with clearing organizations. We incur interest expenses in connection with our revolving credit facilities.</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Other revenues</w:t>
      </w:r>
    </w:p>
    <w:p>
      <w:pPr>
        <w:spacing w:after="0" w:line="191" w:lineRule="exact"/>
        <w:rPr>
          <w:sz w:val="20"/>
          <w:szCs w:val="20"/>
          <w:color w:val="auto"/>
        </w:rPr>
      </w:pPr>
    </w:p>
    <w:p>
      <w:pPr>
        <w:jc w:val="both"/>
        <w:ind w:left="4" w:firstLine="287"/>
        <w:spacing w:after="0" w:line="252" w:lineRule="auto"/>
        <w:rPr>
          <w:sz w:val="20"/>
          <w:szCs w:val="20"/>
          <w:color w:val="auto"/>
        </w:rPr>
      </w:pPr>
      <w:r>
        <w:rPr>
          <w:rFonts w:ascii="Arial" w:cs="Arial" w:eastAsia="Arial" w:hAnsi="Arial"/>
          <w:sz w:val="16"/>
          <w:szCs w:val="16"/>
          <w:color w:val="auto"/>
        </w:rPr>
        <w:t>Other revenues primarily consists of Robinhood Gold, a paid subscription service that provides customers with premium features, such as enhanced instant access to deposits, professional research, Nasdaq Level II market data and, upon approval, access to margin investing. Our contract with users are for a term of 30 days and renew automatically each month. Subscription revenue is recognized ratably over the subscription period as the performance obligation is satisfied.</w:t>
      </w:r>
    </w:p>
    <w:p>
      <w:pPr>
        <w:spacing w:after="0" w:line="147" w:lineRule="exact"/>
        <w:rPr>
          <w:sz w:val="20"/>
          <w:szCs w:val="20"/>
          <w:color w:val="auto"/>
        </w:rPr>
      </w:pPr>
    </w:p>
    <w:p>
      <w:pPr>
        <w:jc w:val="both"/>
        <w:ind w:left="4" w:right="20" w:firstLine="287"/>
        <w:spacing w:after="0" w:line="252" w:lineRule="auto"/>
        <w:rPr>
          <w:sz w:val="20"/>
          <w:szCs w:val="20"/>
          <w:color w:val="auto"/>
        </w:rPr>
      </w:pPr>
      <w:r>
        <w:rPr>
          <w:rFonts w:ascii="Arial" w:cs="Arial" w:eastAsia="Arial" w:hAnsi="Arial"/>
          <w:sz w:val="16"/>
          <w:szCs w:val="16"/>
          <w:color w:val="auto"/>
        </w:rPr>
        <w:t>Other revenues also consist of proxy rebates and miscellaneous fees charged to users. Proxy rebates are revenues earned through our partnership with a third-party investor communications company. We provide certain shareholder information to the third-party company, which is used to send investor materials to shareholders, such as materials related to shareholder meetings and voting instruction forms. We earn a share of the revenue the third-party company receives from issuers, and recognize the revenue when the performance obligation of providing data is satisfied.</w:t>
      </w:r>
    </w:p>
    <w:p>
      <w:pPr>
        <w:spacing w:after="0" w:line="147" w:lineRule="exact"/>
        <w:rPr>
          <w:sz w:val="20"/>
          <w:szCs w:val="20"/>
          <w:color w:val="auto"/>
        </w:rPr>
      </w:pPr>
    </w:p>
    <w:p>
      <w:pPr>
        <w:jc w:val="both"/>
        <w:ind w:left="4" w:firstLine="287"/>
        <w:spacing w:after="0" w:line="260" w:lineRule="auto"/>
        <w:rPr>
          <w:sz w:val="20"/>
          <w:szCs w:val="20"/>
          <w:color w:val="auto"/>
        </w:rPr>
      </w:pPr>
      <w:r>
        <w:rPr>
          <w:rFonts w:ascii="Arial" w:cs="Arial" w:eastAsia="Arial" w:hAnsi="Arial"/>
          <w:sz w:val="16"/>
          <w:szCs w:val="16"/>
          <w:color w:val="auto"/>
        </w:rPr>
        <w:t>Miscellaneous fees are primarily Automated Customer Account Transfer Services (“ACATS”) fees, which are charged to users for facilitating the transfer of part or all of their accounts to another broker-dealer. We recognize revenue when our performance obligation of administering the transfer is satisfied.</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Concentration of credit risk</w:t>
      </w:r>
    </w:p>
    <w:p>
      <w:pPr>
        <w:spacing w:after="0" w:line="179" w:lineRule="exact"/>
        <w:rPr>
          <w:sz w:val="20"/>
          <w:szCs w:val="20"/>
          <w:color w:val="auto"/>
        </w:rPr>
      </w:pPr>
    </w:p>
    <w:p>
      <w:pPr>
        <w:ind w:left="284"/>
        <w:spacing w:after="0"/>
        <w:rPr>
          <w:sz w:val="20"/>
          <w:szCs w:val="20"/>
          <w:color w:val="auto"/>
        </w:rPr>
      </w:pPr>
      <w:r>
        <w:rPr>
          <w:rFonts w:ascii="Arial" w:cs="Arial" w:eastAsia="Arial" w:hAnsi="Arial"/>
          <w:sz w:val="16"/>
          <w:szCs w:val="16"/>
          <w:color w:val="auto"/>
        </w:rPr>
        <w:t>We had revenues from market makers in excess of 10% of total revenues, as follows:</w:t>
      </w:r>
    </w:p>
    <w:p>
      <w:pPr>
        <w:spacing w:after="0" w:line="187" w:lineRule="exact"/>
        <w:rPr>
          <w:sz w:val="20"/>
          <w:szCs w:val="20"/>
          <w:color w:val="auto"/>
        </w:rPr>
      </w:pPr>
    </w:p>
    <w:p>
      <w:pPr>
        <w:ind w:left="8764"/>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782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2019</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3"/>
                <w:szCs w:val="13"/>
                <w:b w:val="1"/>
                <w:bCs w:val="1"/>
                <w:color w:val="auto"/>
              </w:rPr>
              <w:t>2020</w:t>
            </w:r>
          </w:p>
        </w:tc>
      </w:tr>
      <w:tr>
        <w:trPr>
          <w:trHeight w:val="18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 maker:</w:t>
            </w: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03"/>
        </w:trPr>
        <w:tc>
          <w:tcPr>
            <w:tcW w:w="8940" w:type="dxa"/>
            <w:vAlign w:val="bottom"/>
            <w:gridSpan w:val="2"/>
          </w:tcPr>
          <w:p>
            <w:pPr>
              <w:ind w:left="200"/>
              <w:spacing w:after="0"/>
              <w:rPr>
                <w:sz w:val="20"/>
                <w:szCs w:val="20"/>
                <w:color w:val="auto"/>
              </w:rPr>
            </w:pPr>
            <w:r>
              <w:rPr>
                <w:rFonts w:ascii="Arial" w:cs="Arial" w:eastAsia="Arial" w:hAnsi="Arial"/>
                <w:sz w:val="16"/>
                <w:szCs w:val="16"/>
                <w:color w:val="auto"/>
              </w:rPr>
              <w:t>Citadel Securities, LLC</w:t>
            </w:r>
          </w:p>
        </w:tc>
        <w:tc>
          <w:tcPr>
            <w:tcW w:w="54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203"/>
        </w:trPr>
        <w:tc>
          <w:tcPr>
            <w:tcW w:w="8940" w:type="dxa"/>
            <w:vAlign w:val="bottom"/>
            <w:gridSpan w:val="2"/>
            <w:shd w:val="clear" w:color="auto" w:fill="CCEEFF"/>
          </w:tcPr>
          <w:p>
            <w:pPr>
              <w:ind w:left="200"/>
              <w:spacing w:after="0" w:line="204" w:lineRule="exact"/>
              <w:rPr>
                <w:sz w:val="20"/>
                <w:szCs w:val="20"/>
                <w:color w:val="auto"/>
              </w:rPr>
            </w:pPr>
            <w:r>
              <w:rPr>
                <w:rFonts w:ascii="Arial" w:cs="Arial" w:eastAsia="Arial" w:hAnsi="Arial"/>
                <w:sz w:val="16"/>
                <w:szCs w:val="16"/>
                <w:color w:val="auto"/>
              </w:rPr>
              <w:t>Entities affiliated with Susquehanna International Group, LLP</w:t>
            </w:r>
            <w:r>
              <w:rPr>
                <w:rFonts w:ascii="Arial" w:cs="Arial" w:eastAsia="Arial" w:hAnsi="Arial"/>
                <w:sz w:val="20"/>
                <w:szCs w:val="20"/>
                <w:color w:val="auto"/>
                <w:vertAlign w:val="superscript"/>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03"/>
        </w:trPr>
        <w:tc>
          <w:tcPr>
            <w:tcW w:w="8940" w:type="dxa"/>
            <w:vAlign w:val="bottom"/>
            <w:gridSpan w:val="2"/>
          </w:tcPr>
          <w:p>
            <w:pPr>
              <w:ind w:left="200"/>
              <w:spacing w:after="0" w:line="204" w:lineRule="exact"/>
              <w:rPr>
                <w:sz w:val="20"/>
                <w:szCs w:val="20"/>
                <w:color w:val="auto"/>
              </w:rPr>
            </w:pPr>
            <w:r>
              <w:rPr>
                <w:rFonts w:ascii="Arial" w:cs="Arial" w:eastAsia="Arial" w:hAnsi="Arial"/>
                <w:sz w:val="16"/>
                <w:szCs w:val="16"/>
                <w:color w:val="auto"/>
              </w:rPr>
              <w:t>Entities affiliated with Wolverine Holdings, L.P.</w:t>
            </w:r>
            <w:r>
              <w:rPr>
                <w:rFonts w:ascii="Arial" w:cs="Arial" w:eastAsia="Arial" w:hAnsi="Arial"/>
                <w:sz w:val="20"/>
                <w:szCs w:val="20"/>
                <w:color w:val="auto"/>
                <w:vertAlign w:val="superscript"/>
              </w:rPr>
              <w:t>(2)</w:t>
            </w:r>
          </w:p>
        </w:tc>
        <w:tc>
          <w:tcPr>
            <w:tcW w:w="54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03"/>
        </w:trPr>
        <w:tc>
          <w:tcPr>
            <w:tcW w:w="7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others individually less than 10%</w:t>
            </w:r>
          </w:p>
        </w:tc>
        <w:tc>
          <w:tcPr>
            <w:tcW w:w="1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195"/>
        </w:trPr>
        <w:tc>
          <w:tcPr>
            <w:tcW w:w="8940" w:type="dxa"/>
            <w:vAlign w:val="bottom"/>
            <w:gridSpan w:val="2"/>
          </w:tcPr>
          <w:p>
            <w:pPr>
              <w:ind w:left="440"/>
              <w:spacing w:after="0"/>
              <w:rPr>
                <w:sz w:val="20"/>
                <w:szCs w:val="20"/>
                <w:color w:val="auto"/>
              </w:rPr>
            </w:pPr>
            <w:r>
              <w:rPr>
                <w:rFonts w:ascii="Arial" w:cs="Arial" w:eastAsia="Arial" w:hAnsi="Arial"/>
                <w:sz w:val="16"/>
                <w:szCs w:val="16"/>
                <w:color w:val="auto"/>
              </w:rPr>
              <w:t>Total as percentage of total revenue:</w:t>
            </w:r>
          </w:p>
        </w:tc>
        <w:tc>
          <w:tcPr>
            <w:tcW w:w="54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0"/>
        </w:trPr>
        <w:tc>
          <w:tcPr>
            <w:tcW w:w="7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_____________</w:t>
      </w:r>
    </w:p>
    <w:p>
      <w:pPr>
        <w:spacing w:after="0" w:line="6" w:lineRule="exact"/>
        <w:rPr>
          <w:sz w:val="20"/>
          <w:szCs w:val="20"/>
          <w:color w:val="auto"/>
        </w:rPr>
      </w:pPr>
    </w:p>
    <w:p>
      <w:pPr>
        <w:ind w:left="284" w:hanging="284"/>
        <w:spacing w:after="0"/>
        <w:tabs>
          <w:tab w:leader="none" w:pos="284" w:val="left"/>
        </w:tabs>
        <w:numPr>
          <w:ilvl w:val="0"/>
          <w:numId w:val="151"/>
        </w:numPr>
        <w:rPr>
          <w:rFonts w:ascii="Arial" w:cs="Arial" w:eastAsia="Arial" w:hAnsi="Arial"/>
          <w:sz w:val="13"/>
          <w:szCs w:val="13"/>
          <w:color w:val="auto"/>
        </w:rPr>
      </w:pPr>
      <w:r>
        <w:rPr>
          <w:rFonts w:ascii="Arial" w:cs="Arial" w:eastAsia="Arial" w:hAnsi="Arial"/>
          <w:sz w:val="13"/>
          <w:szCs w:val="13"/>
          <w:color w:val="auto"/>
        </w:rPr>
        <w:t>Consists of Global Execution Brokers, LP and G1X Execution Services, LLC</w:t>
      </w:r>
    </w:p>
    <w:p>
      <w:pPr>
        <w:ind w:left="284" w:hanging="284"/>
        <w:spacing w:after="0"/>
        <w:tabs>
          <w:tab w:leader="none" w:pos="284" w:val="left"/>
        </w:tabs>
        <w:numPr>
          <w:ilvl w:val="0"/>
          <w:numId w:val="151"/>
        </w:numPr>
        <w:rPr>
          <w:rFonts w:ascii="Arial" w:cs="Arial" w:eastAsia="Arial" w:hAnsi="Arial"/>
          <w:sz w:val="13"/>
          <w:szCs w:val="13"/>
          <w:color w:val="auto"/>
        </w:rPr>
      </w:pPr>
      <w:r>
        <w:rPr>
          <w:rFonts w:ascii="Arial" w:cs="Arial" w:eastAsia="Arial" w:hAnsi="Arial"/>
          <w:sz w:val="13"/>
          <w:szCs w:val="13"/>
          <w:color w:val="auto"/>
        </w:rPr>
        <w:t>Consists of Wolverine Execution Services, LLC and Wolverine Securities LLC</w:t>
      </w:r>
    </w:p>
    <w:p>
      <w:pPr>
        <w:spacing w:after="0" w:line="144" w:lineRule="exact"/>
        <w:rPr>
          <w:sz w:val="20"/>
          <w:szCs w:val="20"/>
          <w:color w:val="auto"/>
        </w:rPr>
      </w:pPr>
    </w:p>
    <w:p>
      <w:pPr>
        <w:jc w:val="both"/>
        <w:ind w:left="4" w:right="20" w:firstLine="287"/>
        <w:spacing w:after="0" w:line="254" w:lineRule="auto"/>
        <w:rPr>
          <w:sz w:val="20"/>
          <w:szCs w:val="20"/>
          <w:color w:val="auto"/>
        </w:rPr>
      </w:pPr>
      <w:r>
        <w:rPr>
          <w:rFonts w:ascii="Arial" w:cs="Arial" w:eastAsia="Arial" w:hAnsi="Arial"/>
          <w:sz w:val="16"/>
          <w:szCs w:val="16"/>
          <w:color w:val="auto"/>
        </w:rPr>
        <w:t>We are engaged in various trading and brokerage activities in which the counterparties primarily include broker-dealers, banks, and other financial institutions when applicable. In the event our counterparties do not fulfill their obligations, we may be exposed to risk. The risk of default depends on the creditworthiness of the counterparty. It is our policy to review, as necessary, the credit standing of each counterparty.</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Brokerage and transaction</w:t>
      </w:r>
    </w:p>
    <w:p>
      <w:pPr>
        <w:spacing w:after="0" w:line="179" w:lineRule="exact"/>
        <w:rPr>
          <w:sz w:val="20"/>
          <w:szCs w:val="20"/>
          <w:color w:val="auto"/>
        </w:rPr>
      </w:pPr>
    </w:p>
    <w:p>
      <w:pPr>
        <w:jc w:val="both"/>
        <w:ind w:left="4" w:firstLine="287"/>
        <w:spacing w:after="0" w:line="260" w:lineRule="auto"/>
        <w:rPr>
          <w:sz w:val="20"/>
          <w:szCs w:val="20"/>
          <w:color w:val="auto"/>
        </w:rPr>
      </w:pPr>
      <w:r>
        <w:rPr>
          <w:rFonts w:ascii="Arial" w:cs="Arial" w:eastAsia="Arial" w:hAnsi="Arial"/>
          <w:sz w:val="16"/>
          <w:szCs w:val="16"/>
          <w:color w:val="auto"/>
        </w:rPr>
        <w:t>Brokerage and transaction costs primarily consist of fees paid to centralized clearinghouses and regulatory fees, market data expenses, compensation and benefits, including share-based compensation, for employees engaged in clearing and brokerage functions, and allocated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264"/>
          </w:cols>
          <w:pgMar w:left="316" w:top="1285" w:right="319" w:bottom="1440" w:gutter="0" w:footer="0" w:header="0"/>
        </w:sectPr>
      </w:pPr>
    </w:p>
    <w:bookmarkStart w:id="327" w:name="page328"/>
    <w:bookmarkEnd w:id="327"/>
    <w:p>
      <w:pPr>
        <w:spacing w:after="0"/>
        <w:rPr>
          <w:sz w:val="20"/>
          <w:szCs w:val="20"/>
          <w:color w:val="auto"/>
        </w:rPr>
      </w:pPr>
      <w:r>
        <w:rPr>
          <w:rFonts w:ascii="Arial" w:cs="Arial" w:eastAsia="Arial" w:hAnsi="Arial"/>
          <w:sz w:val="16"/>
          <w:szCs w:val="16"/>
          <w:i w:val="1"/>
          <w:iCs w:val="1"/>
          <w:color w:val="auto"/>
        </w:rPr>
        <w:t>Technology and development</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Technology and development costs primarily consist of compensation and benefits, including share-based compensation, for engineering, data science, and design personnel, costs incurred to support and improve our platform, costs incurred in connection with the development of new products, costs associated with computer hardware and software, allocated overhead, and amortization of internally developed software.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Operations</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Operations costs primarily consist of customer service related expenses, including compensation and benefits, which includes share-based compensation, for employees engaged in customer support, third-party customer service expenses, customer onboarding and account verification and allocated overhead. Operations costs also include our provision for credit losses primarily in connection with unrecoverable receivables due to fraudulent, unlawful or otherwise inappropriate customer behavior, such as when customers initiate deposits into their accounts, make trades on our platform using a short-term extension of credit from us, and then repatriate or reverse the deposits, resulting in a loss to us of the credited amount (which we refer to as “Fraudulent Deposit Transactions”) and to a lesser extent, losses on margin borrowings.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Marketing costs primarily consist of expenses associated with our stock referral program (the “Robinhood Referral Program”), production and placement of advertisements in various media outlets, including online and on television, and customer goodwill, which primarily related to costs to remediate losses experienced by our users due to service interruptions on our platform and reimbursement of direct losses that happen due to unauthorized activity that is not the fault of our users. Marketing costs also include compensation and benefits, including share-based compensation, for employees engaged in the marketing function and allocated overhead. Advertising costs are expensed as incurred and were $119.6 million and $157.1 million in the years ended December 31, 2019 and 2020.</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General and administrative costs consist primarily of compensation and benefits, including share-based compensation, for certain executives as well as employees engaged in legal, finance, human resources, risk, and compliance. General and administrative costs also includes certain legal settlements and professional fees, such as, but not limited to, legal, audit and accounting fees, as well as allocated overhead.</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Research and development costs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Research and development costs described in Accounting Standards Codification (“ASC”) 730, Research and Development, are expensed as incurred. Our research and development costs consist primarily of employee compensation and benefits for our engineering and research teams, including share-based compensation. Research and development costs recorded in operating expenses under ASC 730 were $27.7 million and $52.2 million for the years ended December 31, 2019 and 2020.</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17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We estimate the fair value of stock options granted to employees and directors using the Black-Scholes option-pricing model. The fair value of stock options is recognized as compensation on a straight-line basis over the requisite service period. Forfeitures are accounted for when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260"/>
          </w:cols>
          <w:pgMar w:left="320" w:top="1270" w:right="319" w:bottom="1440" w:gutter="0" w:footer="0" w:header="0"/>
        </w:sectPr>
      </w:pPr>
    </w:p>
    <w:bookmarkStart w:id="328" w:name="page329"/>
    <w:bookmarkEnd w:id="328"/>
    <w:p>
      <w:pPr>
        <w:ind w:left="280"/>
        <w:spacing w:after="0"/>
        <w:rPr>
          <w:sz w:val="20"/>
          <w:szCs w:val="20"/>
          <w:color w:val="auto"/>
        </w:rPr>
      </w:pPr>
      <w:r>
        <w:rPr>
          <w:rFonts w:ascii="Arial" w:cs="Arial" w:eastAsia="Arial" w:hAnsi="Arial"/>
          <w:sz w:val="16"/>
          <w:szCs w:val="16"/>
          <w:color w:val="auto"/>
        </w:rPr>
        <w:t>The Black-Scholes option-pricing model incorporates various assumptions in estimating the fair value of stock-based awards. These variables include:</w:t>
      </w:r>
    </w:p>
    <w:p>
      <w:pPr>
        <w:spacing w:after="0" w:line="147"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16"/>
          <w:szCs w:val="16"/>
          <w:i w:val="1"/>
          <w:iCs w:val="1"/>
          <w:color w:val="auto"/>
        </w:rPr>
        <w:t>Fair value of our common stock</w:t>
      </w:r>
      <w:r>
        <w:rPr>
          <w:rFonts w:ascii="Arial" w:cs="Arial" w:eastAsia="Arial" w:hAnsi="Arial"/>
          <w:sz w:val="16"/>
          <w:szCs w:val="16"/>
          <w:color w:val="auto"/>
        </w:rPr>
        <w:t>—Because our common stock is not yet publicly traded, we must estimate the fair value of common stock.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considers numerous objective and subjective factors to determine the fair value of our common stock including: contemporaneous third-party valuations of our common stock, sales of our common and redeemable convertible preferred stock to third-party investors in arms-length transactions, our operating and financial performance, the valuation of comparable companies, the lack of marketability, and general and industry specific economic outlook, amongst other factors.</w:t>
      </w:r>
    </w:p>
    <w:p>
      <w:pPr>
        <w:spacing w:after="0" w:line="138" w:lineRule="exact"/>
        <w:rPr>
          <w:sz w:val="20"/>
          <w:szCs w:val="20"/>
          <w:color w:val="auto"/>
        </w:rPr>
      </w:pPr>
    </w:p>
    <w:p>
      <w:pPr>
        <w:jc w:val="both"/>
        <w:ind w:left="280" w:right="20"/>
        <w:spacing w:after="0" w:line="265"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—Expected volatility is a measure of the amount by which the stock price is expected to fluctuate. Since we do not have sufficient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history of our common stock, we estimate the volatility of our common stock on the date of grant based on the weighted-average historical stock price volatility of comparable publicly-traded companies over a period equal to the expected term of the award.</w:t>
      </w:r>
    </w:p>
    <w:p>
      <w:pPr>
        <w:spacing w:after="0" w:line="119" w:lineRule="exact"/>
        <w:rPr>
          <w:sz w:val="20"/>
          <w:szCs w:val="20"/>
          <w:color w:val="auto"/>
        </w:rPr>
      </w:pPr>
    </w:p>
    <w:p>
      <w:pPr>
        <w:jc w:val="both"/>
        <w:ind w:left="280" w:right="20"/>
        <w:spacing w:after="0" w:line="265"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—We determine the expected term based on the average period the stock options are expected to remain outstanding using the simplified</w:t>
      </w:r>
      <w:r>
        <w:rPr>
          <w:rFonts w:ascii="Arial" w:cs="Arial" w:eastAsia="Arial" w:hAnsi="Arial"/>
          <w:sz w:val="16"/>
          <w:szCs w:val="16"/>
          <w:i w:val="1"/>
          <w:iCs w:val="1"/>
          <w:color w:val="auto"/>
        </w:rPr>
        <w:t xml:space="preserve"> </w:t>
      </w:r>
      <w:r>
        <w:rPr>
          <w:rFonts w:ascii="Arial" w:cs="Arial" w:eastAsia="Arial" w:hAnsi="Arial"/>
          <w:sz w:val="16"/>
          <w:szCs w:val="16"/>
          <w:color w:val="auto"/>
        </w:rPr>
        <w:t>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—Based on the U.S. Treasury yield curve that corresponds with the expected term at the time of grant.</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—We utilize a dividend yield of 0% as we have not paid, and do not anticipate paying, dividends on our common stock.</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Assumptions used in valuing non-employee stock options are generally consistent with those used for employee stock options with the exception that the expected term is over the contractual life.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RSUs</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have granted RSUs that vest upon the satisfaction of both time-based service and performance-based conditions. The fair value of these RSUs is estimated based on the fair value of our common stock on the date of grant. The time-based service condition for these awards is generally satisfied over four years. The performance-based conditions are satisfied upon the occurrence of a qualifying event, defined as the earlier of (i) the closing of certain, specific liquidation or change in control transactions, or (ii) an initial public offering (“IPO”). We record share-based compensation expense for performance-based equity awards on an accelerated attribution method over the requisite service period, and only if performance-based conditions are considered probable to be satisfied. As of December 31, 2019 and 2020, we had not recognized share-based compensation for awards with performance-based conditions because the qualifying event described above had not occurred and, therefore, could not be considered probable. In the period in which our qualifying event is probable, we will record a cumulative one -time share-based compensation expense determined using the grant-date fair values. Share-based compensation related to remaining time-based service after the qualifying event will be recorded over the remaining requisite service period.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Market-Based RSUs</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have granted RSUs that vest upon the satisfaction of all the following conditions: time-based service conditions, performance-based conditions, and market-based conditions. The time-based service condition for these awards generally is satisfied over six years. The performance-based conditions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60"/>
          </w:cols>
          <w:pgMar w:left="320" w:top="1285" w:right="319" w:bottom="1440" w:gutter="0" w:footer="0" w:header="0"/>
        </w:sectPr>
      </w:pPr>
    </w:p>
    <w:bookmarkStart w:id="329" w:name="page330"/>
    <w:bookmarkEnd w:id="329"/>
    <w:p>
      <w:pPr>
        <w:jc w:val="both"/>
        <w:spacing w:after="0" w:line="260" w:lineRule="auto"/>
        <w:rPr>
          <w:sz w:val="20"/>
          <w:szCs w:val="20"/>
          <w:color w:val="auto"/>
        </w:rPr>
      </w:pPr>
      <w:r>
        <w:rPr>
          <w:rFonts w:ascii="Arial" w:cs="Arial" w:eastAsia="Arial" w:hAnsi="Arial"/>
          <w:sz w:val="16"/>
          <w:szCs w:val="16"/>
          <w:color w:val="auto"/>
        </w:rPr>
        <w:t>satisfied upon the occurrence of a qualifying event, as described above. The market-based conditions are satisfied upon our achievement of specified initial public offering prices.</w:t>
      </w:r>
    </w:p>
    <w:p>
      <w:pPr>
        <w:spacing w:after="0" w:line="13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For market-based awards, we determine the grant-date fair value utilizing a Monte Carlo valuation model, which incorporates various assumptions including expected stock price volatility, expected term, risk-free interest rates, expected date of a qualifying event, and expected capital raise percentage. We estimate the expected term based on various exercise scenarios, as these awards are not considered “plain vanilla.” We estimate the expected date of a qualifying event based on our expectation at the time of measurement of the award’s value.</w:t>
      </w:r>
    </w:p>
    <w:p>
      <w:pPr>
        <w:spacing w:after="0" w:line="15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record share-based compensation expense for market-based equity awards on an accelerated attribution method over the requisite service period, and only if performance-based conditions are considered probable to be satisfied. We determine the requisite service period by comparing the derived service period to achieve the market-based condition and the explicit time-based service period, using the longer of the two service periods as the requisite service period. As of December 31, 2019 and 2020, we had not recognized share-based compensation expense for awards with performance-based conditions because the qualifying event described above had not occurred and, therefore, could not be considered probable. In the period in which our qualifying event is probable, we will record a cumulative one-time share-based compensation expense determined using the grant-date fair values.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Loss contingencies</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are subject to claims and lawsuits in the ordinary course of business, including arbitration, class actions and other litigation, some of which include claims for substantial or unspecified damages. We are also the subject of inquiries, investigations, and proceedings by regulatory and other governmental agencies. We review our lawsuits, regulatory inquiries and other legal proceedings on an ongoing basis and provide disclosures and record loss contingencies in accordance with the loss contingencies accounting guidance. We establish an accrual for losses at management’s best estimate when we assess that it is probable that a loss has been incurred and the amount of the loss can be reasonably estimated. If no amount within the range is considered a better estimate than any other amount, an accrual for losses is recorded based on the bottom amount of the range. Accrual for loss contingencies are recorded in accounts payable and accrued expenses on the consolidated balance sheets and expensed in general and administrative expenses in our consolidated statements of operations. We monitor these matters for developments that would affect the likelihood of a loss and the accrued amount, if any, and adjust the amount as appropriate.</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Earnings (loss) per share</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Basic and diluted earnings per share are computed using the two-class method, which considers participating securities as a separate class of shares. Our participating securities consist of all series of our redeemable convertible preferred stock. Under the two-class method, net loss is not allocated to the redeemable convertible preferred stock as the preferred stockholders do not have a contractual obligation to share in our losses.</w:t>
      </w:r>
    </w:p>
    <w:p>
      <w:pPr>
        <w:spacing w:after="0" w:line="14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Basic earnings per share is computed by dividing net income available to our common stockholders, adjusted to exclude earnings allocated to participating securities, by the weighted-average number of shares of common stock outstanding during the period. Diluted earnings per share is computed on the basis of the weighted-average number of shares of common stock plus the effect of dilutive potential common shares outstanding during the period.</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consider all highly liquid financial instruments with maturities at the time of purchase of three months or less to be cash equivalents. Cash and cash equivalents include deposits with banks and money market funds that are not segregated and deposited for regulatory purposes or to meet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260"/>
          </w:cols>
          <w:pgMar w:left="320" w:top="1286" w:right="319" w:bottom="1440" w:gutter="0" w:footer="0" w:header="0"/>
        </w:sectPr>
      </w:pPr>
    </w:p>
    <w:bookmarkStart w:id="330" w:name="page331"/>
    <w:bookmarkEnd w:id="330"/>
    <w:p>
      <w:pPr>
        <w:jc w:val="both"/>
        <w:spacing w:after="0" w:line="252" w:lineRule="auto"/>
        <w:rPr>
          <w:sz w:val="20"/>
          <w:szCs w:val="20"/>
          <w:color w:val="auto"/>
        </w:rPr>
      </w:pPr>
      <w:r>
        <w:rPr>
          <w:rFonts w:ascii="Arial" w:cs="Arial" w:eastAsia="Arial" w:hAnsi="Arial"/>
          <w:sz w:val="16"/>
          <w:szCs w:val="16"/>
          <w:color w:val="auto"/>
        </w:rPr>
        <w:t>requirements at clearinghouses. We maintain cash in bank accounts at financial institutions that exceed federally insured limits. We also maintain cash in money market funds which are not FDIC insured. We are subject to credit risk to the extent any financial institution with which we conduct business is unable to fulfill contractual obligations on our behalf. As we have not experienced any losses in such accounts and we believe that we have placed our cash on deposit with financial institutions which are financially stable, we do not have an expectation of credit losses for these arrangements.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securities segregated under federal and other regulations</w:t>
      </w:r>
    </w:p>
    <w:p>
      <w:pPr>
        <w:spacing w:after="0" w:line="19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We are required to segregate cash and/or qualified securities for the exclusive benefit of customers and proprietary accounts of brokers in accordance with the provision of Rule 15c3-3 under the Securities Exchange Act of 1934. We continually review the credit quality of our counterparties and have not experienced a default. As a result, we do not have an expectation of credit losses for these arrangements.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cash</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are required to maintain restricted cash deposits to back letters of credit for certain property leases. These funds are restricted and have been classified as such on our consolidated balance sheets due to the nature of restriction.</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of financial instruments</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apply fair value accounting for all financial assets and liabilities and non-financial assets and liabilities that are recognized or disclosed at fair value in the consolidated financial statements on a recurring basis. Fair value is defined as the price that would be received to sell an asset or paid to transfer a liability in an orderly transaction between market participants at the measurement date. In determining fair value, we may use various valuation approaches, including market, income and/or cost approaches. The fair value hierarchy requires us to maximize the use of observable inputs and minimize the use of unobservable inputs when measuring fair value. Fair value is a market-based measure considered from the perspective of a market participant. Accordingly, even when market assumptions are not readily available, our own assumptions reflect those that market participants would use in pricing the asset or liability at the measurement date. The fair value measurement accounting guidance describes the following three levels used to classify fair value measurements: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Level 1 Inputs: unadjusted quoted prices in active markets for identical assets or liabilities that are accessible by us</w:t>
      </w:r>
    </w:p>
    <w:p>
      <w:pPr>
        <w:spacing w:after="0" w:line="175" w:lineRule="exact"/>
        <w:rPr>
          <w:sz w:val="20"/>
          <w:szCs w:val="20"/>
          <w:color w:val="auto"/>
        </w:rPr>
      </w:pPr>
    </w:p>
    <w:p>
      <w:pPr>
        <w:ind w:left="280" w:right="400"/>
        <w:spacing w:after="0" w:line="260" w:lineRule="auto"/>
        <w:rPr>
          <w:sz w:val="20"/>
          <w:szCs w:val="20"/>
          <w:color w:val="auto"/>
        </w:rPr>
      </w:pPr>
      <w:r>
        <w:rPr>
          <w:rFonts w:ascii="Arial" w:cs="Arial" w:eastAsia="Arial" w:hAnsi="Arial"/>
          <w:sz w:val="16"/>
          <w:szCs w:val="16"/>
          <w:color w:val="auto"/>
        </w:rPr>
        <w:t>Level 2 Inputs: quoted prices for similar assets and liabilities in an active market, quoted prices in markets that are not active or for which all significant inputs are observable, either directly or indirectly</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Level 3 Inputs: unobservable inputs that are significant to the fair value of the assets or liabilities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financial instrument’s level within the fair value hierarchy is based on the lowest level of any input that is significant to the fair value measurement.</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Receivables from brokers, dealers, and clearing organizations</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Receivables from brokers, dealers and clearing organizations include receivables from market makers for routing user orders for execution and other receivables from third-party brokers. Orders are trades which users have not specifically instructed to be routed to a particular venue for execution. These receivables are short term and settle within 30 days. We continually review the credit quality of our counterparties and have not experienced a default. As a result, we do not have an expectation of credit losses for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260"/>
          </w:cols>
          <w:pgMar w:left="320" w:top="1285" w:right="319" w:bottom="1440" w:gutter="0" w:footer="0" w:header="0"/>
        </w:sectPr>
      </w:pPr>
    </w:p>
    <w:bookmarkStart w:id="331" w:name="page332"/>
    <w:bookmarkEnd w:id="331"/>
    <w:p>
      <w:pPr>
        <w:spacing w:after="0"/>
        <w:rPr>
          <w:sz w:val="20"/>
          <w:szCs w:val="20"/>
          <w:color w:val="auto"/>
        </w:rPr>
      </w:pPr>
      <w:r>
        <w:rPr>
          <w:rFonts w:ascii="Arial" w:cs="Arial" w:eastAsia="Arial" w:hAnsi="Arial"/>
          <w:sz w:val="19"/>
          <w:szCs w:val="19"/>
          <w:b w:val="1"/>
          <w:bCs w:val="1"/>
          <w:i w:val="1"/>
          <w:iCs w:val="1"/>
          <w:color w:val="auto"/>
        </w:rPr>
        <w:t>Receivables from users, net</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Receivable from users, net is primarily made up of margin receivables. Margin receivables are adequately collateralized by users’ marketable securities balances and are reported at their outstanding principal balance, net of an allowance for credit losses. We monitor margin levels and require users to deposit additional collateral, or reduce margin positions, to meet minimum collateral requirements and avoid automatic liquidation of their positions.</w:t>
      </w:r>
    </w:p>
    <w:p>
      <w:pPr>
        <w:spacing w:after="0" w:line="157"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We apply the practical expedient based on collateral maintenance provisions in estimating an allowance for credit losses for margin loans. We have no expectation of credit losses for margin loans that are fully secured, where the fair value of the collateral securing the loans is equal to or in excess of the loaned amount. This is based on our assessment of the nature of the collateral (liquid investments actively traded), potential future changes in collateral values, and historical credit loss information relating to fully secured receivables. In cases where the fair value of the collateral is less than the outstanding margin balance, we recognize an allowance for credit losses in the amount of the difference, or unsecured balance, immediately when the user fails to meet their margin call. Based on historical experience, we have limited expectation of borrowers to replenish their collateral after not meeting a margin call.</w:t>
      </w:r>
    </w:p>
    <w:p>
      <w:pPr>
        <w:spacing w:after="0" w:line="148"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We also record a full provision for credit losses on receivables from users due to Fraudulent Deposit Transactions. Due to the fraudulent nature of these transactions and based on historical experience, we have no expectation that we will collect these funds. As such, we record a provision for credit loss immediately for the full balance when a Fraudulent Deposit Transaction is identified.</w:t>
      </w:r>
    </w:p>
    <w:p>
      <w:pPr>
        <w:spacing w:after="0" w:line="14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provision for credit losses is recorded as operations expense on the consolidated statement of operations. We write-off unsecured balances when the balance becomes outstanding for over 180 days.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Deposits with clearing organizations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are required to maintain cash collateral as deposits with clearing organizations such as Depository Trust &amp; Clearing Corporation and Options Clearing Corporation which allows us to use their security transactions services for trade comparison, clearance and settlement. The clearing organizations establish financial requirements, including deposits, to reduce their risk. The deposits may fluctuate significantly from time to time based upon the nature and size of users’ trading activity and market volatility. We earn interest on these deposits which is included as net interest revenues in the consolidated statements of operations. As we have not experienced historic defaults, we do not have an expectation of credit losses for these arrangements.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current assets</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Other current assets primarily includes user-held fractional shares, and to a lesser extent securities owned by us for the Robinhood Referral Program, prepaid expenses and other receivables. We classify prepayments made under contracts as prepaid expenses and expense them over the contract terms. These prepaid expenses include items such as prepayments on clearing services, rent, insurance, regulatory fees, web services, data feed, research, and software subscriptions.</w:t>
      </w:r>
    </w:p>
    <w:p>
      <w:pPr>
        <w:spacing w:after="0" w:line="147"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evaluate certain prepaid expenses and other current assets for credit losses based on historic events, current economic conditions, and our expectations of future economic conditions and record an allowance for credit loss to estimate uncollectible receivables. The allowance for credit losses for prepaid expenses and other assets were immaterial for all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Robinhood referral program</w:t>
      </w:r>
    </w:p>
    <w:p>
      <w:pPr>
        <w:spacing w:after="0" w:line="19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Through our referral program, RHF credits referring and referred users with a stock reward, with the potential value of each share ranging from $2.50 to $225. Approximately 98% of users receive a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260"/>
          </w:cols>
          <w:pgMar w:left="320" w:top="1270" w:right="319" w:bottom="1440" w:gutter="0" w:footer="0" w:header="0"/>
        </w:sectPr>
      </w:pPr>
    </w:p>
    <w:bookmarkStart w:id="332" w:name="page333"/>
    <w:bookmarkEnd w:id="332"/>
    <w:p>
      <w:pPr>
        <w:jc w:val="both"/>
        <w:ind w:right="20"/>
        <w:spacing w:after="0" w:line="252" w:lineRule="auto"/>
        <w:rPr>
          <w:sz w:val="20"/>
          <w:szCs w:val="20"/>
          <w:color w:val="auto"/>
        </w:rPr>
      </w:pPr>
      <w:r>
        <w:rPr>
          <w:rFonts w:ascii="Arial" w:cs="Arial" w:eastAsia="Arial" w:hAnsi="Arial"/>
          <w:sz w:val="16"/>
          <w:szCs w:val="16"/>
          <w:color w:val="auto"/>
        </w:rPr>
        <w:t>reward having a value ranging from $2.50 to $10. Referring users can earn more than one reward through the Robinhood Referral Program, subject to a maximum of $500 in total rewards earned annually per user. Stock rewards are also available to users who sign up through paid marketing channels. In order for a reward to be earned by the referring and referred user, the referred user must fulfill certain conditions stated in their promotion, such as linking their bank account to the Robinhood platform. After the reward is earned, the user must claim their stock reward in the Robinhood app within 60 days of notification thereof, at which point the stock is deposited to such user’s Robinhood account. Users do not need to provide any cash consideration for the reward.</w:t>
      </w:r>
    </w:p>
    <w:p>
      <w:pPr>
        <w:spacing w:after="0" w:line="14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stock reward is a share or shares, selected randomly from our previously purchased inventory of settled shares held exclusively for this program, which are included in other current assets in our consolidated balance sheets. Each stock reward is assigned at the time the reward is earned and each share cannot be associated with more than one reward at a time. Our inventory of settled shares is initially recorded at cost and marked to fair market value at each reporting period. As the inventory of shares are held specifically for the referral program and not as investments of the Company, gains and losses from changes in the fair market value of the shares are recorded within marketing expense in our consolidated statement of operations until the reward is claimed. Shares are derecognized when they are claimed by the user and delivered to the users’ account.</w:t>
      </w:r>
    </w:p>
    <w:p>
      <w:pPr>
        <w:spacing w:after="0" w:line="160"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record an accrued liability within other current liabilities in our consolidated balance sheets at the time the bank account is linked with the expense recorded within marketing expense in our consolidated statement of operations. The liability is initially recorded at the fair market value of the assigned share or shares upon the reward being earned by the referred user (i.e., upon bank linkage) and marked to fair market value until claimed or reversed, with gains and losses also recorded within marketing expense. The liability is derecognized when the share is claimed by the user and delivered to the users’ account. If a user does not claim the stock reward within 60 days of being notified, such reward expires and the liability is reversed. We estimate the amount of unclaimed rewards expected at each reporting period, using historical trends and data, and adjust the accrued liability and marketing expense accordingly.</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Fractional share program</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operate our fractional share program for the benefit of our users and maintain an inventory of securities held exclusively for the fractional share program. This proprietary inventory is recorded within other current assets on our consolidated balance sheets.</w:t>
      </w:r>
    </w:p>
    <w:p>
      <w:pPr>
        <w:spacing w:after="0" w:line="15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When a user purchases a fractional share, we record the cash received for the user-held fractional share as pledged collateral recorded within other current assets on our consolidated balance sheets and an offsetting liability to repurchase the shares, recorded within other current liabilities on our consolidated balance sheets, as we concluded that we did not meet the criteria for derecognition under the accounting guidance. We measure our inventory of securities, user-held fractional shares and our repurchase obligation at fair value at each reporting period, with realized and unrealized gains and losses, which totaled $3.0 million for the year ended December 31, 2020, recorded in brokerage and transaction expenses in our consolidated statement of operations. We do not earn revenue from our users when they purchase or sell fractional shares from us. We earn transaction-based revenue when shares are purchased from market makers to fulfill fractional share transactions.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software and equipment</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Property, software and equipment are stated at cost, net of accumulated depreciation and amortization. Depreciation and amortization is recorded on a straight-line basis over the useful life of the asset, which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260"/>
          </w:cols>
          <w:pgMar w:left="320" w:top="1286" w:right="31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167"/>
        </w:trPr>
        <w:tc>
          <w:tcPr>
            <w:tcW w:w="5560" w:type="dxa"/>
            <w:vAlign w:val="bottom"/>
            <w:tcBorders>
              <w:bottom w:val="single" w:sz="8" w:color="auto"/>
            </w:tcBorders>
          </w:tcPr>
          <w:p>
            <w:pPr>
              <w:ind w:left="1720"/>
              <w:spacing w:after="0"/>
              <w:rPr>
                <w:sz w:val="20"/>
                <w:szCs w:val="20"/>
                <w:color w:val="auto"/>
              </w:rPr>
            </w:pPr>
            <w:r>
              <w:rPr>
                <w:rFonts w:ascii="Arial" w:cs="Arial" w:eastAsia="Arial" w:hAnsi="Arial"/>
                <w:sz w:val="13"/>
                <w:szCs w:val="13"/>
                <w:b w:val="1"/>
                <w:bCs w:val="1"/>
                <w:color w:val="auto"/>
              </w:rPr>
              <w:t>Property, Software, and Equipment</w:t>
            </w:r>
          </w:p>
        </w:tc>
        <w:tc>
          <w:tcPr>
            <w:tcW w:w="100" w:type="dxa"/>
            <w:vAlign w:val="bottom"/>
            <w:tcBorders>
              <w:bottom w:val="single" w:sz="8" w:color="CCEEFF"/>
            </w:tcBorders>
          </w:tcPr>
          <w:p>
            <w:pPr>
              <w:spacing w:after="0"/>
              <w:rPr>
                <w:sz w:val="14"/>
                <w:szCs w:val="14"/>
                <w:color w:val="auto"/>
              </w:rPr>
            </w:pPr>
          </w:p>
        </w:tc>
        <w:tc>
          <w:tcPr>
            <w:tcW w:w="5560" w:type="dxa"/>
            <w:vAlign w:val="bottom"/>
            <w:tcBorders>
              <w:bottom w:val="single" w:sz="8" w:color="auto"/>
            </w:tcBorders>
          </w:tcPr>
          <w:p>
            <w:pPr>
              <w:ind w:left="2460"/>
              <w:spacing w:after="0"/>
              <w:rPr>
                <w:sz w:val="20"/>
                <w:szCs w:val="20"/>
                <w:color w:val="auto"/>
              </w:rPr>
            </w:pPr>
            <w:r>
              <w:rPr>
                <w:rFonts w:ascii="Arial" w:cs="Arial" w:eastAsia="Arial" w:hAnsi="Arial"/>
                <w:sz w:val="13"/>
                <w:szCs w:val="13"/>
                <w:b w:val="1"/>
                <w:bCs w:val="1"/>
                <w:color w:val="auto"/>
              </w:rPr>
              <w:t>Useful Life</w:t>
            </w:r>
          </w:p>
        </w:tc>
      </w:tr>
      <w:tr>
        <w:trPr>
          <w:trHeight w:val="195"/>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3 years</w:t>
            </w:r>
          </w:p>
        </w:tc>
      </w:tr>
      <w:tr>
        <w:trPr>
          <w:trHeight w:val="203"/>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Furniture and fixtures</w:t>
            </w:r>
          </w:p>
        </w:tc>
        <w:tc>
          <w:tcPr>
            <w:tcW w:w="5560" w:type="dxa"/>
            <w:vAlign w:val="bottom"/>
          </w:tcPr>
          <w:p>
            <w:pPr>
              <w:ind w:left="20"/>
              <w:spacing w:after="0"/>
              <w:rPr>
                <w:sz w:val="20"/>
                <w:szCs w:val="20"/>
                <w:color w:val="auto"/>
              </w:rPr>
            </w:pPr>
            <w:r>
              <w:rPr>
                <w:rFonts w:ascii="Arial" w:cs="Arial" w:eastAsia="Arial" w:hAnsi="Arial"/>
                <w:sz w:val="16"/>
                <w:szCs w:val="16"/>
                <w:color w:val="auto"/>
              </w:rPr>
              <w:t>7 years</w:t>
            </w:r>
          </w:p>
        </w:tc>
      </w:tr>
      <w:tr>
        <w:trPr>
          <w:trHeight w:val="20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Tenant improvements</w:t>
            </w: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Shorter of estimated useful life or lease term</w:t>
            </w:r>
          </w:p>
        </w:tc>
      </w:tr>
      <w:tr>
        <w:trPr>
          <w:trHeight w:val="203"/>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Internally developed software</w:t>
            </w:r>
          </w:p>
        </w:tc>
        <w:tc>
          <w:tcPr>
            <w:tcW w:w="5560" w:type="dxa"/>
            <w:vAlign w:val="bottom"/>
          </w:tcPr>
          <w:p>
            <w:pPr>
              <w:ind w:left="20"/>
              <w:spacing w:after="0"/>
              <w:rPr>
                <w:sz w:val="20"/>
                <w:szCs w:val="20"/>
                <w:color w:val="auto"/>
              </w:rPr>
            </w:pPr>
            <w:r>
              <w:rPr>
                <w:rFonts w:ascii="Arial" w:cs="Arial" w:eastAsia="Arial" w:hAnsi="Arial"/>
                <w:sz w:val="16"/>
                <w:szCs w:val="16"/>
                <w:color w:val="auto"/>
              </w:rPr>
              <w:t>3 years</w:t>
            </w:r>
          </w:p>
        </w:tc>
      </w:tr>
    </w:tbl>
    <w:p>
      <w:pPr>
        <w:spacing w:after="0" w:line="238" w:lineRule="exact"/>
        <w:rPr>
          <w:sz w:val="20"/>
          <w:szCs w:val="20"/>
          <w:color w:val="auto"/>
        </w:rPr>
      </w:pPr>
    </w:p>
    <w:p>
      <w:pPr>
        <w:jc w:val="both"/>
        <w:ind w:right="20" w:firstLine="287"/>
        <w:spacing w:after="0" w:line="293" w:lineRule="auto"/>
        <w:rPr>
          <w:sz w:val="20"/>
          <w:szCs w:val="20"/>
          <w:color w:val="auto"/>
        </w:rPr>
      </w:pPr>
      <w:r>
        <w:rPr>
          <w:rFonts w:ascii="Arial" w:cs="Arial" w:eastAsia="Arial" w:hAnsi="Arial"/>
          <w:sz w:val="15"/>
          <w:szCs w:val="15"/>
          <w:color w:val="auto"/>
        </w:rPr>
        <w:t>Repairs and maintenance that do not enhance or extend the asset’s function and/or useful life are charged to expenses as incurred. When items are sold or retired, the related cost and accumulated depreciation are removed from the accounts and any gains or losses arising from such transactions are recognized.</w:t>
      </w:r>
    </w:p>
    <w:p>
      <w:pPr>
        <w:spacing w:after="0" w:line="11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Internally developed software is capitalized when preliminary development efforts are successfully completed and it is probable that the project will be completed and the software will be used as intended. Capitalized costs consist of salaries and payroll related costs for employees and fees paid to third-party consultants who are directly involved in development efforts. Capitalized costs are amortized over the estimated useful life of the software on a straight-line basis and included in technology and development in the consolidated statements of operations. We expense software development costs as they are incurred during the preliminary project stage.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elected to apply the short-term lease measurement and recognition practical expedient to our leases where applicable, thus leases with an initial term of 12 months or less are not recorded on the balance sheet; we recognize lease expense for these leases on a straight-line basis over the lease term. Operating lease right-of-use assets and operating lease liabilities are recognized at the present value of the future lease payments at the lease commencement date for each lease. The interest rate used to determine the present value of the future lease payments is our incremental borrowing rate because the interest rate implicit in most of our leases is not readily determinable. Our incremental borrowing rate is estimated to approximate the interest rate that we would pay to borrow on a collateralized basis with similar terms and payments as the lease. Operating lease right-of-use assets also include any prepaid lease payments and lease incentives. Our lease agreements generally contain lease and non-lease components. Non-lease components, which primarily include payments for maintenance and utilities, are combined with lease payments and accounted for as a single lease component. We include the fixed non-lease components in the determination of the right-of-use assets and operating lease liabilities. We record the amortization of the right of use asset and the accretion of lease liability as rent expense and allocate as overhead in the consolidated statement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Payables to users</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Payables to users represent users’ funds on deposit, and/or funds accruing to users as a result of settled trades and other security related transactions.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Securities borrowed and loaned</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Securities borrowed and loaned result from transactions with other brokers, dealers or financial institutions. Securities borrowing transactions require us to deposit cash with the lender whereas securities lending transactions result in us receiving cash collateral, with both requiring cash in an amount generally in excess of the market value of the securities. We earn interest revenue on cash collateral deposited with us, and can earn or incur additional revenue or expense for lending certain securities based on demand for that security. All securities borrow and loan transactions have an open contractual term and, upon notice by either party, may be terminated within three business days. We manage risks associated with our securities lending and borrowing activities by requiring credit approvals for counterparties, by monitoring the market value of securities loaned and collateral values for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260"/>
          </w:cols>
          <w:pgMar w:left="320" w:top="1310" w:right="319" w:bottom="1440" w:gutter="0" w:footer="0" w:header="0"/>
        </w:sectPr>
      </w:pPr>
    </w:p>
    <w:bookmarkStart w:id="334" w:name="page335"/>
    <w:bookmarkEnd w:id="334"/>
    <w:p>
      <w:pPr>
        <w:jc w:val="both"/>
        <w:spacing w:after="0" w:line="252" w:lineRule="auto"/>
        <w:rPr>
          <w:sz w:val="20"/>
          <w:szCs w:val="20"/>
          <w:color w:val="auto"/>
        </w:rPr>
      </w:pPr>
      <w:r>
        <w:rPr>
          <w:rFonts w:ascii="Arial" w:cs="Arial" w:eastAsia="Arial" w:hAnsi="Arial"/>
          <w:sz w:val="16"/>
          <w:szCs w:val="16"/>
          <w:color w:val="auto"/>
        </w:rPr>
        <w:t>borrowed on a daily basis and requiring additional cash as collateral for securities loaned or return of collateral for securities borrowed when necessary, and by participating in a risk-sharing program offered through the Options Clearing Corporation. Our securities lending transactions are subject to enforceable master netting arrangements with other broker-dealers, however; we do not net securities lending transactions. We apply the practical expedient based on collateral maintenance provisions in estimating an allowance for credit losses for securities borrowed receivables.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current liabilities</w:t>
      </w:r>
    </w:p>
    <w:p>
      <w:pPr>
        <w:spacing w:after="0" w:line="19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Other current liabilities primarily includes repurchase obligations related to our fractional share program. For our fractional shares program, we concluded that we did not meet the criteria for transfers under the accounting guidance, accordingly our repurchase obligations are presented in our consolidated balance sheets as a liability.</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Cryptocurrencies</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act as an agent in the cryptocurrency transactions of our users. We have determined we are an agent because we do not control the cryptocurrency before delivery to the user, we are not primarily responsible for the delivery of cryptocurrency to our users, we are not exposed to risks arising from fluctuations of the market price of cryptocurrency before delivery to the customer and we do not set the prices charged to users.</w:t>
      </w:r>
    </w:p>
    <w:p>
      <w:pPr>
        <w:spacing w:after="0" w:line="157"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Users are the legal owners of cryptocurrency held under custody by us and users have all the rights and benefits of ownership, including the rights to appreciation and depreciation of the cryptocurrency. As such, the cryptocurrency we hold in custody on behalf of our users is not reflected on our consolidated balance sheets. We do not allow users to purchase cryptocurrency on margin. We hold cryptocurrency in custody for our users’ accounts in one or more omnibus cryptocurrency wallets.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Income tax expense is an estimate of current income taxes payable in the current fiscal year based on reported income before income taxes. Deferred income taxes reflect the effect of temporary differences and carryforwards that we recognize for financial reporting and income tax purposes at enacted tax rates expected to be in effect when taxes are actually paid or recovered.</w:t>
      </w:r>
    </w:p>
    <w:p>
      <w:pPr>
        <w:spacing w:after="0" w:line="15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account for income taxes under the liability approach for deferred income taxes, which requires recognition of deferred income tax assets and liabilities for the expected future tax consequences of events that have been recognized in our consolidated financial statements, but have not been reflected in our taxable income.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15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260"/>
          </w:cols>
          <w:pgMar w:left="320" w:top="1285" w:right="319" w:bottom="1440" w:gutter="0" w:footer="0" w:header="0"/>
        </w:sectPr>
      </w:pPr>
    </w:p>
    <w:bookmarkStart w:id="335" w:name="page336"/>
    <w:bookmarkEnd w:id="335"/>
    <w:p>
      <w:pPr>
        <w:jc w:val="both"/>
        <w:ind w:right="20"/>
        <w:spacing w:after="0" w:line="260" w:lineRule="auto"/>
        <w:rPr>
          <w:sz w:val="20"/>
          <w:szCs w:val="20"/>
          <w:color w:val="auto"/>
        </w:rPr>
      </w:pPr>
      <w:r>
        <w:rPr>
          <w:rFonts w:ascii="Arial" w:cs="Arial" w:eastAsia="Arial" w:hAnsi="Arial"/>
          <w:sz w:val="16"/>
          <w:szCs w:val="16"/>
          <w:color w:val="auto"/>
        </w:rPr>
        <w:t>amounts recorded, such differences will affect the provision for income taxes in the period in which such determination is made and could have a material impact to our consolidated financial statements and operating results.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NOTE 2: RECENT ACCOUNTING PRONOUNCEMENTS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Recently adopted accounting pronouncements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February 2016, the Financial Accounting Standards Board (“FASB”) issued Accounting Standard Update (“ASU”) 2016-02, Leases. This guidance requires lessees to recognize a lease liability and a corresponding right-of-use asset on the balance sheet for operating leases with a term greater than one year. This guidance is effective for fiscal years beginning after December 15, 2018, including interim periods within those fiscal years. Early adoption is permitted. We adopted this guidance effective January 1, 2019 using the optional transition method. Pursuant to the practical expedients, we elected not to reassess: (i) whether expired or existing contracts are or contain leases, (ii) the lease classification for any expired or existing leases, or, (iii) initial direct costs for any existing leases. Upon adoption, we recognized $19.3 million of operating right-of-use lease assets and $25.5 million of operating lease liabilities on our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Loss on Financial Instruments</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June 2016, the FASB issued ASU 2016-13, Financial Instruments - Credit Losses: Measurement of Credit Losses on Financial Instruments. This guidance requires entities to use a current expected credit loss impairment model based on expected losses rather than incurred losses. Under this model, an entity would recognize an impairment allowance equal to its current estimate of all contractual cash flows that the entity does not expect to collect from financial assets measured at amortized cost within the scope of the standard. The entity’s estimate would consider relevant information about past events, current condition and reasonable and supportable forecasts, which all result in recognition of lifetime expected credit losses. This guidance is effective for fiscal years beginning after December 15, 2019, including interim periods within those fiscal years. Early adoption is permitted. We adopted this guidance effective January 1, 2020. The adoption of the guidance did not have a material impact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Customer’s Accounting for Implementation Costs Incurred in a Cloud Computing Arrangement That Is a Service Contract</w:t>
      </w:r>
    </w:p>
    <w:p>
      <w:pPr>
        <w:spacing w:after="0" w:line="19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August 2018, the FASB issued ASU 2018-15, Intangibles - Goodwill and Other - Internal-Use Software: Customer’s Accounting for Implementation Costs Incurred in a Cloud Computing Arrangement That Is a Service Contract, which requires a customer in a hosting arrangement that is a service contract to follow the internal-use software guidance to determine which implementation costs should be capitalized. This guidance is effective for fiscal years beginning after December 15, 2019, including interim periods within those fiscal years. Early adoption is permitted. We adopted this guidance effective January 1, 2020 using the prospective transition method. The adoption of the guidance did not have a material impact on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Simplifying Accounting for Income Taxes</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December 2019, the FASB issued ASU 2019-12, Income Taxes: Simplifying Accounting for Income Taxes. This guidance simplifies the accounting for income taxes as part of its overall initiative to reduce complexity in accounting standards. Amendments include removal of certain exceptions to the general principles of ASC 740, Income Taxes, and simplification in several other areas such as accounting for a franchise tax (or similar tax) that is partially based on income. The guidance is effective for fiscal years beginning after December 15, 2021, and interim periods within fiscal years beginning after December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260"/>
          </w:cols>
          <w:pgMar w:left="320" w:top="1286" w:right="319" w:bottom="1440" w:gutter="0" w:footer="0" w:header="0"/>
        </w:sectPr>
      </w:pPr>
    </w:p>
    <w:bookmarkStart w:id="336" w:name="page337"/>
    <w:bookmarkEnd w:id="336"/>
    <w:p>
      <w:pPr>
        <w:jc w:val="both"/>
        <w:ind w:right="20"/>
        <w:spacing w:after="0" w:line="260" w:lineRule="auto"/>
        <w:rPr>
          <w:sz w:val="20"/>
          <w:szCs w:val="20"/>
          <w:color w:val="auto"/>
        </w:rPr>
      </w:pPr>
      <w:r>
        <w:rPr>
          <w:rFonts w:ascii="Arial" w:cs="Arial" w:eastAsia="Arial" w:hAnsi="Arial"/>
          <w:sz w:val="16"/>
          <w:szCs w:val="16"/>
          <w:color w:val="auto"/>
        </w:rPr>
        <w:t>2022. Early adoption is permitted. We early adopted the standard effective April 1, 2020 and it did not have a material impact on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 accounting pronouncements not yet adopted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Reference Rate Reform</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March 2020, the FASB issued ASU 2020-04, Reference Rate Reform: Facilitation of the Effects of Reference Rate Reform on Financial Reporting, which provides optional expedients and exceptions to contract modifications that reference London Interbank Offered Rate (“LIBOR”) or another reference rate expected to be discontinued. This guidance is effective upon issuance through December 31, 2022 and may be applied at the beginning of the interim period that includes March 12, 2020 or any date thereafter. We are evaluating the impact of this guidance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Convertible Instruments and Contracts in an Entity’s Own Equity</w:t>
      </w:r>
    </w:p>
    <w:p>
      <w:pPr>
        <w:spacing w:after="0" w:line="175" w:lineRule="exact"/>
        <w:rPr>
          <w:sz w:val="20"/>
          <w:szCs w:val="20"/>
          <w:color w:val="auto"/>
        </w:rPr>
      </w:pPr>
    </w:p>
    <w:p>
      <w:pPr>
        <w:jc w:val="both"/>
        <w:ind w:firstLine="287"/>
        <w:spacing w:after="0" w:line="257"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and Derivatives and Hedging - Contracts in Entity’s Own</w:t>
      </w:r>
      <w:r>
        <w:rPr>
          <w:rFonts w:ascii="Arial" w:cs="Arial" w:eastAsia="Arial" w:hAnsi="Arial"/>
          <w:sz w:val="16"/>
          <w:szCs w:val="16"/>
          <w:color w:val="auto"/>
        </w:rPr>
        <w:t xml:space="preserve"> </w:t>
      </w:r>
      <w:r>
        <w:rPr>
          <w:rFonts w:ascii="Arial" w:cs="Arial" w:eastAsia="Arial" w:hAnsi="Arial"/>
          <w:sz w:val="16"/>
          <w:szCs w:val="16"/>
          <w:i w:val="1"/>
          <w:iCs w:val="1"/>
          <w:color w:val="auto"/>
        </w:rPr>
        <w:t>Equity</w:t>
      </w:r>
      <w:r>
        <w:rPr>
          <w:rFonts w:ascii="Arial" w:cs="Arial" w:eastAsia="Arial" w:hAnsi="Arial"/>
          <w:sz w:val="16"/>
          <w:szCs w:val="16"/>
          <w:color w:val="auto"/>
        </w:rPr>
        <w:t>. This guidance simplifies the accounting for convertible instruments by reducing the number of accounting models available for convertible debt</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amends the accounting guidance for evaluating the classification of certain contracts in an entity’s own equity, and modifies the diluted earnings per share calculations for convertible instruments. The guidance is effective for fiscal years beginning after December 15, 2021, including interim periods within those fiscal years. Early adoption is permitted. We are evaluating the impact of this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260"/>
          </w:cols>
          <w:pgMar w:left="320" w:top="1286" w:right="319" w:bottom="1440" w:gutter="0" w:footer="0" w:header="0"/>
        </w:sectPr>
      </w:pPr>
    </w:p>
    <w:bookmarkStart w:id="337" w:name="page338"/>
    <w:bookmarkEnd w:id="337"/>
    <w:p>
      <w:pPr>
        <w:spacing w:after="0"/>
        <w:rPr>
          <w:sz w:val="20"/>
          <w:szCs w:val="20"/>
          <w:color w:val="auto"/>
        </w:rPr>
      </w:pPr>
      <w:r>
        <w:rPr>
          <w:rFonts w:ascii="Arial" w:cs="Arial" w:eastAsia="Arial" w:hAnsi="Arial"/>
          <w:sz w:val="22"/>
          <w:szCs w:val="22"/>
          <w:color w:val="auto"/>
        </w:rPr>
        <w:t>NOTE 3: REVENUES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Disaggregation of revenues</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our revenue disaggregated by revenue source: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3"/>
                <w:szCs w:val="13"/>
                <w:b w:val="1"/>
                <w:bCs w:val="1"/>
                <w:color w:val="auto"/>
              </w:rPr>
              <w:t>Year Ended December 31,</w:t>
            </w:r>
          </w:p>
        </w:tc>
      </w:tr>
      <w:tr>
        <w:trPr>
          <w:trHeight w:val="15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r>
      <w:tr>
        <w:trPr>
          <w:trHeight w:val="18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Transaction-based revenues: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3"/>
        </w:trPr>
        <w:tc>
          <w:tcPr>
            <w:tcW w:w="8000" w:type="dxa"/>
            <w:vAlign w:val="bottom"/>
          </w:tcPr>
          <w:p>
            <w:pPr>
              <w:ind w:left="220"/>
              <w:spacing w:after="0"/>
              <w:rPr>
                <w:sz w:val="20"/>
                <w:szCs w:val="20"/>
                <w:color w:val="auto"/>
              </w:rPr>
            </w:pPr>
            <w:r>
              <w:rPr>
                <w:rFonts w:ascii="Arial" w:cs="Arial" w:eastAsia="Arial" w:hAnsi="Arial"/>
                <w:sz w:val="16"/>
                <w:szCs w:val="16"/>
                <w:color w:val="auto"/>
              </w:rPr>
              <w:t>Options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110,656</w:t>
            </w:r>
          </w:p>
        </w:tc>
        <w:tc>
          <w:tcPr>
            <w:tcW w:w="120" w:type="dxa"/>
            <w:vAlign w:val="bottom"/>
          </w:tcPr>
          <w:p>
            <w:pPr>
              <w:spacing w:after="0"/>
              <w:rPr>
                <w:sz w:val="17"/>
                <w:szCs w:val="17"/>
                <w:color w:val="auto"/>
              </w:rPr>
            </w:pPr>
          </w:p>
        </w:tc>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440,070</w:t>
            </w:r>
          </w:p>
        </w:tc>
      </w:tr>
      <w:tr>
        <w:trPr>
          <w:trHeight w:val="203"/>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50,688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251,200</w:t>
            </w:r>
          </w:p>
        </w:tc>
      </w:tr>
      <w:tr>
        <w:trPr>
          <w:trHeight w:val="203"/>
        </w:trPr>
        <w:tc>
          <w:tcPr>
            <w:tcW w:w="8000" w:type="dxa"/>
            <w:vAlign w:val="bottom"/>
          </w:tcPr>
          <w:p>
            <w:pPr>
              <w:ind w:left="220"/>
              <w:spacing w:after="0"/>
              <w:rPr>
                <w:sz w:val="20"/>
                <w:szCs w:val="20"/>
                <w:color w:val="auto"/>
              </w:rPr>
            </w:pPr>
            <w:r>
              <w:rPr>
                <w:rFonts w:ascii="Arial" w:cs="Arial" w:eastAsia="Arial" w:hAnsi="Arial"/>
                <w:sz w:val="16"/>
                <w:szCs w:val="16"/>
                <w:color w:val="auto"/>
              </w:rPr>
              <w:t>Cryptocurrencies</w:t>
            </w:r>
          </w:p>
        </w:tc>
        <w:tc>
          <w:tcPr>
            <w:tcW w:w="360" w:type="dxa"/>
            <w:vAlign w:val="bottom"/>
          </w:tcPr>
          <w:p>
            <w:pPr>
              <w:spacing w:after="0"/>
              <w:rPr>
                <w:sz w:val="17"/>
                <w:szCs w:val="17"/>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9,487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26,708</w:t>
            </w:r>
          </w:p>
        </w:tc>
      </w:tr>
      <w:tr>
        <w:trPr>
          <w:trHeight w:val="203"/>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2,155</w:t>
            </w:r>
          </w:p>
        </w:tc>
      </w:tr>
      <w:tr>
        <w:trPr>
          <w:trHeight w:val="195"/>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transaction-based revenues</w:t>
            </w: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170,831</w:t>
            </w:r>
          </w:p>
        </w:tc>
        <w:tc>
          <w:tcPr>
            <w:tcW w:w="12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720,133</w:t>
            </w:r>
          </w:p>
        </w:tc>
      </w:tr>
      <w:tr>
        <w:trPr>
          <w:trHeight w:val="207"/>
        </w:trPr>
        <w:tc>
          <w:tcPr>
            <w:tcW w:w="8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3"/>
        </w:trPr>
        <w:tc>
          <w:tcPr>
            <w:tcW w:w="8000" w:type="dxa"/>
            <w:vAlign w:val="bottom"/>
          </w:tcPr>
          <w:p>
            <w:pPr>
              <w:ind w:left="20"/>
              <w:spacing w:after="0"/>
              <w:rPr>
                <w:sz w:val="20"/>
                <w:szCs w:val="20"/>
                <w:color w:val="auto"/>
              </w:rPr>
            </w:pPr>
            <w:r>
              <w:rPr>
                <w:rFonts w:ascii="Arial" w:cs="Arial" w:eastAsia="Arial" w:hAnsi="Arial"/>
                <w:sz w:val="16"/>
                <w:szCs w:val="16"/>
                <w:color w:val="auto"/>
              </w:rPr>
              <w:t>Net interest revenues: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Securities lending</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6,380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98,165</w:t>
            </w:r>
          </w:p>
        </w:tc>
      </w:tr>
      <w:tr>
        <w:trPr>
          <w:trHeight w:val="203"/>
        </w:trPr>
        <w:tc>
          <w:tcPr>
            <w:tcW w:w="8000" w:type="dxa"/>
            <w:vAlign w:val="bottom"/>
          </w:tcPr>
          <w:p>
            <w:pPr>
              <w:ind w:left="220"/>
              <w:spacing w:after="0"/>
              <w:rPr>
                <w:sz w:val="20"/>
                <w:szCs w:val="20"/>
                <w:color w:val="auto"/>
              </w:rPr>
            </w:pPr>
            <w:r>
              <w:rPr>
                <w:rFonts w:ascii="Arial" w:cs="Arial" w:eastAsia="Arial" w:hAnsi="Arial"/>
                <w:sz w:val="16"/>
                <w:szCs w:val="16"/>
                <w:color w:val="auto"/>
              </w:rPr>
              <w:t>Margin interest</w:t>
            </w:r>
          </w:p>
        </w:tc>
        <w:tc>
          <w:tcPr>
            <w:tcW w:w="360" w:type="dxa"/>
            <w:vAlign w:val="bottom"/>
          </w:tcPr>
          <w:p>
            <w:pPr>
              <w:spacing w:after="0"/>
              <w:rPr>
                <w:sz w:val="17"/>
                <w:szCs w:val="17"/>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19,104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66,781</w:t>
            </w:r>
          </w:p>
        </w:tc>
      </w:tr>
      <w:tr>
        <w:trPr>
          <w:trHeight w:val="203"/>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on segregated cash and securities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36,281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13,401</w:t>
            </w:r>
          </w:p>
        </w:tc>
      </w:tr>
      <w:tr>
        <w:trPr>
          <w:trHeight w:val="203"/>
        </w:trPr>
        <w:tc>
          <w:tcPr>
            <w:tcW w:w="8000" w:type="dxa"/>
            <w:vAlign w:val="bottom"/>
          </w:tcPr>
          <w:p>
            <w:pPr>
              <w:ind w:left="220"/>
              <w:spacing w:after="0"/>
              <w:rPr>
                <w:sz w:val="20"/>
                <w:szCs w:val="20"/>
                <w:color w:val="auto"/>
              </w:rPr>
            </w:pPr>
            <w:r>
              <w:rPr>
                <w:rFonts w:ascii="Arial" w:cs="Arial" w:eastAsia="Arial" w:hAnsi="Arial"/>
                <w:sz w:val="16"/>
                <w:szCs w:val="16"/>
                <w:color w:val="auto"/>
              </w:rPr>
              <w:t>Other interest revenue</w:t>
            </w:r>
          </w:p>
        </w:tc>
        <w:tc>
          <w:tcPr>
            <w:tcW w:w="360" w:type="dxa"/>
            <w:vAlign w:val="bottom"/>
          </w:tcPr>
          <w:p>
            <w:pPr>
              <w:spacing w:after="0"/>
              <w:rPr>
                <w:sz w:val="17"/>
                <w:szCs w:val="17"/>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9,865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3,972</w:t>
            </w:r>
          </w:p>
        </w:tc>
      </w:tr>
      <w:tr>
        <w:trPr>
          <w:trHeight w:val="203"/>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expenses related to credit facilities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(4,882)</w:t>
            </w:r>
          </w:p>
        </w:tc>
      </w:tr>
      <w:tr>
        <w:trPr>
          <w:trHeight w:val="195"/>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net interest revenues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70,639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177,437</w:t>
            </w:r>
          </w:p>
        </w:tc>
      </w:tr>
      <w:tr>
        <w:trPr>
          <w:trHeight w:val="207"/>
        </w:trPr>
        <w:tc>
          <w:tcPr>
            <w:tcW w:w="80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9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36,063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61,263</w:t>
            </w:r>
          </w:p>
        </w:tc>
      </w:tr>
      <w:tr>
        <w:trPr>
          <w:trHeight w:val="219"/>
        </w:trPr>
        <w:tc>
          <w:tcPr>
            <w:tcW w:w="80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195"/>
        </w:trPr>
        <w:tc>
          <w:tcPr>
            <w:tcW w:w="8000" w:type="dxa"/>
            <w:vAlign w:val="bottom"/>
          </w:tcPr>
          <w:p>
            <w:pPr>
              <w:ind w:left="480"/>
              <w:spacing w:after="0"/>
              <w:rPr>
                <w:sz w:val="20"/>
                <w:szCs w:val="20"/>
                <w:color w:val="auto"/>
              </w:rPr>
            </w:pPr>
            <w:r>
              <w:rPr>
                <w:rFonts w:ascii="Arial" w:cs="Arial" w:eastAsia="Arial" w:hAnsi="Arial"/>
                <w:sz w:val="16"/>
                <w:szCs w:val="16"/>
                <w:color w:val="auto"/>
              </w:rPr>
              <w:t>Total net revenues</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277,533</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958,833</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Receivables and Contract Balances</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Receivables are recognized when we have an unconditional right to invoice and receive payment under a contract with a customer and are derecognized when cash is received. Receivables primarily consist of transaction-based revenue receivables due from market makers and are reported in Receivables from brokers, dealers and clearing organizations on the consolidated balance sheets.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 below sets forth receivables balances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4"/>
                <w:szCs w:val="14"/>
                <w:color w:val="auto"/>
              </w:rPr>
            </w:pP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beginning of the period</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9,056</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20,577</w:t>
            </w:r>
          </w:p>
        </w:tc>
      </w:tr>
      <w:tr>
        <w:trPr>
          <w:trHeight w:val="20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Receivables, end of the period</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20,577</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111,871</w:t>
            </w:r>
          </w:p>
        </w:tc>
      </w:tr>
      <w:tr>
        <w:trPr>
          <w:trHeight w:val="22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in receivables during the period</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11,521</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91,294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difference between the opening and ending balance of our receivables primarily results from the growth of our business over the period as timing of payments from counterparties remained consistent.</w:t>
      </w:r>
    </w:p>
    <w:p>
      <w:pPr>
        <w:spacing w:after="0" w:line="13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Contract liabilities consist of unearned subscription revenue which are recognized when users remit contractual cash payments in advance of us satisfying our performance obligations under the contract and are recorded as other 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260"/>
          </w:cols>
          <w:pgMar w:left="320" w:top="1288" w:right="319" w:bottom="1440" w:gutter="0" w:footer="0" w:header="0"/>
        </w:sectPr>
      </w:pPr>
    </w:p>
    <w:bookmarkStart w:id="338" w:name="page339"/>
    <w:bookmarkEnd w:id="338"/>
    <w:p>
      <w:pPr>
        <w:ind w:left="280"/>
        <w:spacing w:after="0"/>
        <w:rPr>
          <w:sz w:val="20"/>
          <w:szCs w:val="20"/>
          <w:color w:val="auto"/>
        </w:rPr>
      </w:pPr>
      <w:r>
        <w:rPr>
          <w:rFonts w:ascii="Arial" w:cs="Arial" w:eastAsia="Arial" w:hAnsi="Arial"/>
          <w:sz w:val="16"/>
          <w:szCs w:val="16"/>
          <w:color w:val="auto"/>
        </w:rPr>
        <w:t>The table below sets forth contract liabilities balances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4"/>
                <w:szCs w:val="14"/>
                <w:color w:val="auto"/>
              </w:rPr>
            </w:pP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 beginning of the period</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1,727</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954</w:t>
            </w:r>
          </w:p>
        </w:tc>
      </w:tr>
      <w:tr>
        <w:trPr>
          <w:trHeight w:val="20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Contract liabilities, end of the period</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954</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2,060</w:t>
            </w:r>
          </w:p>
        </w:tc>
      </w:tr>
      <w:tr>
        <w:trPr>
          <w:trHeight w:val="22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Increase/(decrease) in contract liabilities during the period</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1,106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recognized all revenue from amounts included in the opening contract liability balances in the years ended December 31, 2019 and 2020. The difference between the opening and ending balance of our contract liability balances primarily results from the increase in subscription users and/or the timing difference between our performance and payments from the users.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NOTE 4: ALLOWANCE FOR CREDIT LOSSES</w:t>
      </w:r>
    </w:p>
    <w:p>
      <w:pPr>
        <w:spacing w:after="0" w:line="163"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following table summarizes the allowance for credit losses, which primarily relate to unsecured balances of receivables from users due to Fraudulent Deposit Transactions and to a lesser extent, losses on margin borrowings, for the periods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764"/>
              <w:spacing w:after="0"/>
              <w:rPr>
                <w:sz w:val="20"/>
                <w:szCs w:val="20"/>
                <w:color w:val="auto"/>
              </w:rPr>
            </w:pPr>
            <w:r>
              <w:rPr>
                <w:rFonts w:ascii="Arial" w:cs="Arial" w:eastAsia="Arial" w:hAnsi="Arial"/>
                <w:sz w:val="13"/>
                <w:szCs w:val="13"/>
                <w:b w:val="1"/>
                <w:bCs w:val="1"/>
                <w:color w:val="auto"/>
              </w:rPr>
              <w:t>Year Ended December 31,</w:t>
            </w: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6,013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left="484"/>
              <w:spacing w:after="0"/>
              <w:rPr>
                <w:sz w:val="20"/>
                <w:szCs w:val="20"/>
                <w:color w:val="auto"/>
              </w:rPr>
            </w:pPr>
            <w:r>
              <w:rPr>
                <w:rFonts w:ascii="Arial" w:cs="Arial" w:eastAsia="Arial" w:hAnsi="Arial"/>
                <w:sz w:val="16"/>
                <w:szCs w:val="16"/>
                <w:color w:val="auto"/>
                <w:w w:val="98"/>
              </w:rPr>
              <w:t>17,122</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Provision for credit losses</w:t>
            </w:r>
          </w:p>
        </w:tc>
        <w:tc>
          <w:tcPr>
            <w:tcW w:w="38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11,109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center"/>
              <w:ind w:left="484"/>
              <w:spacing w:after="0"/>
              <w:rPr>
                <w:sz w:val="20"/>
                <w:szCs w:val="20"/>
                <w:color w:val="auto"/>
              </w:rPr>
            </w:pPr>
            <w:r>
              <w:rPr>
                <w:rFonts w:ascii="Arial" w:cs="Arial" w:eastAsia="Arial" w:hAnsi="Arial"/>
                <w:sz w:val="16"/>
                <w:szCs w:val="16"/>
                <w:color w:val="auto"/>
                <w:w w:val="98"/>
              </w:rPr>
              <w:t>59,134</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left="464"/>
              <w:spacing w:after="0"/>
              <w:rPr>
                <w:sz w:val="20"/>
                <w:szCs w:val="20"/>
                <w:color w:val="auto"/>
              </w:rPr>
            </w:pPr>
            <w:r>
              <w:rPr>
                <w:rFonts w:ascii="Arial" w:cs="Arial" w:eastAsia="Arial" w:hAnsi="Arial"/>
                <w:sz w:val="16"/>
                <w:szCs w:val="16"/>
                <w:color w:val="auto"/>
                <w:w w:val="97"/>
              </w:rPr>
              <w:t>(42,164)</w:t>
            </w: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3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6"/>
                <w:szCs w:val="16"/>
                <w:color w:val="auto"/>
              </w:rPr>
              <w:t>17,122</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center"/>
              <w:ind w:left="484"/>
              <w:spacing w:after="0"/>
              <w:rPr>
                <w:sz w:val="20"/>
                <w:szCs w:val="20"/>
                <w:color w:val="auto"/>
              </w:rPr>
            </w:pPr>
            <w:r>
              <w:rPr>
                <w:rFonts w:ascii="Arial" w:cs="Arial" w:eastAsia="Arial" w:hAnsi="Arial"/>
                <w:sz w:val="16"/>
                <w:szCs w:val="16"/>
                <w:color w:val="auto"/>
                <w:w w:val="98"/>
              </w:rPr>
              <w:t>34,092</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During the years ended December 31, 2019 and 2020, the provision for credit losses related to unsecured balances from users was $11.1 million and $58.0 million while the remaining $ 1.1 million related to December 31, 2020 was related to other receivables. As of December 31, 2019 and 2020, the ending allowance for credit losses related to unsecured balances of receivables from users was $17.1 million and $33.5 million while the remaining $0.6 million in allowance for the year ended December 31, 2020 was related to other receivables.</w:t>
      </w:r>
    </w:p>
    <w:p>
      <w:pPr>
        <w:spacing w:after="0" w:line="147"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In the year ended December 31, 2020, we implemented our policy to write-off unsecured balances when the balance becomes outstanding for over 180 days. Previously, we did not have sufficient historical information to provide a reasonable basis upon which to write off balances.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NOTE 5: FAIR VALUE OF FINANCIAL INSTRUMENTS</w:t>
      </w:r>
    </w:p>
    <w:p>
      <w:pPr>
        <w:spacing w:after="0" w:line="17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measure our cash equivalents, securities segregated under federal and other regulations and equity securities owned for the referral program and fractional shares, owned by us and user-held, at fair value. Repurchase obligations in connection with our fractional shares program and stock that were awarded to our users as a part of our promotional stock referral program but not claimed as of December 31, 2019 and 2020 are also measured at fair value. We have evaluated the estimated fair value of financial instruments using available market information.</w:t>
      </w:r>
    </w:p>
    <w:p>
      <w:pPr>
        <w:spacing w:after="0" w:line="147"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As of December 31, 2019 and 2020, the types of instruments valued based on quoted market prices for the same instrument in active markets include money market funds and publicly traded stocks owned by us. Such instruments are classified within Level 1 of the fair value hierarchy.</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did not have any instruments classified within Level 2 or Level 3 as of December 31,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260"/>
          </w:cols>
          <w:pgMar w:left="320" w:top="1285" w:right="319" w:bottom="1440" w:gutter="0" w:footer="0" w:header="0"/>
        </w:sectPr>
      </w:pPr>
    </w:p>
    <w:bookmarkStart w:id="339" w:name="page340"/>
    <w:bookmarkEnd w:id="339"/>
    <w:p>
      <w:pPr>
        <w:ind w:left="280"/>
        <w:spacing w:after="0"/>
        <w:rPr>
          <w:sz w:val="20"/>
          <w:szCs w:val="20"/>
          <w:color w:val="auto"/>
        </w:rPr>
      </w:pPr>
      <w:r>
        <w:rPr>
          <w:rFonts w:ascii="Arial" w:cs="Arial" w:eastAsia="Arial" w:hAnsi="Arial"/>
          <w:sz w:val="16"/>
          <w:szCs w:val="16"/>
          <w:color w:val="auto"/>
        </w:rPr>
        <w:t>Financial assets measured at fair value on a recurring basis as of the date indicated below were presented on our consolidated balance sheets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2019</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2020</w:t>
            </w:r>
          </w:p>
        </w:tc>
        <w:tc>
          <w:tcPr>
            <w:tcW w:w="1000" w:type="dxa"/>
            <w:vAlign w:val="bottom"/>
            <w:tcBorders>
              <w:bottom w:val="single" w:sz="8" w:color="auto"/>
            </w:tcBorders>
          </w:tcPr>
          <w:p>
            <w:pPr>
              <w:spacing w:after="0"/>
              <w:rPr>
                <w:sz w:val="14"/>
                <w:szCs w:val="14"/>
                <w:color w:val="auto"/>
              </w:rPr>
            </w:pPr>
          </w:p>
        </w:tc>
      </w:tr>
      <w:tr>
        <w:trPr>
          <w:trHeight w:val="159"/>
        </w:trPr>
        <w:tc>
          <w:tcPr>
            <w:tcW w:w="47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1</w:t>
            </w:r>
          </w:p>
        </w:tc>
        <w:tc>
          <w:tcPr>
            <w:tcW w:w="58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34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1</w:t>
            </w:r>
          </w:p>
        </w:tc>
        <w:tc>
          <w:tcPr>
            <w:tcW w:w="580" w:type="dxa"/>
            <w:vAlign w:val="bottom"/>
          </w:tcPr>
          <w:p>
            <w:pPr>
              <w:spacing w:after="0"/>
              <w:rPr>
                <w:sz w:val="13"/>
                <w:szCs w:val="13"/>
                <w:color w:val="auto"/>
              </w:rPr>
            </w:pPr>
          </w:p>
        </w:tc>
        <w:tc>
          <w:tcPr>
            <w:tcW w:w="1000" w:type="dxa"/>
            <w:vAlign w:val="bottom"/>
          </w:tcPr>
          <w:p>
            <w:pPr>
              <w:jc w:val="right"/>
              <w:ind w:right="563"/>
              <w:spacing w:after="0"/>
              <w:rPr>
                <w:sz w:val="20"/>
                <w:szCs w:val="20"/>
                <w:color w:val="auto"/>
              </w:rPr>
            </w:pPr>
            <w:r>
              <w:rPr>
                <w:rFonts w:ascii="Arial" w:cs="Arial" w:eastAsia="Arial" w:hAnsi="Arial"/>
                <w:sz w:val="13"/>
                <w:szCs w:val="13"/>
                <w:b w:val="1"/>
                <w:bCs w:val="1"/>
                <w:color w:val="auto"/>
              </w:rPr>
              <w:t>Total</w:t>
            </w:r>
          </w:p>
        </w:tc>
      </w:tr>
      <w:tr>
        <w:trPr>
          <w:trHeight w:val="18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03"/>
        </w:trPr>
        <w:tc>
          <w:tcPr>
            <w:tcW w:w="470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416,025</w:t>
            </w:r>
          </w:p>
        </w:tc>
        <w:tc>
          <w:tcPr>
            <w:tcW w:w="100" w:type="dxa"/>
            <w:vAlign w:val="bottom"/>
          </w:tcPr>
          <w:p>
            <w:pPr>
              <w:spacing w:after="0"/>
              <w:rPr>
                <w:sz w:val="17"/>
                <w:szCs w:val="17"/>
                <w:color w:val="auto"/>
              </w:rPr>
            </w:pPr>
          </w:p>
        </w:tc>
        <w:tc>
          <w:tcPr>
            <w:tcW w:w="580" w:type="dxa"/>
            <w:vAlign w:val="bottom"/>
          </w:tcPr>
          <w:p>
            <w:pPr>
              <w:jc w:val="right"/>
              <w:ind w:right="40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416,025</w:t>
            </w:r>
          </w:p>
        </w:tc>
        <w:tc>
          <w:tcPr>
            <w:tcW w:w="80" w:type="dxa"/>
            <w:vAlign w:val="bottom"/>
          </w:tcPr>
          <w:p>
            <w:pPr>
              <w:spacing w:after="0"/>
              <w:rPr>
                <w:sz w:val="17"/>
                <w:szCs w:val="17"/>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
              <w:spacing w:after="0"/>
              <w:rPr>
                <w:sz w:val="20"/>
                <w:szCs w:val="20"/>
                <w:color w:val="auto"/>
              </w:rPr>
            </w:pPr>
            <w:r>
              <w:rPr>
                <w:rFonts w:ascii="Arial" w:cs="Arial" w:eastAsia="Arial" w:hAnsi="Arial"/>
                <w:sz w:val="16"/>
                <w:szCs w:val="16"/>
                <w:color w:val="auto"/>
              </w:rPr>
              <w:t>1,026,034</w:t>
            </w:r>
          </w:p>
        </w:tc>
        <w:tc>
          <w:tcPr>
            <w:tcW w:w="80" w:type="dxa"/>
            <w:vAlign w:val="bottom"/>
          </w:tcPr>
          <w:p>
            <w:pPr>
              <w:spacing w:after="0"/>
              <w:rPr>
                <w:sz w:val="17"/>
                <w:szCs w:val="17"/>
                <w:color w:val="auto"/>
              </w:rPr>
            </w:pPr>
          </w:p>
        </w:tc>
        <w:tc>
          <w:tcPr>
            <w:tcW w:w="5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1,026,034</w:t>
            </w:r>
          </w:p>
        </w:tc>
      </w:tr>
      <w:tr>
        <w:trPr>
          <w:trHeight w:val="167"/>
        </w:trPr>
        <w:tc>
          <w:tcPr>
            <w:tcW w:w="470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rPr>
              <w:t>Cash and securities segregated under federal and other</w:t>
            </w: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2"/>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regulations:</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3"/>
        </w:trPr>
        <w:tc>
          <w:tcPr>
            <w:tcW w:w="4700" w:type="dxa"/>
            <w:vAlign w:val="bottom"/>
          </w:tcPr>
          <w:p>
            <w:pPr>
              <w:ind w:left="200"/>
              <w:spacing w:after="0"/>
              <w:rPr>
                <w:sz w:val="20"/>
                <w:szCs w:val="20"/>
                <w:color w:val="auto"/>
              </w:rPr>
            </w:pPr>
            <w:r>
              <w:rPr>
                <w:rFonts w:ascii="Arial" w:cs="Arial" w:eastAsia="Arial" w:hAnsi="Arial"/>
                <w:sz w:val="16"/>
                <w:szCs w:val="16"/>
                <w:color w:val="auto"/>
              </w:rPr>
              <w:t>U.S. Treasury securities</w:t>
            </w:r>
          </w:p>
        </w:tc>
        <w:tc>
          <w:tcPr>
            <w:tcW w:w="3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6"/>
                <w:szCs w:val="16"/>
                <w:color w:val="auto"/>
              </w:rPr>
              <w:t>134,994</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134,994</w:t>
            </w: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4700" w:type="dxa"/>
            <w:vAlign w:val="bottom"/>
          </w:tcPr>
          <w:p>
            <w:pPr>
              <w:ind w:left="200"/>
              <w:spacing w:after="0"/>
              <w:rPr>
                <w:sz w:val="20"/>
                <w:szCs w:val="20"/>
                <w:color w:val="auto"/>
              </w:rPr>
            </w:pPr>
            <w:r>
              <w:rPr>
                <w:rFonts w:ascii="Arial" w:cs="Arial" w:eastAsia="Arial" w:hAnsi="Arial"/>
                <w:sz w:val="16"/>
                <w:szCs w:val="16"/>
                <w:color w:val="auto"/>
              </w:rPr>
              <w:t>Equity securities - user-held fractional shares</w:t>
            </w:r>
          </w:p>
        </w:tc>
        <w:tc>
          <w:tcPr>
            <w:tcW w:w="3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6"/>
                <w:szCs w:val="16"/>
                <w:color w:val="auto"/>
              </w:rPr>
              <w:t>802,483</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802,483</w:t>
            </w:r>
          </w:p>
        </w:tc>
      </w:tr>
      <w:tr>
        <w:trPr>
          <w:trHeight w:val="203"/>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securities - securities owned</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2,997</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2,997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3,222</w:t>
            </w:r>
          </w:p>
        </w:tc>
        <w:tc>
          <w:tcPr>
            <w:tcW w:w="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3,222</w:t>
            </w:r>
          </w:p>
        </w:tc>
      </w:tr>
      <w:tr>
        <w:trPr>
          <w:trHeight w:val="195"/>
        </w:trPr>
        <w:tc>
          <w:tcPr>
            <w:tcW w:w="4700" w:type="dxa"/>
            <w:vAlign w:val="bottom"/>
          </w:tcPr>
          <w:p>
            <w:pPr>
              <w:ind w:left="20"/>
              <w:spacing w:after="0"/>
              <w:rPr>
                <w:sz w:val="20"/>
                <w:szCs w:val="20"/>
                <w:color w:val="auto"/>
              </w:rPr>
            </w:pPr>
            <w:r>
              <w:rPr>
                <w:rFonts w:ascii="Arial" w:cs="Arial" w:eastAsia="Arial" w:hAnsi="Arial"/>
                <w:sz w:val="16"/>
                <w:szCs w:val="16"/>
                <w:color w:val="auto"/>
              </w:rPr>
              <w:t>Total financial assets</w:t>
            </w: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419,022</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419,022</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1,966,733</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1,966,733</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Financial liabilities measured at fair value on a recurring basis as of the date indicated below were presented on our consolidated balance sheets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3"/>
                <w:szCs w:val="13"/>
                <w:b w:val="1"/>
                <w:bCs w:val="1"/>
                <w:color w:val="auto"/>
                <w:w w:val="99"/>
              </w:rPr>
              <w:t>December 31, 2019</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2020</w:t>
            </w:r>
          </w:p>
        </w:tc>
        <w:tc>
          <w:tcPr>
            <w:tcW w:w="1000" w:type="dxa"/>
            <w:vAlign w:val="bottom"/>
            <w:tcBorders>
              <w:bottom w:val="single" w:sz="8" w:color="auto"/>
            </w:tcBorders>
          </w:tcPr>
          <w:p>
            <w:pPr>
              <w:spacing w:after="0"/>
              <w:rPr>
                <w:sz w:val="14"/>
                <w:szCs w:val="14"/>
                <w:color w:val="auto"/>
              </w:rPr>
            </w:pPr>
          </w:p>
        </w:tc>
      </w:tr>
      <w:tr>
        <w:trPr>
          <w:trHeight w:val="159"/>
        </w:trPr>
        <w:tc>
          <w:tcPr>
            <w:tcW w:w="47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Level 1</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66"/>
              <w:spacing w:after="0"/>
              <w:rPr>
                <w:sz w:val="20"/>
                <w:szCs w:val="20"/>
                <w:color w:val="auto"/>
              </w:rPr>
            </w:pPr>
            <w:r>
              <w:rPr>
                <w:rFonts w:ascii="Arial" w:cs="Arial" w:eastAsia="Arial" w:hAnsi="Arial"/>
                <w:sz w:val="13"/>
                <w:szCs w:val="13"/>
                <w:b w:val="1"/>
                <w:bCs w:val="1"/>
                <w:color w:val="auto"/>
              </w:rPr>
              <w:t>Total</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1</w:t>
            </w:r>
          </w:p>
        </w:tc>
        <w:tc>
          <w:tcPr>
            <w:tcW w:w="580" w:type="dxa"/>
            <w:vAlign w:val="bottom"/>
          </w:tcPr>
          <w:p>
            <w:pPr>
              <w:spacing w:after="0"/>
              <w:rPr>
                <w:sz w:val="13"/>
                <w:szCs w:val="13"/>
                <w:color w:val="auto"/>
              </w:rPr>
            </w:pPr>
          </w:p>
        </w:tc>
        <w:tc>
          <w:tcPr>
            <w:tcW w:w="1000" w:type="dxa"/>
            <w:vAlign w:val="bottom"/>
          </w:tcPr>
          <w:p>
            <w:pPr>
              <w:jc w:val="right"/>
              <w:ind w:right="564"/>
              <w:spacing w:after="0"/>
              <w:rPr>
                <w:sz w:val="20"/>
                <w:szCs w:val="20"/>
                <w:color w:val="auto"/>
              </w:rPr>
            </w:pPr>
            <w:r>
              <w:rPr>
                <w:rFonts w:ascii="Arial" w:cs="Arial" w:eastAsia="Arial" w:hAnsi="Arial"/>
                <w:sz w:val="13"/>
                <w:szCs w:val="13"/>
                <w:b w:val="1"/>
                <w:bCs w:val="1"/>
                <w:color w:val="auto"/>
              </w:rPr>
              <w:t>Total</w:t>
            </w:r>
          </w:p>
        </w:tc>
      </w:tr>
      <w:tr>
        <w:trPr>
          <w:trHeight w:val="18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payable and accrued expenses:</w:t>
            </w:r>
          </w:p>
        </w:tc>
        <w:tc>
          <w:tcPr>
            <w:tcW w:w="10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03"/>
        </w:trPr>
        <w:tc>
          <w:tcPr>
            <w:tcW w:w="4720" w:type="dxa"/>
            <w:vAlign w:val="bottom"/>
          </w:tcPr>
          <w:p>
            <w:pPr>
              <w:ind w:left="200"/>
              <w:spacing w:after="0"/>
              <w:rPr>
                <w:sz w:val="20"/>
                <w:szCs w:val="20"/>
                <w:color w:val="auto"/>
              </w:rPr>
            </w:pPr>
            <w:r>
              <w:rPr>
                <w:rFonts w:ascii="Arial" w:cs="Arial" w:eastAsia="Arial" w:hAnsi="Arial"/>
                <w:sz w:val="16"/>
                <w:szCs w:val="16"/>
                <w:color w:val="auto"/>
              </w:rPr>
              <w:t>Equity securities - referral program liability</w:t>
            </w:r>
          </w:p>
        </w:tc>
        <w:tc>
          <w:tcPr>
            <w:tcW w:w="1000" w:type="dxa"/>
            <w:vAlign w:val="bottom"/>
          </w:tcPr>
          <w:p>
            <w:pPr>
              <w:jc w:val="right"/>
              <w:ind w:right="826"/>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7"/>
                <w:szCs w:val="17"/>
                <w:color w:val="auto"/>
              </w:rPr>
            </w:pPr>
          </w:p>
        </w:tc>
        <w:tc>
          <w:tcPr>
            <w:tcW w:w="1080" w:type="dxa"/>
            <w:vAlign w:val="bottom"/>
          </w:tcPr>
          <w:p>
            <w:pPr>
              <w:jc w:val="right"/>
              <w:ind w:right="90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303</w:t>
            </w:r>
          </w:p>
        </w:tc>
        <w:tc>
          <w:tcPr>
            <w:tcW w:w="80" w:type="dxa"/>
            <w:vAlign w:val="bottom"/>
          </w:tcPr>
          <w:p>
            <w:pPr>
              <w:spacing w:after="0"/>
              <w:rPr>
                <w:sz w:val="17"/>
                <w:szCs w:val="17"/>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
              <w:spacing w:after="0"/>
              <w:rPr>
                <w:sz w:val="20"/>
                <w:szCs w:val="20"/>
                <w:color w:val="auto"/>
              </w:rPr>
            </w:pPr>
            <w:r>
              <w:rPr>
                <w:rFonts w:ascii="Arial" w:cs="Arial" w:eastAsia="Arial" w:hAnsi="Arial"/>
                <w:sz w:val="16"/>
                <w:szCs w:val="16"/>
                <w:color w:val="auto"/>
              </w:rPr>
              <w:t>695</w:t>
            </w:r>
          </w:p>
        </w:tc>
        <w:tc>
          <w:tcPr>
            <w:tcW w:w="80" w:type="dxa"/>
            <w:vAlign w:val="bottom"/>
          </w:tcPr>
          <w:p>
            <w:pPr>
              <w:spacing w:after="0"/>
              <w:rPr>
                <w:sz w:val="17"/>
                <w:szCs w:val="17"/>
                <w:color w:val="auto"/>
              </w:rPr>
            </w:pPr>
          </w:p>
        </w:tc>
        <w:tc>
          <w:tcPr>
            <w:tcW w:w="5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695</w:t>
            </w: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4720" w:type="dxa"/>
            <w:vAlign w:val="bottom"/>
          </w:tcPr>
          <w:p>
            <w:pPr>
              <w:ind w:left="200"/>
              <w:spacing w:after="0"/>
              <w:rPr>
                <w:sz w:val="20"/>
                <w:szCs w:val="20"/>
                <w:color w:val="auto"/>
              </w:rPr>
            </w:pPr>
            <w:r>
              <w:rPr>
                <w:rFonts w:ascii="Arial" w:cs="Arial" w:eastAsia="Arial" w:hAnsi="Arial"/>
                <w:sz w:val="16"/>
                <w:szCs w:val="16"/>
                <w:color w:val="auto"/>
              </w:rPr>
              <w:t>Equity securities - repurchase obligations</w:t>
            </w:r>
          </w:p>
        </w:tc>
        <w:tc>
          <w:tcPr>
            <w:tcW w:w="10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40" w:type="dxa"/>
            <w:vAlign w:val="bottom"/>
          </w:tcPr>
          <w:p>
            <w:pPr>
              <w:jc w:val="right"/>
              <w:ind w:right="7"/>
              <w:spacing w:after="0"/>
              <w:rPr>
                <w:sz w:val="20"/>
                <w:szCs w:val="20"/>
                <w:color w:val="auto"/>
              </w:rPr>
            </w:pPr>
            <w:r>
              <w:rPr>
                <w:rFonts w:ascii="Arial" w:cs="Arial" w:eastAsia="Arial" w:hAnsi="Arial"/>
                <w:sz w:val="16"/>
                <w:szCs w:val="16"/>
                <w:color w:val="auto"/>
              </w:rPr>
              <w:t>802,483</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802,483</w:t>
            </w:r>
          </w:p>
        </w:tc>
      </w:tr>
      <w:tr>
        <w:trPr>
          <w:trHeight w:val="220"/>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financial liabilities</w:t>
            </w:r>
          </w:p>
        </w:tc>
        <w:tc>
          <w:tcPr>
            <w:tcW w:w="100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906"/>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803,178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803,178</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During the years ended December 31, 2019 and 2020, we did not have any transfers in or out of Level 1, Level 2, or Level 3 assets or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NOTE 6: INCOME TAXES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components of income (loss) before income taxes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4"/>
                <w:szCs w:val="14"/>
                <w:color w:val="auto"/>
              </w:rPr>
            </w:pP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(104,690)</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14,773</w:t>
            </w:r>
          </w:p>
        </w:tc>
      </w:tr>
      <w:tr>
        <w:trPr>
          <w:trHeight w:val="20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(2,897)</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r>
      <w:tr>
        <w:trPr>
          <w:trHeight w:val="220"/>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(107,587)</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13,830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60"/>
          </w:cols>
          <w:pgMar w:left="320" w:top="1285" w:right="319" w:bottom="1440" w:gutter="0" w:footer="0" w:header="0"/>
        </w:sectPr>
      </w:pPr>
    </w:p>
    <w:bookmarkStart w:id="340" w:name="page341"/>
    <w:bookmarkEnd w:id="340"/>
    <w:p>
      <w:pPr>
        <w:ind w:left="280"/>
        <w:spacing w:after="0"/>
        <w:rPr>
          <w:sz w:val="20"/>
          <w:szCs w:val="20"/>
          <w:color w:val="auto"/>
        </w:rPr>
      </w:pPr>
      <w:r>
        <w:rPr>
          <w:rFonts w:ascii="Arial" w:cs="Arial" w:eastAsia="Arial" w:hAnsi="Arial"/>
          <w:sz w:val="16"/>
          <w:szCs w:val="16"/>
          <w:color w:val="auto"/>
        </w:rPr>
        <w:t>The components of the provision for (benefit from) income taxes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4"/>
                <w:szCs w:val="14"/>
                <w:color w:val="auto"/>
              </w:rPr>
            </w:pP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Federal</w:t>
            </w:r>
          </w:p>
        </w:tc>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7"/>
                <w:szCs w:val="17"/>
                <w:color w:val="auto"/>
              </w:rPr>
            </w:pP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2,780</w:t>
            </w: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State</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3,801</w:t>
            </w: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Foreign</w:t>
            </w:r>
          </w:p>
        </w:tc>
        <w:tc>
          <w:tcPr>
            <w:tcW w:w="38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19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current tax expense (benefit)</w:t>
            </w:r>
          </w:p>
        </w:tc>
        <w:tc>
          <w:tcPr>
            <w:tcW w:w="3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6,581</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Deferred:</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State</w:t>
            </w:r>
          </w:p>
        </w:tc>
        <w:tc>
          <w:tcPr>
            <w:tcW w:w="38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19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deferred tax expense (benefit)</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2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provision for (benefit from) income taxes</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6,381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reconciliation of federal statutory income tax to our provision for (benefit from) income taxes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4"/>
                <w:szCs w:val="14"/>
                <w:color w:val="auto"/>
              </w:rPr>
            </w:pP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tax (benefit) at statutory rate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(22,593)</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2,905</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State tax (benefit), net of federal benefit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(5,491)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(862)</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rate differential</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(2,654)</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Tender offer compensation</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4,229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3,607</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Research and development credits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(10,489)</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regulatory settlements</w:t>
            </w: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21,000</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Permanent differences</w:t>
            </w:r>
          </w:p>
        </w:tc>
        <w:tc>
          <w:tcPr>
            <w:tcW w:w="3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526</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905</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w:t>
            </w:r>
          </w:p>
        </w:tc>
      </w:tr>
      <w:tr>
        <w:trPr>
          <w:trHeight w:val="20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valuation allowance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25,314</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(7,702)</w:t>
            </w:r>
          </w:p>
        </w:tc>
      </w:tr>
      <w:tr>
        <w:trPr>
          <w:trHeight w:val="220"/>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provision for (benefit from) income taxes</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6,381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260"/>
          </w:cols>
          <w:pgMar w:left="320" w:top="1285" w:right="319" w:bottom="1440" w:gutter="0" w:footer="0" w:header="0"/>
        </w:sectPr>
      </w:pPr>
    </w:p>
    <w:bookmarkStart w:id="341" w:name="page342"/>
    <w:bookmarkEnd w:id="341"/>
    <w:p>
      <w:pPr>
        <w:ind w:left="280"/>
        <w:spacing w:after="0"/>
        <w:rPr>
          <w:sz w:val="20"/>
          <w:szCs w:val="20"/>
          <w:color w:val="auto"/>
        </w:rPr>
      </w:pPr>
      <w:r>
        <w:rPr>
          <w:rFonts w:ascii="Arial" w:cs="Arial" w:eastAsia="Arial" w:hAnsi="Arial"/>
          <w:sz w:val="16"/>
          <w:szCs w:val="16"/>
          <w:color w:val="auto"/>
        </w:rPr>
        <w:t>Significant components of our deferred tax assets and liabilities consist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4"/>
                <w:szCs w:val="14"/>
                <w:color w:val="auto"/>
              </w:rPr>
            </w:pP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Accruals and other liabilities</w:t>
            </w:r>
          </w:p>
        </w:tc>
        <w:tc>
          <w:tcPr>
            <w:tcW w:w="38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7,704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14,849</w:t>
            </w: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Lease liabilities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9,859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13,794</w:t>
            </w: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Tax credit carryforwards</w:t>
            </w:r>
          </w:p>
        </w:tc>
        <w:tc>
          <w:tcPr>
            <w:tcW w:w="38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3,198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9,058</w:t>
            </w: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operating loss carryforwards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23,091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3,141</w:t>
            </w: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Share-based compensation</w:t>
            </w:r>
          </w:p>
        </w:tc>
        <w:tc>
          <w:tcPr>
            <w:tcW w:w="38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1,442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3,123</w:t>
            </w: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686</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3,386</w:t>
            </w:r>
          </w:p>
        </w:tc>
      </w:tr>
      <w:tr>
        <w:trPr>
          <w:trHeight w:val="195"/>
        </w:trPr>
        <w:tc>
          <w:tcPr>
            <w:tcW w:w="8020" w:type="dxa"/>
            <w:vAlign w:val="bottom"/>
          </w:tcPr>
          <w:p>
            <w:pPr>
              <w:ind w:left="400"/>
              <w:spacing w:after="0"/>
              <w:rPr>
                <w:sz w:val="20"/>
                <w:szCs w:val="20"/>
                <w:color w:val="auto"/>
              </w:rPr>
            </w:pPr>
            <w:r>
              <w:rPr>
                <w:rFonts w:ascii="Arial" w:cs="Arial" w:eastAsia="Arial" w:hAnsi="Arial"/>
                <w:sz w:val="16"/>
                <w:szCs w:val="16"/>
                <w:color w:val="auto"/>
              </w:rPr>
              <w:t>Total deferred tax assets</w:t>
            </w:r>
          </w:p>
        </w:tc>
        <w:tc>
          <w:tcPr>
            <w:tcW w:w="380" w:type="dxa"/>
            <w:vAlign w:val="bottom"/>
          </w:tcPr>
          <w:p>
            <w:pPr>
              <w:spacing w:after="0"/>
              <w:rPr>
                <w:sz w:val="16"/>
                <w:szCs w:val="16"/>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45,980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47,351</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Right of use assets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(8,194)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(12,551)</w:t>
            </w: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(6,965)</w:t>
            </w:r>
          </w:p>
        </w:tc>
      </w:tr>
      <w:tr>
        <w:trPr>
          <w:trHeight w:val="195"/>
        </w:trPr>
        <w:tc>
          <w:tcPr>
            <w:tcW w:w="8020" w:type="dxa"/>
            <w:vAlign w:val="bottom"/>
          </w:tcPr>
          <w:p>
            <w:pPr>
              <w:ind w:left="400"/>
              <w:spacing w:after="0"/>
              <w:rPr>
                <w:sz w:val="20"/>
                <w:szCs w:val="20"/>
                <w:color w:val="auto"/>
              </w:rPr>
            </w:pPr>
            <w:r>
              <w:rPr>
                <w:rFonts w:ascii="Arial" w:cs="Arial" w:eastAsia="Arial" w:hAnsi="Arial"/>
                <w:sz w:val="16"/>
                <w:szCs w:val="16"/>
                <w:color w:val="auto"/>
              </w:rPr>
              <w:t>Total deferred tax liabilities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(10,108)</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(19,516)</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(35,207)</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(26,909)</w:t>
            </w: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Net deferred tax assets</w:t>
            </w:r>
          </w:p>
        </w:tc>
        <w:tc>
          <w:tcPr>
            <w:tcW w:w="3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665</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926</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realization of tax benefits of net deferred assets is dependent upon future levels of taxable income, of an appropriate character, in the periods the items are expected to be deductible or taxable. Based on all available evidence for the year ending December 31, 2020, we believe it is more likely than not that the tax benefits of the remaining U.S. federal and state net deferred tax assets may not be realized, and accordingly, the net deferred tax assets have been fully offset by a valuation allowance. The valuation allowance decreased by approximately $8.3 million for the year ended December 31, 2020.</w:t>
      </w:r>
    </w:p>
    <w:p>
      <w:pPr>
        <w:spacing w:after="0" w:line="15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As of December 31, 2020, we have U.S. state net operating loss carryforwards of $32.3 million that will begin to expire in 2034, if not utilized, and non-U.S. net operating loss carryforwards of $4.7 million that do not expire. We have U.S. federal tax credit carryforwards of $8.5 million that will begin to expire in 2040, if not utilized, and state tax credit carryforwards of $9.3 million that do not expire.</w:t>
      </w:r>
    </w:p>
    <w:p>
      <w:pPr>
        <w:spacing w:after="0" w:line="145"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Utilization of the net operating loss and credit carryforwards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w:t>
      </w:r>
    </w:p>
    <w:p>
      <w:pPr>
        <w:spacing w:after="0" w:line="14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had unrecognized tax benefits of approximately $2.2 million and $7.4 million as of December 31, 2019 and 2020. These unrecognized tax benefits, if recognized, would not affect the effective tax rate. We record interest and penalties related to unrecognized tax benefits in income tax expense. There were no interest or penalties during the years ended December 31, 2019 and 2020.</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reconciliation of the beginning and ending amount of unrecognized tax benefits is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4"/>
                <w:szCs w:val="14"/>
                <w:color w:val="auto"/>
              </w:rPr>
            </w:pPr>
          </w:p>
        </w:tc>
      </w:tr>
      <w:tr>
        <w:trPr>
          <w:trHeight w:val="159"/>
        </w:trPr>
        <w:tc>
          <w:tcPr>
            <w:tcW w:w="80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benefit - beginning of period</w:t>
            </w:r>
          </w:p>
        </w:tc>
        <w:tc>
          <w:tcPr>
            <w:tcW w:w="1020" w:type="dxa"/>
            <w:vAlign w:val="bottom"/>
            <w:shd w:val="clear" w:color="auto" w:fill="CCEEFF"/>
          </w:tcPr>
          <w:p>
            <w:pPr>
              <w:jc w:val="right"/>
              <w:ind w:right="826"/>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759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2,177</w:t>
            </w: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Gross increases - current year tax positions</w:t>
            </w:r>
          </w:p>
        </w:tc>
        <w:tc>
          <w:tcPr>
            <w:tcW w:w="10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Arial" w:cs="Arial" w:eastAsia="Arial" w:hAnsi="Arial"/>
                <w:sz w:val="16"/>
                <w:szCs w:val="16"/>
                <w:color w:val="auto"/>
              </w:rPr>
              <w:t>797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4,395</w:t>
            </w: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increases - prior year tax positions</w:t>
            </w:r>
          </w:p>
        </w:tc>
        <w:tc>
          <w:tcPr>
            <w:tcW w:w="10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621</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848</w:t>
            </w: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Unrecognized benefit - end of period</w:t>
            </w:r>
          </w:p>
        </w:tc>
        <w:tc>
          <w:tcPr>
            <w:tcW w:w="1020" w:type="dxa"/>
            <w:vAlign w:val="bottom"/>
            <w:tcBorders>
              <w:bottom w:val="single" w:sz="8" w:color="auto"/>
            </w:tcBorders>
          </w:tcPr>
          <w:p>
            <w:pPr>
              <w:jc w:val="right"/>
              <w:ind w:right="826"/>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2,177</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7,420</w:t>
            </w:r>
          </w:p>
        </w:tc>
      </w:tr>
      <w:tr>
        <w:trPr>
          <w:trHeight w:val="20"/>
        </w:trPr>
        <w:tc>
          <w:tcPr>
            <w:tcW w:w="8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260"/>
          </w:cols>
          <w:pgMar w:left="320" w:top="1286" w:right="319" w:bottom="1440" w:gutter="0" w:footer="0" w:header="0"/>
        </w:sectPr>
      </w:pPr>
    </w:p>
    <w:bookmarkStart w:id="342" w:name="page343"/>
    <w:bookmarkEnd w:id="342"/>
    <w:p>
      <w:pPr>
        <w:jc w:val="both"/>
        <w:ind w:firstLine="287"/>
        <w:spacing w:after="0" w:line="260" w:lineRule="auto"/>
        <w:rPr>
          <w:sz w:val="20"/>
          <w:szCs w:val="20"/>
          <w:color w:val="auto"/>
        </w:rPr>
      </w:pPr>
      <w:r>
        <w:rPr>
          <w:rFonts w:ascii="Arial" w:cs="Arial" w:eastAsia="Arial" w:hAnsi="Arial"/>
          <w:sz w:val="16"/>
          <w:szCs w:val="16"/>
          <w:color w:val="auto"/>
        </w:rPr>
        <w:t>We file in U.S. federal, various state and foreign jurisdictions. The tax years from 2013 remain open to examination by the U.S. federal and state authorities, due to carryover of unused net operating losses and tax credits. The tax years from 2018 remain open for the most significant foreign jurisdiction.</w:t>
      </w:r>
    </w:p>
    <w:p>
      <w:pPr>
        <w:spacing w:after="0" w:line="13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In March 2020, the President of the United States signed into law the Coronavirus Aid, Relief, and Economic Security Act (the “CARES Act”). The recent tax law changes provided under the CARES Act do not materially impact our income tax provision, and do not change our evaluation of the valuation allowance against deferred tax assets in the U.S. as of December 31, 2020.</w:t>
      </w:r>
    </w:p>
    <w:p>
      <w:pPr>
        <w:spacing w:after="0" w:line="15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June 2020, the Governor of California signed Assembly Bill No. 85 (“AB 85”) as part of California’s 2020 Budget Act. AB 85 temporarily suspends the use of California net operating losses and imposes a cap on the amount of business incentive tax credits companies can utilize against their net income. The recent tax legislation changes provided under AB 85 do not materially impact our income tax provision and do not change our evaluation of the valuation allowance against deferred tax assets in California as of December 31, 2020.</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NOTE 7: PROPERTY, SOFTWARE AND EQUIPMENT, NET</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Property, software and equipment are recorded net of accumulated depreciation and summarized by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4"/>
                <w:szCs w:val="14"/>
                <w:color w:val="auto"/>
              </w:rPr>
            </w:pP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4,980</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9,203</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38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3,761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8,024</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improvements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9,522</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18,945</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Internally developed software</w:t>
            </w:r>
          </w:p>
        </w:tc>
        <w:tc>
          <w:tcPr>
            <w:tcW w:w="38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12,029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16,992</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2,957</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9,756</w:t>
            </w:r>
          </w:p>
        </w:tc>
      </w:tr>
      <w:tr>
        <w:trPr>
          <w:trHeight w:val="195"/>
        </w:trPr>
        <w:tc>
          <w:tcPr>
            <w:tcW w:w="8020" w:type="dxa"/>
            <w:vAlign w:val="bottom"/>
          </w:tcPr>
          <w:p>
            <w:pPr>
              <w:ind w:left="200"/>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16"/>
                <w:szCs w:val="16"/>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33,249</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62,920</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(7,948)</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(17,086)</w:t>
            </w:r>
          </w:p>
        </w:tc>
      </w:tr>
      <w:tr>
        <w:trPr>
          <w:trHeight w:val="195"/>
        </w:trPr>
        <w:tc>
          <w:tcPr>
            <w:tcW w:w="8020" w:type="dxa"/>
            <w:vAlign w:val="bottom"/>
          </w:tcPr>
          <w:p>
            <w:pPr>
              <w:ind w:left="200"/>
              <w:spacing w:after="0"/>
              <w:rPr>
                <w:sz w:val="20"/>
                <w:szCs w:val="20"/>
                <w:color w:val="auto"/>
              </w:rPr>
            </w:pPr>
            <w:r>
              <w:rPr>
                <w:rFonts w:ascii="Arial" w:cs="Arial" w:eastAsia="Arial" w:hAnsi="Arial"/>
                <w:sz w:val="16"/>
                <w:szCs w:val="16"/>
                <w:color w:val="auto"/>
              </w:rPr>
              <w:t>Property, software and equipment, net</w:t>
            </w:r>
          </w:p>
        </w:tc>
        <w:tc>
          <w:tcPr>
            <w:tcW w:w="3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25,301</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45,834</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and amortization expense of property and equipment for the year ended December 31, 2019 and 2020 was $2.1 million and $5.7 million.</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expense of internally developed software for the year ended December 31, 2019 and 2020 was $3.3 million and $4.2 million.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NOTE 8: OFFSETTING ASSETS AND LIABILITIES</w:t>
      </w:r>
    </w:p>
    <w:p>
      <w:pPr>
        <w:spacing w:after="0" w:line="17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Certain financial instruments are eligible for offset on our consolidated balance sheets under U.S. GAAP. Our securities borrowing and lending agreements are subject to master netting arrangements and collateral arrangements and meet the U.S. GAAP guidance to qualify for offset. A master netting arrangement with a counterparty creates a right of offset for amounts due to and from that same counterparty that is enforceable in the event of a default or bankruptcy. Our policy is to recognize amounts subject to master netting arrangements on a gross basis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260"/>
          </w:cols>
          <w:pgMar w:left="320" w:top="1286" w:right="319" w:bottom="1440" w:gutter="0" w:footer="0" w:header="0"/>
        </w:sectPr>
      </w:pPr>
    </w:p>
    <w:bookmarkStart w:id="343" w:name="page344"/>
    <w:bookmarkEnd w:id="343"/>
    <w:p>
      <w:pPr>
        <w:ind w:left="280"/>
        <w:spacing w:after="0"/>
        <w:rPr>
          <w:sz w:val="20"/>
          <w:szCs w:val="20"/>
          <w:color w:val="auto"/>
        </w:rPr>
      </w:pPr>
      <w:r>
        <w:rPr>
          <w:rFonts w:ascii="Arial" w:cs="Arial" w:eastAsia="Arial" w:hAnsi="Arial"/>
          <w:sz w:val="16"/>
          <w:szCs w:val="16"/>
          <w:color w:val="auto"/>
        </w:rPr>
        <w:t>Our assets and liabilities subject to master netting arrangements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3"/>
                <w:szCs w:val="13"/>
                <w:b w:val="1"/>
                <w:bCs w:val="1"/>
                <w:color w:val="auto"/>
                <w:w w:val="99"/>
              </w:rPr>
              <w:t>December 31,</w:t>
            </w:r>
          </w:p>
        </w:tc>
        <w:tc>
          <w:tcPr>
            <w:tcW w:w="980" w:type="dxa"/>
            <w:vAlign w:val="bottom"/>
            <w:tcBorders>
              <w:bottom w:val="single" w:sz="8" w:color="auto"/>
            </w:tcBorders>
          </w:tcPr>
          <w:p>
            <w:pPr>
              <w:spacing w:after="0"/>
              <w:rPr>
                <w:sz w:val="14"/>
                <w:szCs w:val="14"/>
                <w:color w:val="auto"/>
              </w:rPr>
            </w:pPr>
          </w:p>
        </w:tc>
      </w:tr>
      <w:tr>
        <w:trPr>
          <w:trHeight w:val="159"/>
        </w:trPr>
        <w:tc>
          <w:tcPr>
            <w:tcW w:w="80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Assets</w:t>
            </w: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3"/>
                <w:szCs w:val="13"/>
                <w:b w:val="1"/>
                <w:bCs w:val="1"/>
                <w:color w:val="auto"/>
                <w:w w:val="99"/>
              </w:rPr>
              <w:t>Securities borrowed</w:t>
            </w:r>
          </w:p>
        </w:tc>
        <w:tc>
          <w:tcPr>
            <w:tcW w:w="980" w:type="dxa"/>
            <w:vAlign w:val="bottom"/>
            <w:tcBorders>
              <w:bottom w:val="single" w:sz="8" w:color="auto"/>
            </w:tcBorders>
          </w:tcPr>
          <w:p>
            <w:pPr>
              <w:spacing w:after="0"/>
              <w:rPr>
                <w:sz w:val="13"/>
                <w:szCs w:val="13"/>
                <w:color w:val="auto"/>
              </w:rPr>
            </w:pP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amount of securities borrowed</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438</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372</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Gross amount offset on the consolidated balance sheets</w:t>
            </w:r>
          </w:p>
        </w:tc>
        <w:tc>
          <w:tcPr>
            <w:tcW w:w="3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195"/>
        </w:trPr>
        <w:tc>
          <w:tcPr>
            <w:tcW w:w="802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6"/>
                <w:szCs w:val="16"/>
                <w:color w:val="auto"/>
              </w:rPr>
              <w:t>Amounts of assets presented on the consolidated balance sheets</w:t>
            </w:r>
            <w:r>
              <w:rPr>
                <w:rFonts w:ascii="Arial" w:cs="Arial" w:eastAsia="Arial" w:hAnsi="Arial"/>
                <w:sz w:val="20"/>
                <w:szCs w:val="20"/>
                <w:color w:val="auto"/>
                <w:vertAlign w:val="superscript"/>
              </w:rPr>
              <w:t>(1)</w:t>
            </w:r>
          </w:p>
        </w:tc>
        <w:tc>
          <w:tcPr>
            <w:tcW w:w="3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438</w:t>
            </w: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372</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Gross amount of securities borrowed not offset in the consolidated balance sheets: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Securities borrowed</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438</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372</w:t>
            </w:r>
          </w:p>
        </w:tc>
      </w:tr>
      <w:tr>
        <w:trPr>
          <w:trHeight w:val="203"/>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Security collateral received</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r>
      <w:tr>
        <w:trPr>
          <w:trHeight w:val="22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35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Liabilities</w:t>
            </w: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3"/>
                <w:szCs w:val="13"/>
                <w:b w:val="1"/>
                <w:bCs w:val="1"/>
                <w:color w:val="auto"/>
                <w:w w:val="96"/>
              </w:rPr>
              <w:t>Securities loaned</w:t>
            </w:r>
          </w:p>
        </w:tc>
        <w:tc>
          <w:tcPr>
            <w:tcW w:w="980" w:type="dxa"/>
            <w:vAlign w:val="bottom"/>
            <w:tcBorders>
              <w:bottom w:val="single" w:sz="8" w:color="auto"/>
            </w:tcBorders>
          </w:tcPr>
          <w:p>
            <w:pPr>
              <w:spacing w:after="0"/>
              <w:rPr>
                <w:sz w:val="24"/>
                <w:szCs w:val="24"/>
                <w:color w:val="auto"/>
              </w:rPr>
            </w:pP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amount of securities loaned</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674,029</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1,921,118</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Gross amount of securities loaned offset on the consolidated balance sheets</w:t>
            </w:r>
          </w:p>
        </w:tc>
        <w:tc>
          <w:tcPr>
            <w:tcW w:w="3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19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of liabilities presented on the consolidated balance sheets</w:t>
            </w:r>
          </w:p>
        </w:tc>
        <w:tc>
          <w:tcPr>
            <w:tcW w:w="3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674,029</w:t>
            </w: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1,921,118</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Gross amount of securities loaned not offset on the consolidated balance sheets: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Securities loaned</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674,029</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1,921,118</w:t>
            </w:r>
          </w:p>
        </w:tc>
      </w:tr>
      <w:tr>
        <w:trPr>
          <w:trHeight w:val="203"/>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Security collateral pledged</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(654,589)</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(1,787,819)</w:t>
            </w:r>
          </w:p>
        </w:tc>
      </w:tr>
      <w:tr>
        <w:trPr>
          <w:trHeight w:val="22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19,440</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133,299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Securities borrowed is included in receivable from brokers, dealers and clearing organizations in the consolidated balance sheets.</w:t>
      </w:r>
    </w:p>
    <w:p>
      <w:pPr>
        <w:spacing w:after="0" w:line="144"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also obtain securities under margin agreements on terms which permit us to pledge and/or transfer securities to others. As of December 31, 2019 and 2020, we were permitted to re-pledge securities with a fair value of $896.2 million and $ 4,632.6 million under the margin agreements and $0.4 million and $0.4 million under the master securities lending agreement. Gross obligations for securities loaned transactions are pledged entirely with collateral in the form of equity and have an open contractual maturity.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NOTE 9: OTHER CURRENT ASSETS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the detail of other current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5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r>
      <w:tr>
        <w:trPr>
          <w:trHeight w:val="195"/>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User-held fractional shares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802,483</w:t>
            </w:r>
          </w:p>
        </w:tc>
      </w:tr>
      <w:tr>
        <w:trPr>
          <w:trHeight w:val="203"/>
        </w:trPr>
        <w:tc>
          <w:tcPr>
            <w:tcW w:w="8000" w:type="dxa"/>
            <w:vAlign w:val="bottom"/>
          </w:tcPr>
          <w:p>
            <w:pPr>
              <w:ind w:left="20"/>
              <w:spacing w:after="0"/>
              <w:rPr>
                <w:sz w:val="20"/>
                <w:szCs w:val="20"/>
                <w:color w:val="auto"/>
              </w:rPr>
            </w:pPr>
            <w:r>
              <w:rPr>
                <w:rFonts w:ascii="Arial" w:cs="Arial" w:eastAsia="Arial" w:hAnsi="Arial"/>
                <w:sz w:val="16"/>
                <w:szCs w:val="16"/>
                <w:color w:val="auto"/>
              </w:rPr>
              <w:t>Prepaid expenses</w:t>
            </w:r>
          </w:p>
        </w:tc>
        <w:tc>
          <w:tcPr>
            <w:tcW w:w="360" w:type="dxa"/>
            <w:vAlign w:val="bottom"/>
          </w:tcPr>
          <w:p>
            <w:pPr>
              <w:spacing w:after="0"/>
              <w:rPr>
                <w:sz w:val="17"/>
                <w:szCs w:val="17"/>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17,159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28,629</w:t>
            </w:r>
          </w:p>
        </w:tc>
      </w:tr>
      <w:tr>
        <w:trPr>
          <w:trHeight w:val="20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owned</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2,997</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3,222</w:t>
            </w:r>
          </w:p>
        </w:tc>
      </w:tr>
      <w:tr>
        <w:trPr>
          <w:trHeight w:val="20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8,186</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16,804</w:t>
            </w:r>
          </w:p>
        </w:tc>
      </w:tr>
      <w:tr>
        <w:trPr>
          <w:trHeight w:val="220"/>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current assets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28,342</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851,138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260"/>
          </w:cols>
          <w:pgMar w:left="320" w:top="1285" w:right="319" w:bottom="1440" w:gutter="0" w:footer="0" w:header="0"/>
        </w:sectPr>
      </w:pPr>
    </w:p>
    <w:bookmarkStart w:id="344" w:name="page345"/>
    <w:bookmarkEnd w:id="344"/>
    <w:p>
      <w:pPr>
        <w:spacing w:after="0"/>
        <w:rPr>
          <w:sz w:val="20"/>
          <w:szCs w:val="20"/>
          <w:color w:val="auto"/>
        </w:rPr>
      </w:pPr>
      <w:r>
        <w:rPr>
          <w:rFonts w:ascii="Arial" w:cs="Arial" w:eastAsia="Arial" w:hAnsi="Arial"/>
          <w:sz w:val="22"/>
          <w:szCs w:val="22"/>
          <w:color w:val="auto"/>
        </w:rPr>
        <w:t>NOTE 10: FINANCING ACTIVITIES AND OFF-BALANCE SHEET RISK</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Revolving credit facilities</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June 2019, we entered into a $250.0 million committed and secured line of credit with a maturity date of June 12, 2020 (the “June 2019 Credit Facility”). This line of credit was primarily collateralized by users’ securities held as collateral for users’ margin loans. Interest for this line of credit was determined at the time a loan was initiated and the applicable interest rate was calculated as a per annum rate equal to 1.25% plus the federal funds rate at the applicable time. Additionally, we were obligated to pay a commitment fee calculated as a per annum rate equal to 0.35% on any unused amount of the credit facility. The June 2019 Credit Facility was terminated in September 2019.</w:t>
      </w:r>
    </w:p>
    <w:p>
      <w:pPr>
        <w:spacing w:after="0" w:line="14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September 2019, we entered into a $400.0 million committed and secured line of credit with a maturity date of September 25, 2020 (the “September 2019 Credit Facility”). In June 2020, we amended the September 2019 Credit Facility and increased the aggregate committed and secured revolving line of credit amount to $550.0 million with a maturity date of June 5, 2021. This line of credit is primarily collateralized by users’ securities held as collateral for users’ margin loans. Interest for this line of credit is determined at the time a loan is initiated and the applicable interest rate under this line of credit is calculated as a per annum rate equal to 1.25% plus the federal funds rate at the applicable time. There were no outstanding borrowings under the September 2019 Credit Facility at December 31, 2019 and 2020. Additionally, we are obligated to pay a commitment fee calculated as a per annum rate equal to 0.35% on any unused amount of the credit facility.</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October 2019, we entered into a $200.0 million committed and unsecured revolving line of credit with a syndicate of banks (the “October 2019 Credit Facility”) maturing in October 2023. In October 2020, we amended the October 2019 Credit Facility and, among other things, increased the aggregate committed and unsecured revolving line of credit amount to $600.0 million with a maturity date of October 29, 2024. Loans under the October 2019 Credit Facility bear interest, at our option, at a per annum rate of either (a) the Eurodollar Rate plus 1.00% or (b) the Alternative Base Rate. The Eurodollar Rate is equal to the Eurodollar Base Rate, which is derived from LIBOR, multiplied by the Statutory Reserve Rate at the applicable time. The Alternative Base Rate is the greatest of (i) the prime rate then in effect, (ii) the Federal Reserve Bank of New York rate then in effect plus 0.50% and (iii) the Eurodollar Rate at such time for a one month interest period plus 1.00%. If LIBOR is unavailable or if we and the administrative agent elect, the Eurodollar Rate will be replaced by a rate calculated with reference to the Secured Overnight Financing Rate as set forth in the October 2019 Credit Facility agreement or an alternate benchmark rate selected by us and the administrative agent. There were no outstanding borrowings under the October 2019 Credit Facility at December 31, 2019 and 2020. Additionally, we are obligated to pay a commitment fee calculated as a per annum rate equal to 0.10% on any unused amount of the October 2019 Credit Facility.</w:t>
      </w:r>
    </w:p>
    <w:p>
      <w:pPr>
        <w:spacing w:after="0" w:line="162"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The agreements for the September 2019 Credit Facility and the October 2019 Credit Facility contain customary covenants restricting our ability to incur debt, incur liens and undergo certain fundamental changes. We were in compliance with all covenants under these facilities as of December 31, 2019 and 2020.</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Off-balance sheet risk</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the normal course of business, we engage in activities involving settlement and financing of securities transactions. These activities may expose us to off-balance sheet risk in the event that the other party to the transaction is unable to fulfill its contractual obligations. User securities transactions are recorded on a settlement date basis, which is generally two business days for equities and one business day for options after the trade date. We are therefore exposed to risk of loss on these transactions in the event counterparties fail to meet the terms of their contracts. In such events, we may be required to purchase financial instruments at prevailing market prices in order to fulfill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260"/>
          </w:cols>
          <w:pgMar w:left="320" w:top="1287" w:right="319" w:bottom="1440" w:gutter="0" w:footer="0" w:header="0"/>
        </w:sectPr>
      </w:pPr>
    </w:p>
    <w:bookmarkStart w:id="345" w:name="page346"/>
    <w:bookmarkEnd w:id="345"/>
    <w:p>
      <w:pPr>
        <w:spacing w:after="0"/>
        <w:rPr>
          <w:sz w:val="20"/>
          <w:szCs w:val="20"/>
          <w:color w:val="auto"/>
        </w:rPr>
      </w:pPr>
      <w:r>
        <w:rPr>
          <w:rFonts w:ascii="Arial" w:cs="Arial" w:eastAsia="Arial" w:hAnsi="Arial"/>
          <w:sz w:val="22"/>
          <w:szCs w:val="22"/>
          <w:color w:val="auto"/>
        </w:rPr>
        <w:t>NOTE 11: MEZZANINE EQUITY, COMMON STOCK AND STOCKHOLDERS’ DEFICIT</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Redeemable convertible preferred stock</w:t>
      </w:r>
    </w:p>
    <w:p>
      <w:pPr>
        <w:spacing w:after="0" w:line="19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have authorized 414,033,220 shares of redeemable convertible preferred stock, designated in series, with the rights and preferences of each designated series determined by our Board of Directors as of December 31, 2020.</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is a summary of redeemable convertible preferred stock as of December 31,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60" w:type="dxa"/>
            <w:vAlign w:val="bottom"/>
            <w:gridSpan w:val="3"/>
          </w:tcPr>
          <w:p>
            <w:pPr>
              <w:ind w:left="20"/>
              <w:spacing w:after="0"/>
              <w:rPr>
                <w:sz w:val="20"/>
                <w:szCs w:val="20"/>
                <w:color w:val="auto"/>
              </w:rPr>
            </w:pPr>
            <w:r>
              <w:rPr>
                <w:rFonts w:ascii="Arial" w:cs="Arial" w:eastAsia="Arial" w:hAnsi="Arial"/>
                <w:sz w:val="13"/>
                <w:szCs w:val="13"/>
                <w:i w:val="1"/>
                <w:iCs w:val="1"/>
                <w:color w:val="auto"/>
              </w:rPr>
              <w:t>(in thousands, except share data and per share amounts)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center"/>
              <w:ind w:right="231"/>
              <w:spacing w:after="0"/>
              <w:rPr>
                <w:sz w:val="20"/>
                <w:szCs w:val="20"/>
                <w:color w:val="auto"/>
              </w:rPr>
            </w:pPr>
            <w:r>
              <w:rPr>
                <w:rFonts w:ascii="Arial" w:cs="Arial" w:eastAsia="Arial" w:hAnsi="Arial"/>
                <w:sz w:val="13"/>
                <w:szCs w:val="13"/>
                <w:b w:val="1"/>
                <w:bCs w:val="1"/>
                <w:color w:val="auto"/>
                <w:w w:val="95"/>
              </w:rPr>
              <w:t>Per Share</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96"/>
              </w:rPr>
              <w:t>Carrying Value of</w:t>
            </w:r>
          </w:p>
        </w:tc>
        <w:tc>
          <w:tcPr>
            <w:tcW w:w="0" w:type="dxa"/>
            <w:vAlign w:val="bottom"/>
          </w:tcPr>
          <w:p>
            <w:pPr>
              <w:spacing w:after="0"/>
              <w:rPr>
                <w:sz w:val="1"/>
                <w:szCs w:val="1"/>
                <w:color w:val="auto"/>
              </w:rPr>
            </w:pPr>
          </w:p>
        </w:tc>
      </w:tr>
      <w:tr>
        <w:trPr>
          <w:trHeight w:val="129"/>
        </w:trPr>
        <w:tc>
          <w:tcPr>
            <w:tcW w:w="2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rPr>
              <w:t>Shares Issued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Per Share Initial</w:t>
            </w:r>
          </w:p>
        </w:tc>
        <w:tc>
          <w:tcPr>
            <w:tcW w:w="1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4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Series</w:t>
            </w:r>
          </w:p>
        </w:tc>
        <w:tc>
          <w:tcPr>
            <w:tcW w:w="14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Shares Authorized</w:t>
            </w:r>
          </w:p>
        </w:tc>
        <w:tc>
          <w:tcPr>
            <w:tcW w:w="100" w:type="dxa"/>
            <w:vAlign w:val="bottom"/>
            <w:vMerge w:val="restart"/>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center"/>
              <w:ind w:right="231"/>
              <w:spacing w:after="0" w:line="119" w:lineRule="exact"/>
              <w:rPr>
                <w:sz w:val="20"/>
                <w:szCs w:val="20"/>
                <w:color w:val="auto"/>
              </w:rPr>
            </w:pPr>
            <w:r>
              <w:rPr>
                <w:rFonts w:ascii="Arial" w:cs="Arial" w:eastAsia="Arial" w:hAnsi="Arial"/>
                <w:sz w:val="13"/>
                <w:szCs w:val="13"/>
                <w:b w:val="1"/>
                <w:bCs w:val="1"/>
                <w:color w:val="auto"/>
                <w:w w:val="99"/>
              </w:rPr>
              <w:t>Liquidation</w:t>
            </w:r>
          </w:p>
        </w:tc>
        <w:tc>
          <w:tcPr>
            <w:tcW w:w="100" w:type="dxa"/>
            <w:vAlign w:val="bottom"/>
          </w:tcPr>
          <w:p>
            <w:pPr>
              <w:spacing w:after="0"/>
              <w:rPr>
                <w:sz w:val="10"/>
                <w:szCs w:val="10"/>
                <w:color w:val="auto"/>
              </w:rPr>
            </w:pPr>
          </w:p>
        </w:tc>
        <w:tc>
          <w:tcPr>
            <w:tcW w:w="134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7"/>
              </w:rPr>
              <w:t>Liquidation Amount</w:t>
            </w:r>
          </w:p>
        </w:tc>
        <w:tc>
          <w:tcPr>
            <w:tcW w:w="2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Stock, Net of Issuance</w:t>
            </w:r>
          </w:p>
        </w:tc>
        <w:tc>
          <w:tcPr>
            <w:tcW w:w="0" w:type="dxa"/>
            <w:vAlign w:val="bottom"/>
          </w:tcPr>
          <w:p>
            <w:pPr>
              <w:spacing w:after="0"/>
              <w:rPr>
                <w:sz w:val="1"/>
                <w:szCs w:val="1"/>
                <w:color w:val="auto"/>
              </w:rPr>
            </w:pPr>
          </w:p>
        </w:tc>
      </w:tr>
      <w:tr>
        <w:trPr>
          <w:trHeight w:val="155"/>
        </w:trPr>
        <w:tc>
          <w:tcPr>
            <w:tcW w:w="2420" w:type="dxa"/>
            <w:vAlign w:val="bottom"/>
            <w:tcBorders>
              <w:bottom w:val="single" w:sz="8" w:color="CCEEFF"/>
            </w:tcBorders>
            <w:vMerge w:val="continue"/>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31"/>
              <w:spacing w:after="0"/>
              <w:rPr>
                <w:sz w:val="20"/>
                <w:szCs w:val="20"/>
                <w:color w:val="auto"/>
              </w:rPr>
            </w:pPr>
            <w:r>
              <w:rPr>
                <w:rFonts w:ascii="Arial" w:cs="Arial" w:eastAsia="Arial" w:hAnsi="Arial"/>
                <w:sz w:val="13"/>
                <w:szCs w:val="13"/>
                <w:b w:val="1"/>
                <w:bCs w:val="1"/>
                <w:color w:val="auto"/>
                <w:w w:val="98"/>
              </w:rPr>
              <w:t>Preference</w:t>
            </w: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97"/>
              </w:rPr>
              <w:t>Conversion Price</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9"/>
              </w:rPr>
              <w:t>Costs</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131,913,460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0.1954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25,777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16,139</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B</w:t>
            </w:r>
          </w:p>
        </w:tc>
        <w:tc>
          <w:tcPr>
            <w:tcW w:w="1440" w:type="dxa"/>
            <w:vAlign w:val="bottom"/>
          </w:tcPr>
          <w:p>
            <w:pPr>
              <w:jc w:val="right"/>
              <w:spacing w:after="0"/>
              <w:rPr>
                <w:sz w:val="20"/>
                <w:szCs w:val="20"/>
                <w:color w:val="auto"/>
              </w:rPr>
            </w:pPr>
            <w:r>
              <w:rPr>
                <w:rFonts w:ascii="Arial" w:cs="Arial" w:eastAsia="Arial" w:hAnsi="Arial"/>
                <w:sz w:val="14"/>
                <w:szCs w:val="14"/>
                <w:color w:val="auto"/>
              </w:rPr>
              <w:t>80,263,020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80,263,020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0.6354</w:t>
            </w:r>
          </w:p>
        </w:tc>
        <w:tc>
          <w:tcPr>
            <w:tcW w:w="1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50,999</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0.6354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50,999</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43,788,180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43,788,180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2.5121</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110,000</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109,870</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D</w:t>
            </w:r>
          </w:p>
        </w:tc>
        <w:tc>
          <w:tcPr>
            <w:tcW w:w="1440" w:type="dxa"/>
            <w:vAlign w:val="bottom"/>
          </w:tcPr>
          <w:p>
            <w:pPr>
              <w:jc w:val="right"/>
              <w:spacing w:after="0"/>
              <w:rPr>
                <w:sz w:val="20"/>
                <w:szCs w:val="20"/>
                <w:color w:val="auto"/>
              </w:rPr>
            </w:pPr>
            <w:r>
              <w:rPr>
                <w:rFonts w:ascii="Arial" w:cs="Arial" w:eastAsia="Arial" w:hAnsi="Arial"/>
                <w:sz w:val="14"/>
                <w:szCs w:val="14"/>
                <w:color w:val="auto"/>
              </w:rPr>
              <w:t>35,774,761</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35,774,761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10.1450</w:t>
            </w:r>
          </w:p>
        </w:tc>
        <w:tc>
          <w:tcPr>
            <w:tcW w:w="1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362,935</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10.1450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362,670</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29,887,357</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29,887,357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12.4827</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373,075</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372,733</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F</w:t>
            </w:r>
          </w:p>
        </w:tc>
        <w:tc>
          <w:tcPr>
            <w:tcW w:w="1440" w:type="dxa"/>
            <w:vAlign w:val="bottom"/>
          </w:tcPr>
          <w:p>
            <w:pPr>
              <w:jc w:val="right"/>
              <w:spacing w:after="0"/>
              <w:rPr>
                <w:sz w:val="20"/>
                <w:szCs w:val="20"/>
                <w:color w:val="auto"/>
              </w:rPr>
            </w:pPr>
            <w:r>
              <w:rPr>
                <w:rFonts w:ascii="Arial" w:cs="Arial" w:eastAsia="Arial" w:hAnsi="Arial"/>
                <w:sz w:val="14"/>
                <w:szCs w:val="14"/>
                <w:color w:val="auto"/>
              </w:rPr>
              <w:t>48,000,000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600,000</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599,284</w:t>
            </w:r>
          </w:p>
        </w:tc>
        <w:tc>
          <w:tcPr>
            <w:tcW w:w="0" w:type="dxa"/>
            <w:vAlign w:val="bottom"/>
          </w:tcPr>
          <w:p>
            <w:pPr>
              <w:spacing w:after="0"/>
              <w:rPr>
                <w:sz w:val="1"/>
                <w:szCs w:val="1"/>
                <w:color w:val="auto"/>
              </w:rPr>
            </w:pPr>
          </w:p>
        </w:tc>
      </w:tr>
      <w:tr>
        <w:trPr>
          <w:trHeight w:val="19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44,406,442</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43,116,119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15.5000</w:t>
            </w: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668,300</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668,044</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414,033,220</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412,742,897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2,191,086</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2,179,739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is a summary of redeemable convertible preferred stock as of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60" w:type="dxa"/>
            <w:vAlign w:val="bottom"/>
            <w:gridSpan w:val="3"/>
          </w:tcPr>
          <w:p>
            <w:pPr>
              <w:ind w:left="20"/>
              <w:spacing w:after="0"/>
              <w:rPr>
                <w:sz w:val="20"/>
                <w:szCs w:val="20"/>
                <w:color w:val="auto"/>
              </w:rPr>
            </w:pPr>
            <w:r>
              <w:rPr>
                <w:rFonts w:ascii="Arial" w:cs="Arial" w:eastAsia="Arial" w:hAnsi="Arial"/>
                <w:sz w:val="13"/>
                <w:szCs w:val="13"/>
                <w:i w:val="1"/>
                <w:iCs w:val="1"/>
                <w:color w:val="auto"/>
              </w:rPr>
              <w:t>(in thousands, except share data and per share amounts)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5"/>
              </w:rPr>
              <w:t>Per Share</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96"/>
              </w:rPr>
              <w:t>Carrying Value of</w:t>
            </w:r>
          </w:p>
        </w:tc>
        <w:tc>
          <w:tcPr>
            <w:tcW w:w="0" w:type="dxa"/>
            <w:vAlign w:val="bottom"/>
          </w:tcPr>
          <w:p>
            <w:pPr>
              <w:spacing w:after="0"/>
              <w:rPr>
                <w:sz w:val="1"/>
                <w:szCs w:val="1"/>
                <w:color w:val="auto"/>
              </w:rPr>
            </w:pPr>
          </w:p>
        </w:tc>
      </w:tr>
      <w:tr>
        <w:trPr>
          <w:trHeight w:val="129"/>
        </w:trPr>
        <w:tc>
          <w:tcPr>
            <w:tcW w:w="2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rPr>
              <w:t>Shares Issued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Per Share Initial</w:t>
            </w:r>
          </w:p>
        </w:tc>
        <w:tc>
          <w:tcPr>
            <w:tcW w:w="1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4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Series</w:t>
            </w:r>
          </w:p>
        </w:tc>
        <w:tc>
          <w:tcPr>
            <w:tcW w:w="14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Shares Authorized</w:t>
            </w:r>
          </w:p>
        </w:tc>
        <w:tc>
          <w:tcPr>
            <w:tcW w:w="100" w:type="dxa"/>
            <w:vAlign w:val="bottom"/>
            <w:vMerge w:val="restart"/>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Liquidation</w:t>
            </w:r>
          </w:p>
        </w:tc>
        <w:tc>
          <w:tcPr>
            <w:tcW w:w="100" w:type="dxa"/>
            <w:vAlign w:val="bottom"/>
          </w:tcPr>
          <w:p>
            <w:pPr>
              <w:spacing w:after="0"/>
              <w:rPr>
                <w:sz w:val="10"/>
                <w:szCs w:val="10"/>
                <w:color w:val="auto"/>
              </w:rPr>
            </w:pPr>
          </w:p>
        </w:tc>
        <w:tc>
          <w:tcPr>
            <w:tcW w:w="134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7"/>
              </w:rPr>
              <w:t>Liquidation Amount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Stock, Net of Issuance</w:t>
            </w:r>
          </w:p>
        </w:tc>
        <w:tc>
          <w:tcPr>
            <w:tcW w:w="0" w:type="dxa"/>
            <w:vAlign w:val="bottom"/>
          </w:tcPr>
          <w:p>
            <w:pPr>
              <w:spacing w:after="0"/>
              <w:rPr>
                <w:sz w:val="1"/>
                <w:szCs w:val="1"/>
                <w:color w:val="auto"/>
              </w:rPr>
            </w:pPr>
          </w:p>
        </w:tc>
      </w:tr>
      <w:tr>
        <w:trPr>
          <w:trHeight w:val="155"/>
        </w:trPr>
        <w:tc>
          <w:tcPr>
            <w:tcW w:w="2420" w:type="dxa"/>
            <w:vAlign w:val="bottom"/>
            <w:tcBorders>
              <w:bottom w:val="single" w:sz="8" w:color="CCEEFF"/>
            </w:tcBorders>
            <w:vMerge w:val="continue"/>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w w:val="98"/>
              </w:rPr>
              <w:t>Preference</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w w:val="97"/>
              </w:rPr>
              <w:t>Conversion Price</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9"/>
              </w:rPr>
              <w:t>Costs</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263,826,920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25,777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16,139</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B</w:t>
            </w:r>
          </w:p>
        </w:tc>
        <w:tc>
          <w:tcPr>
            <w:tcW w:w="1440" w:type="dxa"/>
            <w:vAlign w:val="bottom"/>
          </w:tcPr>
          <w:p>
            <w:pPr>
              <w:jc w:val="right"/>
              <w:spacing w:after="0"/>
              <w:rPr>
                <w:sz w:val="20"/>
                <w:szCs w:val="20"/>
                <w:color w:val="auto"/>
              </w:rPr>
            </w:pPr>
            <w:r>
              <w:rPr>
                <w:rFonts w:ascii="Arial" w:cs="Arial" w:eastAsia="Arial" w:hAnsi="Arial"/>
                <w:sz w:val="14"/>
                <w:szCs w:val="14"/>
                <w:color w:val="auto"/>
              </w:rPr>
              <w:t>160,526,040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80,263,020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0.6354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50,999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0.6354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50,999</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87,576,360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43,788,180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110,000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109,870</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D</w:t>
            </w:r>
          </w:p>
        </w:tc>
        <w:tc>
          <w:tcPr>
            <w:tcW w:w="1440" w:type="dxa"/>
            <w:vAlign w:val="bottom"/>
          </w:tcPr>
          <w:p>
            <w:pPr>
              <w:jc w:val="right"/>
              <w:spacing w:after="0"/>
              <w:rPr>
                <w:sz w:val="20"/>
                <w:szCs w:val="20"/>
                <w:color w:val="auto"/>
              </w:rPr>
            </w:pPr>
            <w:r>
              <w:rPr>
                <w:rFonts w:ascii="Arial" w:cs="Arial" w:eastAsia="Arial" w:hAnsi="Arial"/>
                <w:sz w:val="14"/>
                <w:szCs w:val="14"/>
                <w:color w:val="auto"/>
              </w:rPr>
              <w:t>71,549,522</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35,774,761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10.1450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362,935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10.1450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362,670</w:t>
            </w:r>
          </w:p>
        </w:tc>
        <w:tc>
          <w:tcPr>
            <w:tcW w:w="0" w:type="dxa"/>
            <w:vAlign w:val="bottom"/>
          </w:tcPr>
          <w:p>
            <w:pPr>
              <w:spacing w:after="0"/>
              <w:rPr>
                <w:sz w:val="1"/>
                <w:szCs w:val="1"/>
                <w:color w:val="auto"/>
              </w:rPr>
            </w:pPr>
          </w:p>
        </w:tc>
      </w:tr>
      <w:tr>
        <w:trPr>
          <w:trHeight w:val="19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59,854,820</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29,887,357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12.4827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373,075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12.4827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372,733</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643,333,662</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321,626,778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922,786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912,411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holders of the redeemable convertible preferred stock are entitled to a number of votes equal to the number of shares of common stock into which the redeemable convertible preferred stock is convertible. Except where otherwise specified in our Certificate of Incorporation, holders of preferred stock vote together with the holders of common stock as a single class. The holders of our Series A and Series B redeemable convertible preferred stock are entitled to elect one director each (each, a “Preferred Director”), with each series voting separately as exclusive classes. Holders of common stock, voting exclusively and as a separate class, are entitled to elect four directors, two of which shall be entitled to two votes on any matter before the Board of Directors. The holders of our Series C, Series D, Series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260"/>
          </w:cols>
          <w:pgMar w:left="320" w:top="1287" w:right="319" w:bottom="1440" w:gutter="0" w:footer="0" w:header="0"/>
        </w:sectPr>
      </w:pPr>
    </w:p>
    <w:bookmarkStart w:id="346" w:name="page347"/>
    <w:bookmarkEnd w:id="346"/>
    <w:p>
      <w:pPr>
        <w:jc w:val="both"/>
        <w:ind w:right="20"/>
        <w:spacing w:after="0" w:line="260" w:lineRule="auto"/>
        <w:rPr>
          <w:sz w:val="20"/>
          <w:szCs w:val="20"/>
          <w:color w:val="auto"/>
        </w:rPr>
      </w:pPr>
      <w:r>
        <w:rPr>
          <w:rFonts w:ascii="Arial" w:cs="Arial" w:eastAsia="Arial" w:hAnsi="Arial"/>
          <w:sz w:val="16"/>
          <w:szCs w:val="16"/>
          <w:color w:val="auto"/>
        </w:rPr>
        <w:t>Series F and Series G redeemable convertible preferred stock have no voting rights with respect to the election of members of the Board of Directors or the determination of the size of the Board of Directors.</w:t>
      </w:r>
    </w:p>
    <w:p>
      <w:pPr>
        <w:spacing w:after="0" w:line="13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As long as 50,000,000 shares of redeemable convertible preferred stock are outstanding, we must obtain approval from the holders of a majority of the then outstanding shares of redeemable convertible preferred stock (voting together as a single class and not as separate series, and on an as-converted basis) in order to, among other actions: (1) amend, alter or repeal any provision of the Certificate of Incorporation or our Bylaws; (2) increase the authorized number of shares of redeemable convertible preferred stock (or any series thereof) or common stock; (3) create, or authorize the creation of, a new class or series of our capital stock unless it ranks junior to the redeemable convertible preferred stock with respect to the distribution of assets in a liquidation, dissolution or winding up, the payment of dividends and rights of redemption; (4) declare or pay any dividend on any shares of shares of redeemable convertible preferred stock or common stock, subject to certain exceptions; (5) liquidate, dissolve or wind up our company, effect any merger or consolidation, or sell, lease, transfer or exclusively license all or substantially all of our assets; (6) increase or decrease the authorized size of the Board of Directors; or (7) effect a repurchase or redemption of, or distribution on, any shares of redeemable convertible preferred stock or common stock, subject to certain exceptions.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preferences</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the event of any liquidation or winding up of our company, the holders of redeemable convertible preferred stock shall be entitled to receive, prior and in preference to the common stockholders, an amount equal to the aggregate original issue price for their shares of redeemable convertible preferred stock, plus any declared but unpaid dividends. After payment of the liquidation preference to the holders of the redeemable convertible preferred stock, our remaining assets are available for distribution to the holders of common stock on a pro rata basis. If the proceeds distributed among the holders of the redeemable convertible preferred stock are insufficient to permit the holders of redeemable convertible preferred stock to receive the full payment noted above, then the entire proceeds legally available for distribution shall be distributed ratably among the holders of the redeemable convertible preferred stock in proportion to the full preferential amount that each such holder is otherwise entitled to receive.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rights</w:t>
      </w:r>
    </w:p>
    <w:p>
      <w:pPr>
        <w:spacing w:after="0" w:line="19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Each share of redeemable convertible preferred stock is convertible, at the option of the holder, according to a conversion ratio, which is subject to adjustment for dilutive share issuances. The total number of shares of common stock into which the redeemable convertible preferred stock may be converted is determined by dividing the then-applicable conversion price by the initial conversion price, as shown in the table above.</w:t>
      </w:r>
    </w:p>
    <w:p>
      <w:pPr>
        <w:spacing w:after="0" w:line="145"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The redeemable convertible preferred stock, with the exception of our Series F redeemable convertible preferred stock, automatically converts into common stock at the applicable conversion rate upon the earliest of: (1) immediately prior to the closing of a public offering of common stock to the public in an IPO at a price of at least $12.4827 per share and resulting in at least $200 million of gross proceeds to us and resulting in the listing of our common stock on a nationally-recognized exchange in the United States (a “Qualified Public Offering”); (2) upon the effectiveness of a registration statement filed under the Securities Act of 1933, as amended, that registers shares of our existing capital stock for resale not pursuant to an underwritten offering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of each of (i) the holders of the majority of the redeemable convertible preferred stock then outstanding (voting as a single class and on an as-converted basis), (ii) the holders of the majority of the then outstanding shares of Series B, C and G redeemable convertible preferred stock (each voting exclusively and as a separate class), (iii) the holders of at least 60% of the then outstanding shares of Series D and E redeemable convertible preferred stock (each voting exclusively and as a separate class), and (iv) the holders of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260"/>
          </w:cols>
          <w:pgMar w:left="320" w:top="1285" w:right="319" w:bottom="1440" w:gutter="0" w:footer="0" w:header="0"/>
        </w:sectPr>
      </w:pPr>
    </w:p>
    <w:bookmarkStart w:id="347" w:name="page348"/>
    <w:bookmarkEnd w:id="347"/>
    <w:p>
      <w:pPr>
        <w:spacing w:after="0"/>
        <w:rPr>
          <w:sz w:val="20"/>
          <w:szCs w:val="20"/>
          <w:color w:val="auto"/>
        </w:rPr>
      </w:pPr>
      <w:r>
        <w:rPr>
          <w:rFonts w:ascii="Arial" w:cs="Arial" w:eastAsia="Arial" w:hAnsi="Arial"/>
          <w:sz w:val="16"/>
          <w:szCs w:val="16"/>
          <w:color w:val="auto"/>
        </w:rPr>
        <w:t>least 65% of the then outstanding shares of Series A redeemable convertible preferred stock (voting exclusively and as a separate class).</w:t>
      </w:r>
    </w:p>
    <w:p>
      <w:pPr>
        <w:spacing w:after="0" w:line="16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Series F redeemable convertible preferred stock automatically converts into common stock at the applicable conversion rate upon the earliest of: (1) immediately prior to the closing of a public offering of our common stock to the public in the IPO resulting in at least $200 million of gross proceeds to us and resulting in the listing of our common stock on a nationally-recognized exchange in the United States; (2) a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from the holders of the majority of the then outstanding Series F redeemable convertible preferred stock.</w:t>
      </w:r>
    </w:p>
    <w:p>
      <w:pPr>
        <w:spacing w:after="0" w:line="160"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In addition, if we issue any additional common stock below the conversion price of our Series A, B, C, D, E, F and G redeemable convertible preferred stock, the conversion price of such series of redeemable convertible preferred stock may be subject to adjustment via a broad-based anti-dilution calculation, subject to certain exceptions.</w:t>
      </w:r>
    </w:p>
    <w:p>
      <w:pPr>
        <w:spacing w:after="0" w:line="14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Series F redeemable convertible preferred stock has a full-ratchet anti-dilution adjustment provision. In the event the price per share of our common stock in an IPO ends up being lower than the Series F redeemable convertible preferred stock conversion price, then the conversion price per share of the Series F redeemable convertible preferred stock will be reduced to the same price per share as the common stock price at the time of the IPO. We may also be obligated to issue additional shares of common stock to the holders of Series F redeemable convertible preferred stock in the event of a direct listing with a deemed trading price below the Series F redeemable convertible preferred stock conversion price.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19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The holders of shares of redeemable convertible preferred stock are entitled to receive dividends, when and if declared by the Board of Directors. Dividends are paid on a pari-passu basis with other holders of our redeemable convertible preferred stock and in preference to the payment of dividends to holders of our common stock. No dividends have been declared or paid by us as of December 31, 2020. Dividends are noncumulative.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Classification</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redeemable convertible preferred stock is contingently redeemable upon certain deemed liquidation events such as a merger or sale of substantially all of our assets. The redeemable convertible preferred stock is not mandatory redeemable but, since a deemed liquidation event would constitute a redeemable event outside of our control, all shares of the redeemable convertible preferred stock have been presented outside of permanent equity in mezzanine equity on the consolidated 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Common stock</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Each share of voting common stock is entitled to one vote. The holders of common stock are also entitled to receive dividends whenever funds are legally available and when and if declared by the Board of Directors, subject to the prior rights of holders of redeemable convertible preferred stock outstanding.</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 option plan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Amended and Restated 2013 Stock Plan and 2020 Equity Incentive Plan</w:t>
      </w:r>
    </w:p>
    <w:p>
      <w:pPr>
        <w:spacing w:after="0" w:line="17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Under our Amended and Restated 2013 Stock Plan, as amended, and our 2020 Equity Incentive Plan, as amended (each, a “Plan,” and together, the “Plans”), shares of common stock are reserved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260"/>
          </w:cols>
          <w:pgMar w:left="320" w:top="1286" w:right="319" w:bottom="1440" w:gutter="0" w:footer="0" w:header="0"/>
        </w:sectPr>
      </w:pPr>
    </w:p>
    <w:bookmarkStart w:id="348" w:name="page349"/>
    <w:bookmarkEnd w:id="348"/>
    <w:p>
      <w:pPr>
        <w:jc w:val="both"/>
        <w:spacing w:after="0" w:line="250" w:lineRule="auto"/>
        <w:rPr>
          <w:sz w:val="20"/>
          <w:szCs w:val="20"/>
          <w:color w:val="auto"/>
        </w:rPr>
      </w:pPr>
      <w:r>
        <w:rPr>
          <w:rFonts w:ascii="Arial" w:cs="Arial" w:eastAsia="Arial" w:hAnsi="Arial"/>
          <w:sz w:val="16"/>
          <w:szCs w:val="16"/>
          <w:color w:val="auto"/>
        </w:rPr>
        <w:t>the issuance of incentive stock options (“ISOs”), non-statutory stock options (“NSOs”), restricted stock units ("RSUs"), stock appreciation rights or restricted stock awards to eligible participants. Options may be granted with an exercise price per share not less than the fair market value at the date of grant. Options granted generally vest over a four-year term from the date of grant, at a rate of 25% after one year, then monthly on a straight-line basis thereafter. Generally, options granted are exercisable for up to ten years from the date of grant. RSUs granted generally vest over a four-year term from the date of grant, at a rate of 25% after one year, then quarterly on a straight-line basis thereafter and the occurrence of a qualifying event, defined as the earlier of (1) the closing of certain, specific change in control transactions, or (2) an IPO. Generally, RSUs expire seven years from the date of grant. Shares of common stock purchased under the Plans are subject to certain restrictions, including the right of first refusal by us for sales or transfers of shares to certain parties. Our rights of first refusal will terminate upon completion of an IPO.</w:t>
      </w:r>
    </w:p>
    <w:p>
      <w:pPr>
        <w:spacing w:after="0" w:line="152"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As of December 31, 2020, the Plan authorized 154,289,164 shares of common stock to be reserved for issuance on the exercise or settlement of equity awards, of which the right to purchase 14,022,717 shares remained available for issuance.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activity</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summary of stock option activity for the year ended December 31, 2020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0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share and per share data)</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Weighted-Average</w:t>
            </w:r>
          </w:p>
        </w:tc>
        <w:tc>
          <w:tcPr>
            <w:tcW w:w="166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Weighted- Average</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560" w:type="dxa"/>
            <w:vAlign w:val="bottom"/>
            <w:vMerge w:val="restart"/>
          </w:tcPr>
          <w:p>
            <w:pPr>
              <w:jc w:val="right"/>
              <w:ind w:right="142"/>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vMerge w:val="restart"/>
          </w:tcPr>
          <w:p>
            <w:pPr>
              <w:jc w:val="right"/>
              <w:ind w:right="124"/>
              <w:spacing w:after="0"/>
              <w:rPr>
                <w:sz w:val="20"/>
                <w:szCs w:val="20"/>
                <w:color w:val="auto"/>
              </w:rPr>
            </w:pPr>
            <w:r>
              <w:rPr>
                <w:rFonts w:ascii="Arial" w:cs="Arial" w:eastAsia="Arial" w:hAnsi="Arial"/>
                <w:sz w:val="13"/>
                <w:szCs w:val="13"/>
                <w:b w:val="1"/>
                <w:bCs w:val="1"/>
                <w:color w:val="auto"/>
                <w:w w:val="97"/>
              </w:rPr>
              <w:t>Total Intrinsic Value</w:t>
            </w:r>
          </w:p>
        </w:tc>
        <w:tc>
          <w:tcPr>
            <w:tcW w:w="0" w:type="dxa"/>
            <w:vAlign w:val="bottom"/>
          </w:tcPr>
          <w:p>
            <w:pPr>
              <w:spacing w:after="0"/>
              <w:rPr>
                <w:sz w:val="1"/>
                <w:szCs w:val="1"/>
                <w:color w:val="auto"/>
              </w:rPr>
            </w:pPr>
          </w:p>
        </w:tc>
      </w:tr>
      <w:tr>
        <w:trPr>
          <w:trHeight w:val="155"/>
        </w:trPr>
        <w:tc>
          <w:tcPr>
            <w:tcW w:w="470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Exercise Price</w:t>
            </w: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266"/>
              <w:spacing w:after="0"/>
              <w:rPr>
                <w:sz w:val="20"/>
                <w:szCs w:val="20"/>
                <w:color w:val="auto"/>
              </w:rPr>
            </w:pPr>
            <w:r>
              <w:rPr>
                <w:rFonts w:ascii="Arial" w:cs="Arial" w:eastAsia="Arial" w:hAnsi="Arial"/>
                <w:sz w:val="13"/>
                <w:szCs w:val="13"/>
                <w:b w:val="1"/>
                <w:bCs w:val="1"/>
                <w:color w:val="auto"/>
              </w:rPr>
              <w:t>Remaining Life</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27,613,830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2.33</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197,536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tcPr>
          <w:p>
            <w:pPr>
              <w:ind w:left="200"/>
              <w:spacing w:after="0" w:line="171" w:lineRule="exact"/>
              <w:rPr>
                <w:sz w:val="20"/>
                <w:szCs w:val="20"/>
                <w:color w:val="auto"/>
              </w:rPr>
            </w:pPr>
            <w:r>
              <w:rPr>
                <w:rFonts w:ascii="Arial" w:cs="Arial" w:eastAsia="Arial" w:hAnsi="Arial"/>
                <w:sz w:val="16"/>
                <w:szCs w:val="16"/>
                <w:color w:val="auto"/>
              </w:rPr>
              <w:t>Granted during the period</w:t>
            </w:r>
          </w:p>
        </w:tc>
        <w:tc>
          <w:tcPr>
            <w:tcW w:w="1560" w:type="dxa"/>
            <w:vAlign w:val="bottom"/>
          </w:tcPr>
          <w:p>
            <w:pPr>
              <w:jc w:val="right"/>
              <w:spacing w:after="0" w:line="171" w:lineRule="exact"/>
              <w:rPr>
                <w:sz w:val="20"/>
                <w:szCs w:val="20"/>
                <w:color w:val="auto"/>
              </w:rPr>
            </w:pPr>
            <w:r>
              <w:rPr>
                <w:rFonts w:ascii="Arial" w:cs="Arial" w:eastAsia="Arial" w:hAnsi="Arial"/>
                <w:sz w:val="16"/>
                <w:szCs w:val="16"/>
                <w:color w:val="auto"/>
              </w:rPr>
              <w:t>324,442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4"/>
              <w:spacing w:after="0" w:line="171" w:lineRule="exact"/>
              <w:rPr>
                <w:sz w:val="20"/>
                <w:szCs w:val="20"/>
                <w:color w:val="auto"/>
              </w:rPr>
            </w:pPr>
            <w:r>
              <w:rPr>
                <w:rFonts w:ascii="Arial" w:cs="Arial" w:eastAsia="Arial" w:hAnsi="Arial"/>
                <w:sz w:val="16"/>
                <w:szCs w:val="16"/>
                <w:color w:val="auto"/>
              </w:rPr>
              <w:t>10.10</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Exercised during the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(4,310,197)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Cancelled and forfeited during the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(2,084,247)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color w:val="auto"/>
              </w:rPr>
              <w:t>5.18</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21,543,828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2.19</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304,590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tcPr>
          <w:p>
            <w:pPr>
              <w:ind w:left="20"/>
              <w:spacing w:after="0" w:line="171" w:lineRule="exact"/>
              <w:rPr>
                <w:sz w:val="20"/>
                <w:szCs w:val="20"/>
                <w:color w:val="auto"/>
              </w:rPr>
            </w:pPr>
            <w:r>
              <w:rPr>
                <w:rFonts w:ascii="Arial" w:cs="Arial" w:eastAsia="Arial" w:hAnsi="Arial"/>
                <w:sz w:val="16"/>
                <w:szCs w:val="16"/>
                <w:color w:val="auto"/>
              </w:rPr>
              <w:t>Options vested and expected to vest at December 31, 2020</w:t>
            </w:r>
          </w:p>
        </w:tc>
        <w:tc>
          <w:tcPr>
            <w:tcW w:w="156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21,543,828</w:t>
            </w:r>
          </w:p>
        </w:tc>
        <w:tc>
          <w:tcPr>
            <w:tcW w:w="280" w:type="dxa"/>
            <w:vAlign w:val="bottom"/>
            <w:gridSpan w:val="2"/>
          </w:tcPr>
          <w:p>
            <w:pPr>
              <w:jc w:val="right"/>
              <w:ind w:right="80"/>
              <w:spacing w:after="0" w:line="171"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4"/>
              <w:spacing w:after="0" w:line="171" w:lineRule="exact"/>
              <w:rPr>
                <w:sz w:val="20"/>
                <w:szCs w:val="20"/>
                <w:color w:val="auto"/>
              </w:rPr>
            </w:pPr>
            <w:r>
              <w:rPr>
                <w:rFonts w:ascii="Arial" w:cs="Arial" w:eastAsia="Arial" w:hAnsi="Arial"/>
                <w:sz w:val="16"/>
                <w:szCs w:val="16"/>
                <w:color w:val="auto"/>
              </w:rPr>
              <w:t>2.19</w:t>
            </w:r>
          </w:p>
        </w:tc>
        <w:tc>
          <w:tcPr>
            <w:tcW w:w="80" w:type="dxa"/>
            <w:vAlign w:val="bottom"/>
          </w:tcPr>
          <w:p>
            <w:pPr>
              <w:spacing w:after="0"/>
              <w:rPr>
                <w:sz w:val="14"/>
                <w:szCs w:val="14"/>
                <w:color w:val="auto"/>
              </w:rPr>
            </w:pPr>
          </w:p>
        </w:tc>
        <w:tc>
          <w:tcPr>
            <w:tcW w:w="1580" w:type="dxa"/>
            <w:vAlign w:val="bottom"/>
          </w:tcPr>
          <w:p>
            <w:pPr>
              <w:jc w:val="right"/>
              <w:spacing w:after="0" w:line="171" w:lineRule="exact"/>
              <w:rPr>
                <w:sz w:val="20"/>
                <w:szCs w:val="20"/>
                <w:color w:val="auto"/>
              </w:rPr>
            </w:pPr>
            <w:r>
              <w:rPr>
                <w:rFonts w:ascii="Arial" w:cs="Arial" w:eastAsia="Arial" w:hAnsi="Arial"/>
                <w:sz w:val="16"/>
                <w:szCs w:val="16"/>
                <w:color w:val="auto"/>
              </w:rPr>
              <w:t>6.52</w:t>
            </w:r>
          </w:p>
        </w:tc>
        <w:tc>
          <w:tcPr>
            <w:tcW w:w="80" w:type="dxa"/>
            <w:vAlign w:val="bottom"/>
          </w:tcPr>
          <w:p>
            <w:pPr>
              <w:spacing w:after="0"/>
              <w:rPr>
                <w:sz w:val="14"/>
                <w:szCs w:val="14"/>
                <w:color w:val="auto"/>
              </w:rPr>
            </w:pPr>
          </w:p>
        </w:tc>
        <w:tc>
          <w:tcPr>
            <w:tcW w:w="16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1420" w:type="dxa"/>
            <w:vAlign w:val="bottom"/>
          </w:tcPr>
          <w:p>
            <w:pPr>
              <w:jc w:val="right"/>
              <w:ind w:right="4"/>
              <w:spacing w:after="0" w:line="171" w:lineRule="exact"/>
              <w:rPr>
                <w:sz w:val="20"/>
                <w:szCs w:val="20"/>
                <w:color w:val="auto"/>
              </w:rPr>
            </w:pPr>
            <w:r>
              <w:rPr>
                <w:rFonts w:ascii="Arial" w:cs="Arial" w:eastAsia="Arial" w:hAnsi="Arial"/>
                <w:sz w:val="16"/>
                <w:szCs w:val="16"/>
                <w:color w:val="auto"/>
              </w:rPr>
              <w:t>304,590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exercisable at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18,793,618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1.58</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277,127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Aggregate intrinsic value represents the difference between our estimated fair value of its common stock and the exercise price of outstanding, “in-the-money” options. Aggregate intrinsic value for stock options exercised in the years ended December 31, 2019 and 2020 was $29.0 million and $45.0 million. The total fair value of shares vested during the year ended December 31, 2019 and 2020 was $7.8 million and $6.5 million.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total weighted average grant-date fair value of options granted was $2.31 and $3.64 and for the years ended December 31,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260"/>
          </w:cols>
          <w:pgMar w:left="320" w:top="1285" w:right="319" w:bottom="1440" w:gutter="0" w:footer="0" w:header="0"/>
        </w:sectPr>
      </w:pPr>
    </w:p>
    <w:bookmarkStart w:id="349" w:name="page350"/>
    <w:bookmarkEnd w:id="349"/>
    <w:p>
      <w:pPr>
        <w:spacing w:after="0"/>
        <w:rPr>
          <w:sz w:val="20"/>
          <w:szCs w:val="20"/>
          <w:color w:val="auto"/>
        </w:rPr>
      </w:pPr>
      <w:r>
        <w:rPr>
          <w:rFonts w:ascii="Arial" w:cs="Arial" w:eastAsia="Arial" w:hAnsi="Arial"/>
          <w:sz w:val="16"/>
          <w:szCs w:val="16"/>
          <w:i w:val="1"/>
          <w:iCs w:val="1"/>
          <w:color w:val="auto"/>
        </w:rPr>
        <w:t>Restricted stock unit activity</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the activity related to our time-based RSUs for the year ended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166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Number of RSUs</w:t>
            </w: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Weighted- average grant</w:t>
            </w:r>
          </w:p>
        </w:tc>
        <w:tc>
          <w:tcPr>
            <w:tcW w:w="0" w:type="dxa"/>
            <w:vAlign w:val="bottom"/>
          </w:tcPr>
          <w:p>
            <w:pPr>
              <w:spacing w:after="0"/>
              <w:rPr>
                <w:sz w:val="1"/>
                <w:szCs w:val="1"/>
                <w:color w:val="auto"/>
              </w:rPr>
            </w:pPr>
          </w:p>
        </w:tc>
      </w:tr>
      <w:tr>
        <w:trPr>
          <w:trHeight w:val="155"/>
        </w:trPr>
        <w:tc>
          <w:tcPr>
            <w:tcW w:w="802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84"/>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19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restricted stock at December 31, 2019</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24,024,214</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27,492,086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(3,804,651)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Unvested restricted stock at December 31, 2020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47,711,649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In the year ended December 31, 2019, we also granted 27,663,658 RSUs with both performance and market-based conditions to certain executives. These awards have a weighted-average grant date fair value of $0.29 and were unvested as of December 31, 2019 and 2020.</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Share-based compensation</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the effects of share-based compensation on our consolidated statements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3"/>
                <w:szCs w:val="13"/>
                <w:b w:val="1"/>
                <w:bCs w:val="1"/>
                <w:color w:val="auto"/>
              </w:rPr>
              <w:t>Year Ended December 31,</w:t>
            </w: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Brokerage and transaction</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227</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Technology and development</w:t>
            </w:r>
          </w:p>
        </w:tc>
        <w:tc>
          <w:tcPr>
            <w:tcW w:w="38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9,499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18,024</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61</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Marketing</w:t>
            </w:r>
          </w:p>
        </w:tc>
        <w:tc>
          <w:tcPr>
            <w:tcW w:w="38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613</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16,517</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5,405</w:t>
            </w:r>
          </w:p>
        </w:tc>
      </w:tr>
      <w:tr>
        <w:trPr>
          <w:trHeight w:val="195"/>
        </w:trPr>
        <w:tc>
          <w:tcPr>
            <w:tcW w:w="8020" w:type="dxa"/>
            <w:vAlign w:val="bottom"/>
          </w:tcPr>
          <w:p>
            <w:pPr>
              <w:ind w:left="20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26,667</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24,330</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fair value of stock options was estimated using the Black-Scholes option-pricing model with the following weighted-average assumptions:</w:t>
      </w:r>
    </w:p>
    <w:p>
      <w:pPr>
        <w:spacing w:after="0" w:line="187"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8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3"/>
                <w:szCs w:val="13"/>
                <w:b w:val="1"/>
                <w:bCs w:val="1"/>
                <w:color w:val="auto"/>
              </w:rPr>
              <w:t>2020</w:t>
            </w:r>
          </w:p>
        </w:tc>
      </w:tr>
      <w:tr>
        <w:trPr>
          <w:trHeight w:val="195"/>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r>
      <w:tr>
        <w:trPr>
          <w:trHeight w:val="20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660" w:type="dxa"/>
            <w:vAlign w:val="bottom"/>
          </w:tcPr>
          <w:p>
            <w:pPr>
              <w:jc w:val="right"/>
              <w:spacing w:after="0"/>
              <w:rPr>
                <w:sz w:val="20"/>
                <w:szCs w:val="20"/>
                <w:color w:val="auto"/>
              </w:rPr>
            </w:pPr>
            <w:r>
              <w:rPr>
                <w:rFonts w:ascii="Arial" w:cs="Arial" w:eastAsia="Arial" w:hAnsi="Arial"/>
                <w:sz w:val="16"/>
                <w:szCs w:val="16"/>
                <w:color w:val="auto"/>
              </w:rPr>
              <w:t>2.29 %</w:t>
            </w:r>
          </w:p>
        </w:tc>
        <w:tc>
          <w:tcPr>
            <w:tcW w:w="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0.61 %</w:t>
            </w:r>
          </w:p>
        </w:tc>
      </w:tr>
      <w:tr>
        <w:trPr>
          <w:trHeight w:val="20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31.20 %</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36.69 %</w:t>
            </w:r>
          </w:p>
        </w:tc>
      </w:tr>
      <w:tr>
        <w:trPr>
          <w:trHeight w:val="20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Expected term (years)</w:t>
            </w:r>
          </w:p>
        </w:tc>
        <w:tc>
          <w:tcPr>
            <w:tcW w:w="660" w:type="dxa"/>
            <w:vAlign w:val="bottom"/>
          </w:tcPr>
          <w:p>
            <w:pPr>
              <w:jc w:val="right"/>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6.04</w:t>
            </w:r>
          </w:p>
        </w:tc>
      </w:tr>
    </w:tbl>
    <w:p>
      <w:pPr>
        <w:spacing w:after="0" w:line="238"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During the year ended December 31, 2019 and 2020, we capitalized $0.7 million and $0.6 million in share-based compensation expense related to internally developed software.</w:t>
      </w:r>
    </w:p>
    <w:p>
      <w:pPr>
        <w:spacing w:after="0" w:line="13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the year ended December 31, 2020, subsequent to the sale of our Series G redeemable convertible preferred stock, certain employees sold shares of common stock to new and existing stockholders in a tender offer (“the 2020 Tender”). The 2020 Tender closed on November 13, 2020, when existing employees sold 1.4 million shares of our common stock for an aggregate purchase price of $ 21.5 million. With the 2020 Tender Offer, we believe that we had established a pattern of cash settlement of immature shares and stock options only during a very discrete set of circumstances in which we opened a tender offer in conjunction with a preferred stock financing. As such, during the 2020 Tender Offer period, we recorded a liability equal to the fair value of the maximum number of options representing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260"/>
          </w:cols>
          <w:pgMar w:left="320" w:top="1269" w:right="319" w:bottom="1440" w:gutter="0" w:footer="0" w:header="0"/>
        </w:sectPr>
      </w:pPr>
    </w:p>
    <w:bookmarkStart w:id="350" w:name="page351"/>
    <w:bookmarkEnd w:id="350"/>
    <w:p>
      <w:pPr>
        <w:jc w:val="both"/>
        <w:ind w:right="20"/>
        <w:spacing w:after="0" w:line="252" w:lineRule="auto"/>
        <w:rPr>
          <w:sz w:val="20"/>
          <w:szCs w:val="20"/>
          <w:color w:val="auto"/>
        </w:rPr>
      </w:pPr>
      <w:r>
        <w:rPr>
          <w:rFonts w:ascii="Arial" w:cs="Arial" w:eastAsia="Arial" w:hAnsi="Arial"/>
          <w:sz w:val="16"/>
          <w:szCs w:val="16"/>
          <w:color w:val="auto"/>
        </w:rPr>
        <w:t>immature shares that could have been redeemed in the tender offer. To the extent that this liability exceeded amounts previously recognized in equity, the excess was recognized as additional share-based compensation expense. Following the closing of the 2020 Tender Offer, the remaining liability of $ 18.6 million was reclassified to additional paid-in capital. We recorded share-based compensation expense of $17.2 million in connection with this tender offer in the year ended December 31, 2020.</w:t>
      </w:r>
    </w:p>
    <w:p>
      <w:pPr>
        <w:spacing w:after="0" w:line="14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the year ended December 31, 2019, subsequent to the sale of our Series E redeemable convertible preferred stock, certain employees sold shares of common stock to new and existing stockholders in a tender offer (“the 2019 Tender”). The 2019 Tender closed on September 9, 2019, when existing employees sold 5.4 million shares of our common stock for an aggregate purchase price of $67.6 million. As the share price paid in the 2019 Tender was in excess of fair value and a portion of the purchasers were existing stockholders, we recorded share-based compensation expense of $18.7 million for the year ended December 31, 2019.</w:t>
      </w:r>
    </w:p>
    <w:p>
      <w:pPr>
        <w:spacing w:after="0" w:line="157"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In November 2019, we modified certain stock option grants to extend the post-termination exercise period for 125 employees. During the years ended December 31, 2019 and 2020, share-based compensation expense included $0.8 million and $1.8 million as a result of the modification. We will incur an additional $1.3 million of share-based compensation expense over the remaining vesting periods of these impacted options.</w:t>
      </w:r>
    </w:p>
    <w:p>
      <w:pPr>
        <w:spacing w:after="0" w:line="14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As of December 31, 2020, there was $7.8 million of unrecognized compensation cost related to outstanding stock options that is expected to be recognized over a weighted-average period of 1.22 years.</w:t>
      </w:r>
    </w:p>
    <w:p>
      <w:pPr>
        <w:spacing w:after="0" w:line="13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grant RSUs that vest only upon the satisfaction of both time-based service and performance-based conditions. As of December 31, 2019 and 2020, no share-based compensation expense had been recognized for such awards with a performance condition based on the occurrence of a qualifying event, such as an IPO, as such qualifying event was not probable. The total unrecognized share-based compensation expense related to these awards was $517.7 million as of December 31, 2020. Of this amount, $207.2 million relates to awards for which the time-based vesting condition has been satisfied or partially satisfied while $310.5 million relates to awards for which the time-based vesting condition had not yet been satisfied.</w:t>
      </w:r>
    </w:p>
    <w:p>
      <w:pPr>
        <w:spacing w:after="0" w:line="157"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the year ended December 31, 2019, we granted market-based awards in the form of RSUs to certain executives. These awards vest based on our achievement of market-based targets and certain performance conditions, subject to continuous employment by each recipient. As of December 31, 2020 and 2019, no share-based compensation expense had been recognized for such awards based on the occurrence of a qualifying event of an IPO before a set date, as such qualifying event was not probable. The total unrecognized share-based compensation expense relating to these awards was $8.0 million as of December 31, 2020. Of this amount, $2.8 million relates to awards for which the time-based vesting condition had been satisfied or partially satisfied, $1.2 million relates to awards for which the time-based vesting condition had not yet been satisfied and $4.0 million relates to awards with a performance condition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260"/>
          </w:cols>
          <w:pgMar w:left="320" w:top="1286" w:right="319" w:bottom="1440" w:gutter="0" w:footer="0" w:header="0"/>
        </w:sectPr>
      </w:pPr>
    </w:p>
    <w:bookmarkStart w:id="351" w:name="page352"/>
    <w:bookmarkEnd w:id="351"/>
    <w:p>
      <w:pPr>
        <w:spacing w:after="0"/>
        <w:rPr>
          <w:sz w:val="20"/>
          <w:szCs w:val="20"/>
          <w:color w:val="auto"/>
        </w:rPr>
      </w:pPr>
      <w:r>
        <w:rPr>
          <w:rFonts w:ascii="Arial" w:cs="Arial" w:eastAsia="Arial" w:hAnsi="Arial"/>
          <w:sz w:val="22"/>
          <w:szCs w:val="22"/>
          <w:color w:val="auto"/>
        </w:rPr>
        <w:t>NOTE 12 - INCOME (LOSS) PER SHARE</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the calculation of basic and diluted income (loss) per share: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3"/>
                <w:szCs w:val="13"/>
                <w:b w:val="1"/>
                <w:bCs w:val="1"/>
                <w:color w:val="auto"/>
              </w:rPr>
              <w:t>Year Ended December 31,</w:t>
            </w:r>
          </w:p>
        </w:tc>
      </w:tr>
      <w:tr>
        <w:trPr>
          <w:trHeight w:val="18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 share data)</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r>
      <w:tr>
        <w:trPr>
          <w:trHeight w:val="21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(106,569)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7,449</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Less: allocation of earnings to participating securities</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4,601</w:t>
            </w:r>
          </w:p>
        </w:tc>
      </w:tr>
      <w:tr>
        <w:trPr>
          <w:trHeight w:val="24"/>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(106,569)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2,848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common stock outstanding - basic</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221,664,610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225,748,355</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Dilutive effect of stock options and unvested shares</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19,249,033</w:t>
            </w:r>
          </w:p>
        </w:tc>
      </w:tr>
      <w:tr>
        <w:trPr>
          <w:trHeight w:val="24"/>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common stock outstanding - diluted</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221,664,610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244,997,388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share attributable to common stockholders: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(0.48)</w:t>
            </w:r>
          </w:p>
        </w:tc>
        <w:tc>
          <w:tcPr>
            <w:tcW w:w="80" w:type="dxa"/>
            <w:vAlign w:val="bottom"/>
          </w:tcPr>
          <w:p>
            <w:pPr>
              <w:spacing w:after="0"/>
              <w:rPr>
                <w:sz w:val="18"/>
                <w:szCs w:val="18"/>
                <w:color w:val="auto"/>
              </w:rPr>
            </w:pP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0.01</w:t>
            </w:r>
          </w:p>
        </w:tc>
      </w:tr>
      <w:tr>
        <w:trPr>
          <w:trHeight w:val="24"/>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0.01</w:t>
            </w:r>
          </w:p>
        </w:tc>
      </w:tr>
      <w:tr>
        <w:trPr>
          <w:trHeight w:val="24"/>
        </w:trPr>
        <w:tc>
          <w:tcPr>
            <w:tcW w:w="8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The following potential common shares were excluded from the calculation of diluted net income (loss) per share because their effect would have been anti-dilutive or issuance of such shares is contingent upon the satisfaction of certain conditions which were not satisfied by the end of the period: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24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3"/>
                <w:szCs w:val="13"/>
                <w:b w:val="1"/>
                <w:bCs w:val="1"/>
                <w:color w:val="auto"/>
              </w:rPr>
              <w:t>Year Ended December 31,</w:t>
            </w:r>
          </w:p>
        </w:tc>
      </w:tr>
      <w:tr>
        <w:trPr>
          <w:trHeight w:val="183"/>
        </w:trPr>
        <w:tc>
          <w:tcPr>
            <w:tcW w:w="80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convertible preferred stock</w:t>
            </w:r>
          </w:p>
        </w:tc>
        <w:tc>
          <w:tcPr>
            <w:tcW w:w="15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321,626,778</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412,742,897</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RSUs</w:t>
            </w:r>
          </w:p>
        </w:tc>
        <w:tc>
          <w:tcPr>
            <w:tcW w:w="1580" w:type="dxa"/>
            <w:vAlign w:val="bottom"/>
          </w:tcPr>
          <w:p>
            <w:pPr>
              <w:jc w:val="right"/>
              <w:ind w:right="5"/>
              <w:spacing w:after="0"/>
              <w:rPr>
                <w:sz w:val="20"/>
                <w:szCs w:val="20"/>
                <w:color w:val="auto"/>
              </w:rPr>
            </w:pPr>
            <w:r>
              <w:rPr>
                <w:rFonts w:ascii="Arial" w:cs="Arial" w:eastAsia="Arial" w:hAnsi="Arial"/>
                <w:sz w:val="16"/>
                <w:szCs w:val="16"/>
                <w:color w:val="auto"/>
              </w:rPr>
              <w:t>51,687,872</w:t>
            </w:r>
          </w:p>
        </w:tc>
        <w:tc>
          <w:tcPr>
            <w:tcW w:w="80" w:type="dxa"/>
            <w:vAlign w:val="bottom"/>
          </w:tcPr>
          <w:p>
            <w:pPr>
              <w:spacing w:after="0"/>
              <w:rPr>
                <w:sz w:val="17"/>
                <w:szCs w:val="17"/>
                <w:color w:val="auto"/>
              </w:rPr>
            </w:pPr>
          </w:p>
        </w:tc>
        <w:tc>
          <w:tcPr>
            <w:tcW w:w="1580" w:type="dxa"/>
            <w:vAlign w:val="bottom"/>
          </w:tcPr>
          <w:p>
            <w:pPr>
              <w:jc w:val="right"/>
              <w:ind w:right="3"/>
              <w:spacing w:after="0"/>
              <w:rPr>
                <w:sz w:val="20"/>
                <w:szCs w:val="20"/>
                <w:color w:val="auto"/>
              </w:rPr>
            </w:pPr>
            <w:r>
              <w:rPr>
                <w:rFonts w:ascii="Arial" w:cs="Arial" w:eastAsia="Arial" w:hAnsi="Arial"/>
                <w:sz w:val="16"/>
                <w:szCs w:val="16"/>
                <w:color w:val="auto"/>
              </w:rPr>
              <w:t>75,375,307</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5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27,613,830</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60,082</w:t>
            </w:r>
          </w:p>
        </w:tc>
      </w:tr>
      <w:tr>
        <w:trPr>
          <w:trHeight w:val="20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Unvested shares</w:t>
            </w:r>
          </w:p>
        </w:tc>
        <w:tc>
          <w:tcPr>
            <w:tcW w:w="15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749,943</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8,423</w:t>
            </w:r>
          </w:p>
        </w:tc>
      </w:tr>
      <w:tr>
        <w:trPr>
          <w:trHeight w:val="22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anti-dilutive securities</w:t>
            </w:r>
          </w:p>
        </w:tc>
        <w:tc>
          <w:tcPr>
            <w:tcW w:w="15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401,678,423</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488,186,709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NOTE 13: RELATED PARTY TRANSACTIONS</w:t>
      </w:r>
    </w:p>
    <w:p>
      <w:pPr>
        <w:spacing w:after="0" w:line="163"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Related party transactions may include any transaction between entities under common control or with a related party. We have defined related parties as members of the board of directors, executive officers, principal owners of our outstanding stock and any immediate family members of each such related party, as well as any other person or entity with significant influence over our management or operations. Aside from the 2019 and 2020 Tenders discussed in Note 11 - Mezzanine equity, common stock and stockholders’ deficit, no other material related party transaction has taken place during the periods presented.</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NOTE 14: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Commitments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191"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Our operating leases are comprised of office facilities, with the most significant leases relating to corporate headquarters in Menlo Park. Our leases have remaining terms of 2 year to 11 years, and many leases include one or more options to renew. We do not assume renewals in our determination of the lease term unless the renewals are deemed to be reasonably assured at lease commencement.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260"/>
          </w:cols>
          <w:pgMar w:left="320" w:top="1287" w:right="319" w:bottom="1440" w:gutter="0" w:footer="0" w:header="0"/>
        </w:sectPr>
      </w:pPr>
    </w:p>
    <w:bookmarkStart w:id="352" w:name="page353"/>
    <w:bookmarkEnd w:id="352"/>
    <w:p>
      <w:pPr>
        <w:jc w:val="both"/>
        <w:ind w:right="20"/>
        <w:spacing w:after="0" w:line="254" w:lineRule="auto"/>
        <w:rPr>
          <w:sz w:val="20"/>
          <w:szCs w:val="20"/>
          <w:color w:val="auto"/>
        </w:rPr>
      </w:pPr>
      <w:r>
        <w:rPr>
          <w:rFonts w:ascii="Arial" w:cs="Arial" w:eastAsia="Arial" w:hAnsi="Arial"/>
          <w:sz w:val="16"/>
          <w:szCs w:val="16"/>
          <w:color w:val="auto"/>
        </w:rPr>
        <w:t>not have any finance leases. As of December 31, 2019 and 2020 we had $31.2 million and $49.2 million of operating right-of-use assets included as other non-current assets and $37.8 million and $54.1 million of operating lease liabilities: $10.4 million and $6.1 million included as other current liabilities and $27.4 million and $48.0 million as other non-current liabilities in the consolidated balance sheets.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components of lease expense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764"/>
              <w:spacing w:after="0"/>
              <w:rPr>
                <w:sz w:val="20"/>
                <w:szCs w:val="20"/>
                <w:color w:val="auto"/>
              </w:rPr>
            </w:pPr>
            <w:r>
              <w:rPr>
                <w:rFonts w:ascii="Arial" w:cs="Arial" w:eastAsia="Arial" w:hAnsi="Arial"/>
                <w:sz w:val="13"/>
                <w:szCs w:val="13"/>
                <w:b w:val="1"/>
                <w:bCs w:val="1"/>
                <w:color w:val="auto"/>
              </w:rPr>
              <w:t>Year Ended December 31,</w:t>
            </w: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operating lease costs</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5,422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11,420</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Variable operating lease costs</w:t>
            </w:r>
          </w:p>
        </w:tc>
        <w:tc>
          <w:tcPr>
            <w:tcW w:w="38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1,078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3,009</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costs</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1,188</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1,222</w:t>
            </w:r>
          </w:p>
        </w:tc>
      </w:tr>
      <w:tr>
        <w:trPr>
          <w:trHeight w:val="195"/>
        </w:trPr>
        <w:tc>
          <w:tcPr>
            <w:tcW w:w="8020" w:type="dxa"/>
            <w:vAlign w:val="bottom"/>
          </w:tcPr>
          <w:p>
            <w:pPr>
              <w:ind w:left="200"/>
              <w:spacing w:after="0"/>
              <w:rPr>
                <w:sz w:val="20"/>
                <w:szCs w:val="20"/>
                <w:color w:val="auto"/>
              </w:rPr>
            </w:pPr>
            <w:r>
              <w:rPr>
                <w:rFonts w:ascii="Arial" w:cs="Arial" w:eastAsia="Arial" w:hAnsi="Arial"/>
                <w:sz w:val="16"/>
                <w:szCs w:val="16"/>
                <w:color w:val="auto"/>
              </w:rPr>
              <w:t>Total lease costs</w:t>
            </w:r>
          </w:p>
        </w:tc>
        <w:tc>
          <w:tcPr>
            <w:tcW w:w="3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7,688</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15,651</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Variable operating lease costs are primarily related to payments made to our landlords for common area maintenance, property taxes, insurance, and other operating expenses.</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information related to our operating leases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jc w:val="right"/>
              <w:ind w:right="886"/>
              <w:spacing w:after="0"/>
              <w:rPr>
                <w:sz w:val="20"/>
                <w:szCs w:val="20"/>
                <w:color w:val="auto"/>
              </w:rPr>
            </w:pPr>
            <w:r>
              <w:rPr>
                <w:rFonts w:ascii="Arial" w:cs="Arial" w:eastAsia="Arial" w:hAnsi="Arial"/>
                <w:sz w:val="13"/>
                <w:szCs w:val="13"/>
                <w:b w:val="1"/>
                <w:bCs w:val="1"/>
                <w:color w:val="auto"/>
              </w:rPr>
              <w:t>Year Ended December 31,</w:t>
            </w:r>
          </w:p>
        </w:tc>
      </w:tr>
      <w:tr>
        <w:trPr>
          <w:trHeight w:val="159"/>
        </w:trPr>
        <w:tc>
          <w:tcPr>
            <w:tcW w:w="78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26"/>
              <w:spacing w:after="0"/>
              <w:rPr>
                <w:sz w:val="20"/>
                <w:szCs w:val="20"/>
                <w:color w:val="auto"/>
              </w:rPr>
            </w:pPr>
            <w:r>
              <w:rPr>
                <w:rFonts w:ascii="Arial" w:cs="Arial" w:eastAsia="Arial" w:hAnsi="Arial"/>
                <w:sz w:val="13"/>
                <w:szCs w:val="13"/>
                <w:b w:val="1"/>
                <w:bCs w:val="1"/>
                <w:color w:val="auto"/>
              </w:rPr>
              <w:t>2020</w:t>
            </w: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5.11 years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 years</w:t>
            </w:r>
          </w:p>
        </w:tc>
      </w:tr>
      <w:tr>
        <w:trPr>
          <w:trHeight w:val="203"/>
        </w:trPr>
        <w:tc>
          <w:tcPr>
            <w:tcW w:w="780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7.47 %</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7.02 %</w:t>
            </w:r>
          </w:p>
        </w:tc>
      </w:tr>
      <w:tr>
        <w:trPr>
          <w:trHeight w:val="430"/>
        </w:trPr>
        <w:tc>
          <w:tcPr>
            <w:tcW w:w="7800" w:type="dxa"/>
            <w:vAlign w:val="bottom"/>
          </w:tcPr>
          <w:p>
            <w:pPr>
              <w:ind w:left="280"/>
              <w:spacing w:after="0"/>
              <w:rPr>
                <w:sz w:val="20"/>
                <w:szCs w:val="20"/>
                <w:color w:val="auto"/>
              </w:rPr>
            </w:pPr>
            <w:r>
              <w:rPr>
                <w:rFonts w:ascii="Arial" w:cs="Arial" w:eastAsia="Arial" w:hAnsi="Arial"/>
                <w:sz w:val="16"/>
                <w:szCs w:val="16"/>
                <w:color w:val="auto"/>
              </w:rPr>
              <w:t>Cash flows related to leases were as follows: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8"/>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66"/>
              <w:spacing w:after="0"/>
              <w:rPr>
                <w:sz w:val="20"/>
                <w:szCs w:val="20"/>
                <w:color w:val="auto"/>
              </w:rPr>
            </w:pPr>
            <w:r>
              <w:rPr>
                <w:rFonts w:ascii="Arial" w:cs="Arial" w:eastAsia="Arial" w:hAnsi="Arial"/>
                <w:sz w:val="13"/>
                <w:szCs w:val="13"/>
                <w:b w:val="1"/>
                <w:bCs w:val="1"/>
                <w:color w:val="auto"/>
              </w:rPr>
              <w:t>Year Ended December 31,</w:t>
            </w:r>
          </w:p>
        </w:tc>
      </w:tr>
      <w:tr>
        <w:trPr>
          <w:trHeight w:val="15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2020</w:t>
            </w:r>
          </w:p>
        </w:tc>
      </w:tr>
      <w:tr>
        <w:trPr>
          <w:trHeight w:val="18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03"/>
        </w:trPr>
        <w:tc>
          <w:tcPr>
            <w:tcW w:w="7800" w:type="dxa"/>
            <w:vAlign w:val="bottom"/>
          </w:tcPr>
          <w:p>
            <w:pPr>
              <w:ind w:left="200"/>
              <w:spacing w:after="0"/>
              <w:rPr>
                <w:sz w:val="20"/>
                <w:szCs w:val="20"/>
                <w:color w:val="auto"/>
              </w:rPr>
            </w:pPr>
            <w:r>
              <w:rPr>
                <w:rFonts w:ascii="Arial" w:cs="Arial" w:eastAsia="Arial" w:hAnsi="Arial"/>
                <w:sz w:val="16"/>
                <w:szCs w:val="16"/>
                <w:color w:val="auto"/>
              </w:rPr>
              <w:t>Payments for operating lease liabilities</w:t>
            </w: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4,755</w:t>
            </w:r>
          </w:p>
        </w:tc>
        <w:tc>
          <w:tcPr>
            <w:tcW w:w="4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12,781</w:t>
            </w:r>
          </w:p>
        </w:tc>
      </w:tr>
      <w:tr>
        <w:trPr>
          <w:trHeight w:val="20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data:</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800" w:type="dxa"/>
            <w:vAlign w:val="bottom"/>
          </w:tcPr>
          <w:p>
            <w:pPr>
              <w:ind w:left="200"/>
              <w:spacing w:after="0"/>
              <w:rPr>
                <w:sz w:val="20"/>
                <w:szCs w:val="20"/>
                <w:color w:val="auto"/>
              </w:rPr>
            </w:pPr>
            <w:r>
              <w:rPr>
                <w:rFonts w:ascii="Arial" w:cs="Arial" w:eastAsia="Arial" w:hAnsi="Arial"/>
                <w:sz w:val="16"/>
                <w:szCs w:val="16"/>
                <w:color w:val="auto"/>
              </w:rPr>
              <w:t>Lease liabilities arising from obtaining right-of-use assets</w:t>
            </w: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14,816</w:t>
            </w:r>
          </w:p>
        </w:tc>
        <w:tc>
          <w:tcPr>
            <w:tcW w:w="4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25,958</w:t>
            </w:r>
          </w:p>
        </w:tc>
      </w:tr>
    </w:tbl>
    <w:p>
      <w:pPr>
        <w:spacing w:after="0" w:line="238"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Future minimum lease payments under non-cancellable operating leases (with initial lease terms in excess of one year) as of December 31, 2020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6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3"/>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54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12,159</w:t>
            </w:r>
          </w:p>
        </w:tc>
      </w:tr>
      <w:tr>
        <w:trPr>
          <w:trHeight w:val="203"/>
        </w:trPr>
        <w:tc>
          <w:tcPr>
            <w:tcW w:w="9680" w:type="dxa"/>
            <w:vAlign w:val="bottom"/>
          </w:tcPr>
          <w:p>
            <w:pPr>
              <w:ind w:left="20"/>
              <w:spacing w:after="0"/>
              <w:rPr>
                <w:sz w:val="20"/>
                <w:szCs w:val="20"/>
                <w:color w:val="auto"/>
              </w:rPr>
            </w:pPr>
            <w:r>
              <w:rPr>
                <w:rFonts w:ascii="Arial" w:cs="Arial" w:eastAsia="Arial" w:hAnsi="Arial"/>
                <w:sz w:val="16"/>
                <w:szCs w:val="16"/>
                <w:color w:val="auto"/>
              </w:rPr>
              <w:t>2022</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16,590</w:t>
            </w:r>
          </w:p>
        </w:tc>
      </w:tr>
      <w:tr>
        <w:trPr>
          <w:trHeight w:val="203"/>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13,779</w:t>
            </w:r>
          </w:p>
        </w:tc>
      </w:tr>
      <w:tr>
        <w:trPr>
          <w:trHeight w:val="203"/>
        </w:trPr>
        <w:tc>
          <w:tcPr>
            <w:tcW w:w="9680" w:type="dxa"/>
            <w:vAlign w:val="bottom"/>
          </w:tcPr>
          <w:p>
            <w:pPr>
              <w:ind w:left="20"/>
              <w:spacing w:after="0"/>
              <w:rPr>
                <w:sz w:val="20"/>
                <w:szCs w:val="20"/>
                <w:color w:val="auto"/>
              </w:rPr>
            </w:pPr>
            <w:r>
              <w:rPr>
                <w:rFonts w:ascii="Arial" w:cs="Arial" w:eastAsia="Arial" w:hAnsi="Arial"/>
                <w:sz w:val="16"/>
                <w:szCs w:val="16"/>
                <w:color w:val="auto"/>
              </w:rPr>
              <w:t>2024</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10,688</w:t>
            </w:r>
          </w:p>
        </w:tc>
      </w:tr>
      <w:tr>
        <w:trPr>
          <w:trHeight w:val="203"/>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9,932</w:t>
            </w:r>
          </w:p>
        </w:tc>
      </w:tr>
      <w:tr>
        <w:trPr>
          <w:trHeight w:val="20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9,724</w:t>
            </w:r>
          </w:p>
        </w:tc>
      </w:tr>
      <w:tr>
        <w:trPr>
          <w:trHeight w:val="195"/>
        </w:trPr>
        <w:tc>
          <w:tcPr>
            <w:tcW w:w="9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undiscounted lease payments</w:t>
            </w: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72,872</w:t>
            </w:r>
          </w:p>
        </w:tc>
      </w:tr>
      <w:tr>
        <w:trPr>
          <w:trHeight w:val="203"/>
        </w:trPr>
        <w:tc>
          <w:tcPr>
            <w:tcW w:w="9680" w:type="dxa"/>
            <w:vAlign w:val="bottom"/>
          </w:tcPr>
          <w:p>
            <w:pPr>
              <w:ind w:left="20"/>
              <w:spacing w:after="0"/>
              <w:rPr>
                <w:sz w:val="20"/>
                <w:szCs w:val="20"/>
                <w:color w:val="auto"/>
              </w:rPr>
            </w:pPr>
            <w:r>
              <w:rPr>
                <w:rFonts w:ascii="Arial" w:cs="Arial" w:eastAsia="Arial" w:hAnsi="Arial"/>
                <w:sz w:val="16"/>
                <w:szCs w:val="16"/>
                <w:color w:val="auto"/>
              </w:rPr>
              <w:t>Less: present value discount</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(12,675)</w:t>
            </w:r>
          </w:p>
        </w:tc>
      </w:tr>
      <w:tr>
        <w:trPr>
          <w:trHeight w:val="203"/>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lease incentives</w:t>
            </w:r>
          </w:p>
        </w:tc>
        <w:tc>
          <w:tcPr>
            <w:tcW w:w="5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(6,116)</w:t>
            </w:r>
          </w:p>
        </w:tc>
      </w:tr>
      <w:tr>
        <w:trPr>
          <w:trHeight w:val="195"/>
        </w:trPr>
        <w:tc>
          <w:tcPr>
            <w:tcW w:w="9680" w:type="dxa"/>
            <w:vAlign w:val="bottom"/>
          </w:tcPr>
          <w:p>
            <w:pPr>
              <w:ind w:left="200"/>
              <w:spacing w:after="0"/>
              <w:rPr>
                <w:sz w:val="20"/>
                <w:szCs w:val="20"/>
                <w:color w:val="auto"/>
              </w:rPr>
            </w:pPr>
            <w:r>
              <w:rPr>
                <w:rFonts w:ascii="Arial" w:cs="Arial" w:eastAsia="Arial" w:hAnsi="Arial"/>
                <w:sz w:val="16"/>
                <w:szCs w:val="16"/>
                <w:color w:val="auto"/>
              </w:rPr>
              <w:t>Total lease liabilities</w:t>
            </w:r>
          </w:p>
        </w:tc>
        <w:tc>
          <w:tcPr>
            <w:tcW w:w="5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54,081</w:t>
            </w:r>
          </w:p>
        </w:tc>
      </w:tr>
      <w:tr>
        <w:trPr>
          <w:trHeight w:val="20"/>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260"/>
          </w:cols>
          <w:pgMar w:left="320" w:top="1285" w:right="319" w:bottom="1440" w:gutter="0" w:footer="0" w:header="0"/>
        </w:sectPr>
      </w:pPr>
    </w:p>
    <w:bookmarkStart w:id="353" w:name="page354"/>
    <w:bookmarkEnd w:id="353"/>
    <w:p>
      <w:pPr>
        <w:ind w:left="4"/>
        <w:spacing w:after="0"/>
        <w:rPr>
          <w:sz w:val="20"/>
          <w:szCs w:val="20"/>
          <w:color w:val="auto"/>
        </w:rPr>
      </w:pPr>
      <w:r>
        <w:rPr>
          <w:rFonts w:ascii="Arial" w:cs="Arial" w:eastAsia="Arial" w:hAnsi="Arial"/>
          <w:sz w:val="19"/>
          <w:szCs w:val="19"/>
          <w:b w:val="1"/>
          <w:bCs w:val="1"/>
          <w:i w:val="1"/>
          <w:iCs w:val="1"/>
          <w:color w:val="auto"/>
        </w:rPr>
        <w:t>Contingencies</w:t>
      </w:r>
    </w:p>
    <w:p>
      <w:pPr>
        <w:spacing w:after="0" w:line="179" w:lineRule="exact"/>
        <w:rPr>
          <w:sz w:val="20"/>
          <w:szCs w:val="20"/>
          <w:color w:val="auto"/>
        </w:rPr>
      </w:pPr>
    </w:p>
    <w:p>
      <w:pPr>
        <w:jc w:val="both"/>
        <w:ind w:left="4" w:firstLine="287"/>
        <w:spacing w:after="0" w:line="252" w:lineRule="auto"/>
        <w:rPr>
          <w:sz w:val="20"/>
          <w:szCs w:val="20"/>
          <w:color w:val="auto"/>
        </w:rPr>
      </w:pPr>
      <w:r>
        <w:rPr>
          <w:rFonts w:ascii="Arial" w:cs="Arial" w:eastAsia="Arial" w:hAnsi="Arial"/>
          <w:sz w:val="16"/>
          <w:szCs w:val="16"/>
          <w:color w:val="auto"/>
        </w:rPr>
        <w:t>The securities industry is highly regulated and many aspects of our business involve substantial risk of liability. In past years, there has been an increasing incidence of litigation involving the brokerage industry, including class action suits that generally seek substantial damages. Damages may include, in some cases, punitive damages. Compliance and trading problems that are reported to federal, state and provincial regulators, exchanges or other self-regulatory organizations by dissatisfied customers are investigated by such regulatory bodies, and, if pursued by such regulatory body or such customers, may rise to the level of arbitration or disciplinary action. We are also subject to periodic regulatory audits and inspections.</w:t>
      </w:r>
    </w:p>
    <w:p>
      <w:pPr>
        <w:spacing w:after="0" w:line="157"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Like other brokerage firms, we have been named as a defendant in lawsuits and from time to time we have been threatened with, or named as a defendant in arbitrations and administrative proceedings.</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Legal and regulatory matters</w:t>
      </w:r>
    </w:p>
    <w:p>
      <w:pPr>
        <w:spacing w:after="0" w:line="179" w:lineRule="exact"/>
        <w:rPr>
          <w:sz w:val="20"/>
          <w:szCs w:val="20"/>
          <w:color w:val="auto"/>
        </w:rPr>
      </w:pPr>
    </w:p>
    <w:p>
      <w:pPr>
        <w:jc w:val="both"/>
        <w:ind w:left="4" w:firstLine="287"/>
        <w:spacing w:after="0" w:line="250" w:lineRule="auto"/>
        <w:rPr>
          <w:sz w:val="20"/>
          <w:szCs w:val="20"/>
          <w:color w:val="auto"/>
        </w:rPr>
      </w:pPr>
      <w:r>
        <w:rPr>
          <w:rFonts w:ascii="Arial" w:cs="Arial" w:eastAsia="Arial" w:hAnsi="Arial"/>
          <w:sz w:val="16"/>
          <w:szCs w:val="16"/>
          <w:color w:val="auto"/>
        </w:rPr>
        <w:t>The outcomes of the legal and regulatory matters discussed in this section are inherently uncertain and some of these matters may result in adverse judgments or awards, including penalties, injunctions or other relief, and we may also determine to settle a matter because of the uncertainty and risks of litigation. Described below are certain historic matters as well as certain pending matters in which there is at least a reasonable possibility that a material loss could be incurred. We intend to continue to vigorously defend the pending matters. Litigation is inherently uncertain, and any judgment entered against us, or any adverse settlement, could materially and adversely impact our business, financial condition, operating results, and cash flows. Unless otherwise noted below with respect to a specific matter, we are unable to provide a reasonable estimate of any potential liability given the uncertain nature of litigation and the stage of proceedings in these matters. With respect to all other pending matters not disclosed below, based on current information, we do not believe that such matters, individually or in the aggregate, would have a material adverse impact on our business, financial condition, operating results, or cash flows.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Best Execution, Payment for Order Flow, and Sources of Revenue Matters</w:t>
      </w:r>
    </w:p>
    <w:p>
      <w:pPr>
        <w:spacing w:after="0" w:line="179" w:lineRule="exact"/>
        <w:rPr>
          <w:sz w:val="20"/>
          <w:szCs w:val="20"/>
          <w:color w:val="auto"/>
        </w:rPr>
      </w:pPr>
    </w:p>
    <w:p>
      <w:pPr>
        <w:jc w:val="both"/>
        <w:ind w:left="4" w:firstLine="287"/>
        <w:spacing w:after="0" w:line="266" w:lineRule="auto"/>
        <w:rPr>
          <w:sz w:val="20"/>
          <w:szCs w:val="20"/>
          <w:color w:val="auto"/>
        </w:rPr>
      </w:pPr>
      <w:r>
        <w:rPr>
          <w:rFonts w:ascii="Arial" w:cs="Arial" w:eastAsia="Arial" w:hAnsi="Arial"/>
          <w:sz w:val="15"/>
          <w:szCs w:val="15"/>
          <w:color w:val="auto"/>
        </w:rPr>
        <w:t>In May 2019, the U.S. Securities and Exchange Commission’s (“SEC”) Division of Enforcement (“Enforcement Division”) commenced an investigation into RHF’s best execution and payment for order flow practices, as well as statements concerning its sources of revenue. On December 17, 2020, RHF, on a neither admit nor deny basis, consented to the entry of an SEC order (i) requiring RHF to cease and desist from committing or causing any violations and any future violations of Sections 17(a)(2) and 17(a)(3) of the Securities Act of 1933 and Section 17(a) of the Securities Exchange Act of 1934 and Rule 17a-4 thereunder;</w:t>
      </w:r>
    </w:p>
    <w:p>
      <w:pPr>
        <w:jc w:val="both"/>
        <w:ind w:left="4" w:right="20" w:hanging="4"/>
        <w:spacing w:after="0" w:line="252" w:lineRule="auto"/>
        <w:tabs>
          <w:tab w:leader="none" w:pos="24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censuring RHF; and (iii) requiring RHF to pay a $65 million penalty. RHF also agreed to engage an independent compliance consultant to, among other things, perform a comprehensive review of RHF’s supervisory, compliance, and other policies and procedures related to its retail communications and payment for order flow and make recommendations for improvements. RHF paid the $65 million penalty in cash, which was recorded as general and administrative expenses in our consolidated statements of operations for the year ended December 31, 2020.</w:t>
      </w:r>
    </w:p>
    <w:p>
      <w:pPr>
        <w:spacing w:after="0" w:line="147" w:lineRule="exact"/>
        <w:rPr>
          <w:sz w:val="20"/>
          <w:szCs w:val="20"/>
          <w:color w:val="auto"/>
        </w:rPr>
      </w:pPr>
    </w:p>
    <w:p>
      <w:pPr>
        <w:jc w:val="both"/>
        <w:ind w:left="4" w:firstLine="287"/>
        <w:spacing w:after="0" w:line="251" w:lineRule="auto"/>
        <w:rPr>
          <w:sz w:val="20"/>
          <w:szCs w:val="20"/>
          <w:color w:val="auto"/>
        </w:rPr>
      </w:pPr>
      <w:r>
        <w:rPr>
          <w:rFonts w:ascii="Arial" w:cs="Arial" w:eastAsia="Arial" w:hAnsi="Arial"/>
          <w:sz w:val="16"/>
          <w:szCs w:val="16"/>
          <w:color w:val="auto"/>
        </w:rPr>
        <w:t xml:space="preserve">Beginning on December 23, 2020, four putative securities fraud class action lawsuits were filed against RHM, RHF, and/or RHS. Three were filed in the United States District Court for the Northern District of California: </w:t>
      </w:r>
      <w:r>
        <w:rPr>
          <w:rFonts w:ascii="Arial" w:cs="Arial" w:eastAsia="Arial" w:hAnsi="Arial"/>
          <w:sz w:val="16"/>
          <w:szCs w:val="16"/>
          <w:i w:val="1"/>
          <w:iCs w:val="1"/>
          <w:color w:val="auto"/>
        </w:rPr>
        <w:t>Kwon v. Robinhood Financial LLC et al., Luparello v. Robinhood Financial LLC et al.</w:t>
      </w:r>
      <w:r>
        <w:rPr>
          <w:rFonts w:ascii="Arial" w:cs="Arial" w:eastAsia="Arial" w:hAnsi="Arial"/>
          <w:sz w:val="16"/>
          <w:szCs w:val="16"/>
          <w:color w:val="auto"/>
        </w:rPr>
        <w:t xml:space="preserve">, and </w:t>
      </w:r>
      <w:r>
        <w:rPr>
          <w:rFonts w:ascii="Arial" w:cs="Arial" w:eastAsia="Arial" w:hAnsi="Arial"/>
          <w:sz w:val="16"/>
          <w:szCs w:val="16"/>
          <w:i w:val="1"/>
          <w:iCs w:val="1"/>
          <w:color w:val="auto"/>
        </w:rPr>
        <w:t>Nabi</w:t>
      </w:r>
      <w:r>
        <w:rPr>
          <w:rFonts w:ascii="Arial" w:cs="Arial" w:eastAsia="Arial" w:hAnsi="Arial"/>
          <w:sz w:val="16"/>
          <w:szCs w:val="16"/>
          <w:color w:val="auto"/>
        </w:rPr>
        <w:t xml:space="preserve"> </w:t>
      </w:r>
      <w:r>
        <w:rPr>
          <w:rFonts w:ascii="Arial" w:cs="Arial" w:eastAsia="Arial" w:hAnsi="Arial"/>
          <w:sz w:val="16"/>
          <w:szCs w:val="16"/>
          <w:i w:val="1"/>
          <w:iCs w:val="1"/>
          <w:color w:val="auto"/>
        </w:rPr>
        <w:t>v. Robinhood Financial LLC et al</w:t>
      </w:r>
      <w:r>
        <w:rPr>
          <w:rFonts w:ascii="Arial" w:cs="Arial" w:eastAsia="Arial" w:hAnsi="Arial"/>
          <w:sz w:val="16"/>
          <w:szCs w:val="16"/>
          <w:color w:val="auto"/>
        </w:rPr>
        <w:t>. One was filed in the United States District Court for the Southern District of California, but has since been transferred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Northern District: </w:t>
      </w:r>
      <w:r>
        <w:rPr>
          <w:rFonts w:ascii="Arial" w:cs="Arial" w:eastAsia="Arial" w:hAnsi="Arial"/>
          <w:sz w:val="16"/>
          <w:szCs w:val="16"/>
          <w:i w:val="1"/>
          <w:iCs w:val="1"/>
          <w:color w:val="auto"/>
        </w:rPr>
        <w:t>Ghebrehiwet v. Robinhood Financial LLC et al</w:t>
      </w:r>
      <w:r>
        <w:rPr>
          <w:rFonts w:ascii="Arial" w:cs="Arial" w:eastAsia="Arial" w:hAnsi="Arial"/>
          <w:sz w:val="16"/>
          <w:szCs w:val="16"/>
          <w:color w:val="auto"/>
        </w:rPr>
        <w:t>. The lawsuits generally allege that we violated the duty of best execution and misled putative class members by publishing misleading statements and omissions in customer communications relating to the execution of trades and revenue sources (including payment for order flow). The three complaints originally filed in the Northern District of California assert claims for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264"/>
          </w:cols>
          <w:pgMar w:left="316" w:top="1271" w:right="319" w:bottom="1440" w:gutter="0" w:footer="0" w:header="0"/>
        </w:sectPr>
      </w:pPr>
    </w:p>
    <w:bookmarkStart w:id="354" w:name="page355"/>
    <w:bookmarkEnd w:id="354"/>
    <w:p>
      <w:pPr>
        <w:jc w:val="both"/>
        <w:spacing w:after="0" w:line="260" w:lineRule="auto"/>
        <w:rPr>
          <w:sz w:val="20"/>
          <w:szCs w:val="20"/>
          <w:color w:val="auto"/>
        </w:rPr>
      </w:pPr>
      <w:r>
        <w:rPr>
          <w:rFonts w:ascii="Arial" w:cs="Arial" w:eastAsia="Arial" w:hAnsi="Arial"/>
          <w:sz w:val="16"/>
          <w:szCs w:val="16"/>
          <w:color w:val="auto"/>
        </w:rPr>
        <w:t>of Sections 10(b) of the Securities Exchange Act of 1934. All four complaints assert state law claims under California law, and seek damages, restitution, disgorgement, and other relief.</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March 2020 Outages</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On March 2-3, 2020, our platform experienced an outage across various services, which prevented customers from using the app, website, and help center. On March 9, 2020, our platform experienced an outage across its trading products, which prevented customers from placing trades (together with the March 2-3 outages, the “March 2020 Outages”). There are many uncertainties associated with these types of incidents and impacts associated with service outages have included, and may in the future include, remediation costs to customers, systems upgrades, increased insurance costs, adverse effects on compliance with laws and regulations, litigation, and reputational damage. To date, we have incurred customer goodwill remediation costs with respect to the March 2020 Outages in the amount of approximately $3.6 million, which was recorded as marketing expenses in our consolidated statements of operations.</w:t>
      </w:r>
    </w:p>
    <w:p>
      <w:pPr>
        <w:spacing w:after="0" w:line="148"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 xml:space="preserve">Beginning on March 4, 2020, putative class actions were filed against RHM, RHF, and RHS in state and federal district courts relating to the March 2020 Outages. All but one of the cases have been consolidated as </w:t>
      </w:r>
      <w:r>
        <w:rPr>
          <w:rFonts w:ascii="Arial" w:cs="Arial" w:eastAsia="Arial" w:hAnsi="Arial"/>
          <w:sz w:val="16"/>
          <w:szCs w:val="16"/>
          <w:i w:val="1"/>
          <w:iCs w:val="1"/>
          <w:color w:val="auto"/>
        </w:rPr>
        <w:t>In re Robinhood Outage Litigation</w:t>
      </w:r>
      <w:r>
        <w:rPr>
          <w:rFonts w:ascii="Arial" w:cs="Arial" w:eastAsia="Arial" w:hAnsi="Arial"/>
          <w:sz w:val="16"/>
          <w:szCs w:val="16"/>
          <w:color w:val="auto"/>
        </w:rPr>
        <w:t xml:space="preserve"> in the United States District Court for the Northern District of California. The remaining putative class action, </w:t>
      </w:r>
      <w:r>
        <w:rPr>
          <w:rFonts w:ascii="Arial" w:cs="Arial" w:eastAsia="Arial" w:hAnsi="Arial"/>
          <w:sz w:val="16"/>
          <w:szCs w:val="16"/>
          <w:i w:val="1"/>
          <w:iCs w:val="1"/>
          <w:color w:val="auto"/>
        </w:rPr>
        <w:t>Withouski v. Robinhood Financial LLC et al.</w:t>
      </w:r>
      <w:r>
        <w:rPr>
          <w:rFonts w:ascii="Arial" w:cs="Arial" w:eastAsia="Arial" w:hAnsi="Arial"/>
          <w:sz w:val="16"/>
          <w:szCs w:val="16"/>
          <w:color w:val="auto"/>
        </w:rPr>
        <w:t>, pending in the Superior Court of the State of California, County of San Mateo, has been stayed by agreement of the parties. The lawsuits generally allege that putative class members were unable to execute trades during the March 2020 Outages because our platform was inadequately designed to handle customer demand and RHM, RHF, and RHS failed to implement appropriate backup systems. The lawsuits include, among other things, claims for breach of contract, negligence, gross negligence, breach of fiduciary duty, unjust enrichment, and violations of certain California consumer protection statutes. The lawsuits generally seek damages, restitution, and/or disgorgement, as well as declaratory and injunctive relief. On February 18, 2021, the court denied our motion to dismiss RHF and RHS but dismissed RHM from the case with leave to amend. The court also denied our motion to strike the class allegations, and ordered the parties to select a mediator within 14 days. A mediation is scheduled for June 22. 2021. Meanwhile, fact discovery is underway and is scheduled to be completed by April 7, 2021.</w:t>
      </w:r>
    </w:p>
    <w:p>
      <w:pPr>
        <w:spacing w:after="0" w:line="15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In addition, the SEC staff is conducting an examination, and FINRA and certain state regulatory authorities are conducting investigations, regarding the March 2020 Outages and related procedures. RHF and RHS are cooperating with requests from these regulators.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Options Trading and Related Customer Communications and Displays</w:t>
      </w:r>
    </w:p>
    <w:p>
      <w:pPr>
        <w:spacing w:after="0" w:line="179" w:lineRule="exact"/>
        <w:rPr>
          <w:sz w:val="20"/>
          <w:szCs w:val="20"/>
          <w:color w:val="auto"/>
        </w:rPr>
      </w:pPr>
    </w:p>
    <w:p>
      <w:pPr>
        <w:jc w:val="both"/>
        <w:ind w:firstLine="287"/>
        <w:spacing w:after="0" w:line="279" w:lineRule="auto"/>
        <w:rPr>
          <w:sz w:val="20"/>
          <w:szCs w:val="20"/>
          <w:color w:val="auto"/>
        </w:rPr>
      </w:pPr>
      <w:r>
        <w:rPr>
          <w:rFonts w:ascii="Arial" w:cs="Arial" w:eastAsia="Arial" w:hAnsi="Arial"/>
          <w:sz w:val="15"/>
          <w:szCs w:val="15"/>
          <w:color w:val="auto"/>
        </w:rPr>
        <w:t>The SEC staff is conducting an examination, and FINRA and certain state regulatory authorities are conducting investigations, regarding RHF’s options trading and related customer communications and displays. The SEC staff, FINRA staff and staff of such state regulatory authorities are reviewing, among other things, how RHF displays cash and buying power to customers and its options trading approval processes. RHF is cooperating with the regulators’ requests.</w:t>
      </w:r>
    </w:p>
    <w:p>
      <w:pPr>
        <w:spacing w:after="0" w:line="127"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On February 8, 2021, the family of Alexander Kearns, a Robinhood customer who traded options, filed a lawsuit in the Superior Court of the State of California, County of Santa Clara, against RHF, RHS, and RHM in connection with Mr. Kearns’s death by suicide in June 2020. The lawsuit asserts claims for wrongful death, negligent infliction of emotional distress, and unfair business practices under a California statute, and seeks damages and other relief.</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Potential Resolution of FINRA Matters</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RHF and RHS are currently engaged in discussions with FINRA staff regarding a possible negotiated resolution of certain FINRA matters, including the March 2020 Outages and options trading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260"/>
          </w:cols>
          <w:pgMar w:left="320" w:top="1285" w:right="319" w:bottom="1440" w:gutter="0" w:footer="0" w:header="0"/>
        </w:sectPr>
      </w:pPr>
    </w:p>
    <w:bookmarkStart w:id="355" w:name="page356"/>
    <w:bookmarkEnd w:id="355"/>
    <w:p>
      <w:pPr>
        <w:jc w:val="both"/>
        <w:ind w:right="20"/>
        <w:spacing w:after="0" w:line="252" w:lineRule="auto"/>
        <w:rPr>
          <w:sz w:val="20"/>
          <w:szCs w:val="20"/>
          <w:color w:val="auto"/>
        </w:rPr>
      </w:pPr>
      <w:r>
        <w:rPr>
          <w:rFonts w:ascii="Arial" w:cs="Arial" w:eastAsia="Arial" w:hAnsi="Arial"/>
          <w:sz w:val="16"/>
          <w:szCs w:val="16"/>
          <w:color w:val="auto"/>
        </w:rPr>
        <w:t>customer communications and displays noted above. While these discussions are ongoing, RHF and RHS anticipate that any resolution, if reached, would involve charges of violations of FINRA rules, a fine, customer restitution, a censure, and a compliance consultant. We have recorded a charge as general and administrative expenses in our consolidated statements of operations for the year ended December 31, 2020 of $26.6 million representing the bottom of the range of our probable losses as no amount within the range is considered a better estimate than any other amount and estimation of any additional loss in excess of the amount of the loss accrued cannot be made. We cannot predict, however, whether these discussions will result in a resolution of these matters.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Robinhood Crypto Anti-Money Laundering and Cyber-Related Issues</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On July 24, 2020, the New York State Department of Financial Services (“NYDFS”) issued a report of its examination of RHC citing a number of “matters requiring attention” focused primarily on anti-money laundering and cybersecurity-related issues. The matter was subsequently referred to the Department’s Consumer Protection and Financial Enforcement Division, which is investigating the matter. In March 2021, NYDFS informed RHC of certain alleged violations of applicable (i) anti-money laundering and New York Banking Law requirements (Part 417, Part 504 and Banking Law § 44), including the failure to maintain and certify a compliant anti-money laundering program, (ii) notification provisions under RHC’s Supervisory Agreement with NYDFS, and (iii) 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In connection with these allegations, NYDFS has indicated that it plans to seek a monetary penalty, as well as the appointment of an independent consultant. RHC is cooperating with the NYDFS, and we anticipate that any potential resolution would include a monetary penalty component of at least $10 million, which is our best estimate of the bottom of the range for our probable loss in this matter as no amount within the range is considered a better estimate than any other amount and estimation of any additional loss in excess of the amount of the loss accrued cannot be made. We have recorded a charge for such amount under general and administrative expenses in our consolidated statements of operations for the year ended December 31, 2020. We cannot predict, however, whether these discussions will result in a resolution of this matter.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 Takeovers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November 2020, FINRA Enforcement commenced an investigation into RHF concerning account takeovers, or circumstances under which an unauthorized actor successfully logs into a customer account, as well as anti-money laundering and cybersecurity issues. On February 1, 2021, RHF received a document request from the SEC’s Division of Enforcement in connection with its investigation into account takeovers at certain online brokers. Additionally, state regulators, including the NYDFS and the New York Attorney General’s Office have opened inquiries related to account takeovers. RHM, RHF, and RHC are cooperating with these investigations and inquiries.</w:t>
      </w:r>
    </w:p>
    <w:p>
      <w:pPr>
        <w:spacing w:after="0" w:line="157"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On January 8, 2021, a putative class action was filed in California Superior Court (Santa Clara County) against RHF and RHS by Siddharth Mehta, purportedly on behalf of approximately 2,000 Robinhood customers whose accounts were allegedly accessed by unauthorized users from January 1, 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California Consumer Privacy Act. On March 12, 2021, RHF and RHS filed a motion to dismiss the amended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260"/>
          </w:cols>
          <w:pgMar w:left="320" w:top="1286" w:right="319" w:bottom="1440" w:gutter="0" w:footer="0" w:header="0"/>
        </w:sectPr>
      </w:pPr>
    </w:p>
    <w:bookmarkStart w:id="356" w:name="page357"/>
    <w:bookmarkEnd w:id="356"/>
    <w:p>
      <w:pPr>
        <w:spacing w:after="0"/>
        <w:rPr>
          <w:sz w:val="20"/>
          <w:szCs w:val="20"/>
          <w:color w:val="auto"/>
        </w:rPr>
      </w:pPr>
      <w:r>
        <w:rPr>
          <w:rFonts w:ascii="Arial" w:cs="Arial" w:eastAsia="Arial" w:hAnsi="Arial"/>
          <w:sz w:val="16"/>
          <w:szCs w:val="16"/>
          <w:i w:val="1"/>
          <w:iCs w:val="1"/>
          <w:color w:val="auto"/>
        </w:rPr>
        <w:t>Massachusetts Securities Division Complaint</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On December 16, 2020, the Enforcement Section of the Massachusetts Securities Division (the “MSD”) filed an administrative complaint against RHF, which stems from an investigation initiated by the MSD on or around July 21, 2020. The Complaint alleges three counts of Massachusetts securities law violations regarding unethical and dishonest conduct or practices, failure to supervise, and failure to act in accordance with the Massachusetts fiduciary duty standard, which became effective on March 6, 2020 and had an effective enforcement date beginning September 1, 2020. Among other things, MSD alleges that RHF’s product features and marketing strategies, outages, and options trading approval process constitute violations of Massachusetts securities laws. The complaint seeks, among other things, injunctive relief (seeking a permanent cease and desist order), censure, unspecified restitution, unspecified disgorgement, the appointment of an independent consultant, and an unspecified administrative fine. On January 29, 2021, RHF filed an answer to this complaint denying each of the alleged securities law violations, and we are currently engaging in discussions regarding a potential negotiated resolution.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Pinchasov v. Robinhood Financial LLC</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On November 5, 2020, Plaintiff Shterna Pinchasov (“Plaintiff”) filed a putative class action in the Circuit Court of the 11th Judicial Circuit of Florida in and for Miami-Dade County asserting claims of negligence and breach of fiduciary duty based on allegations that RHF failed to prevent customers from using its interface for stocks that were subject to a “T1 Halt,” and seeking damages. Securities exchanges, such as the New York Stock Exchange and the Nasdaq Stock Market, have the authority to halt and delay trading in a security, and a “T1 Halt” (or regulatory halt) may occur pending the release of material news about a company.</w:t>
      </w:r>
    </w:p>
    <w:p>
      <w:pPr>
        <w:spacing w:after="0" w:line="145"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On November 30, 2020, RHF removed this action to the U.S. District Court for the Southern District of Florida pursuant to the Class Action Fairness Act of 2005. On December 21, 2020, RHF filed a motion to dismiss the complaint.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Gordon v. Robinhood Financial LLC</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On October 29, 2019, a putative class action was filed against RHF and RHM in the Superior Court for the State of Washington, County of Spokane. The complaint alleges that RHF and RHM initiated or assisted in the transmission of commercial electronic text messages to Washington State residents without their consent in violation of Washington State law. The action has been removed to the Eastern District of Washington, pursuant to the Class Action Fairness Act of 2005, and the court granted RHM’s motion to dismiss for lack of personal jurisdiction. On January 7, 2020, we filed a motion to dismiss the complaint, which was denied. On January 25, 2021, the court granted the plaintiff’s motion for class certification. A trial date has not been set yet.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NOTE 15: SUBSEQUENT EVENTS</w:t>
      </w:r>
    </w:p>
    <w:p>
      <w:pPr>
        <w:spacing w:after="0" w:line="17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have evaluated events subsequent to the balance sheet date for items requiring recording or disclosure in the consolidated financial statements. The evaluation was performed through March 22, 2021.</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Early 2021 Trading Restrictions</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Beginning on January 28, 2021, due to unprecedented market volatility and related portfolio margin demands imposed on RHS by the clearinghouse National Securities Clearing Corporation, RHS temporarily restricted or limited its customers’ purchase of certain securities, including GameStop Corp. and AMC Entertainment Holdings, Inc., on our platform (“Early 2021 Trading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260"/>
          </w:cols>
          <w:pgMar w:left="320" w:top="1269" w:right="319" w:bottom="1440" w:gutter="0" w:footer="0" w:header="0"/>
        </w:sectPr>
      </w:pPr>
    </w:p>
    <w:bookmarkStart w:id="357" w:name="page358"/>
    <w:bookmarkEnd w:id="357"/>
    <w:p>
      <w:pPr>
        <w:jc w:val="both"/>
        <w:ind w:firstLine="287"/>
        <w:spacing w:after="0" w:line="250" w:lineRule="auto"/>
        <w:rPr>
          <w:sz w:val="20"/>
          <w:szCs w:val="20"/>
          <w:color w:val="auto"/>
        </w:rPr>
      </w:pPr>
      <w:r>
        <w:rPr>
          <w:rFonts w:ascii="Arial" w:cs="Arial" w:eastAsia="Arial" w:hAnsi="Arial"/>
          <w:sz w:val="16"/>
          <w:szCs w:val="16"/>
          <w:color w:val="auto"/>
        </w:rPr>
        <w:t>As of the date the financial statements were available to be issued, we have become aware of approximately 49 putative class actions and three individual actions that have been filed against RHM, RHF, and/or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and/or certain state consumer protection claims based on similar factual allegations. Approximately 18 of the putative class actions also name other broker-dealers and/or market makers as defendants. On February 5, 2021, certain plaintiffs filed a motion before the Judicial Panel on Multidistrict Litigation ("JPML") to transfer and coordinate or consolidate the actions filed in connection with the Early 2021 Trading Restrictions into a multidistrict litigation in the Northern District of California (the "Transfer Motion"). On March 1, 2021, we filed a response to the Transfer Motion, in which we supported transfer and coordination or consolidation of the actions into a multidistrict litigation in either the Northern District of California, or in the alternative, the Middle District of Florida. We believe that the claims in these lawsuits are without merit and intend to defend against them vigorously.</w:t>
      </w:r>
    </w:p>
    <w:p>
      <w:pPr>
        <w:spacing w:after="0" w:line="15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RHM, RHF, RHS and our Co-Founder and CEO, Vladimir Tenev, have received requests for information, and in some cases subpoenas and requests for testimony, related to investigations and examinations of the Early 2021 Trading Restrictions from the United States Attorney’s Office for the Northern District of California ("USAO"), the SEC staff, FINRA, the New York Attorney General’s Office, other state attorneys general offices, and a number of state securities regulators. Also, a related search warrant was executed by the USAO to obtain Mr. Tenev's cell phone. There have also been several inquiries based on specific customer complaints. In addition, we have received information and testimony requests from certain committees and members of the U.S. Congress and Mr. Tenev has provided testimony with respect to the Early 2021 Trading Restrictions. We are cooperating with these investigations and examinations.</w:t>
      </w:r>
    </w:p>
    <w:p>
      <w:pPr>
        <w:spacing w:after="0" w:line="16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Due to the very preliminary nature of all of these proceedings, we are unable at this time to estimate the likelihood or magnitude of any possible losses related to these matters.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Convertible Note and Warrant Financings</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February 2021, we issued two tranches of convertible notes, consisting of $2.53 billion aggregate principal amount of Tranche I convertible notes and $1.02 billion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In addition, we granted to each purchaser of the Tranche I convertible notes a warrant to purchase a number of shares of equity securities equal to 15% of the aggregate proceeds invested by such purchaser in the Tranche I convertible notes (i.e., $379.8 million in aggregate maximum purchase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260"/>
          </w:cols>
          <w:pgMar w:left="320" w:top="1285" w:right="319" w:bottom="1440" w:gutter="0" w:footer="0" w:header="0"/>
        </w:sectPr>
      </w:pPr>
    </w:p>
    <w:bookmarkStart w:id="358" w:name="page359"/>
    <w:bookmarkEnd w:id="358"/>
    <w:p>
      <w:pPr>
        <w:jc w:val="center"/>
        <w:ind w:right="20"/>
        <w:spacing w:after="0"/>
        <w:rPr>
          <w:sz w:val="20"/>
          <w:szCs w:val="20"/>
          <w:color w:val="auto"/>
        </w:rPr>
      </w:pPr>
      <w:r>
        <w:rPr>
          <w:rFonts w:ascii="Arial" w:cs="Arial" w:eastAsia="Arial" w:hAnsi="Arial"/>
          <w:sz w:val="16"/>
          <w:szCs w:val="16"/>
          <w:b w:val="1"/>
          <w:bCs w:val="1"/>
          <w:color w:val="auto"/>
        </w:rPr>
        <w:t>ROBINHOOD MARKETS,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4"/>
                <w:szCs w:val="14"/>
                <w:color w:val="auto"/>
              </w:rPr>
            </w:pPr>
          </w:p>
        </w:tc>
        <w:tc>
          <w:tcPr>
            <w:tcW w:w="1280" w:type="dxa"/>
            <w:vAlign w:val="bottom"/>
          </w:tcPr>
          <w:p>
            <w:pPr>
              <w:jc w:val="right"/>
              <w:ind w:right="421"/>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9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except share and per share data)</w:t>
            </w:r>
          </w:p>
        </w:tc>
        <w:tc>
          <w:tcPr>
            <w:tcW w:w="24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1,402,629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4,794,546</w:t>
            </w: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4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4,914,660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3,049,583</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Receivables from brokers, dealers and clearing organizations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124,501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175,493</w:t>
            </w: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Receivables from users, net</w:t>
            </w:r>
          </w:p>
        </w:tc>
        <w:tc>
          <w:tcPr>
            <w:tcW w:w="24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3,354,142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5,367,042</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Deposits with clearing organizations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225,514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322,843</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851,138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1,257,741</w:t>
            </w:r>
          </w:p>
        </w:tc>
        <w:tc>
          <w:tcPr>
            <w:tcW w:w="0" w:type="dxa"/>
            <w:vAlign w:val="bottom"/>
          </w:tcPr>
          <w:p>
            <w:pPr>
              <w:spacing w:after="0"/>
              <w:rPr>
                <w:sz w:val="1"/>
                <w:szCs w:val="1"/>
                <w:color w:val="auto"/>
              </w:rPr>
            </w:pPr>
          </w:p>
        </w:tc>
      </w:tr>
      <w:tr>
        <w:trPr>
          <w:trHeight w:val="195"/>
        </w:trPr>
        <w:tc>
          <w:tcPr>
            <w:tcW w:w="80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10,872,584</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14,967,248</w:t>
            </w:r>
          </w:p>
        </w:tc>
        <w:tc>
          <w:tcPr>
            <w:tcW w:w="0" w:type="dxa"/>
            <w:vAlign w:val="bottom"/>
          </w:tcPr>
          <w:p>
            <w:pPr>
              <w:spacing w:after="0"/>
              <w:rPr>
                <w:sz w:val="1"/>
                <w:szCs w:val="1"/>
                <w:color w:val="auto"/>
              </w:rPr>
            </w:pPr>
          </w:p>
        </w:tc>
      </w:tr>
      <w:tr>
        <w:trPr>
          <w:trHeight w:val="195"/>
        </w:trPr>
        <w:tc>
          <w:tcPr>
            <w:tcW w:w="8020" w:type="dxa"/>
            <w:vAlign w:val="bottom"/>
          </w:tcPr>
          <w:p>
            <w:pPr>
              <w:ind w:left="200"/>
              <w:spacing w:after="0"/>
              <w:rPr>
                <w:sz w:val="20"/>
                <w:szCs w:val="20"/>
                <w:color w:val="auto"/>
              </w:rPr>
            </w:pPr>
            <w:r>
              <w:rPr>
                <w:rFonts w:ascii="Arial" w:cs="Arial" w:eastAsia="Arial" w:hAnsi="Arial"/>
                <w:sz w:val="16"/>
                <w:szCs w:val="16"/>
                <w:color w:val="auto"/>
              </w:rPr>
              <w:t>Property, software and equipment, net</w:t>
            </w:r>
          </w:p>
        </w:tc>
        <w:tc>
          <w:tcPr>
            <w:tcW w:w="240" w:type="dxa"/>
            <w:vAlign w:val="bottom"/>
          </w:tcPr>
          <w:p>
            <w:pPr>
              <w:spacing w:after="0"/>
              <w:rPr>
                <w:sz w:val="16"/>
                <w:szCs w:val="16"/>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45,834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54,223</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7,364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9,773</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Non-current assets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62,692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73,249</w:t>
            </w:r>
          </w:p>
        </w:tc>
        <w:tc>
          <w:tcPr>
            <w:tcW w:w="0" w:type="dxa"/>
            <w:vAlign w:val="bottom"/>
          </w:tcPr>
          <w:p>
            <w:pPr>
              <w:spacing w:after="0"/>
              <w:rPr>
                <w:sz w:val="1"/>
                <w:szCs w:val="1"/>
                <w:color w:val="auto"/>
              </w:rPr>
            </w:pPr>
          </w:p>
        </w:tc>
      </w:tr>
      <w:tr>
        <w:trPr>
          <w:trHeight w:val="220"/>
        </w:trPr>
        <w:tc>
          <w:tcPr>
            <w:tcW w:w="8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10,988,474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15,104,493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mezzanine equity and stockholders’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104,649</w:t>
            </w:r>
          </w:p>
        </w:tc>
        <w:tc>
          <w:tcPr>
            <w:tcW w:w="80" w:type="dxa"/>
            <w:vAlign w:val="bottom"/>
          </w:tcPr>
          <w:p>
            <w:pPr>
              <w:spacing w:after="0"/>
              <w:rPr>
                <w:sz w:val="17"/>
                <w:szCs w:val="17"/>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231,222</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Payables to users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5,897,242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5,840,835</w:t>
            </w: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Securities loaned</w:t>
            </w:r>
          </w:p>
        </w:tc>
        <w:tc>
          <w:tcPr>
            <w:tcW w:w="24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1,921,118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2,031,134</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893,036</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1,205,745</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8,816,045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9,308,936</w:t>
            </w:r>
          </w:p>
        </w:tc>
        <w:tc>
          <w:tcPr>
            <w:tcW w:w="0" w:type="dxa"/>
            <w:vAlign w:val="bottom"/>
          </w:tcPr>
          <w:p>
            <w:pPr>
              <w:spacing w:after="0"/>
              <w:rPr>
                <w:sz w:val="1"/>
                <w:szCs w:val="1"/>
                <w:color w:val="auto"/>
              </w:rPr>
            </w:pPr>
          </w:p>
        </w:tc>
      </w:tr>
      <w:tr>
        <w:trPr>
          <w:trHeight w:val="195"/>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Convertible notes</w:t>
            </w:r>
          </w:p>
        </w:tc>
        <w:tc>
          <w:tcPr>
            <w:tcW w:w="2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4,675,082</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48,012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425,922</w:t>
            </w:r>
          </w:p>
        </w:tc>
        <w:tc>
          <w:tcPr>
            <w:tcW w:w="0" w:type="dxa"/>
            <w:vAlign w:val="bottom"/>
          </w:tcPr>
          <w:p>
            <w:pPr>
              <w:spacing w:after="0"/>
              <w:rPr>
                <w:sz w:val="1"/>
                <w:szCs w:val="1"/>
                <w:color w:val="auto"/>
              </w:rPr>
            </w:pPr>
          </w:p>
        </w:tc>
      </w:tr>
      <w:tr>
        <w:trPr>
          <w:trHeight w:val="195"/>
        </w:trPr>
        <w:tc>
          <w:tcPr>
            <w:tcW w:w="80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8,864,057</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14,409,940</w:t>
            </w: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6"/>
                <w:szCs w:val="16"/>
                <w:color w:val="auto"/>
              </w:rPr>
              <w:t>Commitments and contingencies (Note 14)</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Mezzanine equity</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020" w:type="dxa"/>
            <w:vAlign w:val="bottom"/>
          </w:tcPr>
          <w:p>
            <w:pPr>
              <w:ind w:left="260"/>
              <w:spacing w:after="0" w:line="167" w:lineRule="exact"/>
              <w:rPr>
                <w:sz w:val="20"/>
                <w:szCs w:val="20"/>
                <w:color w:val="auto"/>
              </w:rPr>
            </w:pPr>
            <w:r>
              <w:rPr>
                <w:rFonts w:ascii="Arial" w:cs="Arial" w:eastAsia="Arial" w:hAnsi="Arial"/>
                <w:sz w:val="16"/>
                <w:szCs w:val="16"/>
                <w:color w:val="auto"/>
              </w:rPr>
              <w:t>Redeemable convertible preferred stock, $0.0001 par value. 414,033,220 and 658,311,424 authorized at</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20" w:type="dxa"/>
            <w:vAlign w:val="bottom"/>
          </w:tcPr>
          <w:p>
            <w:pPr>
              <w:ind w:left="400"/>
              <w:spacing w:after="0" w:line="155" w:lineRule="exact"/>
              <w:rPr>
                <w:sz w:val="20"/>
                <w:szCs w:val="20"/>
                <w:color w:val="auto"/>
              </w:rPr>
            </w:pPr>
            <w:r>
              <w:rPr>
                <w:rFonts w:ascii="Arial" w:cs="Arial" w:eastAsia="Arial" w:hAnsi="Arial"/>
                <w:sz w:val="16"/>
                <w:szCs w:val="16"/>
                <w:color w:val="auto"/>
              </w:rPr>
              <w:t>December 31, 2020 and March 31, 2021. 412,742,897 issued and outstanding at December 31, 2020 and</w:t>
            </w: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20" w:type="dxa"/>
            <w:vAlign w:val="bottom"/>
          </w:tcPr>
          <w:p>
            <w:pPr>
              <w:ind w:left="400"/>
              <w:spacing w:after="0"/>
              <w:rPr>
                <w:sz w:val="20"/>
                <w:szCs w:val="20"/>
                <w:color w:val="auto"/>
              </w:rPr>
            </w:pPr>
            <w:r>
              <w:rPr>
                <w:rFonts w:ascii="Arial" w:cs="Arial" w:eastAsia="Arial" w:hAnsi="Arial"/>
                <w:sz w:val="16"/>
                <w:szCs w:val="16"/>
                <w:color w:val="auto"/>
              </w:rPr>
              <w:t>March 31, 2021. Liquidation preference of $2,191,086 at December 31, 2020 and March 31, 2021.</w:t>
            </w:r>
          </w:p>
        </w:tc>
        <w:tc>
          <w:tcPr>
            <w:tcW w:w="240" w:type="dxa"/>
            <w:vAlign w:val="bottom"/>
          </w:tcPr>
          <w:p>
            <w:pPr>
              <w:spacing w:after="0"/>
              <w:rPr>
                <w:sz w:val="16"/>
                <w:szCs w:val="16"/>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2,179,739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2,179,739</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020" w:type="dxa"/>
            <w:vAlign w:val="bottom"/>
          </w:tcPr>
          <w:p>
            <w:pPr>
              <w:ind w:left="200"/>
              <w:spacing w:after="0" w:line="167" w:lineRule="exact"/>
              <w:rPr>
                <w:sz w:val="20"/>
                <w:szCs w:val="20"/>
                <w:color w:val="auto"/>
              </w:rPr>
            </w:pPr>
            <w:r>
              <w:rPr>
                <w:rFonts w:ascii="Arial" w:cs="Arial" w:eastAsia="Arial" w:hAnsi="Arial"/>
                <w:sz w:val="16"/>
                <w:szCs w:val="16"/>
                <w:color w:val="auto"/>
              </w:rPr>
              <w:t>Common stock, $0.0001 par value, 777,354,000 shares authorized at December 31, 2020 and March 31,</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20" w:type="dxa"/>
            <w:vAlign w:val="bottom"/>
          </w:tcPr>
          <w:p>
            <w:pPr>
              <w:ind w:left="340"/>
              <w:spacing w:after="0" w:line="155" w:lineRule="exact"/>
              <w:rPr>
                <w:sz w:val="20"/>
                <w:szCs w:val="20"/>
                <w:color w:val="auto"/>
              </w:rPr>
            </w:pPr>
            <w:r>
              <w:rPr>
                <w:rFonts w:ascii="Arial" w:cs="Arial" w:eastAsia="Arial" w:hAnsi="Arial"/>
                <w:sz w:val="16"/>
                <w:szCs w:val="16"/>
                <w:color w:val="auto"/>
              </w:rPr>
              <w:t>2021. 229,031,546 and 232,257,374 shares issued and outstanding at December 31, 2020 and March 31,</w:t>
            </w: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20" w:type="dxa"/>
            <w:vAlign w:val="bottom"/>
          </w:tcPr>
          <w:p>
            <w:pPr>
              <w:ind w:left="340"/>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16"/>
                <w:szCs w:val="16"/>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134,307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149,217</w:t>
            </w: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473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(190,103)</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(1,634,906)</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Total stockholders’ deficit</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(1,485,186)</w:t>
            </w:r>
          </w:p>
        </w:tc>
        <w:tc>
          <w:tcPr>
            <w:tcW w:w="0" w:type="dxa"/>
            <w:vAlign w:val="bottom"/>
          </w:tcPr>
          <w:p>
            <w:pPr>
              <w:spacing w:after="0"/>
              <w:rPr>
                <w:sz w:val="1"/>
                <w:szCs w:val="1"/>
                <w:color w:val="auto"/>
              </w:rPr>
            </w:pPr>
          </w:p>
        </w:tc>
      </w:tr>
      <w:tr>
        <w:trPr>
          <w:trHeight w:val="220"/>
        </w:trPr>
        <w:tc>
          <w:tcPr>
            <w:tcW w:w="8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Total liabilities, mezzanine equity and stockholders’ deficit</w:t>
            </w: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10,988,474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15,104,493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260"/>
          </w:cols>
          <w:pgMar w:left="320" w:top="120" w:right="319" w:bottom="1440" w:gutter="0" w:footer="0" w:header="0"/>
        </w:sectPr>
      </w:pPr>
    </w:p>
    <w:bookmarkStart w:id="359" w:name="page360"/>
    <w:bookmarkEnd w:id="359"/>
    <w:p>
      <w:pPr>
        <w:jc w:val="center"/>
        <w:ind w:right="20"/>
        <w:spacing w:after="0"/>
        <w:rPr>
          <w:sz w:val="20"/>
          <w:szCs w:val="20"/>
          <w:color w:val="auto"/>
        </w:rPr>
      </w:pPr>
      <w:r>
        <w:rPr>
          <w:rFonts w:ascii="Arial" w:cs="Arial" w:eastAsia="Arial" w:hAnsi="Arial"/>
          <w:sz w:val="16"/>
          <w:szCs w:val="16"/>
          <w:b w:val="1"/>
          <w:bCs w:val="1"/>
          <w:color w:val="auto"/>
        </w:rPr>
        <w:t>ROBINHOOD MARKETS,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share and per share data)</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Transaction-based revenues</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95,631</w:t>
            </w:r>
          </w:p>
        </w:tc>
        <w:tc>
          <w:tcPr>
            <w:tcW w:w="80" w:type="dxa"/>
            <w:vAlign w:val="bottom"/>
          </w:tcPr>
          <w:p>
            <w:pPr>
              <w:spacing w:after="0"/>
              <w:rPr>
                <w:sz w:val="17"/>
                <w:szCs w:val="17"/>
                <w:color w:val="auto"/>
              </w:rPr>
            </w:pPr>
          </w:p>
        </w:tc>
        <w:tc>
          <w:tcPr>
            <w:tcW w:w="60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420,439</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interest revenues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24,016</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62,497</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revenues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7,903</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39,238</w:t>
            </w:r>
          </w:p>
        </w:tc>
        <w:tc>
          <w:tcPr>
            <w:tcW w:w="0" w:type="dxa"/>
            <w:vAlign w:val="bottom"/>
          </w:tcPr>
          <w:p>
            <w:pPr>
              <w:spacing w:after="0"/>
              <w:rPr>
                <w:sz w:val="1"/>
                <w:szCs w:val="1"/>
                <w:color w:val="auto"/>
              </w:rPr>
            </w:pPr>
          </w:p>
        </w:tc>
      </w:tr>
      <w:tr>
        <w:trPr>
          <w:trHeight w:val="195"/>
        </w:trPr>
        <w:tc>
          <w:tcPr>
            <w:tcW w:w="80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revenues</w:t>
            </w: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127,550</w:t>
            </w: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522,174</w:t>
            </w:r>
          </w:p>
        </w:tc>
        <w:tc>
          <w:tcPr>
            <w:tcW w:w="0" w:type="dxa"/>
            <w:vAlign w:val="bottom"/>
          </w:tcPr>
          <w:p>
            <w:pPr>
              <w:spacing w:after="0"/>
              <w:rPr>
                <w:sz w:val="1"/>
                <w:szCs w:val="1"/>
                <w:color w:val="auto"/>
              </w:rPr>
            </w:pPr>
          </w:p>
        </w:tc>
      </w:tr>
      <w:tr>
        <w:trPr>
          <w:trHeight w:val="207"/>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Brokerage and transaction</w:t>
            </w:r>
          </w:p>
        </w:tc>
        <w:tc>
          <w:tcPr>
            <w:tcW w:w="3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20,404</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41,004</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Technology and development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33,205</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116,858</w:t>
            </w:r>
          </w:p>
        </w:tc>
        <w:tc>
          <w:tcPr>
            <w:tcW w:w="0" w:type="dxa"/>
            <w:vAlign w:val="bottom"/>
          </w:tcPr>
          <w:p>
            <w:pPr>
              <w:spacing w:after="0"/>
              <w:rPr>
                <w:sz w:val="1"/>
                <w:szCs w:val="1"/>
                <w:color w:val="auto"/>
              </w:rPr>
            </w:pPr>
          </w:p>
        </w:tc>
      </w:tr>
      <w:tr>
        <w:trPr>
          <w:trHeight w:val="203"/>
        </w:trPr>
        <w:tc>
          <w:tcPr>
            <w:tcW w:w="802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3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21,813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66,564</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Marketing</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69,922</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102,248</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34,651</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137,114</w:t>
            </w:r>
          </w:p>
        </w:tc>
        <w:tc>
          <w:tcPr>
            <w:tcW w:w="0" w:type="dxa"/>
            <w:vAlign w:val="bottom"/>
          </w:tcPr>
          <w:p>
            <w:pPr>
              <w:spacing w:after="0"/>
              <w:rPr>
                <w:sz w:val="1"/>
                <w:szCs w:val="1"/>
                <w:color w:val="auto"/>
              </w:rPr>
            </w:pPr>
          </w:p>
        </w:tc>
      </w:tr>
      <w:tr>
        <w:trPr>
          <w:trHeight w:val="195"/>
        </w:trPr>
        <w:tc>
          <w:tcPr>
            <w:tcW w:w="80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179,995</w:t>
            </w: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463,788</w:t>
            </w:r>
          </w:p>
        </w:tc>
        <w:tc>
          <w:tcPr>
            <w:tcW w:w="0" w:type="dxa"/>
            <w:vAlign w:val="bottom"/>
          </w:tcPr>
          <w:p>
            <w:pPr>
              <w:spacing w:after="0"/>
              <w:rPr>
                <w:sz w:val="1"/>
                <w:szCs w:val="1"/>
                <w:color w:val="auto"/>
              </w:rPr>
            </w:pPr>
          </w:p>
        </w:tc>
      </w:tr>
      <w:tr>
        <w:trPr>
          <w:trHeight w:val="207"/>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convertible notes and warrant liability</w:t>
            </w: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1,492,269</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(income), net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143</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(52,588)</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(1,433,024)</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11,779</w:t>
            </w:r>
          </w:p>
        </w:tc>
        <w:tc>
          <w:tcPr>
            <w:tcW w:w="0" w:type="dxa"/>
            <w:vAlign w:val="bottom"/>
          </w:tcPr>
          <w:p>
            <w:pPr>
              <w:spacing w:after="0"/>
              <w:rPr>
                <w:sz w:val="1"/>
                <w:szCs w:val="1"/>
                <w:color w:val="auto"/>
              </w:rPr>
            </w:pPr>
          </w:p>
        </w:tc>
      </w:tr>
      <w:tr>
        <w:trPr>
          <w:trHeight w:val="22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(52,502)</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(1,444,803)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20" w:type="dxa"/>
            <w:vAlign w:val="bottom"/>
          </w:tcPr>
          <w:p>
            <w:pPr>
              <w:ind w:left="20"/>
              <w:spacing w:after="0" w:line="171" w:lineRule="exact"/>
              <w:rPr>
                <w:sz w:val="20"/>
                <w:szCs w:val="20"/>
                <w:color w:val="auto"/>
              </w:rPr>
            </w:pPr>
            <w:r>
              <w:rPr>
                <w:rFonts w:ascii="Arial" w:cs="Arial" w:eastAsia="Arial" w:hAnsi="Arial"/>
                <w:sz w:val="16"/>
                <w:szCs w:val="16"/>
                <w:color w:val="auto"/>
              </w:rPr>
              <w:t>Net loss attributable to common stockholders, basic and diluted</w:t>
            </w:r>
          </w:p>
        </w:tc>
        <w:tc>
          <w:tcPr>
            <w:tcW w:w="360" w:type="dxa"/>
            <w:vAlign w:val="bottom"/>
            <w:tcBorders>
              <w:bottom w:val="single" w:sz="8" w:color="auto"/>
            </w:tcBorders>
          </w:tcPr>
          <w:p>
            <w:pPr>
              <w:jc w:val="right"/>
              <w:ind w:right="160"/>
              <w:spacing w:after="0" w:line="17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(52,502)</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00"/>
              <w:spacing w:after="0" w:line="171"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(1,444,803)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line="151" w:lineRule="exact"/>
              <w:rPr>
                <w:sz w:val="20"/>
                <w:szCs w:val="20"/>
                <w:color w:val="auto"/>
              </w:rPr>
            </w:pPr>
            <w:r>
              <w:rPr>
                <w:rFonts w:ascii="Arial" w:cs="Arial" w:eastAsia="Arial" w:hAnsi="Arial"/>
                <w:sz w:val="16"/>
                <w:szCs w:val="16"/>
                <w:color w:val="auto"/>
              </w:rPr>
              <w:t>Weighted-average shares used to compute net loss per share attributable to common stockholders, basic and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0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vMerge w:val="restart"/>
          </w:tcPr>
          <w:p>
            <w:pPr>
              <w:jc w:val="right"/>
              <w:ind w:right="3"/>
              <w:spacing w:after="0"/>
              <w:rPr>
                <w:sz w:val="20"/>
                <w:szCs w:val="20"/>
                <w:color w:val="auto"/>
              </w:rPr>
            </w:pPr>
            <w:r>
              <w:rPr>
                <w:rFonts w:ascii="Arial" w:cs="Arial" w:eastAsia="Arial" w:hAnsi="Arial"/>
                <w:sz w:val="16"/>
                <w:szCs w:val="16"/>
                <w:color w:val="auto"/>
              </w:rPr>
              <w:t>224,780,085</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w w:val="98"/>
              </w:rPr>
              <w:t>230,685,464</w:t>
            </w:r>
          </w:p>
        </w:tc>
        <w:tc>
          <w:tcPr>
            <w:tcW w:w="0" w:type="dxa"/>
            <w:vAlign w:val="bottom"/>
          </w:tcPr>
          <w:p>
            <w:pPr>
              <w:spacing w:after="0"/>
              <w:rPr>
                <w:sz w:val="1"/>
                <w:szCs w:val="1"/>
                <w:color w:val="auto"/>
              </w:rPr>
            </w:pPr>
          </w:p>
        </w:tc>
      </w:tr>
      <w:tr>
        <w:trPr>
          <w:trHeight w:val="168"/>
        </w:trPr>
        <w:tc>
          <w:tcPr>
            <w:tcW w:w="8020" w:type="dxa"/>
            <w:vAlign w:val="bottom"/>
          </w:tcPr>
          <w:p>
            <w:pPr>
              <w:ind w:left="220"/>
              <w:spacing w:after="0" w:line="168" w:lineRule="exact"/>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260"/>
          </w:cols>
          <w:pgMar w:left="320" w:top="118" w:right="319" w:bottom="1440" w:gutter="0" w:footer="0" w:header="0"/>
        </w:sectPr>
      </w:pPr>
    </w:p>
    <w:bookmarkStart w:id="360" w:name="page361"/>
    <w:bookmarkEnd w:id="360"/>
    <w:p>
      <w:pPr>
        <w:jc w:val="center"/>
        <w:ind w:right="20"/>
        <w:spacing w:after="0"/>
        <w:rPr>
          <w:sz w:val="20"/>
          <w:szCs w:val="20"/>
          <w:color w:val="auto"/>
        </w:rPr>
      </w:pPr>
      <w:r>
        <w:rPr>
          <w:rFonts w:ascii="Arial" w:cs="Arial" w:eastAsia="Arial" w:hAnsi="Arial"/>
          <w:sz w:val="16"/>
          <w:szCs w:val="16"/>
          <w:b w:val="1"/>
          <w:bCs w:val="1"/>
          <w:color w:val="auto"/>
        </w:rPr>
        <w:t>ROBINHOOD MARKETS,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960" w:type="dxa"/>
            <w:vAlign w:val="bottom"/>
          </w:tcPr>
          <w:p>
            <w:pPr>
              <w:spacing w:after="0"/>
              <w:rPr>
                <w:sz w:val="13"/>
                <w:szCs w:val="13"/>
                <w:color w:val="auto"/>
              </w:rPr>
            </w:pPr>
          </w:p>
        </w:tc>
      </w:tr>
      <w:tr>
        <w:trPr>
          <w:trHeight w:val="155"/>
        </w:trPr>
        <w:tc>
          <w:tcPr>
            <w:tcW w:w="80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3"/>
                <w:szCs w:val="13"/>
                <w:b w:val="1"/>
                <w:bCs w:val="1"/>
                <w:color w:val="auto"/>
              </w:rPr>
              <w:t>March 31,</w:t>
            </w:r>
          </w:p>
        </w:tc>
        <w:tc>
          <w:tcPr>
            <w:tcW w:w="960" w:type="dxa"/>
            <w:vAlign w:val="bottom"/>
            <w:tcBorders>
              <w:bottom w:val="single" w:sz="8" w:color="auto"/>
            </w:tcBorders>
          </w:tcPr>
          <w:p>
            <w:pPr>
              <w:spacing w:after="0"/>
              <w:rPr>
                <w:sz w:val="13"/>
                <w:szCs w:val="13"/>
                <w:color w:val="auto"/>
              </w:rPr>
            </w:pP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2021</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(52,502)</w:t>
            </w:r>
          </w:p>
        </w:tc>
        <w:tc>
          <w:tcPr>
            <w:tcW w:w="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(1,444,803)</w:t>
            </w:r>
          </w:p>
        </w:tc>
      </w:tr>
      <w:tr>
        <w:trPr>
          <w:trHeight w:val="183"/>
        </w:trPr>
        <w:tc>
          <w:tcPr>
            <w:tcW w:w="80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29</w:t>
            </w:r>
          </w:p>
        </w:tc>
      </w:tr>
      <w:tr>
        <w:trPr>
          <w:trHeight w:val="195"/>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other comprehensive income (loss), net of tax</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29</w:t>
            </w:r>
          </w:p>
        </w:tc>
      </w:tr>
      <w:tr>
        <w:trPr>
          <w:trHeight w:val="22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loss</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(52,634)</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(1,444,774)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260"/>
          </w:cols>
          <w:pgMar w:left="320" w:top="120" w:right="319" w:bottom="1440" w:gutter="0" w:footer="0" w:header="0"/>
        </w:sectPr>
      </w:pPr>
    </w:p>
    <w:bookmarkStart w:id="361" w:name="page362"/>
    <w:bookmarkEnd w:id="361"/>
    <w:p>
      <w:pPr>
        <w:jc w:val="center"/>
        <w:ind w:right="20"/>
        <w:spacing w:after="0"/>
        <w:rPr>
          <w:sz w:val="20"/>
          <w:szCs w:val="20"/>
          <w:color w:val="auto"/>
        </w:rPr>
      </w:pPr>
      <w:r>
        <w:rPr>
          <w:rFonts w:ascii="Arial" w:cs="Arial" w:eastAsia="Arial" w:hAnsi="Arial"/>
          <w:sz w:val="16"/>
          <w:szCs w:val="16"/>
          <w:b w:val="1"/>
          <w:bCs w:val="1"/>
          <w:color w:val="auto"/>
        </w:rPr>
        <w:t>ROBINHOOD MARKETS,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960" w:type="dxa"/>
            <w:vAlign w:val="bottom"/>
          </w:tcPr>
          <w:p>
            <w:pPr>
              <w:spacing w:after="0"/>
              <w:rPr>
                <w:sz w:val="13"/>
                <w:szCs w:val="13"/>
                <w:color w:val="auto"/>
              </w:rPr>
            </w:pPr>
          </w:p>
        </w:tc>
      </w:tr>
      <w:tr>
        <w:trPr>
          <w:trHeight w:val="155"/>
        </w:trPr>
        <w:tc>
          <w:tcPr>
            <w:tcW w:w="80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3"/>
                <w:szCs w:val="13"/>
                <w:b w:val="1"/>
                <w:bCs w:val="1"/>
                <w:color w:val="auto"/>
              </w:rPr>
              <w:t>March 31,</w:t>
            </w:r>
          </w:p>
        </w:tc>
        <w:tc>
          <w:tcPr>
            <w:tcW w:w="960" w:type="dxa"/>
            <w:vAlign w:val="bottom"/>
            <w:tcBorders>
              <w:bottom w:val="single" w:sz="8" w:color="auto"/>
            </w:tcBorders>
          </w:tcPr>
          <w:p>
            <w:pPr>
              <w:spacing w:after="0"/>
              <w:rPr>
                <w:sz w:val="13"/>
                <w:szCs w:val="13"/>
                <w:color w:val="auto"/>
              </w:rPr>
            </w:pP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r>
      <w:tr>
        <w:trPr>
          <w:trHeight w:val="147"/>
        </w:trPr>
        <w:tc>
          <w:tcPr>
            <w:tcW w:w="80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Operating activities:</w:t>
            </w: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Net loss</w:t>
            </w: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(52,502)</w:t>
            </w:r>
          </w:p>
        </w:tc>
        <w:tc>
          <w:tcPr>
            <w:tcW w:w="80" w:type="dxa"/>
            <w:vAlign w:val="bottom"/>
          </w:tcPr>
          <w:p>
            <w:pPr>
              <w:spacing w:after="0"/>
              <w:rPr>
                <w:sz w:val="14"/>
                <w:szCs w:val="14"/>
                <w:color w:val="auto"/>
              </w:rPr>
            </w:pPr>
          </w:p>
        </w:tc>
        <w:tc>
          <w:tcPr>
            <w:tcW w:w="62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(1,444,803)</w:t>
            </w:r>
          </w:p>
        </w:tc>
      </w:tr>
      <w:tr>
        <w:trPr>
          <w:trHeight w:val="167"/>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provided by (used in) operating activities: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1,728</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3,821</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Provision for credit losses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16,403</w:t>
            </w: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Share-based compensation</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2,412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8,996</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Deferred income taxes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Change in fair value of convertible notes and warrant liability</w:t>
            </w:r>
          </w:p>
        </w:tc>
        <w:tc>
          <w:tcPr>
            <w:tcW w:w="36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1,492,269</w:t>
            </w:r>
          </w:p>
        </w:tc>
      </w:tr>
      <w:tr>
        <w:trPr>
          <w:trHeight w:val="167"/>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Segregated securities under federal and other regulations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134,994</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Receivables from brokers, dealers and clearing organizations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(36,776)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(50,992)</w:t>
            </w: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Receivables from users, net</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(37,690)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(2,028,866)</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Deposits with clearing organizations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(145,467)</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(417,596)</w:t>
            </w: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Other current and non-current assets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(16,733)</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(97,329)</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Accounts payable and accrued expenses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23,612</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125,782</w:t>
            </w: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Payables to users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2,450,038</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(56,407)</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Securities loaned</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(69,991)</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110,016</w:t>
            </w:r>
          </w:p>
        </w:tc>
      </w:tr>
      <w:tr>
        <w:trPr>
          <w:trHeight w:val="167"/>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Other current and non-current liabilities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16,276</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321,517</w:t>
            </w:r>
          </w:p>
        </w:tc>
      </w:tr>
      <w:tr>
        <w:trPr>
          <w:trHeight w:val="159"/>
        </w:trPr>
        <w:tc>
          <w:tcPr>
            <w:tcW w:w="80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provided by (used in) operating activities</w:t>
            </w: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2,144,695</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(1,882,196)</w:t>
            </w:r>
          </w:p>
        </w:tc>
      </w:tr>
      <w:tr>
        <w:trPr>
          <w:trHeight w:val="147"/>
        </w:trPr>
        <w:tc>
          <w:tcPr>
            <w:tcW w:w="802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Investing activities:</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of property, software and equipment</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(6,094)</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(9,304)</w:t>
            </w:r>
          </w:p>
        </w:tc>
      </w:tr>
      <w:tr>
        <w:trPr>
          <w:trHeight w:val="167"/>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Capitalization of internally developed software</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(2,344)</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(2,058)</w:t>
            </w:r>
          </w:p>
        </w:tc>
      </w:tr>
      <w:tr>
        <w:trPr>
          <w:trHeight w:val="159"/>
        </w:trPr>
        <w:tc>
          <w:tcPr>
            <w:tcW w:w="80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used in investing activities</w:t>
            </w: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(8,438)</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(11,362)</w:t>
            </w:r>
          </w:p>
        </w:tc>
      </w:tr>
      <w:tr>
        <w:trPr>
          <w:trHeight w:val="147"/>
        </w:trPr>
        <w:tc>
          <w:tcPr>
            <w:tcW w:w="802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Financing activities:</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issuance of convertible notes and warrants</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3,551,975</w:t>
            </w:r>
          </w:p>
        </w:tc>
      </w:tr>
      <w:tr>
        <w:trPr>
          <w:trHeight w:val="167"/>
        </w:trPr>
        <w:tc>
          <w:tcPr>
            <w:tcW w:w="8020" w:type="dxa"/>
            <w:vAlign w:val="bottom"/>
          </w:tcPr>
          <w:p>
            <w:pPr>
              <w:ind w:left="200"/>
              <w:spacing w:after="0"/>
              <w:rPr>
                <w:sz w:val="20"/>
                <w:szCs w:val="20"/>
                <w:color w:val="auto"/>
              </w:rPr>
            </w:pPr>
            <w:r>
              <w:rPr>
                <w:rFonts w:ascii="Arial" w:cs="Arial" w:eastAsia="Arial" w:hAnsi="Arial"/>
                <w:sz w:val="13"/>
                <w:szCs w:val="13"/>
                <w:color w:val="auto"/>
              </w:rPr>
              <w:t>Draws on credit facilities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907,700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1,000,000</w:t>
            </w: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Repayments on credit facilities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(717,700)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r>
      <w:tr>
        <w:trPr>
          <w:trHeight w:val="167"/>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Proceeds from exercise of stock options, net of repurchases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5,797</w:t>
            </w:r>
          </w:p>
        </w:tc>
      </w:tr>
      <w:tr>
        <w:trPr>
          <w:trHeight w:val="159"/>
        </w:trPr>
        <w:tc>
          <w:tcPr>
            <w:tcW w:w="80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provided by financing activities</w:t>
            </w: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190,056</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3,557,772</w:t>
            </w:r>
          </w:p>
        </w:tc>
      </w:tr>
      <w:tr>
        <w:trPr>
          <w:trHeight w:val="159"/>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Effect of foreign exchange rate changes on cash and cash equivalents</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r>
      <w:tr>
        <w:trPr>
          <w:trHeight w:val="159"/>
        </w:trPr>
        <w:tc>
          <w:tcPr>
            <w:tcW w:w="80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increase in cash, cash equivalents, segregated cash and restricted cash</w:t>
            </w: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2,326,181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1,664,243</w:t>
            </w:r>
          </w:p>
        </w:tc>
      </w:tr>
      <w:tr>
        <w:trPr>
          <w:trHeight w:val="16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segregated cash and restricted cash, beginning of the period</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3,069,568</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6,189,659</w:t>
            </w:r>
          </w:p>
        </w:tc>
      </w:tr>
      <w:tr>
        <w:trPr>
          <w:trHeight w:val="18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segregated cash and restricted cash, end of the period</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5,395,749</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7,853,902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35"/>
        </w:trPr>
        <w:tc>
          <w:tcPr>
            <w:tcW w:w="802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 end of the period</w:t>
            </w:r>
          </w:p>
        </w:tc>
        <w:tc>
          <w:tcPr>
            <w:tcW w:w="360" w:type="dxa"/>
            <w:vAlign w:val="bottom"/>
          </w:tcPr>
          <w:p>
            <w:pPr>
              <w:jc w:val="right"/>
              <w:ind w:right="196"/>
              <w:spacing w:after="0" w:line="135" w:lineRule="exact"/>
              <w:rPr>
                <w:sz w:val="20"/>
                <w:szCs w:val="20"/>
                <w:color w:val="auto"/>
              </w:rPr>
            </w:pPr>
            <w:r>
              <w:rPr>
                <w:rFonts w:ascii="Arial" w:cs="Arial" w:eastAsia="Arial" w:hAnsi="Arial"/>
                <w:sz w:val="13"/>
                <w:szCs w:val="13"/>
                <w:color w:val="auto"/>
              </w:rPr>
              <w:t>$</w:t>
            </w:r>
          </w:p>
        </w:tc>
        <w:tc>
          <w:tcPr>
            <w:tcW w:w="1220" w:type="dxa"/>
            <w:vAlign w:val="bottom"/>
          </w:tcPr>
          <w:p>
            <w:pPr>
              <w:jc w:val="right"/>
              <w:spacing w:after="0" w:line="135" w:lineRule="exact"/>
              <w:rPr>
                <w:sz w:val="20"/>
                <w:szCs w:val="20"/>
                <w:color w:val="auto"/>
              </w:rPr>
            </w:pPr>
            <w:r>
              <w:rPr>
                <w:rFonts w:ascii="Arial" w:cs="Arial" w:eastAsia="Arial" w:hAnsi="Arial"/>
                <w:sz w:val="13"/>
                <w:szCs w:val="13"/>
                <w:color w:val="auto"/>
              </w:rPr>
              <w:t>645,082</w:t>
            </w:r>
          </w:p>
        </w:tc>
        <w:tc>
          <w:tcPr>
            <w:tcW w:w="80" w:type="dxa"/>
            <w:vAlign w:val="bottom"/>
          </w:tcPr>
          <w:p>
            <w:pPr>
              <w:spacing w:after="0"/>
              <w:rPr>
                <w:sz w:val="11"/>
                <w:szCs w:val="11"/>
                <w:color w:val="auto"/>
              </w:rPr>
            </w:pPr>
          </w:p>
        </w:tc>
        <w:tc>
          <w:tcPr>
            <w:tcW w:w="620" w:type="dxa"/>
            <w:vAlign w:val="bottom"/>
          </w:tcPr>
          <w:p>
            <w:pPr>
              <w:jc w:val="right"/>
              <w:ind w:right="456"/>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4,794,546</w:t>
            </w:r>
          </w:p>
        </w:tc>
      </w:tr>
      <w:tr>
        <w:trPr>
          <w:trHeight w:val="167"/>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Segregated cash, end of the period</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4,743,303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3,049,583</w:t>
            </w:r>
          </w:p>
        </w:tc>
      </w:tr>
      <w:tr>
        <w:trPr>
          <w:trHeight w:val="16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end of the period</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7,364</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9,773</w:t>
            </w:r>
          </w:p>
        </w:tc>
      </w:tr>
      <w:tr>
        <w:trPr>
          <w:trHeight w:val="159"/>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segregated cash and restricted cash, end of the period</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5,395,749</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7,853,902</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8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paid for interest</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w:t>
            </w:r>
          </w:p>
        </w:tc>
      </w:tr>
      <w:tr>
        <w:trPr>
          <w:trHeight w:val="169"/>
        </w:trPr>
        <w:tc>
          <w:tcPr>
            <w:tcW w:w="8020" w:type="dxa"/>
            <w:vAlign w:val="bottom"/>
          </w:tcPr>
          <w:p>
            <w:pPr>
              <w:ind w:left="200"/>
              <w:spacing w:after="0"/>
              <w:rPr>
                <w:sz w:val="20"/>
                <w:szCs w:val="20"/>
                <w:color w:val="auto"/>
              </w:rPr>
            </w:pPr>
            <w:r>
              <w:rPr>
                <w:rFonts w:ascii="Arial" w:cs="Arial" w:eastAsia="Arial" w:hAnsi="Arial"/>
                <w:sz w:val="13"/>
                <w:szCs w:val="13"/>
                <w:color w:val="auto"/>
              </w:rPr>
              <w:t>Cash paid for income taxes</w:t>
            </w: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62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2,734</w:t>
            </w: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260"/>
          </w:cols>
          <w:pgMar w:left="320" w:top="120" w:right="319" w:bottom="1440" w:gutter="0" w:footer="0" w:header="0"/>
        </w:sectPr>
      </w:pPr>
    </w:p>
    <w:bookmarkStart w:id="362" w:name="page363"/>
    <w:bookmarkEnd w:id="362"/>
    <w:p>
      <w:pPr>
        <w:jc w:val="center"/>
        <w:ind w:right="20"/>
        <w:spacing w:after="0"/>
        <w:rPr>
          <w:sz w:val="20"/>
          <w:szCs w:val="20"/>
          <w:color w:val="auto"/>
        </w:rPr>
      </w:pPr>
      <w:r>
        <w:rPr>
          <w:rFonts w:ascii="Arial" w:cs="Arial" w:eastAsia="Arial" w:hAnsi="Arial"/>
          <w:sz w:val="16"/>
          <w:szCs w:val="16"/>
          <w:b w:val="1"/>
          <w:bCs w:val="1"/>
          <w:color w:val="auto"/>
        </w:rPr>
        <w:t>ROBINHOOD MARKETS,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MEZZANINE EQUITY AND STOCKHOLDERS’ DEFICIT</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00" w:type="dxa"/>
            <w:vAlign w:val="bottom"/>
          </w:tcPr>
          <w:p>
            <w:pPr>
              <w:spacing w:after="0"/>
              <w:rPr>
                <w:sz w:val="14"/>
                <w:szCs w:val="14"/>
                <w:color w:val="auto"/>
              </w:rPr>
            </w:pPr>
          </w:p>
        </w:tc>
        <w:tc>
          <w:tcPr>
            <w:tcW w:w="2140" w:type="dxa"/>
            <w:vAlign w:val="bottom"/>
            <w:tcBorders>
              <w:right w:val="single" w:sz="8" w:color="auto"/>
            </w:tcBorders>
            <w:gridSpan w:val="4"/>
          </w:tcPr>
          <w:p>
            <w:pPr>
              <w:jc w:val="right"/>
              <w:ind w:right="157"/>
              <w:spacing w:after="0"/>
              <w:rPr>
                <w:sz w:val="20"/>
                <w:szCs w:val="20"/>
                <w:color w:val="auto"/>
              </w:rPr>
            </w:pPr>
            <w:r>
              <w:rPr>
                <w:rFonts w:ascii="Arial" w:cs="Arial" w:eastAsia="Arial" w:hAnsi="Arial"/>
                <w:sz w:val="11"/>
                <w:szCs w:val="11"/>
                <w:b w:val="1"/>
                <w:bCs w:val="1"/>
                <w:color w:val="auto"/>
              </w:rPr>
              <w:t>Redeemable convertible preferred</w:t>
            </w:r>
          </w:p>
        </w:tc>
        <w:tc>
          <w:tcPr>
            <w:tcW w:w="60" w:type="dxa"/>
            <w:vAlign w:val="bottom"/>
          </w:tcPr>
          <w:p>
            <w:pPr>
              <w:spacing w:after="0"/>
              <w:rPr>
                <w:sz w:val="14"/>
                <w:szCs w:val="14"/>
                <w:color w:val="auto"/>
              </w:rPr>
            </w:pPr>
          </w:p>
        </w:tc>
        <w:tc>
          <w:tcPr>
            <w:tcW w:w="2140" w:type="dxa"/>
            <w:vAlign w:val="bottom"/>
            <w:gridSpan w:val="5"/>
            <w:vMerge w:val="restart"/>
          </w:tcPr>
          <w:p>
            <w:pPr>
              <w:ind w:left="62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ind w:right="62"/>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1260" w:type="dxa"/>
            <w:vAlign w:val="bottom"/>
            <w:gridSpan w:val="3"/>
          </w:tcPr>
          <w:p>
            <w:pPr>
              <w:jc w:val="right"/>
              <w:ind w:right="36"/>
              <w:spacing w:after="0" w:line="108" w:lineRule="exact"/>
              <w:rPr>
                <w:sz w:val="20"/>
                <w:szCs w:val="20"/>
                <w:color w:val="auto"/>
              </w:rPr>
            </w:pPr>
            <w:r>
              <w:rPr>
                <w:rFonts w:ascii="Arial" w:cs="Arial" w:eastAsia="Arial" w:hAnsi="Arial"/>
                <w:sz w:val="11"/>
                <w:szCs w:val="11"/>
                <w:b w:val="1"/>
                <w:bCs w:val="1"/>
                <w:color w:val="auto"/>
              </w:rPr>
              <w:t>stock</w:t>
            </w:r>
          </w:p>
        </w:tc>
        <w:tc>
          <w:tcPr>
            <w:tcW w:w="8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4"/>
                <w:szCs w:val="4"/>
                <w:b w:val="1"/>
                <w:bCs w:val="1"/>
                <w:color w:val="auto"/>
              </w:rPr>
              <w:t>paid-in</w:t>
            </w:r>
          </w:p>
        </w:tc>
        <w:tc>
          <w:tcPr>
            <w:tcW w:w="80" w:type="dxa"/>
            <w:vAlign w:val="bottom"/>
          </w:tcPr>
          <w:p>
            <w:pPr>
              <w:spacing w:after="0"/>
              <w:rPr>
                <w:sz w:val="4"/>
                <w:szCs w:val="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4"/>
                <w:szCs w:val="4"/>
                <w:b w:val="1"/>
                <w:bCs w:val="1"/>
                <w:color w:val="auto"/>
              </w:rPr>
              <w:t>comprehensive</w:t>
            </w:r>
          </w:p>
        </w:tc>
        <w:tc>
          <w:tcPr>
            <w:tcW w:w="120" w:type="dxa"/>
            <w:vAlign w:val="bottom"/>
          </w:tcPr>
          <w:p>
            <w:pPr>
              <w:spacing w:after="0"/>
              <w:rPr>
                <w:sz w:val="4"/>
                <w:szCs w:val="4"/>
                <w:color w:val="auto"/>
              </w:rPr>
            </w:pPr>
          </w:p>
        </w:tc>
        <w:tc>
          <w:tcPr>
            <w:tcW w:w="940" w:type="dxa"/>
            <w:vAlign w:val="bottom"/>
            <w:gridSpan w:val="2"/>
          </w:tcPr>
          <w:p>
            <w:pPr>
              <w:ind w:left="20"/>
              <w:spacing w:after="0"/>
              <w:rPr>
                <w:sz w:val="20"/>
                <w:szCs w:val="20"/>
                <w:color w:val="auto"/>
              </w:rPr>
            </w:pPr>
            <w:r>
              <w:rPr>
                <w:rFonts w:ascii="Arial" w:cs="Arial" w:eastAsia="Arial" w:hAnsi="Arial"/>
                <w:sz w:val="4"/>
                <w:szCs w:val="4"/>
                <w:b w:val="1"/>
                <w:bCs w:val="1"/>
                <w:color w:val="auto"/>
              </w:rPr>
              <w:t>Accumulated</w:t>
            </w:r>
          </w:p>
        </w:tc>
        <w:tc>
          <w:tcPr>
            <w:tcW w:w="120" w:type="dxa"/>
            <w:vAlign w:val="bottom"/>
          </w:tcPr>
          <w:p>
            <w:pPr>
              <w:spacing w:after="0"/>
              <w:rPr>
                <w:sz w:val="4"/>
                <w:szCs w:val="4"/>
                <w:color w:val="auto"/>
              </w:rPr>
            </w:pPr>
          </w:p>
        </w:tc>
        <w:tc>
          <w:tcPr>
            <w:tcW w:w="900" w:type="dxa"/>
            <w:vAlign w:val="bottom"/>
          </w:tcPr>
          <w:p>
            <w:pPr>
              <w:jc w:val="center"/>
              <w:ind w:right="62"/>
              <w:spacing w:after="0"/>
              <w:rPr>
                <w:sz w:val="20"/>
                <w:szCs w:val="20"/>
                <w:color w:val="auto"/>
              </w:rPr>
            </w:pPr>
            <w:r>
              <w:rPr>
                <w:rFonts w:ascii="Arial" w:cs="Arial" w:eastAsia="Arial" w:hAnsi="Arial"/>
                <w:sz w:val="4"/>
                <w:szCs w:val="4"/>
                <w:b w:val="1"/>
                <w:bCs w:val="1"/>
                <w:color w:val="auto"/>
              </w:rPr>
              <w:t>stockholders’</w:t>
            </w:r>
          </w:p>
        </w:tc>
        <w:tc>
          <w:tcPr>
            <w:tcW w:w="0" w:type="dxa"/>
            <w:vAlign w:val="bottom"/>
          </w:tcPr>
          <w:p>
            <w:pPr>
              <w:spacing w:after="0"/>
              <w:rPr>
                <w:sz w:val="1"/>
                <w:szCs w:val="1"/>
                <w:color w:val="auto"/>
              </w:rPr>
            </w:pPr>
          </w:p>
        </w:tc>
      </w:tr>
      <w:tr>
        <w:trPr>
          <w:trHeight w:val="155"/>
        </w:trPr>
        <w:tc>
          <w:tcPr>
            <w:tcW w:w="2700" w:type="dxa"/>
            <w:vAlign w:val="bottom"/>
          </w:tcPr>
          <w:p>
            <w:pPr>
              <w:ind w:left="20"/>
              <w:spacing w:after="0"/>
              <w:rPr>
                <w:sz w:val="20"/>
                <w:szCs w:val="20"/>
                <w:color w:val="auto"/>
              </w:rPr>
            </w:pPr>
            <w:r>
              <w:rPr>
                <w:rFonts w:ascii="Arial" w:cs="Arial" w:eastAsia="Arial" w:hAnsi="Arial"/>
                <w:sz w:val="11"/>
                <w:szCs w:val="11"/>
                <w:i w:val="1"/>
                <w:iCs w:val="1"/>
                <w:color w:val="auto"/>
              </w:rPr>
              <w:t>(in thousands, except for number of shares)</w:t>
            </w:r>
          </w:p>
        </w:tc>
        <w:tc>
          <w:tcPr>
            <w:tcW w:w="106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3"/>
                <w:szCs w:val="13"/>
                <w:color w:val="auto"/>
              </w:rPr>
            </w:pPr>
          </w:p>
        </w:tc>
        <w:tc>
          <w:tcPr>
            <w:tcW w:w="880" w:type="dxa"/>
            <w:vAlign w:val="bottom"/>
            <w:tcBorders>
              <w:right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1080" w:type="dxa"/>
            <w:vAlign w:val="bottom"/>
            <w:gridSpan w:val="2"/>
          </w:tcPr>
          <w:p>
            <w:pPr>
              <w:ind w:left="3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capital</w:t>
            </w: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income</w:t>
            </w:r>
          </w:p>
        </w:tc>
        <w:tc>
          <w:tcPr>
            <w:tcW w:w="120" w:type="dxa"/>
            <w:vAlign w:val="bottom"/>
          </w:tcPr>
          <w:p>
            <w:pPr>
              <w:spacing w:after="0"/>
              <w:rPr>
                <w:sz w:val="13"/>
                <w:szCs w:val="13"/>
                <w:color w:val="auto"/>
              </w:rPr>
            </w:pPr>
          </w:p>
        </w:tc>
        <w:tc>
          <w:tcPr>
            <w:tcW w:w="940" w:type="dxa"/>
            <w:vAlign w:val="bottom"/>
            <w:gridSpan w:val="2"/>
          </w:tcPr>
          <w:p>
            <w:pPr>
              <w:ind w:left="22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3"/>
                <w:szCs w:val="13"/>
                <w:color w:val="auto"/>
              </w:rPr>
            </w:pPr>
          </w:p>
        </w:tc>
        <w:tc>
          <w:tcPr>
            <w:tcW w:w="900" w:type="dxa"/>
            <w:vAlign w:val="bottom"/>
          </w:tcPr>
          <w:p>
            <w:pPr>
              <w:jc w:val="center"/>
              <w:ind w:right="62"/>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6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321,626,778</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912,411</w:t>
            </w:r>
          </w:p>
        </w:tc>
        <w:tc>
          <w:tcPr>
            <w:tcW w:w="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224,802,545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99,439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189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(196,677)</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(97,048)</w:t>
            </w: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(52,502)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(52,502)</w:t>
            </w:r>
          </w:p>
        </w:tc>
        <w:tc>
          <w:tcPr>
            <w:tcW w:w="0" w:type="dxa"/>
            <w:vAlign w:val="bottom"/>
          </w:tcPr>
          <w:p>
            <w:pPr>
              <w:spacing w:after="0"/>
              <w:rPr>
                <w:sz w:val="1"/>
                <w:szCs w:val="1"/>
                <w:color w:val="auto"/>
              </w:rPr>
            </w:pPr>
          </w:p>
        </w:tc>
      </w:tr>
      <w:tr>
        <w:trPr>
          <w:trHeight w:val="136"/>
        </w:trPr>
        <w:tc>
          <w:tcPr>
            <w:tcW w:w="270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Shares issued in connection with employee</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8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835,055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3"/>
                <w:szCs w:val="13"/>
                <w:color w:val="auto"/>
              </w:rPr>
              <w:t>925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
              <w:spacing w:after="0"/>
              <w:rPr>
                <w:sz w:val="20"/>
                <w:szCs w:val="20"/>
                <w:color w:val="auto"/>
              </w:rPr>
            </w:pPr>
            <w:r>
              <w:rPr>
                <w:rFonts w:ascii="Arial" w:cs="Arial" w:eastAsia="Arial" w:hAnsi="Arial"/>
                <w:sz w:val="13"/>
                <w:szCs w:val="13"/>
                <w:color w:val="auto"/>
              </w:rPr>
              <w:t>925</w:t>
            </w:r>
          </w:p>
        </w:tc>
        <w:tc>
          <w:tcPr>
            <w:tcW w:w="0" w:type="dxa"/>
            <w:vAlign w:val="bottom"/>
          </w:tcPr>
          <w:p>
            <w:pPr>
              <w:spacing w:after="0"/>
              <w:rPr>
                <w:sz w:val="1"/>
                <w:szCs w:val="1"/>
                <w:color w:val="auto"/>
              </w:rPr>
            </w:pPr>
          </w:p>
        </w:tc>
      </w:tr>
      <w:tr>
        <w:trPr>
          <w:trHeight w:val="151"/>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plans</w:t>
            </w:r>
          </w:p>
        </w:tc>
        <w:tc>
          <w:tcPr>
            <w:tcW w:w="106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tcBorders>
              <w:right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Arial" w:cs="Arial" w:eastAsia="Arial" w:hAnsi="Arial"/>
                <w:sz w:val="13"/>
                <w:szCs w:val="13"/>
                <w:color w:val="auto"/>
              </w:rPr>
              <w:t>Vesting of early-exercised stock options</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ind w:right="2"/>
              <w:spacing w:after="0"/>
              <w:rPr>
                <w:sz w:val="20"/>
                <w:szCs w:val="20"/>
                <w:color w:val="auto"/>
              </w:rPr>
            </w:pPr>
            <w:r>
              <w:rPr>
                <w:rFonts w:ascii="Arial" w:cs="Arial" w:eastAsia="Arial" w:hAnsi="Arial"/>
                <w:sz w:val="13"/>
                <w:szCs w:val="13"/>
                <w:color w:val="auto"/>
              </w:rPr>
              <w:t>158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common stock</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w:t>
            </w: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Arial" w:cs="Arial" w:eastAsia="Arial" w:hAnsi="Arial"/>
                <w:sz w:val="13"/>
                <w:szCs w:val="13"/>
                <w:color w:val="auto"/>
              </w:rPr>
              <w:t>Change in other comprehensive income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2,683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2,683</w:t>
            </w:r>
          </w:p>
        </w:tc>
        <w:tc>
          <w:tcPr>
            <w:tcW w:w="0" w:type="dxa"/>
            <w:vAlign w:val="bottom"/>
          </w:tcPr>
          <w:p>
            <w:pPr>
              <w:spacing w:after="0"/>
              <w:rPr>
                <w:sz w:val="1"/>
                <w:szCs w:val="1"/>
                <w:color w:val="auto"/>
              </w:rPr>
            </w:pPr>
          </w:p>
        </w:tc>
      </w:tr>
      <w:tr>
        <w:trPr>
          <w:trHeight w:val="199"/>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321,626,778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912,411</w:t>
            </w:r>
          </w:p>
        </w:tc>
        <w:tc>
          <w:tcPr>
            <w:tcW w:w="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225,567,600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3"/>
                <w:szCs w:val="13"/>
                <w:color w:val="auto"/>
              </w:rPr>
              <w:t>103,205</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(250,054)</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(146,791)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00" w:type="dxa"/>
            <w:vAlign w:val="bottom"/>
          </w:tcPr>
          <w:p>
            <w:pPr>
              <w:spacing w:after="0"/>
              <w:rPr>
                <w:sz w:val="14"/>
                <w:szCs w:val="14"/>
                <w:color w:val="auto"/>
              </w:rPr>
            </w:pPr>
          </w:p>
        </w:tc>
        <w:tc>
          <w:tcPr>
            <w:tcW w:w="2140" w:type="dxa"/>
            <w:vAlign w:val="bottom"/>
            <w:tcBorders>
              <w:right w:val="single" w:sz="8" w:color="auto"/>
            </w:tcBorders>
            <w:gridSpan w:val="4"/>
          </w:tcPr>
          <w:p>
            <w:pPr>
              <w:jc w:val="right"/>
              <w:ind w:right="157"/>
              <w:spacing w:after="0"/>
              <w:rPr>
                <w:sz w:val="20"/>
                <w:szCs w:val="20"/>
                <w:color w:val="auto"/>
              </w:rPr>
            </w:pPr>
            <w:r>
              <w:rPr>
                <w:rFonts w:ascii="Arial" w:cs="Arial" w:eastAsia="Arial" w:hAnsi="Arial"/>
                <w:sz w:val="11"/>
                <w:szCs w:val="11"/>
                <w:b w:val="1"/>
                <w:bCs w:val="1"/>
                <w:color w:val="auto"/>
              </w:rPr>
              <w:t>Redeemable convertible preferred</w:t>
            </w:r>
          </w:p>
        </w:tc>
        <w:tc>
          <w:tcPr>
            <w:tcW w:w="60" w:type="dxa"/>
            <w:vAlign w:val="bottom"/>
          </w:tcPr>
          <w:p>
            <w:pPr>
              <w:spacing w:after="0"/>
              <w:rPr>
                <w:sz w:val="14"/>
                <w:szCs w:val="14"/>
                <w:color w:val="auto"/>
              </w:rPr>
            </w:pPr>
          </w:p>
        </w:tc>
        <w:tc>
          <w:tcPr>
            <w:tcW w:w="1820" w:type="dxa"/>
            <w:vAlign w:val="bottom"/>
            <w:gridSpan w:val="3"/>
            <w:vMerge w:val="restart"/>
          </w:tcPr>
          <w:p>
            <w:pPr>
              <w:jc w:val="right"/>
              <w:ind w:right="319"/>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ind w:right="62"/>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1260" w:type="dxa"/>
            <w:vAlign w:val="bottom"/>
            <w:gridSpan w:val="3"/>
          </w:tcPr>
          <w:p>
            <w:pPr>
              <w:jc w:val="right"/>
              <w:ind w:right="36"/>
              <w:spacing w:after="0" w:line="108" w:lineRule="exact"/>
              <w:rPr>
                <w:sz w:val="20"/>
                <w:szCs w:val="20"/>
                <w:color w:val="auto"/>
              </w:rPr>
            </w:pPr>
            <w:r>
              <w:rPr>
                <w:rFonts w:ascii="Arial" w:cs="Arial" w:eastAsia="Arial" w:hAnsi="Arial"/>
                <w:sz w:val="11"/>
                <w:szCs w:val="11"/>
                <w:b w:val="1"/>
                <w:bCs w:val="1"/>
                <w:color w:val="auto"/>
              </w:rPr>
              <w:t>stock</w:t>
            </w:r>
          </w:p>
        </w:tc>
        <w:tc>
          <w:tcPr>
            <w:tcW w:w="8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4"/>
                <w:szCs w:val="4"/>
                <w:b w:val="1"/>
                <w:bCs w:val="1"/>
                <w:color w:val="auto"/>
              </w:rPr>
              <w:t>paid-in</w:t>
            </w:r>
          </w:p>
        </w:tc>
        <w:tc>
          <w:tcPr>
            <w:tcW w:w="80" w:type="dxa"/>
            <w:vAlign w:val="bottom"/>
          </w:tcPr>
          <w:p>
            <w:pPr>
              <w:spacing w:after="0"/>
              <w:rPr>
                <w:sz w:val="4"/>
                <w:szCs w:val="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4"/>
                <w:szCs w:val="4"/>
                <w:b w:val="1"/>
                <w:bCs w:val="1"/>
                <w:color w:val="auto"/>
              </w:rPr>
              <w:t>comprehensive</w:t>
            </w:r>
          </w:p>
        </w:tc>
        <w:tc>
          <w:tcPr>
            <w:tcW w:w="120" w:type="dxa"/>
            <w:vAlign w:val="bottom"/>
          </w:tcPr>
          <w:p>
            <w:pPr>
              <w:spacing w:after="0"/>
              <w:rPr>
                <w:sz w:val="4"/>
                <w:szCs w:val="4"/>
                <w:color w:val="auto"/>
              </w:rPr>
            </w:pPr>
          </w:p>
        </w:tc>
        <w:tc>
          <w:tcPr>
            <w:tcW w:w="940" w:type="dxa"/>
            <w:vAlign w:val="bottom"/>
            <w:gridSpan w:val="2"/>
          </w:tcPr>
          <w:p>
            <w:pPr>
              <w:ind w:left="20"/>
              <w:spacing w:after="0"/>
              <w:rPr>
                <w:sz w:val="20"/>
                <w:szCs w:val="20"/>
                <w:color w:val="auto"/>
              </w:rPr>
            </w:pPr>
            <w:r>
              <w:rPr>
                <w:rFonts w:ascii="Arial" w:cs="Arial" w:eastAsia="Arial" w:hAnsi="Arial"/>
                <w:sz w:val="4"/>
                <w:szCs w:val="4"/>
                <w:b w:val="1"/>
                <w:bCs w:val="1"/>
                <w:color w:val="auto"/>
              </w:rPr>
              <w:t>Accumulated</w:t>
            </w:r>
          </w:p>
        </w:tc>
        <w:tc>
          <w:tcPr>
            <w:tcW w:w="120" w:type="dxa"/>
            <w:vAlign w:val="bottom"/>
          </w:tcPr>
          <w:p>
            <w:pPr>
              <w:spacing w:after="0"/>
              <w:rPr>
                <w:sz w:val="4"/>
                <w:szCs w:val="4"/>
                <w:color w:val="auto"/>
              </w:rPr>
            </w:pPr>
          </w:p>
        </w:tc>
        <w:tc>
          <w:tcPr>
            <w:tcW w:w="900" w:type="dxa"/>
            <w:vAlign w:val="bottom"/>
          </w:tcPr>
          <w:p>
            <w:pPr>
              <w:jc w:val="center"/>
              <w:ind w:right="62"/>
              <w:spacing w:after="0"/>
              <w:rPr>
                <w:sz w:val="20"/>
                <w:szCs w:val="20"/>
                <w:color w:val="auto"/>
              </w:rPr>
            </w:pPr>
            <w:r>
              <w:rPr>
                <w:rFonts w:ascii="Arial" w:cs="Arial" w:eastAsia="Arial" w:hAnsi="Arial"/>
                <w:sz w:val="4"/>
                <w:szCs w:val="4"/>
                <w:b w:val="1"/>
                <w:bCs w:val="1"/>
                <w:color w:val="auto"/>
              </w:rPr>
              <w:t>stockholders’</w:t>
            </w:r>
          </w:p>
        </w:tc>
        <w:tc>
          <w:tcPr>
            <w:tcW w:w="0" w:type="dxa"/>
            <w:vAlign w:val="bottom"/>
          </w:tcPr>
          <w:p>
            <w:pPr>
              <w:spacing w:after="0"/>
              <w:rPr>
                <w:sz w:val="1"/>
                <w:szCs w:val="1"/>
                <w:color w:val="auto"/>
              </w:rPr>
            </w:pPr>
          </w:p>
        </w:tc>
      </w:tr>
      <w:tr>
        <w:trPr>
          <w:trHeight w:val="155"/>
        </w:trPr>
        <w:tc>
          <w:tcPr>
            <w:tcW w:w="2700" w:type="dxa"/>
            <w:vAlign w:val="bottom"/>
          </w:tcPr>
          <w:p>
            <w:pPr>
              <w:ind w:left="20"/>
              <w:spacing w:after="0"/>
              <w:rPr>
                <w:sz w:val="20"/>
                <w:szCs w:val="20"/>
                <w:color w:val="auto"/>
              </w:rPr>
            </w:pPr>
            <w:r>
              <w:rPr>
                <w:rFonts w:ascii="Arial" w:cs="Arial" w:eastAsia="Arial" w:hAnsi="Arial"/>
                <w:sz w:val="11"/>
                <w:szCs w:val="11"/>
                <w:i w:val="1"/>
                <w:iCs w:val="1"/>
                <w:color w:val="auto"/>
              </w:rPr>
              <w:t>(in thousands, except for number of shares)</w:t>
            </w:r>
          </w:p>
        </w:tc>
        <w:tc>
          <w:tcPr>
            <w:tcW w:w="106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3"/>
                <w:szCs w:val="13"/>
                <w:color w:val="auto"/>
              </w:rPr>
            </w:pPr>
          </w:p>
        </w:tc>
        <w:tc>
          <w:tcPr>
            <w:tcW w:w="880" w:type="dxa"/>
            <w:vAlign w:val="bottom"/>
            <w:tcBorders>
              <w:right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1080" w:type="dxa"/>
            <w:vAlign w:val="bottom"/>
            <w:gridSpan w:val="2"/>
          </w:tcPr>
          <w:p>
            <w:pPr>
              <w:ind w:left="32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capital</w:t>
            </w: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income</w:t>
            </w:r>
          </w:p>
        </w:tc>
        <w:tc>
          <w:tcPr>
            <w:tcW w:w="120" w:type="dxa"/>
            <w:vAlign w:val="bottom"/>
          </w:tcPr>
          <w:p>
            <w:pPr>
              <w:spacing w:after="0"/>
              <w:rPr>
                <w:sz w:val="13"/>
                <w:szCs w:val="13"/>
                <w:color w:val="auto"/>
              </w:rPr>
            </w:pPr>
          </w:p>
        </w:tc>
        <w:tc>
          <w:tcPr>
            <w:tcW w:w="940" w:type="dxa"/>
            <w:vAlign w:val="bottom"/>
            <w:gridSpan w:val="2"/>
          </w:tcPr>
          <w:p>
            <w:pPr>
              <w:ind w:left="22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3"/>
                <w:szCs w:val="13"/>
                <w:color w:val="auto"/>
              </w:rPr>
            </w:pPr>
          </w:p>
        </w:tc>
        <w:tc>
          <w:tcPr>
            <w:tcW w:w="900" w:type="dxa"/>
            <w:vAlign w:val="bottom"/>
          </w:tcPr>
          <w:p>
            <w:pPr>
              <w:jc w:val="center"/>
              <w:ind w:right="62"/>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6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412,742,897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2,179,739</w:t>
            </w:r>
          </w:p>
        </w:tc>
        <w:tc>
          <w:tcPr>
            <w:tcW w:w="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229,031,546</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134,307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473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(190,103)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(55,322)</w:t>
            </w: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(1,444,803)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(1,444,803)</w:t>
            </w:r>
          </w:p>
        </w:tc>
        <w:tc>
          <w:tcPr>
            <w:tcW w:w="0" w:type="dxa"/>
            <w:vAlign w:val="bottom"/>
          </w:tcPr>
          <w:p>
            <w:pPr>
              <w:spacing w:after="0"/>
              <w:rPr>
                <w:sz w:val="1"/>
                <w:szCs w:val="1"/>
                <w:color w:val="auto"/>
              </w:rPr>
            </w:pPr>
          </w:p>
        </w:tc>
      </w:tr>
      <w:tr>
        <w:trPr>
          <w:trHeight w:val="136"/>
        </w:trPr>
        <w:tc>
          <w:tcPr>
            <w:tcW w:w="270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Shares issued in connection with employee</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8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3,225,828</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3"/>
                <w:szCs w:val="13"/>
                <w:color w:val="auto"/>
              </w:rPr>
              <w:t>5,797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
              <w:spacing w:after="0"/>
              <w:rPr>
                <w:sz w:val="20"/>
                <w:szCs w:val="20"/>
                <w:color w:val="auto"/>
              </w:rPr>
            </w:pPr>
            <w:r>
              <w:rPr>
                <w:rFonts w:ascii="Arial" w:cs="Arial" w:eastAsia="Arial" w:hAnsi="Arial"/>
                <w:sz w:val="13"/>
                <w:szCs w:val="13"/>
                <w:color w:val="auto"/>
              </w:rPr>
              <w:t>5,797</w:t>
            </w:r>
          </w:p>
        </w:tc>
        <w:tc>
          <w:tcPr>
            <w:tcW w:w="0" w:type="dxa"/>
            <w:vAlign w:val="bottom"/>
          </w:tcPr>
          <w:p>
            <w:pPr>
              <w:spacing w:after="0"/>
              <w:rPr>
                <w:sz w:val="1"/>
                <w:szCs w:val="1"/>
                <w:color w:val="auto"/>
              </w:rPr>
            </w:pPr>
          </w:p>
        </w:tc>
      </w:tr>
      <w:tr>
        <w:trPr>
          <w:trHeight w:val="151"/>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plans</w:t>
            </w:r>
          </w:p>
        </w:tc>
        <w:tc>
          <w:tcPr>
            <w:tcW w:w="106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tcBorders>
              <w:right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Arial" w:cs="Arial" w:eastAsia="Arial" w:hAnsi="Arial"/>
                <w:sz w:val="13"/>
                <w:szCs w:val="13"/>
                <w:color w:val="auto"/>
              </w:rPr>
              <w:t>Vesting of early-exercised stock options</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ind w:right="2"/>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other comprehensive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ind w:right="2"/>
              <w:spacing w:after="0"/>
              <w:rPr>
                <w:sz w:val="20"/>
                <w:szCs w:val="20"/>
                <w:color w:val="auto"/>
              </w:rPr>
            </w:pPr>
            <w:r>
              <w:rPr>
                <w:rFonts w:ascii="Arial" w:cs="Arial" w:eastAsia="Arial" w:hAnsi="Arial"/>
                <w:sz w:val="13"/>
                <w:szCs w:val="13"/>
                <w:color w:val="auto"/>
              </w:rPr>
              <w:t>9,053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3"/>
                <w:szCs w:val="13"/>
                <w:color w:val="auto"/>
              </w:rPr>
              <w:t>9,053</w:t>
            </w:r>
          </w:p>
        </w:tc>
        <w:tc>
          <w:tcPr>
            <w:tcW w:w="0" w:type="dxa"/>
            <w:vAlign w:val="bottom"/>
          </w:tcPr>
          <w:p>
            <w:pPr>
              <w:spacing w:after="0"/>
              <w:rPr>
                <w:sz w:val="1"/>
                <w:szCs w:val="1"/>
                <w:color w:val="auto"/>
              </w:rPr>
            </w:pPr>
          </w:p>
        </w:tc>
      </w:tr>
      <w:tr>
        <w:trPr>
          <w:trHeight w:val="184"/>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412,742,897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2,179,739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232,257,374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149,217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502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(1,634,906)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(1,485,186)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260"/>
          </w:cols>
          <w:pgMar w:left="320" w:top="120" w:right="319" w:bottom="1440" w:gutter="0" w:footer="0" w:header="0"/>
        </w:sectPr>
      </w:pPr>
    </w:p>
    <w:bookmarkStart w:id="363" w:name="page364"/>
    <w:bookmarkEnd w:id="363"/>
    <w:p>
      <w:pPr>
        <w:jc w:val="center"/>
        <w:spacing w:after="0"/>
        <w:rPr>
          <w:sz w:val="20"/>
          <w:szCs w:val="20"/>
          <w:color w:val="auto"/>
        </w:rPr>
      </w:pPr>
      <w:r>
        <w:rPr>
          <w:rFonts w:ascii="Arial" w:cs="Arial" w:eastAsia="Arial" w:hAnsi="Arial"/>
          <w:sz w:val="16"/>
          <w:szCs w:val="16"/>
          <w:b w:val="1"/>
          <w:bCs w:val="1"/>
          <w:color w:val="auto"/>
        </w:rPr>
        <w:t>ROBINHOOD MARKETS,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NOTE 1: DESCRIPTION OF BUSINESS AND SUMMARY OF SIGNIFICANT ACCOUNTING POLICIES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Robinhood Markets, Inc. (“RHM”, together with its subsidiaries, “Robinhood”, the “Company”, “we”, or “us”) was incorporated in the State of Delaware 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November 22, 2013. Our most significant, wholly-owned subsidiaries are:</w:t>
      </w:r>
    </w:p>
    <w:p>
      <w:pPr>
        <w:spacing w:after="0" w:line="163" w:lineRule="exact"/>
        <w:rPr>
          <w:sz w:val="20"/>
          <w:szCs w:val="20"/>
          <w:color w:val="auto"/>
        </w:rPr>
      </w:pPr>
    </w:p>
    <w:p>
      <w:pPr>
        <w:ind w:left="560" w:hanging="278"/>
        <w:spacing w:after="0"/>
        <w:tabs>
          <w:tab w:leader="none" w:pos="5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Robinhood Financial LLC (“RHF”), a registered introducing broker-dealer;</w:t>
      </w:r>
    </w:p>
    <w:p>
      <w:pPr>
        <w:spacing w:after="0" w:line="174" w:lineRule="exact"/>
        <w:rPr>
          <w:rFonts w:ascii="Arial" w:cs="Arial" w:eastAsia="Arial" w:hAnsi="Arial"/>
          <w:sz w:val="16"/>
          <w:szCs w:val="16"/>
          <w:color w:val="auto"/>
        </w:rPr>
      </w:pPr>
    </w:p>
    <w:p>
      <w:pPr>
        <w:ind w:left="560" w:hanging="278"/>
        <w:spacing w:after="0"/>
        <w:tabs>
          <w:tab w:leader="none" w:pos="5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Robinhood Securities, LLC (“RHS”), a registered clearing broker-dealer; and</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Robinhood Crypto, LLC (“RHC”), provides users the ability to buy and sell cryptocurrencies</w:t>
      </w:r>
    </w:p>
    <w:p>
      <w:pPr>
        <w:spacing w:after="0" w:line="163"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mission is to democratize finance for all. We are building products and services that make it easier for people from all backgrounds to participate in the financial system. Our approach is to build easy-to-use and low cost financial products and services for our users. When we first began operating, we started by offering users the ability to buy and sell equities, and have since expanded our brokerage operations to allow retail investors access to other investment vehicles by offering commission-free trading for both options and cryptocurrencies, in addition to equities. We now offer a variety of services to our users to facilitate their trading experience, including a subscription service, Robinhood Gold, which allows users to access premium features such as enhanced instant access to deposits, professional research, Nasdaq Level II market data and, upon approval, access to margin investing. We have a fractional shares program which allows users to purchase and sell fractions of a share in certain equities, enabling users to place real-time fractional share orders in dollar amounts or share amounts, with purchases rounded to the nearest penny and the ability to purchase as small as 1/1,000,000 of a share. We also have a cash management program which allows users’ uninvested cash balances to earn interest through a cash sweep program with program banks insured by Federal Deposit Insurance Corporation (“FDIC”) and to be used to make purchases and ATM withdrawals through a co-branded debit card with Mastercard® bearing the logo of Robinhood (“Robinhood debit card”).</w:t>
      </w:r>
    </w:p>
    <w:p>
      <w:pPr>
        <w:spacing w:after="0" w:line="16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Acting as the agent of the user, we facilitate the purchase and sale of equities, options and cryptocurrencies through our platform by routing transactions through market makers for trade execution. Upon execution of a trade, users are legally required to purchase equities, options, or cryptocurrencies for cash from the transaction counterparty or to sell equities, options or cryptocurrencies for cash to the transaction counterparty, depending on the transaction. We, acting as agent for our users, are the counterparty to our users in connection with executing trades and we are also the counterparty to the relevant market maker in connection with executing such trades. Acting as agent, we facilitate and confirm trades only when there are binding, matched legal obligations from the user and the market maker on both sides of the trade. Our users have ownership of the securities, including those that collateralize margin loans, and cryptocurrencies transacted on our platform and, as a result, any such securities or cryptocurrencies owned by users are not presented in our condensed consolidated balance sheets. We do not allow users to purchase cryptocurrency on margin. We hold cryptocurrency in custody for our users’ accounts in one or more omnibus cryptocurrency wallets.</w:t>
      </w:r>
    </w:p>
    <w:p>
      <w:pPr>
        <w:spacing w:after="0" w:line="15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In March 2020, the World Health Organization declared the outbreak of the novel coronavirus referred to as “COVID-19” to be a global pandemic. The COVID-19 pandemic has negatively impacted the global economy and caused significant volatility in the financial markets. In response to the pandemic, we have enabled nearly all of our employees to work remotely and have restricted business travel. Throughout the COVID-19 pandemic, we have seen substantial growth in our user base, retention, engagement and trading activity metrics, as well as continued gains and periodic all-time highs achieved by the equity markets generally. During the COVID-19 pandemic, we have seen an increasing interest in personal finance and investing, coupled with low interest rates and a positive market environment, especially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260"/>
          </w:cols>
          <w:pgMar w:left="320" w:top="120" w:right="319" w:bottom="1440" w:gutter="0" w:footer="0" w:header="0"/>
        </w:sectPr>
      </w:pPr>
    </w:p>
    <w:bookmarkStart w:id="364" w:name="page365"/>
    <w:bookmarkEnd w:id="364"/>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U.S. equity markets, that has encouraged an unprecedented number of first-time retail investors to become our customers and begin trading on our platform. At the same time, the COVID-19 pandemic has resulted, in part, in inefficiencies or delays in our business, operational challenges and additional costs related to business continuity initiatives as our workforce has fully transitioned to remote working. The extent of the impact of COVID-19 on our business and financial results will depend largely on future developments, including the duration of the pandemic, actions taken to contain COVID-19 or address its impact, the ability to reintegrate our workforce or of our workforce to adapt to the long-term distributed workforce model (with some employees part- or full-time remote, and others not) we expect to adopt, the impact on capital and financial markets and the related impact on the financial circumstances of our customers, all of which are highly uncertain and cannot be predicted.</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accompanying unaudited condensed consolidated financial statements have been prepared pursuant to the rules and regulations of the Securities and Exchange Commission (the “SEC”) for interim financial reporting. The condensed consolidated financial statements are unaudited, and in our opinion, include all adjustments, consistent of normal recurring adjustments and accruals necessary for a fair presentation of our condensed consolidated balance sheets, statements of operations, statements of comprehensive loss, statements of mezzanine and stockholders' deficit and the statements of cash flows for the periods presented. Operating results for the periods presented are not necessarily indicative of the results that may be expected for the full fiscal year ended December 31, 2021 or any future period. Certain information and footnote disclosures normally included in financial statements prepared in accordance with U.S. generally accepted accounting principles (“U.S. GAAP”) have been omitted in accordance with the rules and regulations of the SEC. These condensed consolidated financial statements should be read in conjunction with the audited annual consolidated financial statements for the year ended December 31, 2020. There have been no material changes in our significant accounting policies as described in our consolidated financial statements included in our audited annual consolidated financial statements for the year ended December 31, 2020, other than the adoption of accounting pronouncements as described below in Note 2 - Recent Accounting Pronouncements. The condensed consolidated financial statements include the accounts of RHM and its wholly-owned subsidiaries. All intercompany balances and transactions have been eliminated.</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preparation of condensed consolidated financial statements in accordance with U.S. GAAP requires management to make estimates and assumptions that affect the reported amounts in the condensed consolidated financial statements and accompanying notes. We base our estimates on historical experience, and other assumptions we believe to be reasonable under the circumstances, which together form the basis for making judgments about the carrying values of assets and liabilities. Assumptions and estimates used in preparing our condensed consolidated financial statements include those related to the determination of allowances for credit losses, the capitalization and estimated useful life of internally developed software, contingent liabilities, useful lives of property and equipment, the incremental borrowing rate used to determine the present value of lease payments, the valuation and recognition of share-based compensation, uncertain tax positions, and the recognition and measurement of current and deferred income tax assets and liabilities. Actual results could differ from these estimates and could have a material adverse effect on our condensed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Deferred offering costs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have capitalized qualified legal, accounting and other direct costs related to our efforts to raise capital through a sale of our common stock in an initial public offering (“IPO”). Deferred offering costs are included in other current assets on the condensed consolidated balance sheets and will be deferred until the completion of the IPO, at which time they will be reclassified to additional paid-in capital as a reduction of the IPO proceeds. If we terminate the planned IPO or there is a significant delay,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260"/>
          </w:cols>
          <w:pgMar w:left="320" w:top="1440" w:right="319" w:bottom="1440" w:gutter="0" w:footer="0" w:header="0"/>
        </w:sectPr>
      </w:pPr>
    </w:p>
    <w:bookmarkStart w:id="365" w:name="page366"/>
    <w:bookmarkEnd w:id="365"/>
    <w:p>
      <w:pPr>
        <w:spacing w:after="0" w:line="1" w:lineRule="exact"/>
        <w:rPr>
          <w:sz w:val="20"/>
          <w:szCs w:val="20"/>
          <w:color w:val="auto"/>
        </w:rPr>
      </w:pPr>
    </w:p>
    <w:p>
      <w:pPr>
        <w:ind w:left="4" w:right="20"/>
        <w:spacing w:after="0" w:line="260" w:lineRule="auto"/>
        <w:rPr>
          <w:sz w:val="20"/>
          <w:szCs w:val="20"/>
          <w:color w:val="auto"/>
        </w:rPr>
      </w:pPr>
      <w:r>
        <w:rPr>
          <w:rFonts w:ascii="Arial" w:cs="Arial" w:eastAsia="Arial" w:hAnsi="Arial"/>
          <w:sz w:val="16"/>
          <w:szCs w:val="16"/>
          <w:color w:val="auto"/>
        </w:rPr>
        <w:t>deferred offering costs will be immediately written off to operating expenses. As of December 30, 2020 and March 31, 2021, $1.3 million and $3.9 million of deferred offering costs were capitalized.</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Concentration of credit risk</w:t>
      </w:r>
    </w:p>
    <w:p>
      <w:pPr>
        <w:spacing w:after="0" w:line="179" w:lineRule="exact"/>
        <w:rPr>
          <w:sz w:val="20"/>
          <w:szCs w:val="20"/>
          <w:color w:val="auto"/>
        </w:rPr>
      </w:pPr>
    </w:p>
    <w:p>
      <w:pPr>
        <w:ind w:left="284"/>
        <w:spacing w:after="0"/>
        <w:rPr>
          <w:sz w:val="20"/>
          <w:szCs w:val="20"/>
          <w:color w:val="auto"/>
        </w:rPr>
      </w:pPr>
      <w:r>
        <w:rPr>
          <w:rFonts w:ascii="Arial" w:cs="Arial" w:eastAsia="Arial" w:hAnsi="Arial"/>
          <w:sz w:val="16"/>
          <w:szCs w:val="16"/>
          <w:color w:val="auto"/>
        </w:rPr>
        <w:t>We had transaction-based revenues from market makers in excess of 10% of total revenues, as follows:</w:t>
      </w:r>
    </w:p>
    <w:p>
      <w:pPr>
        <w:spacing w:after="0" w:line="173" w:lineRule="exact"/>
        <w:rPr>
          <w:sz w:val="20"/>
          <w:szCs w:val="20"/>
          <w:color w:val="auto"/>
        </w:rPr>
      </w:pPr>
    </w:p>
    <w:p>
      <w:pPr>
        <w:jc w:val="center"/>
        <w:ind w:left="7800"/>
        <w:spacing w:after="0"/>
        <w:rPr>
          <w:sz w:val="20"/>
          <w:szCs w:val="20"/>
          <w:color w:val="auto"/>
        </w:rPr>
      </w:pPr>
      <w:r>
        <w:rPr>
          <w:rFonts w:ascii="Arial" w:cs="Arial" w:eastAsia="Arial" w:hAnsi="Arial"/>
          <w:sz w:val="13"/>
          <w:szCs w:val="13"/>
          <w:b w:val="1"/>
          <w:bCs w:val="1"/>
          <w:color w:val="auto"/>
        </w:rPr>
        <w:t>Three Months Ended</w:t>
      </w:r>
    </w:p>
    <w:p>
      <w:pPr>
        <w:jc w:val="center"/>
        <w:ind w:left="7800"/>
        <w:spacing w:after="0"/>
        <w:rPr>
          <w:sz w:val="20"/>
          <w:szCs w:val="20"/>
          <w:color w:val="auto"/>
        </w:rPr>
      </w:pPr>
      <w:r>
        <w:rPr>
          <w:rFonts w:ascii="Arial" w:cs="Arial" w:eastAsia="Arial" w:hAnsi="Arial"/>
          <w:sz w:val="13"/>
          <w:szCs w:val="13"/>
          <w:b w:val="1"/>
          <w:bCs w:val="1"/>
          <w:color w:val="auto"/>
        </w:rPr>
        <w:t>March 31,</w:t>
      </w:r>
    </w:p>
    <w:p>
      <w:pPr>
        <w:spacing w:after="0" w:line="2"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782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3"/>
                <w:szCs w:val="13"/>
                <w:b w:val="1"/>
                <w:bCs w:val="1"/>
                <w:color w:val="auto"/>
              </w:rPr>
              <w:t>2021</w:t>
            </w:r>
          </w:p>
        </w:tc>
      </w:tr>
      <w:tr>
        <w:trPr>
          <w:trHeight w:val="18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 maker:</w:t>
            </w: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03"/>
        </w:trPr>
        <w:tc>
          <w:tcPr>
            <w:tcW w:w="8940" w:type="dxa"/>
            <w:vAlign w:val="bottom"/>
            <w:gridSpan w:val="2"/>
          </w:tcPr>
          <w:p>
            <w:pPr>
              <w:ind w:left="200"/>
              <w:spacing w:after="0"/>
              <w:rPr>
                <w:sz w:val="20"/>
                <w:szCs w:val="20"/>
                <w:color w:val="auto"/>
              </w:rPr>
            </w:pPr>
            <w:r>
              <w:rPr>
                <w:rFonts w:ascii="Arial" w:cs="Arial" w:eastAsia="Arial" w:hAnsi="Arial"/>
                <w:sz w:val="16"/>
                <w:szCs w:val="16"/>
                <w:color w:val="auto"/>
              </w:rPr>
              <w:t>Citadel Securities, LLC</w:t>
            </w:r>
          </w:p>
        </w:tc>
        <w:tc>
          <w:tcPr>
            <w:tcW w:w="54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203"/>
        </w:trPr>
        <w:tc>
          <w:tcPr>
            <w:tcW w:w="8940" w:type="dxa"/>
            <w:vAlign w:val="bottom"/>
            <w:gridSpan w:val="2"/>
            <w:shd w:val="clear" w:color="auto" w:fill="CCEEFF"/>
          </w:tcPr>
          <w:p>
            <w:pPr>
              <w:ind w:left="200"/>
              <w:spacing w:after="0" w:line="204" w:lineRule="exact"/>
              <w:rPr>
                <w:sz w:val="20"/>
                <w:szCs w:val="20"/>
                <w:color w:val="auto"/>
              </w:rPr>
            </w:pPr>
            <w:r>
              <w:rPr>
                <w:rFonts w:ascii="Arial" w:cs="Arial" w:eastAsia="Arial" w:hAnsi="Arial"/>
                <w:sz w:val="16"/>
                <w:szCs w:val="16"/>
                <w:color w:val="auto"/>
              </w:rPr>
              <w:t>Entities affiliated with Susquehanna International Group, LLP</w:t>
            </w:r>
            <w:r>
              <w:rPr>
                <w:rFonts w:ascii="Arial" w:cs="Arial" w:eastAsia="Arial" w:hAnsi="Arial"/>
                <w:sz w:val="20"/>
                <w:szCs w:val="20"/>
                <w:color w:val="auto"/>
                <w:vertAlign w:val="superscript"/>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03"/>
        </w:trPr>
        <w:tc>
          <w:tcPr>
            <w:tcW w:w="8940" w:type="dxa"/>
            <w:vAlign w:val="bottom"/>
            <w:gridSpan w:val="2"/>
          </w:tcPr>
          <w:p>
            <w:pPr>
              <w:ind w:left="200"/>
              <w:spacing w:after="0" w:line="204" w:lineRule="exact"/>
              <w:rPr>
                <w:sz w:val="20"/>
                <w:szCs w:val="20"/>
                <w:color w:val="auto"/>
              </w:rPr>
            </w:pPr>
            <w:r>
              <w:rPr>
                <w:rFonts w:ascii="Arial" w:cs="Arial" w:eastAsia="Arial" w:hAnsi="Arial"/>
                <w:sz w:val="16"/>
                <w:szCs w:val="16"/>
                <w:color w:val="auto"/>
              </w:rPr>
              <w:t>Tai Mo Shan Limited</w:t>
            </w:r>
            <w:r>
              <w:rPr>
                <w:rFonts w:ascii="Arial" w:cs="Arial" w:eastAsia="Arial" w:hAnsi="Arial"/>
                <w:sz w:val="20"/>
                <w:szCs w:val="20"/>
                <w:color w:val="auto"/>
                <w:vertAlign w:val="superscript"/>
              </w:rPr>
              <w:t>(2)</w:t>
            </w:r>
          </w:p>
        </w:tc>
        <w:tc>
          <w:tcPr>
            <w:tcW w:w="54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03"/>
        </w:trPr>
        <w:tc>
          <w:tcPr>
            <w:tcW w:w="8940" w:type="dxa"/>
            <w:vAlign w:val="bottom"/>
            <w:gridSpan w:val="2"/>
            <w:shd w:val="clear" w:color="auto" w:fill="CCEEFF"/>
          </w:tcPr>
          <w:p>
            <w:pPr>
              <w:ind w:left="200"/>
              <w:spacing w:after="0" w:line="204" w:lineRule="exact"/>
              <w:rPr>
                <w:sz w:val="20"/>
                <w:szCs w:val="20"/>
                <w:color w:val="auto"/>
              </w:rPr>
            </w:pPr>
            <w:r>
              <w:rPr>
                <w:rFonts w:ascii="Arial" w:cs="Arial" w:eastAsia="Arial" w:hAnsi="Arial"/>
                <w:sz w:val="16"/>
                <w:szCs w:val="16"/>
                <w:color w:val="auto"/>
              </w:rPr>
              <w:t>Entities affiliated with Wolverine Holdings, L.P.</w:t>
            </w:r>
            <w:r>
              <w:rPr>
                <w:rFonts w:ascii="Arial" w:cs="Arial" w:eastAsia="Arial" w:hAnsi="Arial"/>
                <w:sz w:val="20"/>
                <w:szCs w:val="20"/>
                <w:color w:val="auto"/>
                <w:vertAlign w:val="superscript"/>
              </w:rPr>
              <w:t>(3)</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03"/>
        </w:trPr>
        <w:tc>
          <w:tcPr>
            <w:tcW w:w="78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All others individually less than 10%</w:t>
            </w:r>
          </w:p>
        </w:tc>
        <w:tc>
          <w:tcPr>
            <w:tcW w:w="1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r>
      <w:tr>
        <w:trPr>
          <w:trHeight w:val="215"/>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as percentage of total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________________</w:t>
      </w:r>
    </w:p>
    <w:p>
      <w:pPr>
        <w:ind w:left="284" w:hanging="284"/>
        <w:spacing w:after="0" w:line="230" w:lineRule="auto"/>
        <w:tabs>
          <w:tab w:leader="none" w:pos="284" w:val="left"/>
        </w:tabs>
        <w:numPr>
          <w:ilvl w:val="0"/>
          <w:numId w:val="154"/>
        </w:numPr>
        <w:rPr>
          <w:rFonts w:ascii="Arial" w:cs="Arial" w:eastAsia="Arial" w:hAnsi="Arial"/>
          <w:sz w:val="13"/>
          <w:szCs w:val="13"/>
          <w:color w:val="auto"/>
        </w:rPr>
      </w:pPr>
      <w:r>
        <w:rPr>
          <w:rFonts w:ascii="Arial" w:cs="Arial" w:eastAsia="Arial" w:hAnsi="Arial"/>
          <w:sz w:val="13"/>
          <w:szCs w:val="13"/>
          <w:color w:val="auto"/>
        </w:rPr>
        <w:t>Consists of Global Execution Brokers, LP and G1X Execution Services, LLC</w:t>
      </w:r>
    </w:p>
    <w:p>
      <w:pPr>
        <w:ind w:left="284" w:hanging="284"/>
        <w:spacing w:after="0" w:line="230" w:lineRule="auto"/>
        <w:tabs>
          <w:tab w:leader="none" w:pos="284" w:val="left"/>
        </w:tabs>
        <w:numPr>
          <w:ilvl w:val="0"/>
          <w:numId w:val="154"/>
        </w:numPr>
        <w:rPr>
          <w:rFonts w:ascii="Arial" w:cs="Arial" w:eastAsia="Arial" w:hAnsi="Arial"/>
          <w:sz w:val="13"/>
          <w:szCs w:val="13"/>
          <w:color w:val="auto"/>
        </w:rPr>
      </w:pPr>
      <w:r>
        <w:rPr>
          <w:rFonts w:ascii="Arial" w:cs="Arial" w:eastAsia="Arial" w:hAnsi="Arial"/>
          <w:sz w:val="13"/>
          <w:szCs w:val="13"/>
          <w:color w:val="auto"/>
        </w:rPr>
        <w:t>Member of Jump Trading Group</w:t>
      </w:r>
    </w:p>
    <w:p>
      <w:pPr>
        <w:ind w:left="284" w:hanging="284"/>
        <w:spacing w:after="0"/>
        <w:tabs>
          <w:tab w:leader="none" w:pos="284" w:val="left"/>
        </w:tabs>
        <w:numPr>
          <w:ilvl w:val="0"/>
          <w:numId w:val="154"/>
        </w:numPr>
        <w:rPr>
          <w:rFonts w:ascii="Arial" w:cs="Arial" w:eastAsia="Arial" w:hAnsi="Arial"/>
          <w:sz w:val="13"/>
          <w:szCs w:val="13"/>
          <w:color w:val="auto"/>
        </w:rPr>
      </w:pPr>
      <w:r>
        <w:rPr>
          <w:rFonts w:ascii="Arial" w:cs="Arial" w:eastAsia="Arial" w:hAnsi="Arial"/>
          <w:sz w:val="13"/>
          <w:szCs w:val="13"/>
          <w:color w:val="auto"/>
        </w:rPr>
        <w:t>Consists of Wolverine Execution Services, LLC and Wolverine Securities LLC</w:t>
      </w:r>
    </w:p>
    <w:p>
      <w:pPr>
        <w:spacing w:after="0" w:line="144" w:lineRule="exact"/>
        <w:rPr>
          <w:sz w:val="20"/>
          <w:szCs w:val="20"/>
          <w:color w:val="auto"/>
        </w:rPr>
      </w:pPr>
    </w:p>
    <w:p>
      <w:pPr>
        <w:jc w:val="both"/>
        <w:ind w:left="4" w:right="20" w:firstLine="287"/>
        <w:spacing w:after="0" w:line="254" w:lineRule="auto"/>
        <w:rPr>
          <w:sz w:val="20"/>
          <w:szCs w:val="20"/>
          <w:color w:val="auto"/>
        </w:rPr>
      </w:pPr>
      <w:r>
        <w:rPr>
          <w:rFonts w:ascii="Arial" w:cs="Arial" w:eastAsia="Arial" w:hAnsi="Arial"/>
          <w:sz w:val="16"/>
          <w:szCs w:val="16"/>
          <w:color w:val="auto"/>
        </w:rPr>
        <w:t>We are engaged in various trading and brokerage activities in which the counterparties primarily include broker-dealers, banks, and other financial institutions. In the event our counterparties do not fulfill their obligations, we may be exposed to risk. The risk of default depends on the creditworthiness of the counterparty. It is our policy to review, as necessary, the credit standing of each counterparty.</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22"/>
          <w:szCs w:val="22"/>
          <w:color w:val="auto"/>
        </w:rPr>
        <w:t>NOTE 2: RECENT ACCOUNTING PRONOUNCEMENTS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Recently adopted accounting pronouncements</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Accounting for Convertible Instruments and Contracts in an Entity’s Own Equity</w:t>
      </w:r>
    </w:p>
    <w:p>
      <w:pPr>
        <w:spacing w:after="0" w:line="175" w:lineRule="exact"/>
        <w:rPr>
          <w:sz w:val="20"/>
          <w:szCs w:val="20"/>
          <w:color w:val="auto"/>
        </w:rPr>
      </w:pPr>
    </w:p>
    <w:p>
      <w:pPr>
        <w:jc w:val="both"/>
        <w:ind w:left="4" w:firstLine="287"/>
        <w:spacing w:after="0" w:line="254" w:lineRule="auto"/>
        <w:rPr>
          <w:sz w:val="20"/>
          <w:szCs w:val="20"/>
          <w:color w:val="auto"/>
        </w:rPr>
      </w:pPr>
      <w:r>
        <w:rPr>
          <w:rFonts w:ascii="Arial" w:cs="Arial" w:eastAsia="Arial" w:hAnsi="Arial"/>
          <w:sz w:val="16"/>
          <w:szCs w:val="16"/>
          <w:color w:val="auto"/>
        </w:rPr>
        <w:t xml:space="preserve">In August 2020, the Financial Accounting Standards Board (“FASB”) issued Accounting Standard Update (“ASU”) 2020-06, </w:t>
      </w:r>
      <w:r>
        <w:rPr>
          <w:rFonts w:ascii="Arial" w:cs="Arial" w:eastAsia="Arial" w:hAnsi="Arial"/>
          <w:sz w:val="16"/>
          <w:szCs w:val="16"/>
          <w:i w:val="1"/>
          <w:iCs w:val="1"/>
          <w:color w:val="auto"/>
        </w:rPr>
        <w:t>Debt—Debt with Conversion</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Options and Derivatives and Hedging - Contracts in Entity’s Own Equity</w:t>
      </w:r>
      <w:r>
        <w:rPr>
          <w:rFonts w:ascii="Arial" w:cs="Arial" w:eastAsia="Arial" w:hAnsi="Arial"/>
          <w:sz w:val="16"/>
          <w:szCs w:val="16"/>
          <w:color w:val="auto"/>
        </w:rPr>
        <w:t>. This guidance simplifies the accounting for convertible instruments by</w:t>
      </w:r>
      <w:r>
        <w:rPr>
          <w:rFonts w:ascii="Arial" w:cs="Arial" w:eastAsia="Arial" w:hAnsi="Arial"/>
          <w:sz w:val="16"/>
          <w:szCs w:val="16"/>
          <w:i w:val="1"/>
          <w:iCs w:val="1"/>
          <w:color w:val="auto"/>
        </w:rPr>
        <w:t xml:space="preserve"> </w:t>
      </w:r>
      <w:r>
        <w:rPr>
          <w:rFonts w:ascii="Arial" w:cs="Arial" w:eastAsia="Arial" w:hAnsi="Arial"/>
          <w:sz w:val="16"/>
          <w:szCs w:val="16"/>
          <w:color w:val="auto"/>
        </w:rPr>
        <w:t>reducing the number of accounting models available for convertible debt instruments, amends the accounting guidance for evaluating the classification of certain contracts in an entity’s own equity, and modifies the diluted earnings per share calculations for convertible instruments. The guidance is effective for fiscal years beginning after December 15, 2021, including interim periods within those fiscal years. Early adoption is permitted. We adopted this guidance effective January 1, 2021 using the full retrospective method. The adoption of the guidance did not have a material impact on our condensed consolidated financial statements.</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Recent accounting pronouncements not yet adopted</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Reference Rate Reform</w:t>
      </w:r>
    </w:p>
    <w:p>
      <w:pPr>
        <w:spacing w:after="0" w:line="191" w:lineRule="exact"/>
        <w:rPr>
          <w:sz w:val="20"/>
          <w:szCs w:val="20"/>
          <w:color w:val="auto"/>
        </w:rPr>
      </w:pPr>
    </w:p>
    <w:p>
      <w:pPr>
        <w:jc w:val="both"/>
        <w:ind w:left="4" w:right="20" w:firstLine="287"/>
        <w:spacing w:after="0" w:line="254" w:lineRule="auto"/>
        <w:rPr>
          <w:sz w:val="20"/>
          <w:szCs w:val="20"/>
          <w:color w:val="auto"/>
        </w:rPr>
      </w:pPr>
      <w:r>
        <w:rPr>
          <w:rFonts w:ascii="Arial" w:cs="Arial" w:eastAsia="Arial" w:hAnsi="Arial"/>
          <w:sz w:val="16"/>
          <w:szCs w:val="16"/>
          <w:color w:val="auto"/>
        </w:rPr>
        <w:t>In March 2020, the FASB issued ASU 2020-04, Reference Rate Reform: Facilitation of the Effects of Reference Rate Reform on Financial Reporting, which provides optional expedients and exceptions to contract modifications that reference London Interbank Offered Rate (“LIBOR”) or another reference rate expected to be discontinued. This guidance is effective upon issuance through December 31, 2022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264"/>
          </w:cols>
          <w:pgMar w:left="316" w:top="1440" w:right="319" w:bottom="1440" w:gutter="0" w:footer="0" w:header="0"/>
        </w:sectPr>
      </w:pPr>
    </w:p>
    <w:bookmarkStart w:id="366" w:name="page367"/>
    <w:bookmarkEnd w:id="366"/>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may be applied at the beginning of the interim period that includes March 12, 2020 or any date thereafter. We are evaluating the impact of this guidance on our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NOTE 3: REVENUES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Disaggregation of revenues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our revenue disaggregated by revenue source: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980" w:type="dxa"/>
            <w:vAlign w:val="bottom"/>
          </w:tcPr>
          <w:p>
            <w:pPr>
              <w:spacing w:after="0"/>
              <w:rPr>
                <w:sz w:val="13"/>
                <w:szCs w:val="13"/>
                <w:color w:val="auto"/>
              </w:rPr>
            </w:pPr>
          </w:p>
        </w:tc>
      </w:tr>
      <w:tr>
        <w:trPr>
          <w:trHeight w:val="155"/>
        </w:trPr>
        <w:tc>
          <w:tcPr>
            <w:tcW w:w="80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3"/>
                <w:szCs w:val="13"/>
                <w:b w:val="1"/>
                <w:bCs w:val="1"/>
                <w:color w:val="auto"/>
              </w:rPr>
              <w:t>March 31,</w:t>
            </w:r>
          </w:p>
        </w:tc>
        <w:tc>
          <w:tcPr>
            <w:tcW w:w="980" w:type="dxa"/>
            <w:vAlign w:val="bottom"/>
            <w:tcBorders>
              <w:bottom w:val="single" w:sz="8" w:color="auto"/>
            </w:tcBorders>
          </w:tcPr>
          <w:p>
            <w:pPr>
              <w:spacing w:after="0"/>
              <w:rPr>
                <w:sz w:val="13"/>
                <w:szCs w:val="13"/>
                <w:color w:val="auto"/>
              </w:rPr>
            </w:pPr>
          </w:p>
        </w:tc>
      </w:tr>
      <w:tr>
        <w:trPr>
          <w:trHeight w:val="159"/>
        </w:trPr>
        <w:tc>
          <w:tcPr>
            <w:tcW w:w="8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Pr>
          <w:p>
            <w:pPr>
              <w:spacing w:after="0"/>
              <w:rPr>
                <w:sz w:val="13"/>
                <w:szCs w:val="13"/>
                <w:color w:val="auto"/>
              </w:rPr>
            </w:pPr>
          </w:p>
        </w:tc>
        <w:tc>
          <w:tcPr>
            <w:tcW w:w="1200" w:type="dxa"/>
            <w:vAlign w:val="bottom"/>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jc w:val="right"/>
              <w:ind w:right="561"/>
              <w:spacing w:after="0"/>
              <w:rPr>
                <w:sz w:val="20"/>
                <w:szCs w:val="20"/>
                <w:color w:val="auto"/>
              </w:rPr>
            </w:pPr>
            <w:r>
              <w:rPr>
                <w:rFonts w:ascii="Arial" w:cs="Arial" w:eastAsia="Arial" w:hAnsi="Arial"/>
                <w:sz w:val="13"/>
                <w:szCs w:val="13"/>
                <w:b w:val="1"/>
                <w:bCs w:val="1"/>
                <w:color w:val="auto"/>
              </w:rPr>
              <w:t>2021</w:t>
            </w:r>
          </w:p>
        </w:tc>
      </w:tr>
      <w:tr>
        <w:trPr>
          <w:trHeight w:val="20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Transaction-based revenues: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8000" w:type="dxa"/>
            <w:vAlign w:val="bottom"/>
          </w:tcPr>
          <w:p>
            <w:pPr>
              <w:ind w:left="300"/>
              <w:spacing w:after="0"/>
              <w:rPr>
                <w:sz w:val="20"/>
                <w:szCs w:val="20"/>
                <w:color w:val="auto"/>
              </w:rPr>
            </w:pPr>
            <w:r>
              <w:rPr>
                <w:rFonts w:ascii="Arial" w:cs="Arial" w:eastAsia="Arial" w:hAnsi="Arial"/>
                <w:sz w:val="16"/>
                <w:szCs w:val="16"/>
                <w:color w:val="auto"/>
              </w:rPr>
              <w:t>Options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59,760</w:t>
            </w:r>
          </w:p>
        </w:tc>
        <w:tc>
          <w:tcPr>
            <w:tcW w:w="120" w:type="dxa"/>
            <w:vAlign w:val="bottom"/>
          </w:tcPr>
          <w:p>
            <w:pPr>
              <w:spacing w:after="0"/>
              <w:rPr>
                <w:sz w:val="17"/>
                <w:szCs w:val="17"/>
                <w:color w:val="auto"/>
              </w:rPr>
            </w:pPr>
          </w:p>
        </w:tc>
        <w:tc>
          <w:tcPr>
            <w:tcW w:w="60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197,860</w:t>
            </w:r>
          </w:p>
        </w:tc>
      </w:tr>
      <w:tr>
        <w:trPr>
          <w:trHeight w:val="203"/>
        </w:trPr>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Equities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31,589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133,301</w:t>
            </w:r>
          </w:p>
        </w:tc>
      </w:tr>
      <w:tr>
        <w:trPr>
          <w:trHeight w:val="203"/>
        </w:trPr>
        <w:tc>
          <w:tcPr>
            <w:tcW w:w="8000" w:type="dxa"/>
            <w:vAlign w:val="bottom"/>
          </w:tcPr>
          <w:p>
            <w:pPr>
              <w:ind w:left="300"/>
              <w:spacing w:after="0"/>
              <w:rPr>
                <w:sz w:val="20"/>
                <w:szCs w:val="20"/>
                <w:color w:val="auto"/>
              </w:rPr>
            </w:pPr>
            <w:r>
              <w:rPr>
                <w:rFonts w:ascii="Arial" w:cs="Arial" w:eastAsia="Arial" w:hAnsi="Arial"/>
                <w:sz w:val="16"/>
                <w:szCs w:val="16"/>
                <w:color w:val="auto"/>
              </w:rPr>
              <w:t>Cryptocurrencies</w:t>
            </w:r>
          </w:p>
        </w:tc>
        <w:tc>
          <w:tcPr>
            <w:tcW w:w="36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4,238</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87,587</w:t>
            </w:r>
          </w:p>
        </w:tc>
      </w:tr>
      <w:tr>
        <w:trPr>
          <w:trHeight w:val="203"/>
        </w:trPr>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1,691</w:t>
            </w:r>
          </w:p>
        </w:tc>
      </w:tr>
      <w:tr>
        <w:trPr>
          <w:trHeight w:val="195"/>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transaction-based revenues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95,631</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420,439</w:t>
            </w:r>
          </w:p>
        </w:tc>
      </w:tr>
      <w:tr>
        <w:trPr>
          <w:trHeight w:val="207"/>
        </w:trPr>
        <w:tc>
          <w:tcPr>
            <w:tcW w:w="8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3"/>
        </w:trPr>
        <w:tc>
          <w:tcPr>
            <w:tcW w:w="8000" w:type="dxa"/>
            <w:vAlign w:val="bottom"/>
          </w:tcPr>
          <w:p>
            <w:pPr>
              <w:ind w:left="20"/>
              <w:spacing w:after="0"/>
              <w:rPr>
                <w:sz w:val="20"/>
                <w:szCs w:val="20"/>
                <w:color w:val="auto"/>
              </w:rPr>
            </w:pPr>
            <w:r>
              <w:rPr>
                <w:rFonts w:ascii="Arial" w:cs="Arial" w:eastAsia="Arial" w:hAnsi="Arial"/>
                <w:sz w:val="16"/>
                <w:szCs w:val="16"/>
                <w:color w:val="auto"/>
              </w:rPr>
              <w:t>Net interest revenues: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Securities lending</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6,505</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35,626</w:t>
            </w:r>
          </w:p>
        </w:tc>
      </w:tr>
      <w:tr>
        <w:trPr>
          <w:trHeight w:val="203"/>
        </w:trPr>
        <w:tc>
          <w:tcPr>
            <w:tcW w:w="8000" w:type="dxa"/>
            <w:vAlign w:val="bottom"/>
          </w:tcPr>
          <w:p>
            <w:pPr>
              <w:ind w:left="300"/>
              <w:spacing w:after="0"/>
              <w:rPr>
                <w:sz w:val="20"/>
                <w:szCs w:val="20"/>
                <w:color w:val="auto"/>
              </w:rPr>
            </w:pPr>
            <w:r>
              <w:rPr>
                <w:rFonts w:ascii="Arial" w:cs="Arial" w:eastAsia="Arial" w:hAnsi="Arial"/>
                <w:sz w:val="16"/>
                <w:szCs w:val="16"/>
                <w:color w:val="auto"/>
              </w:rPr>
              <w:t>Margin interest</w:t>
            </w:r>
          </w:p>
        </w:tc>
        <w:tc>
          <w:tcPr>
            <w:tcW w:w="36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7,829</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27,731</w:t>
            </w:r>
          </w:p>
        </w:tc>
      </w:tr>
      <w:tr>
        <w:trPr>
          <w:trHeight w:val="203"/>
        </w:trPr>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on segregated cash and securities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9,196</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1,110</w:t>
            </w:r>
          </w:p>
        </w:tc>
      </w:tr>
      <w:tr>
        <w:trPr>
          <w:trHeight w:val="203"/>
        </w:trPr>
        <w:tc>
          <w:tcPr>
            <w:tcW w:w="8000" w:type="dxa"/>
            <w:vAlign w:val="bottom"/>
          </w:tcPr>
          <w:p>
            <w:pPr>
              <w:ind w:left="300"/>
              <w:spacing w:after="0"/>
              <w:rPr>
                <w:sz w:val="20"/>
                <w:szCs w:val="20"/>
                <w:color w:val="auto"/>
              </w:rPr>
            </w:pPr>
            <w:r>
              <w:rPr>
                <w:rFonts w:ascii="Arial" w:cs="Arial" w:eastAsia="Arial" w:hAnsi="Arial"/>
                <w:sz w:val="16"/>
                <w:szCs w:val="16"/>
                <w:color w:val="auto"/>
              </w:rPr>
              <w:t>Other interest revenue</w:t>
            </w:r>
          </w:p>
        </w:tc>
        <w:tc>
          <w:tcPr>
            <w:tcW w:w="36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1,990</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829</w:t>
            </w:r>
          </w:p>
        </w:tc>
      </w:tr>
      <w:tr>
        <w:trPr>
          <w:trHeight w:val="203"/>
        </w:trPr>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expenses related to credit facilities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(1,504)</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(2,799)</w:t>
            </w:r>
          </w:p>
        </w:tc>
      </w:tr>
      <w:tr>
        <w:trPr>
          <w:trHeight w:val="195"/>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net interest revenues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24,016</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62,497</w:t>
            </w:r>
          </w:p>
        </w:tc>
      </w:tr>
      <w:tr>
        <w:trPr>
          <w:trHeight w:val="219"/>
        </w:trPr>
        <w:tc>
          <w:tcPr>
            <w:tcW w:w="80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19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7,903</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39,238</w:t>
            </w:r>
          </w:p>
        </w:tc>
      </w:tr>
      <w:tr>
        <w:trPr>
          <w:trHeight w:val="219"/>
        </w:trPr>
        <w:tc>
          <w:tcPr>
            <w:tcW w:w="80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195"/>
        </w:trPr>
        <w:tc>
          <w:tcPr>
            <w:tcW w:w="8000" w:type="dxa"/>
            <w:vAlign w:val="bottom"/>
          </w:tcPr>
          <w:p>
            <w:pPr>
              <w:ind w:left="480"/>
              <w:spacing w:after="0"/>
              <w:rPr>
                <w:sz w:val="20"/>
                <w:szCs w:val="20"/>
                <w:color w:val="auto"/>
              </w:rPr>
            </w:pPr>
            <w:r>
              <w:rPr>
                <w:rFonts w:ascii="Arial" w:cs="Arial" w:eastAsia="Arial" w:hAnsi="Arial"/>
                <w:sz w:val="16"/>
                <w:szCs w:val="16"/>
                <w:color w:val="auto"/>
              </w:rPr>
              <w:t>Total net revenues</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127,550</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522,174</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Receivables and Contract Balances</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Receivables are recognized when we have an unconditional right to invoice and receive payment under a contract with a customer and are derecognized when cash is received. Receivables primarily consist of transaction-based revenue receivables due from market makers and are reported in receivables from brokers, dealers and clearing organizations on the condensed consolidated balance sheets.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 below sets forth receivables balances for the period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March 31, 2021</w:t>
            </w:r>
          </w:p>
        </w:tc>
      </w:tr>
      <w:tr>
        <w:trPr>
          <w:trHeight w:val="195"/>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 December 31, 2020</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111,871</w:t>
            </w:r>
          </w:p>
        </w:tc>
      </w:tr>
      <w:tr>
        <w:trPr>
          <w:trHeight w:val="20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End of period, March 31, 2021</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170,460</w:t>
            </w:r>
          </w:p>
        </w:tc>
      </w:tr>
      <w:tr>
        <w:trPr>
          <w:trHeight w:val="22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in receivables during the period</w:t>
            </w: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58,589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difference between the opening and ending balance of our receivables primarily results from the growth of our business over the period and timing differences between our performance and counterparties’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260"/>
          </w:cols>
          <w:pgMar w:left="320" w:top="1440" w:right="319" w:bottom="1440" w:gutter="0" w:footer="0" w:header="0"/>
        </w:sectPr>
      </w:pPr>
    </w:p>
    <w:bookmarkStart w:id="367" w:name="page368"/>
    <w:bookmarkEnd w:id="367"/>
    <w:p>
      <w:pPr>
        <w:spacing w:after="0" w:line="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Contract liabilities consist of unearned subscription revenue which are recognized when users remit contractual cash payments in advance of us satisfying our performance obligations under the contract and are recorded as other current liabilities on the condensed consolidated balance sheets.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 below sets forth contract liabilities balances for the period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March 31, 2021</w:t>
            </w:r>
          </w:p>
        </w:tc>
      </w:tr>
      <w:tr>
        <w:trPr>
          <w:trHeight w:val="195"/>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 December 31, 2020</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2,060</w:t>
            </w:r>
          </w:p>
        </w:tc>
      </w:tr>
      <w:tr>
        <w:trPr>
          <w:trHeight w:val="20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End of Period, March 31, 2021</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3,396</w:t>
            </w:r>
          </w:p>
        </w:tc>
      </w:tr>
      <w:tr>
        <w:trPr>
          <w:trHeight w:val="22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in contract liabilities during the period</w:t>
            </w: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1,336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recognized all revenue from amounts included in the opening contract liability balances for the three months ended March 31, 2020 and 2021. The difference between the opening and ending balance of our contract liability balances primarily results from the increase in subscription users and the timing difference between our performance and payments from the users.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NOTE 4: ALLOWANCE FOR CREDIT LOSSES</w:t>
      </w:r>
    </w:p>
    <w:p>
      <w:pPr>
        <w:spacing w:after="0" w:line="17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following table summarizes the allowance for credit losses, which primarily relate to unsecured balances of receivables from users due to fraudulent, unlawful or otherwise inappropriate customer behavior, such as when customers initiate deposits into their accounts, make trades on our platform using a short-term extension of credit from us, and then repatriate or reverse the deposits, resulting in a loss to us of the credited amount (“Fraudulent Deposit Transactions”) and to a lesser extent, losses on margin borrowings,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3"/>
                <w:szCs w:val="13"/>
                <w:b w:val="1"/>
                <w:bCs w:val="1"/>
                <w:color w:val="auto"/>
              </w:rPr>
              <w:t>Three Months Ended March 31,</w:t>
            </w: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2021</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17,122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left="484"/>
              <w:spacing w:after="0"/>
              <w:rPr>
                <w:sz w:val="20"/>
                <w:szCs w:val="20"/>
                <w:color w:val="auto"/>
              </w:rPr>
            </w:pPr>
            <w:r>
              <w:rPr>
                <w:rFonts w:ascii="Arial" w:cs="Arial" w:eastAsia="Arial" w:hAnsi="Arial"/>
                <w:sz w:val="16"/>
                <w:szCs w:val="16"/>
                <w:color w:val="auto"/>
                <w:w w:val="98"/>
              </w:rPr>
              <w:t>34,092</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Provision for credit losses</w:t>
            </w:r>
          </w:p>
        </w:tc>
        <w:tc>
          <w:tcPr>
            <w:tcW w:w="38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9,948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center"/>
              <w:ind w:left="484"/>
              <w:spacing w:after="0"/>
              <w:rPr>
                <w:sz w:val="20"/>
                <w:szCs w:val="20"/>
                <w:color w:val="auto"/>
              </w:rPr>
            </w:pPr>
            <w:r>
              <w:rPr>
                <w:rFonts w:ascii="Arial" w:cs="Arial" w:eastAsia="Arial" w:hAnsi="Arial"/>
                <w:sz w:val="16"/>
                <w:szCs w:val="16"/>
                <w:color w:val="auto"/>
                <w:w w:val="98"/>
              </w:rPr>
              <w:t>16,403</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left="464"/>
              <w:spacing w:after="0"/>
              <w:rPr>
                <w:sz w:val="20"/>
                <w:szCs w:val="20"/>
                <w:color w:val="auto"/>
              </w:rPr>
            </w:pPr>
            <w:r>
              <w:rPr>
                <w:rFonts w:ascii="Arial" w:cs="Arial" w:eastAsia="Arial" w:hAnsi="Arial"/>
                <w:sz w:val="16"/>
                <w:szCs w:val="16"/>
                <w:color w:val="auto"/>
                <w:w w:val="97"/>
              </w:rPr>
              <w:t>(19,620)</w:t>
            </w: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3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6"/>
                <w:szCs w:val="16"/>
                <w:color w:val="auto"/>
              </w:rPr>
              <w:t>27,070</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center"/>
              <w:ind w:left="484"/>
              <w:spacing w:after="0"/>
              <w:rPr>
                <w:sz w:val="20"/>
                <w:szCs w:val="20"/>
                <w:color w:val="auto"/>
              </w:rPr>
            </w:pPr>
            <w:r>
              <w:rPr>
                <w:rFonts w:ascii="Arial" w:cs="Arial" w:eastAsia="Arial" w:hAnsi="Arial"/>
                <w:sz w:val="16"/>
                <w:szCs w:val="16"/>
                <w:color w:val="auto"/>
                <w:w w:val="98"/>
              </w:rPr>
              <w:t>30,875</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During the three months ended March 31, 2020 and 2021, the provision for credit losses related to unsecured receivables from users was $9.9 million and $16.0 million while the remaining $0.1 million and $0.4 million was related to other receivables. As of March 31, 2020 and 2021, the ending allowance for credit losses related to unsecured receivables from users was $27.0 million and $29.9 million while the remaining $0.1 million and $1.0 million were related to other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260"/>
          </w:cols>
          <w:pgMar w:left="320" w:top="1440" w:right="319" w:bottom="1440" w:gutter="0" w:footer="0" w:header="0"/>
        </w:sectPr>
      </w:pPr>
    </w:p>
    <w:bookmarkStart w:id="368" w:name="page369"/>
    <w:bookmarkEnd w:id="368"/>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NOTE 5: FAIR VALUE OF FINANCIAL INSTRUMENTS</w:t>
      </w:r>
    </w:p>
    <w:p>
      <w:pPr>
        <w:spacing w:after="0" w:line="175"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Financial assets and liabilities measured at fair value on a recurring basis as of the date indicated below were presented on our condensed consolidated balance sheets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ind w:left="720"/>
              <w:spacing w:after="0"/>
              <w:rPr>
                <w:sz w:val="20"/>
                <w:szCs w:val="20"/>
                <w:color w:val="auto"/>
              </w:rPr>
            </w:pPr>
            <w:r>
              <w:rPr>
                <w:rFonts w:ascii="Arial" w:cs="Arial" w:eastAsia="Arial" w:hAnsi="Arial"/>
                <w:sz w:val="13"/>
                <w:szCs w:val="13"/>
                <w:b w:val="1"/>
                <w:bCs w:val="1"/>
                <w:color w:val="auto"/>
              </w:rPr>
              <w:t>December 31, 2020</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59"/>
        </w:trPr>
        <w:tc>
          <w:tcPr>
            <w:tcW w:w="47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Pr>
          <w:p>
            <w:pPr>
              <w:spacing w:after="0"/>
              <w:rPr>
                <w:sz w:val="13"/>
                <w:szCs w:val="13"/>
                <w:color w:val="auto"/>
              </w:rPr>
            </w:pPr>
          </w:p>
        </w:tc>
        <w:tc>
          <w:tcPr>
            <w:tcW w:w="1320" w:type="dxa"/>
            <w:vAlign w:val="bottom"/>
            <w:gridSpan w:val="2"/>
          </w:tcPr>
          <w:p>
            <w:pPr>
              <w:ind w:left="220"/>
              <w:spacing w:after="0"/>
              <w:rPr>
                <w:sz w:val="20"/>
                <w:szCs w:val="20"/>
                <w:color w:val="auto"/>
              </w:rPr>
            </w:pPr>
            <w:r>
              <w:rPr>
                <w:rFonts w:ascii="Arial" w:cs="Arial" w:eastAsia="Arial" w:hAnsi="Arial"/>
                <w:sz w:val="13"/>
                <w:szCs w:val="13"/>
                <w:b w:val="1"/>
                <w:bCs w:val="1"/>
                <w:color w:val="auto"/>
              </w:rPr>
              <w:t>Level 1</w:t>
            </w:r>
          </w:p>
        </w:tc>
        <w:tc>
          <w:tcPr>
            <w:tcW w:w="32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2</w:t>
            </w:r>
          </w:p>
        </w:tc>
        <w:tc>
          <w:tcPr>
            <w:tcW w:w="1180" w:type="dxa"/>
            <w:vAlign w:val="bottom"/>
          </w:tcPr>
          <w:p>
            <w:pPr>
              <w:jc w:val="right"/>
              <w:ind w:right="104"/>
              <w:spacing w:after="0"/>
              <w:rPr>
                <w:sz w:val="20"/>
                <w:szCs w:val="20"/>
                <w:color w:val="auto"/>
              </w:rPr>
            </w:pPr>
            <w:r>
              <w:rPr>
                <w:rFonts w:ascii="Arial" w:cs="Arial" w:eastAsia="Arial" w:hAnsi="Arial"/>
                <w:sz w:val="13"/>
                <w:szCs w:val="13"/>
                <w:b w:val="1"/>
                <w:bCs w:val="1"/>
                <w:color w:val="auto"/>
              </w:rPr>
              <w:t>Level 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562"/>
              <w:spacing w:after="0"/>
              <w:rPr>
                <w:sz w:val="20"/>
                <w:szCs w:val="20"/>
                <w:color w:val="auto"/>
              </w:rPr>
            </w:pPr>
            <w:r>
              <w:rPr>
                <w:rFonts w:ascii="Arial" w:cs="Arial" w:eastAsia="Arial" w:hAnsi="Arial"/>
                <w:sz w:val="13"/>
                <w:szCs w:val="13"/>
                <w:b w:val="1"/>
                <w:bCs w:val="1"/>
                <w:color w:val="auto"/>
              </w:rPr>
              <w:t>Total</w:t>
            </w:r>
          </w:p>
        </w:tc>
      </w:tr>
      <w:tr>
        <w:trPr>
          <w:trHeight w:val="18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Money market funds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1,026,034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84"/>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1,026,034</w:t>
            </w:r>
          </w:p>
        </w:tc>
      </w:tr>
      <w:tr>
        <w:trPr>
          <w:trHeight w:val="167"/>
        </w:trPr>
        <w:tc>
          <w:tcPr>
            <w:tcW w:w="4720" w:type="dxa"/>
            <w:vAlign w:val="bottom"/>
          </w:tcPr>
          <w:p>
            <w:pPr>
              <w:ind w:left="20"/>
              <w:spacing w:after="0" w:line="167" w:lineRule="exact"/>
              <w:rPr>
                <w:sz w:val="20"/>
                <w:szCs w:val="20"/>
                <w:color w:val="auto"/>
              </w:rPr>
            </w:pPr>
            <w:r>
              <w:rPr>
                <w:rFonts w:ascii="Arial" w:cs="Arial" w:eastAsia="Arial" w:hAnsi="Arial"/>
                <w:sz w:val="16"/>
                <w:szCs w:val="16"/>
                <w:color w:val="auto"/>
              </w:rPr>
              <w:t>Cash and securities segregated under federal and other</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2"/>
        </w:trPr>
        <w:tc>
          <w:tcPr>
            <w:tcW w:w="4720" w:type="dxa"/>
            <w:vAlign w:val="bottom"/>
          </w:tcPr>
          <w:p>
            <w:pPr>
              <w:ind w:left="160"/>
              <w:spacing w:after="0"/>
              <w:rPr>
                <w:sz w:val="20"/>
                <w:szCs w:val="20"/>
                <w:color w:val="auto"/>
              </w:rPr>
            </w:pPr>
            <w:r>
              <w:rPr>
                <w:rFonts w:ascii="Arial" w:cs="Arial" w:eastAsia="Arial" w:hAnsi="Arial"/>
                <w:sz w:val="16"/>
                <w:szCs w:val="16"/>
                <w:color w:val="auto"/>
              </w:rPr>
              <w:t>regulations:</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U.S. Treasury securities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134,994</w:t>
            </w: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securities - user-held fractional shares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802,483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802,483</w:t>
            </w:r>
          </w:p>
        </w:tc>
      </w:tr>
      <w:tr>
        <w:trPr>
          <w:trHeight w:val="203"/>
        </w:trPr>
        <w:tc>
          <w:tcPr>
            <w:tcW w:w="47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Equity securities - securities owned</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3,222</w:t>
            </w:r>
          </w:p>
        </w:tc>
      </w:tr>
      <w:tr>
        <w:trPr>
          <w:trHeight w:val="215"/>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financial assets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1,966,733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84"/>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1,966,733</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4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securities - referral program liability</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84"/>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695</w:t>
            </w: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securities - repurchase obligations</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802,483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802,483</w:t>
            </w:r>
          </w:p>
        </w:tc>
      </w:tr>
      <w:tr>
        <w:trPr>
          <w:trHeight w:val="195"/>
        </w:trPr>
        <w:tc>
          <w:tcPr>
            <w:tcW w:w="4720" w:type="dxa"/>
            <w:vAlign w:val="bottom"/>
          </w:tcPr>
          <w:p>
            <w:pPr>
              <w:ind w:left="20"/>
              <w:spacing w:after="0"/>
              <w:rPr>
                <w:sz w:val="20"/>
                <w:szCs w:val="20"/>
                <w:color w:val="auto"/>
              </w:rPr>
            </w:pPr>
            <w:r>
              <w:rPr>
                <w:rFonts w:ascii="Arial" w:cs="Arial" w:eastAsia="Arial" w:hAnsi="Arial"/>
                <w:sz w:val="16"/>
                <w:szCs w:val="16"/>
                <w:color w:val="auto"/>
              </w:rPr>
              <w:t>Total financial liabilities</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803,178</w:t>
            </w:r>
          </w:p>
        </w:tc>
        <w:tc>
          <w:tcPr>
            <w:tcW w:w="100" w:type="dxa"/>
            <w:vAlign w:val="bottom"/>
          </w:tcPr>
          <w:p>
            <w:pPr>
              <w:spacing w:after="0"/>
              <w:rPr>
                <w:sz w:val="16"/>
                <w:szCs w:val="16"/>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84"/>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803,178</w:t>
            </w:r>
          </w:p>
        </w:tc>
      </w:tr>
      <w:tr>
        <w:trPr>
          <w:trHeight w:val="20"/>
        </w:trPr>
        <w:tc>
          <w:tcPr>
            <w:tcW w:w="4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1260"/>
          </w:cols>
          <w:pgMar w:left="320" w:top="1440" w:right="319" w:bottom="1440" w:gutter="0" w:footer="0" w:header="0"/>
        </w:sectPr>
      </w:pPr>
    </w:p>
    <w:bookmarkStart w:id="369" w:name="page370"/>
    <w:bookmarkEnd w:id="369"/>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840"/>
              <w:spacing w:after="0"/>
              <w:rPr>
                <w:sz w:val="20"/>
                <w:szCs w:val="20"/>
                <w:color w:val="auto"/>
              </w:rPr>
            </w:pPr>
            <w:r>
              <w:rPr>
                <w:rFonts w:ascii="Arial" w:cs="Arial" w:eastAsia="Arial" w:hAnsi="Arial"/>
                <w:sz w:val="13"/>
                <w:szCs w:val="13"/>
                <w:b w:val="1"/>
                <w:bCs w:val="1"/>
                <w:color w:val="auto"/>
              </w:rPr>
              <w:t>March 31, 2021</w:t>
            </w: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88"/>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Level 2</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Total</w:t>
            </w:r>
          </w:p>
        </w:tc>
      </w:tr>
      <w:tr>
        <w:trPr>
          <w:trHeight w:val="199"/>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9"/>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Money market funds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2,431,807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2,431,807</w:t>
            </w: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9"/>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securities - user-held fractional shares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1,148,145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1,148,145</w:t>
            </w:r>
          </w:p>
        </w:tc>
      </w:tr>
      <w:tr>
        <w:trPr>
          <w:trHeight w:val="239"/>
        </w:trPr>
        <w:tc>
          <w:tcPr>
            <w:tcW w:w="47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Equity securities - securities owned</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28,364</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0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28,364</w:t>
            </w:r>
          </w:p>
        </w:tc>
      </w:tr>
      <w:tr>
        <w:trPr>
          <w:trHeight w:val="251"/>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financial assets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3,608,316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3,608,316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4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9"/>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securities - referral program liability</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4,669</w:t>
            </w: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9"/>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securities - repurchase obligations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1,148,145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1,148,145</w:t>
            </w: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Convertible notes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9"/>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Convertible notes</w:t>
            </w: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4,675,082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4,675,082</w:t>
            </w: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9"/>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Warrant liability</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369,162</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369,162</w:t>
            </w:r>
          </w:p>
        </w:tc>
      </w:tr>
      <w:tr>
        <w:trPr>
          <w:trHeight w:val="231"/>
        </w:trPr>
        <w:tc>
          <w:tcPr>
            <w:tcW w:w="4720" w:type="dxa"/>
            <w:vAlign w:val="bottom"/>
          </w:tcPr>
          <w:p>
            <w:pPr>
              <w:ind w:left="20"/>
              <w:spacing w:after="0"/>
              <w:rPr>
                <w:sz w:val="20"/>
                <w:szCs w:val="20"/>
                <w:color w:val="auto"/>
              </w:rPr>
            </w:pPr>
            <w:r>
              <w:rPr>
                <w:rFonts w:ascii="Arial" w:cs="Arial" w:eastAsia="Arial" w:hAnsi="Arial"/>
                <w:sz w:val="16"/>
                <w:szCs w:val="16"/>
                <w:color w:val="auto"/>
              </w:rPr>
              <w:t>Total financial liabilities</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1,152,814</w:t>
            </w:r>
          </w:p>
        </w:tc>
        <w:tc>
          <w:tcPr>
            <w:tcW w:w="10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5,044,244</w:t>
            </w:r>
          </w:p>
        </w:tc>
        <w:tc>
          <w:tcPr>
            <w:tcW w:w="80" w:type="dxa"/>
            <w:vAlign w:val="bottom"/>
          </w:tcPr>
          <w:p>
            <w:pPr>
              <w:spacing w:after="0"/>
              <w:rPr>
                <w:sz w:val="20"/>
                <w:szCs w:val="20"/>
                <w:color w:val="auto"/>
              </w:rPr>
            </w:pPr>
          </w:p>
        </w:tc>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6,197,058</w:t>
            </w:r>
          </w:p>
        </w:tc>
      </w:tr>
      <w:tr>
        <w:trPr>
          <w:trHeight w:val="20"/>
        </w:trPr>
        <w:tc>
          <w:tcPr>
            <w:tcW w:w="4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measure our cash equivalents, securities segregated under federal and other regulations and equity securities owned for the referral program and fractional shares, owned by us and user-held, at fair value. Repurchase obligations in connection with our fractional shares program and stock that were awarded to our users as a part of our promotional stock referral program but not claimed as of December 31, 2020 and March 31, 2021 are also measured at fair value. We have evaluated the estimated fair value of financial instruments using available market information such as quoted market prices for the same instrument in active markets. Such instruments are classified within Level 1 of the fair value hierarchy.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Convertible notes and warrant liability</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February 2021, we issued two tranches of convertible notes and granted to each purchaser of the Tranche I convertible notes a warrant to purchase equity securities - see Note 10 - Financing Activities and Off-Balance Sheet Risk. We have elected the fair value option for both tranches of the convertible notes as we believe it best reflects its underlying economics. Under the fair value option, the convertible notes are initially measured at their issuance date estimated fair value and subsequently remeasured at estimated fair value at each reporting period.</w:t>
      </w:r>
    </w:p>
    <w:p>
      <w:pPr>
        <w:spacing w:after="0" w:line="15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We measure our convertible notes and warrant liability at fair value. The valuation methodology for both the convertible notes and warrant liability is based on unobservable estimates and judgements, and therefore they are classified within Level 3 of the fair value hierarchy. The fair value of the convertible notes and warrant liability are determined using a Monte Carlo simulation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1260"/>
          </w:cols>
          <w:pgMar w:left="320" w:top="1440" w:right="319" w:bottom="1440" w:gutter="0" w:footer="0" w:header="0"/>
        </w:sectPr>
      </w:pPr>
    </w:p>
    <w:bookmarkStart w:id="370" w:name="page371"/>
    <w:bookmarkEnd w:id="370"/>
    <w:p>
      <w:pPr>
        <w:spacing w:after="0" w:line="1"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significant unobservable inputs used in the fair value measurement of the convertible notes and warrant liability include:</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74"/>
        </w:trPr>
        <w:tc>
          <w:tcPr>
            <w:tcW w:w="7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1202"/>
              <w:spacing w:after="0"/>
              <w:rPr>
                <w:sz w:val="20"/>
                <w:szCs w:val="20"/>
                <w:color w:val="auto"/>
              </w:rPr>
            </w:pPr>
            <w:r>
              <w:rPr>
                <w:rFonts w:ascii="Arial" w:cs="Arial" w:eastAsia="Arial" w:hAnsi="Arial"/>
                <w:sz w:val="13"/>
                <w:szCs w:val="13"/>
                <w:b w:val="1"/>
                <w:bCs w:val="1"/>
                <w:color w:val="auto"/>
              </w:rPr>
              <w:t>March 31, 2021</w:t>
            </w:r>
          </w:p>
        </w:tc>
        <w:tc>
          <w:tcPr>
            <w:tcW w:w="0" w:type="dxa"/>
            <w:vAlign w:val="bottom"/>
          </w:tcPr>
          <w:p>
            <w:pPr>
              <w:spacing w:after="0"/>
              <w:rPr>
                <w:sz w:val="1"/>
                <w:szCs w:val="1"/>
                <w:color w:val="auto"/>
              </w:rPr>
            </w:pPr>
          </w:p>
        </w:tc>
      </w:tr>
      <w:tr>
        <w:trPr>
          <w:trHeight w:val="183"/>
        </w:trPr>
        <w:tc>
          <w:tcPr>
            <w:tcW w:w="7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Arial" w:cs="Arial" w:eastAsia="Arial" w:hAnsi="Arial"/>
                <w:sz w:val="13"/>
                <w:szCs w:val="13"/>
                <w:b w:val="1"/>
                <w:bCs w:val="1"/>
                <w:color w:val="auto"/>
              </w:rPr>
              <w:t>Convertible notes</w:t>
            </w:r>
          </w:p>
        </w:tc>
        <w:tc>
          <w:tcPr>
            <w:tcW w:w="240" w:type="dxa"/>
            <w:vAlign w:val="bottom"/>
          </w:tcPr>
          <w:p>
            <w:pPr>
              <w:spacing w:after="0"/>
              <w:rPr>
                <w:sz w:val="15"/>
                <w:szCs w:val="15"/>
                <w:color w:val="auto"/>
              </w:rPr>
            </w:pPr>
          </w:p>
        </w:tc>
        <w:tc>
          <w:tcPr>
            <w:tcW w:w="1460" w:type="dxa"/>
            <w:vAlign w:val="bottom"/>
          </w:tcPr>
          <w:p>
            <w:pPr>
              <w:jc w:val="right"/>
              <w:ind w:right="302"/>
              <w:spacing w:after="0"/>
              <w:rPr>
                <w:sz w:val="20"/>
                <w:szCs w:val="20"/>
                <w:color w:val="auto"/>
              </w:rPr>
            </w:pPr>
            <w:r>
              <w:rPr>
                <w:rFonts w:ascii="Arial" w:cs="Arial" w:eastAsia="Arial" w:hAnsi="Arial"/>
                <w:sz w:val="13"/>
                <w:szCs w:val="13"/>
                <w:b w:val="1"/>
                <w:bCs w:val="1"/>
                <w:color w:val="auto"/>
              </w:rPr>
              <w:t>Warrant liability</w:t>
            </w:r>
          </w:p>
        </w:tc>
        <w:tc>
          <w:tcPr>
            <w:tcW w:w="0" w:type="dxa"/>
            <w:vAlign w:val="bottom"/>
          </w:tcPr>
          <w:p>
            <w:pPr>
              <w:spacing w:after="0"/>
              <w:rPr>
                <w:sz w:val="1"/>
                <w:szCs w:val="1"/>
                <w:color w:val="auto"/>
              </w:rPr>
            </w:pPr>
          </w:p>
        </w:tc>
      </w:tr>
      <w:tr>
        <w:trPr>
          <w:trHeight w:val="216"/>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 value of common stock</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41.41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41.41</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Instrument discount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78"/>
        </w:trPr>
        <w:tc>
          <w:tcPr>
            <w:tcW w:w="7780" w:type="dxa"/>
            <w:vAlign w:val="bottom"/>
          </w:tcPr>
          <w:p>
            <w:pPr>
              <w:ind w:left="20"/>
              <w:spacing w:after="0"/>
              <w:rPr>
                <w:sz w:val="20"/>
                <w:szCs w:val="20"/>
                <w:color w:val="auto"/>
              </w:rPr>
            </w:pPr>
            <w:r>
              <w:rPr>
                <w:rFonts w:ascii="Arial" w:cs="Arial" w:eastAsia="Arial" w:hAnsi="Arial"/>
                <w:sz w:val="16"/>
                <w:szCs w:val="16"/>
                <w:color w:val="auto"/>
              </w:rPr>
              <w:t>Discount rate</w:t>
            </w:r>
            <w:r>
              <w:rPr>
                <w:rFonts w:ascii="Arial" w:cs="Arial" w:eastAsia="Arial" w:hAnsi="Arial"/>
                <w:sz w:val="20"/>
                <w:szCs w:val="20"/>
                <w:color w:val="auto"/>
                <w:vertAlign w:val="superscript"/>
              </w:rPr>
              <w:t>(1)</w:t>
            </w:r>
          </w:p>
        </w:tc>
        <w:tc>
          <w:tcPr>
            <w:tcW w:w="2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30%/ 35%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3"/>
        </w:trPr>
        <w:tc>
          <w:tcPr>
            <w:tcW w:w="7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 free rate</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0.03 %</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0.03 %</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Conversion probability:</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IPO by June 30, 2021</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78"/>
        </w:trPr>
        <w:tc>
          <w:tcPr>
            <w:tcW w:w="7780" w:type="dxa"/>
            <w:vAlign w:val="bottom"/>
          </w:tcPr>
          <w:p>
            <w:pPr>
              <w:ind w:left="100"/>
              <w:spacing w:after="0"/>
              <w:rPr>
                <w:sz w:val="20"/>
                <w:szCs w:val="20"/>
                <w:color w:val="auto"/>
              </w:rPr>
            </w:pPr>
            <w:r>
              <w:rPr>
                <w:rFonts w:ascii="Arial" w:cs="Arial" w:eastAsia="Arial" w:hAnsi="Arial"/>
                <w:sz w:val="16"/>
                <w:szCs w:val="16"/>
                <w:color w:val="auto"/>
              </w:rPr>
              <w:t>Next financing by June 30, 2021 followed by IPO by December 31, 2021)</w:t>
            </w:r>
            <w:r>
              <w:rPr>
                <w:rFonts w:ascii="Arial" w:cs="Arial" w:eastAsia="Arial" w:hAnsi="Arial"/>
                <w:sz w:val="20"/>
                <w:szCs w:val="20"/>
                <w:color w:val="auto"/>
                <w:vertAlign w:val="superscript"/>
              </w:rPr>
              <w:t>(2)</w:t>
            </w:r>
          </w:p>
        </w:tc>
        <w:tc>
          <w:tcPr>
            <w:tcW w:w="2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93"/>
        </w:trPr>
        <w:tc>
          <w:tcPr>
            <w:tcW w:w="7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________________</w:t>
      </w:r>
    </w:p>
    <w:p>
      <w:pPr>
        <w:ind w:left="284" w:hanging="284"/>
        <w:spacing w:after="0" w:line="230" w:lineRule="auto"/>
        <w:tabs>
          <w:tab w:leader="none" w:pos="284" w:val="left"/>
        </w:tabs>
        <w:numPr>
          <w:ilvl w:val="0"/>
          <w:numId w:val="155"/>
        </w:numPr>
        <w:rPr>
          <w:rFonts w:ascii="Arial" w:cs="Arial" w:eastAsia="Arial" w:hAnsi="Arial"/>
          <w:sz w:val="13"/>
          <w:szCs w:val="13"/>
          <w:color w:val="auto"/>
        </w:rPr>
      </w:pPr>
      <w:r>
        <w:rPr>
          <w:rFonts w:ascii="Arial" w:cs="Arial" w:eastAsia="Arial" w:hAnsi="Arial"/>
          <w:sz w:val="13"/>
          <w:szCs w:val="13"/>
          <w:color w:val="auto"/>
        </w:rPr>
        <w:t>Discount rate of 30% was applied on Tranche I and 35% was applied on Tranche 2. This represent the discount rate associated with the downside scenarios</w:t>
      </w:r>
    </w:p>
    <w:p>
      <w:pPr>
        <w:ind w:left="284" w:hanging="284"/>
        <w:spacing w:after="0"/>
        <w:tabs>
          <w:tab w:leader="none" w:pos="284" w:val="left"/>
        </w:tabs>
        <w:numPr>
          <w:ilvl w:val="0"/>
          <w:numId w:val="155"/>
        </w:numPr>
        <w:rPr>
          <w:rFonts w:ascii="Arial" w:cs="Arial" w:eastAsia="Arial" w:hAnsi="Arial"/>
          <w:sz w:val="13"/>
          <w:szCs w:val="13"/>
          <w:color w:val="auto"/>
        </w:rPr>
      </w:pPr>
      <w:r>
        <w:rPr>
          <w:rFonts w:ascii="Arial" w:cs="Arial" w:eastAsia="Arial" w:hAnsi="Arial"/>
          <w:sz w:val="13"/>
          <w:szCs w:val="13"/>
          <w:color w:val="auto"/>
        </w:rPr>
        <w:t>See Note 10 - Financing Activities and Off-Balance Sheet Risk for conversion details</w:t>
      </w:r>
    </w:p>
    <w:p>
      <w:pPr>
        <w:spacing w:after="0" w:line="132" w:lineRule="exact"/>
        <w:rPr>
          <w:sz w:val="20"/>
          <w:szCs w:val="20"/>
          <w:color w:val="auto"/>
        </w:rPr>
      </w:pPr>
    </w:p>
    <w:p>
      <w:pPr>
        <w:jc w:val="both"/>
        <w:ind w:left="4" w:right="20" w:firstLine="287"/>
        <w:spacing w:after="0" w:line="252" w:lineRule="auto"/>
        <w:rPr>
          <w:sz w:val="20"/>
          <w:szCs w:val="20"/>
          <w:color w:val="auto"/>
        </w:rPr>
      </w:pPr>
      <w:r>
        <w:rPr>
          <w:rFonts w:ascii="Arial" w:cs="Arial" w:eastAsia="Arial" w:hAnsi="Arial"/>
          <w:sz w:val="16"/>
          <w:szCs w:val="16"/>
          <w:color w:val="auto"/>
        </w:rPr>
        <w:t>Fair value measurements are highly sensitive to changes in these inputs and significant changes in these inputs would result in a significantly different fair value. For the three months ended March 31, 2021, we recorded a total loss due to changes in fair value of $1,376.1 million for the convertible notes and $116.2 million for the warrant liability in our condensed consolidated statements of operations, none of which is attributable to the change in the instrument specific credit risk. We have elected to present the component related to accrued interest in the change in fair value of convertible notes and warrant liability</w:t>
      </w:r>
      <w:r>
        <w:rPr>
          <w:rFonts w:ascii="Arial" w:cs="Arial" w:eastAsia="Arial" w:hAnsi="Arial"/>
          <w:sz w:val="16"/>
          <w:szCs w:val="16"/>
          <w:i w:val="1"/>
          <w:iCs w:val="1"/>
          <w:color w:val="auto"/>
        </w:rPr>
        <w:t>.</w:t>
      </w:r>
    </w:p>
    <w:p>
      <w:pPr>
        <w:spacing w:after="0" w:line="147"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following table sets forth a summary of the changes in the estimated fair value of our convertible notes and warrant liability:</w:t>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3"/>
                <w:szCs w:val="13"/>
                <w:b w:val="1"/>
                <w:bCs w:val="1"/>
                <w:color w:val="auto"/>
              </w:rPr>
              <w:t>Three Months Ended March 31,</w:t>
            </w:r>
          </w:p>
        </w:tc>
      </w:tr>
      <w:tr>
        <w:trPr>
          <w:trHeight w:val="159"/>
        </w:trPr>
        <w:tc>
          <w:tcPr>
            <w:tcW w:w="80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2021</w:t>
            </w:r>
          </w:p>
        </w:tc>
        <w:tc>
          <w:tcPr>
            <w:tcW w:w="1360" w:type="dxa"/>
            <w:vAlign w:val="bottom"/>
            <w:tcBorders>
              <w:bottom w:val="single" w:sz="8" w:color="auto"/>
            </w:tcBorders>
          </w:tcPr>
          <w:p>
            <w:pPr>
              <w:spacing w:after="0"/>
              <w:rPr>
                <w:sz w:val="13"/>
                <w:szCs w:val="13"/>
                <w:color w:val="auto"/>
              </w:rPr>
            </w:pP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Convertible notes</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Warrant liability</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Issued during the period</w:t>
            </w:r>
          </w:p>
        </w:tc>
        <w:tc>
          <w:tcPr>
            <w:tcW w:w="180" w:type="dxa"/>
            <w:vAlign w:val="bottom"/>
          </w:tcPr>
          <w:p>
            <w:pPr>
              <w:spacing w:after="0"/>
              <w:rPr>
                <w:sz w:val="17"/>
                <w:szCs w:val="17"/>
                <w:color w:val="auto"/>
              </w:rPr>
            </w:pPr>
          </w:p>
        </w:tc>
        <w:tc>
          <w:tcPr>
            <w:tcW w:w="1400" w:type="dxa"/>
            <w:vAlign w:val="bottom"/>
          </w:tcPr>
          <w:p>
            <w:pPr>
              <w:jc w:val="right"/>
              <w:ind w:right="7"/>
              <w:spacing w:after="0"/>
              <w:rPr>
                <w:sz w:val="20"/>
                <w:szCs w:val="20"/>
                <w:color w:val="auto"/>
              </w:rPr>
            </w:pPr>
            <w:r>
              <w:rPr>
                <w:rFonts w:ascii="Arial" w:cs="Arial" w:eastAsia="Arial" w:hAnsi="Arial"/>
                <w:sz w:val="16"/>
                <w:szCs w:val="16"/>
                <w:color w:val="auto"/>
              </w:rPr>
              <w:t>3,299,031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6"/>
                <w:szCs w:val="16"/>
                <w:color w:val="auto"/>
              </w:rPr>
              <w:t>252,944</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1,376,051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116,218</w:t>
            </w: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4,675,082</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369,162</w:t>
            </w: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84"/>
        <w:spacing w:after="0"/>
        <w:rPr>
          <w:sz w:val="20"/>
          <w:szCs w:val="20"/>
          <w:color w:val="auto"/>
        </w:rPr>
      </w:pPr>
      <w:r>
        <w:rPr>
          <w:rFonts w:ascii="Arial" w:cs="Arial" w:eastAsia="Arial" w:hAnsi="Arial"/>
          <w:sz w:val="16"/>
          <w:szCs w:val="16"/>
          <w:color w:val="auto"/>
        </w:rPr>
        <w:t>During the three months ended March 31, 2020 and 2021, we did not have any transfers in or out of Level 1, Level 2, or Level 3 assets or liabilities.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22"/>
          <w:szCs w:val="22"/>
          <w:color w:val="auto"/>
        </w:rPr>
        <w:t>NOTE 6: INCOME TAXES</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77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040"/>
              <w:spacing w:after="0"/>
              <w:rPr>
                <w:sz w:val="20"/>
                <w:szCs w:val="20"/>
                <w:color w:val="auto"/>
              </w:rPr>
            </w:pPr>
            <w:r>
              <w:rPr>
                <w:rFonts w:ascii="Arial" w:cs="Arial" w:eastAsia="Arial" w:hAnsi="Arial"/>
                <w:sz w:val="13"/>
                <w:szCs w:val="13"/>
                <w:b w:val="1"/>
                <w:bCs w:val="1"/>
                <w:color w:val="auto"/>
              </w:rPr>
              <w:t>March 31,</w:t>
            </w:r>
          </w:p>
        </w:tc>
        <w:tc>
          <w:tcPr>
            <w:tcW w:w="1220" w:type="dxa"/>
            <w:vAlign w:val="bottom"/>
            <w:tcBorders>
              <w:bottom w:val="single" w:sz="8" w:color="auto"/>
            </w:tcBorders>
          </w:tcPr>
          <w:p>
            <w:pPr>
              <w:spacing w:after="0"/>
              <w:rPr>
                <w:sz w:val="14"/>
                <w:szCs w:val="14"/>
                <w:color w:val="auto"/>
              </w:rPr>
            </w:pPr>
          </w:p>
        </w:tc>
      </w:tr>
      <w:tr>
        <w:trPr>
          <w:trHeight w:val="15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2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44"/>
              <w:spacing w:after="0"/>
              <w:rPr>
                <w:sz w:val="20"/>
                <w:szCs w:val="20"/>
                <w:color w:val="auto"/>
              </w:rPr>
            </w:pPr>
            <w:r>
              <w:rPr>
                <w:rFonts w:ascii="Arial" w:cs="Arial" w:eastAsia="Arial" w:hAnsi="Arial"/>
                <w:sz w:val="13"/>
                <w:szCs w:val="13"/>
                <w:b w:val="1"/>
                <w:bCs w:val="1"/>
                <w:color w:val="auto"/>
              </w:rPr>
              <w:t>2021</w:t>
            </w:r>
          </w:p>
        </w:tc>
      </w:tr>
      <w:tr>
        <w:trPr>
          <w:trHeight w:val="195"/>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87"/>
              <w:spacing w:after="0"/>
              <w:rPr>
                <w:sz w:val="20"/>
                <w:szCs w:val="20"/>
                <w:color w:val="auto"/>
              </w:rPr>
            </w:pPr>
            <w:r>
              <w:rPr>
                <w:rFonts w:ascii="Arial" w:cs="Arial" w:eastAsia="Arial" w:hAnsi="Arial"/>
                <w:sz w:val="16"/>
                <w:szCs w:val="16"/>
                <w:color w:val="auto"/>
              </w:rPr>
              <w:t>(52,588)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(1,433,024)</w:t>
            </w:r>
          </w:p>
        </w:tc>
      </w:tr>
      <w:tr>
        <w:trPr>
          <w:trHeight w:val="203"/>
        </w:trPr>
        <w:tc>
          <w:tcPr>
            <w:tcW w:w="778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400" w:type="dxa"/>
            <w:vAlign w:val="bottom"/>
          </w:tcPr>
          <w:p>
            <w:pPr>
              <w:spacing w:after="0"/>
              <w:rPr>
                <w:sz w:val="17"/>
                <w:szCs w:val="17"/>
                <w:color w:val="auto"/>
              </w:rPr>
            </w:pPr>
          </w:p>
        </w:tc>
        <w:tc>
          <w:tcPr>
            <w:tcW w:w="1280" w:type="dxa"/>
            <w:vAlign w:val="bottom"/>
          </w:tcPr>
          <w:p>
            <w:pPr>
              <w:jc w:val="right"/>
              <w:ind w:right="87"/>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jc w:val="right"/>
              <w:ind w:right="144"/>
              <w:spacing w:after="0"/>
              <w:rPr>
                <w:sz w:val="20"/>
                <w:szCs w:val="20"/>
                <w:color w:val="auto"/>
              </w:rPr>
            </w:pPr>
            <w:r>
              <w:rPr>
                <w:rFonts w:ascii="Arial" w:cs="Arial" w:eastAsia="Arial" w:hAnsi="Arial"/>
                <w:sz w:val="16"/>
                <w:szCs w:val="16"/>
                <w:color w:val="auto"/>
              </w:rPr>
              <w:t>11,779</w:t>
            </w:r>
          </w:p>
        </w:tc>
      </w:tr>
      <w:tr>
        <w:trPr>
          <w:trHeight w:val="203"/>
        </w:trPr>
        <w:tc>
          <w:tcPr>
            <w:tcW w:w="7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Effective Tax Rate</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F-54</w:t>
      </w:r>
    </w:p>
    <w:p>
      <w:pPr>
        <w:sectPr>
          <w:pgSz w:w="11900" w:h="16838" w:orient="portrait"/>
          <w:cols w:equalWidth="0" w:num="1">
            <w:col w:w="11264"/>
          </w:cols>
          <w:pgMar w:left="316" w:top="1440" w:right="319" w:bottom="1440" w:gutter="0" w:footer="0" w:header="0"/>
        </w:sectPr>
      </w:pPr>
    </w:p>
    <w:bookmarkStart w:id="371" w:name="page372"/>
    <w:bookmarkEnd w:id="371"/>
    <w:p>
      <w:pPr>
        <w:spacing w:after="0" w:line="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Our tax provision for interim periods is determined using an estimated annual effective tax rate, adjusted for discrete items arising in the period. In each quarter, we update our estimated annual effective tax rate and make a year-to-date calculation of the provision.</w:t>
      </w:r>
    </w:p>
    <w:p>
      <w:pPr>
        <w:spacing w:after="0" w:line="15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For the three months ended March 31, 2020, the provision for income taxes effective tax rate was lower than the U.S. federal statutory rate primarily due to the full valuation allowance on our U.S. federal and state deferred tax assets offset by current payable federal and state taxes. For the three months ended March 31, 2021, the provision for income taxes effective tax rate was lower than the U.S. federal statutory rate primarily due to the non-deductible change in fair value of the convertible notes and warrant liability, and the change in valuation allowance on our remaining U.S. federal and state deferred tax assets partially offset by our current payable federal and state taxes.</w:t>
      </w:r>
    </w:p>
    <w:p>
      <w:pPr>
        <w:spacing w:after="0" w:line="14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three months ended March 31, 2021, we believe it is more likely than not that the tax benefits of the remaining U.S. net deferred tax assets may not be realized. We intend to maintain the full valuation allowance on the U.S. net deferred tax assets until enough positive evidence exists to support a reversal of, or decrease in, the valuation allowance.</w:t>
      </w:r>
    </w:p>
    <w:p>
      <w:pPr>
        <w:spacing w:after="0" w:line="147"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Utilization of the net operating loss and credit carryforwards may be subject to a substantial annual limitation due to the ownership change limitations provided by the Internal Revenue Code of 1986, as amended, and similar state provisions. The annual limitation may result in the expiration of net operating losses and tax credits before utilization.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NOTE 7: PROPERTY, SOFTWARE AND EQUIPMENT, NET</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Property, software and equipment are recorded net of accumulated depreciation and summarized by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March 31,</w:t>
            </w: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2021</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9,203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12,720</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24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8,024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11,136</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improvements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18,945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28,814</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Internally developed software</w:t>
            </w:r>
          </w:p>
        </w:tc>
        <w:tc>
          <w:tcPr>
            <w:tcW w:w="24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16,992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17,897</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9,756</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4,563</w:t>
            </w:r>
          </w:p>
        </w:tc>
      </w:tr>
      <w:tr>
        <w:trPr>
          <w:trHeight w:val="195"/>
        </w:trPr>
        <w:tc>
          <w:tcPr>
            <w:tcW w:w="8020" w:type="dxa"/>
            <w:vAlign w:val="bottom"/>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6"/>
                <w:szCs w:val="16"/>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62,920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75,130</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(17,086)</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(20,907)</w:t>
            </w:r>
          </w:p>
        </w:tc>
      </w:tr>
      <w:tr>
        <w:trPr>
          <w:trHeight w:val="195"/>
        </w:trPr>
        <w:tc>
          <w:tcPr>
            <w:tcW w:w="8020" w:type="dxa"/>
            <w:vAlign w:val="bottom"/>
          </w:tcPr>
          <w:p>
            <w:pPr>
              <w:ind w:left="200"/>
              <w:spacing w:after="0"/>
              <w:rPr>
                <w:sz w:val="20"/>
                <w:szCs w:val="20"/>
                <w:color w:val="auto"/>
              </w:rPr>
            </w:pPr>
            <w:r>
              <w:rPr>
                <w:rFonts w:ascii="Arial" w:cs="Arial" w:eastAsia="Arial" w:hAnsi="Arial"/>
                <w:sz w:val="16"/>
                <w:szCs w:val="16"/>
                <w:color w:val="auto"/>
              </w:rPr>
              <w:t>Property, software and equipment, net</w:t>
            </w: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45,834</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54,223</w:t>
            </w: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and amortization expense of property and equipment for the three months ended March 31, 2020 and 2021 was $0.8 million and $2.4 million.</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expense of internally developed software for the three months ended March 31, 2020 and 2021 was $0.9 million and $1.4 million.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NOTE 8: OFFSETTING ASSETS AND LIABILITIES</w:t>
      </w:r>
    </w:p>
    <w:p>
      <w:pPr>
        <w:spacing w:after="0" w:line="163"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Certain financial instruments are eligible for offset on our condensed consolidated balance sheets under U.S. GAAP. Our securities borrowing and lending agreements are subject to master netting arrangements and collateral arrangements and meet the U.S. GAAP guidance to qualify for offset. A master netting arrangement with a counterparty creates a right of offset for amounts due to and from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F-55</w:t>
      </w:r>
    </w:p>
    <w:p>
      <w:pPr>
        <w:sectPr>
          <w:pgSz w:w="11900" w:h="16838" w:orient="portrait"/>
          <w:cols w:equalWidth="0" w:num="1">
            <w:col w:w="11260"/>
          </w:cols>
          <w:pgMar w:left="320" w:top="1440" w:right="319" w:bottom="1440" w:gutter="0" w:footer="0" w:header="0"/>
        </w:sectPr>
      </w:pPr>
    </w:p>
    <w:bookmarkStart w:id="372" w:name="page373"/>
    <w:bookmarkEnd w:id="372"/>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same counterparty that is enforceable in the event of a default or bankruptcy. Our policy is to recognize amounts subject to master netting arrangements on a gross basis on the condensed consolidated balance sheets.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assets and liabilities subject to master netting arrangements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w w:val="93"/>
              </w:rPr>
              <w:t>March 31,</w:t>
            </w:r>
          </w:p>
        </w:tc>
      </w:tr>
      <w:tr>
        <w:trPr>
          <w:trHeight w:val="159"/>
        </w:trPr>
        <w:tc>
          <w:tcPr>
            <w:tcW w:w="80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2021</w:t>
            </w: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4"/>
          </w:tcPr>
          <w:p>
            <w:pPr>
              <w:jc w:val="right"/>
              <w:ind w:right="923"/>
              <w:spacing w:after="0"/>
              <w:rPr>
                <w:sz w:val="20"/>
                <w:szCs w:val="20"/>
                <w:color w:val="auto"/>
              </w:rPr>
            </w:pPr>
            <w:r>
              <w:rPr>
                <w:rFonts w:ascii="Arial" w:cs="Arial" w:eastAsia="Arial" w:hAnsi="Arial"/>
                <w:sz w:val="13"/>
                <w:szCs w:val="13"/>
                <w:b w:val="1"/>
                <w:bCs w:val="1"/>
                <w:color w:val="auto"/>
              </w:rPr>
              <w:t>Securities borrowed</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amount of securities borrowed</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372</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303</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Gross amount offset on the condensed consolidated balance sheets</w:t>
            </w:r>
          </w:p>
        </w:tc>
        <w:tc>
          <w:tcPr>
            <w:tcW w:w="24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195"/>
        </w:trPr>
        <w:tc>
          <w:tcPr>
            <w:tcW w:w="802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6"/>
                <w:szCs w:val="16"/>
                <w:color w:val="auto"/>
              </w:rPr>
              <w:t>Amounts of assets presented on the condensed consolidated balance sheets</w:t>
            </w:r>
            <w:r>
              <w:rPr>
                <w:rFonts w:ascii="Arial" w:cs="Arial" w:eastAsia="Arial" w:hAnsi="Arial"/>
                <w:sz w:val="20"/>
                <w:szCs w:val="20"/>
                <w:color w:val="auto"/>
                <w:vertAlign w:val="superscript"/>
              </w:rPr>
              <w:t>(1)</w:t>
            </w:r>
          </w:p>
        </w:tc>
        <w:tc>
          <w:tcPr>
            <w:tcW w:w="2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372</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303</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Gross amount of securities borrowed not offset in the condensed consolidated balance sheets: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Securities borrowed</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372</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303</w:t>
            </w:r>
          </w:p>
        </w:tc>
      </w:tr>
      <w:tr>
        <w:trPr>
          <w:trHeight w:val="203"/>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Security collateral received</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r>
      <w:tr>
        <w:trPr>
          <w:trHeight w:val="22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w:t>
            </w: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5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Liabilities</w:t>
            </w: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Securities loaned</w:t>
            </w:r>
          </w:p>
        </w:tc>
        <w:tc>
          <w:tcPr>
            <w:tcW w:w="1080" w:type="dxa"/>
            <w:vAlign w:val="bottom"/>
            <w:tcBorders>
              <w:bottom w:val="single" w:sz="8" w:color="auto"/>
            </w:tcBorders>
          </w:tcPr>
          <w:p>
            <w:pPr>
              <w:spacing w:after="0"/>
              <w:rPr>
                <w:sz w:val="24"/>
                <w:szCs w:val="24"/>
                <w:color w:val="auto"/>
              </w:rPr>
            </w:pP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amount of securities loaned</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1,921,118</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2,031,134</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Gross amount of securities loaned offset on the condensed consolidated balance sheets</w:t>
            </w:r>
          </w:p>
        </w:tc>
        <w:tc>
          <w:tcPr>
            <w:tcW w:w="24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19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of liabilities presented on the condensed consolidated balance sheets</w:t>
            </w:r>
          </w:p>
        </w:tc>
        <w:tc>
          <w:tcPr>
            <w:tcW w:w="2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1,921,118</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2,031,134</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Gross amount of securities loaned not offset on the condensed consolidated balance sheets: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Securities loaned</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1,921,118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2,031,134</w:t>
            </w:r>
          </w:p>
        </w:tc>
      </w:tr>
      <w:tr>
        <w:trPr>
          <w:trHeight w:val="203"/>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Security collateral pledged</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(1,787,819)</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(2,003,910)</w:t>
            </w:r>
          </w:p>
        </w:tc>
      </w:tr>
      <w:tr>
        <w:trPr>
          <w:trHeight w:val="22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w:t>
            </w: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133,299</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27,224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Securities borrowed is included in receivable from brokers, dealers and clearing organizations in the condensed consolidated balance sheets.</w:t>
      </w:r>
    </w:p>
    <w:p>
      <w:pPr>
        <w:spacing w:after="0" w:line="144"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also obtain securities under margin agreements on terms which permit us to pledge and/or transfer securities to others. As of December 31, 2020 and March 31, 2021, we were permitted to re-pledge securities with a fair value of $4,632.6 million and $7,479.2 million under the margin agreements and $0.4 million and $0.3 million under the master securities lending agreement. As of March 31, 2021, we re-pledged $185.3 million of the permitted to re-pledge amount with clearing organizations to meet deposit requirements . Gross obligations for securities loaned transactions are pledged entirely with collateral in the form of equity and have an open contractual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F-56</w:t>
      </w:r>
    </w:p>
    <w:p>
      <w:pPr>
        <w:sectPr>
          <w:pgSz w:w="11900" w:h="16838" w:orient="portrait"/>
          <w:cols w:equalWidth="0" w:num="1">
            <w:col w:w="11260"/>
          </w:cols>
          <w:pgMar w:left="320" w:top="1440" w:right="319" w:bottom="1440" w:gutter="0" w:footer="0" w:header="0"/>
        </w:sectPr>
      </w:pPr>
    </w:p>
    <w:bookmarkStart w:id="373" w:name="page374"/>
    <w:bookmarkEnd w:id="373"/>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NOTE 9: OTHER CURRENT ASSETS</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the detail of other current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March 31,</w:t>
            </w:r>
          </w:p>
        </w:tc>
      </w:tr>
      <w:tr>
        <w:trPr>
          <w:trHeight w:val="15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2021</w:t>
            </w:r>
          </w:p>
        </w:tc>
      </w:tr>
      <w:tr>
        <w:trPr>
          <w:trHeight w:val="195"/>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User-held fractional shares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802,483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1,148,145</w:t>
            </w:r>
          </w:p>
        </w:tc>
      </w:tr>
      <w:tr>
        <w:trPr>
          <w:trHeight w:val="203"/>
        </w:trPr>
        <w:tc>
          <w:tcPr>
            <w:tcW w:w="8000" w:type="dxa"/>
            <w:vAlign w:val="bottom"/>
          </w:tcPr>
          <w:p>
            <w:pPr>
              <w:ind w:left="2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7"/>
                <w:szCs w:val="17"/>
                <w:color w:val="auto"/>
              </w:rPr>
            </w:pPr>
          </w:p>
        </w:tc>
        <w:tc>
          <w:tcPr>
            <w:tcW w:w="1340" w:type="dxa"/>
            <w:vAlign w:val="bottom"/>
          </w:tcPr>
          <w:p>
            <w:pPr>
              <w:jc w:val="right"/>
              <w:ind w:right="45"/>
              <w:spacing w:after="0"/>
              <w:rPr>
                <w:sz w:val="20"/>
                <w:szCs w:val="20"/>
                <w:color w:val="auto"/>
              </w:rPr>
            </w:pPr>
            <w:r>
              <w:rPr>
                <w:rFonts w:ascii="Arial" w:cs="Arial" w:eastAsia="Arial" w:hAnsi="Arial"/>
                <w:sz w:val="16"/>
                <w:szCs w:val="16"/>
                <w:color w:val="auto"/>
              </w:rPr>
              <w:t>28,629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6"/>
                <w:szCs w:val="16"/>
                <w:color w:val="auto"/>
              </w:rPr>
              <w:t>45,881</w:t>
            </w:r>
          </w:p>
        </w:tc>
      </w:tr>
      <w:tr>
        <w:trPr>
          <w:trHeight w:val="20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owned</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3,222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28,364</w:t>
            </w:r>
          </w:p>
        </w:tc>
      </w:tr>
      <w:tr>
        <w:trPr>
          <w:trHeight w:val="20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16,804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35,351</w:t>
            </w:r>
          </w:p>
        </w:tc>
      </w:tr>
      <w:tr>
        <w:trPr>
          <w:trHeight w:val="220"/>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current assets</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851,138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1,257,741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NOTE 10: FINANCING ACTIVITIES AND OFF-BALANCE SHEET RISK</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Revolving credit facilities</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September 2019, we entered into a $400.0 million committed and secured line of credit with a maturity date of September 25, 2020 (the “September 2019 Credit Facility”). In June 2020, we amended the September 2019 Credit Facility and increased the aggregate committed and secured revolving line of credit amount to $550.0 million with a maturity date of June 5, 2021. This line of credit is primarily collateralized by users’ securities held as collateral for users’ margin loans. Interest for this line of credit is determined at the time a loan is initiated and the applicable interest rate under this line of credit is calculated as a per annum rate equal to 1.25% plus the federal funds rate at the applicable time. There were no outstanding borrowings under the September 2019 Credit Facility at December 31, 2020 and March 31, 2021. Additionally, we are obligated to pay a commitment fee calculated as a per annum rate equal to 0.35% on any unused amount of the credit facility.</w:t>
      </w:r>
    </w:p>
    <w:p>
      <w:pPr>
        <w:spacing w:after="0" w:line="147"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October 2019, we entered into a $200.0 million committed and unsecured revolving line of credit with a syndicate of banks (the “October 2019 Credit Facility”) maturing in October 2023. In October 2020, we amended the October 2019 Credit Facility and, among other things, increased the aggregate committed and unsecured revolving line of credit amount to $600.0 million with a maturity date of October 29, 2024. Loans under the October 2019 Credit Facility bear interest, at our option, at a per annum rate of either (a) the Eurodollar Rate plus 1.00% or (b) the Alternative Base Rate. The Eurodollar Rate is equal to the Eurodollar Base Rate, which is derived from LIBOR, multiplied by the Statutory Reserve Rate at the applicable time. The Alternative Base Rate is the greatest of (i) the prime rate then in effect, (ii) the Federal Reserve Bank of New York rate then in effect plus 0.50% and (iii) the Eurodollar Rate at such time for a one month interest period plus 1.00%. If LIBOR is unavailable or if we and the administrative agent elect, the Eurodollar Rate will be replaced by a rate calculated with reference to the Secured Overnight Financing Rate as set forth in the October 2019 Credit Facility agreement or an alternate benchmark rate selected by us and the administrative agent. There were no outstanding borrowings under the October 2019 Credit Facility at December 31, 2020 and March 31, 2021. Additionally, we are obligated to pay a commitment fee calculated as a per annum rate equal to 0.10% on any unused amount of the October 2019 Credit Facility.</w:t>
      </w:r>
    </w:p>
    <w:p>
      <w:pPr>
        <w:spacing w:after="0" w:line="162"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The agreements for the September 2019 Credit Facility and the October 2019 Credit Facility contain customary covenants restricting our ability to incur debt, incur liens and undergo certain fundamental changes. We were in compliance with all covenants under these facilities as of December 31, 2020 and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ectPr>
          <w:pgSz w:w="11900" w:h="16838" w:orient="portrait"/>
          <w:cols w:equalWidth="0" w:num="1">
            <w:col w:w="11260"/>
          </w:cols>
          <w:pgMar w:left="320" w:top="1440" w:right="319" w:bottom="1440" w:gutter="0" w:footer="0" w:header="0"/>
        </w:sectPr>
      </w:pPr>
    </w:p>
    <w:bookmarkStart w:id="374" w:name="page375"/>
    <w:bookmarkEnd w:id="374"/>
    <w:p>
      <w:pPr>
        <w:spacing w:after="0"/>
        <w:rPr>
          <w:sz w:val="20"/>
          <w:szCs w:val="20"/>
          <w:color w:val="auto"/>
        </w:rPr>
      </w:pPr>
      <w:r>
        <w:rPr>
          <w:rFonts w:ascii="Arial" w:cs="Arial" w:eastAsia="Arial" w:hAnsi="Arial"/>
          <w:sz w:val="19"/>
          <w:szCs w:val="19"/>
          <w:b w:val="1"/>
          <w:bCs w:val="1"/>
          <w:i w:val="1"/>
          <w:iCs w:val="1"/>
          <w:color w:val="auto"/>
        </w:rPr>
        <w:t>Convertible notes and warrant liability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Convertible notes</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In February 2021, we issued two tranches of convertible notes, consisting of $ 2.53 billion aggregate principal amount of Tranche I convertible notes and $1.02 billion aggregate principal amount of Tranche II convertible notes. Interest on the convertible notes accrues at 6% per annum, compounding semi-annually in arrears, and is payable in kind. The convertible notes do not have a maturity date.</w:t>
      </w:r>
    </w:p>
    <w:p>
      <w:pPr>
        <w:spacing w:after="0" w:line="14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the event of (a) a public offering of our common stock to the public in an IPO on a nationally-recognized exchange in the United States, (b) a direct listing, or (c) an acquisition by a special purpose acquisition company, and in the case of clauses (a) and (c) resulting in at least $500 million of gross proceeds to us (“Qualifying IPO”) before the 12 month anniversary of the convertible notes issuance date (“Reference Date”), the convertible notes will automatically convert into shares of our Class A common stock at a conversion price equal to the lower of (i) 70% of the cash price per share paid by investors in the Qualifying IPO and (ii) $38.29 (in the case of the Tranche I convertible notes) or $42.12 (in the case of the Tranche II convertible notes). In the event of a sale of our preferred stock, having rights, preference or privileges senior or pari passu to the Series G Preferred Stock before the Reference Date with an aggregate proceed greater than $500 million (“Next Financing”), the convertible notes will convert at the holder’s option, in part or in whole, into our preferred stock at a conversion price equal to the lower of (i) 70% of the price per share in the Next Financing and (ii) $38.29 (in the case of the Tranche I convertible notes) or $42.12 (in the case of the Tranche II convertible notes).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 liability</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granted to each purchaser of the Tranche I convertible notes a warrant, equal to 15% of the aggregate proceeds invested by such purchaser, to purchase a variable number of equity securities. In aggregate, the maximum purchase amount of all warrants is $379.8 million. The warrants can be exercised by the holder after the earlier of (1) February 12, 2022 and (2) Qualifying IPO or Next Financing. The warrants expire on February 12, 2031. The warrants can be settled in cash or in net shares at the holder’s option. In the event of a cash settlement, the number of equity securities the holder will receive is equal to their maximum purchase amount divided by the strike price, as described below.</w:t>
      </w:r>
    </w:p>
    <w:p>
      <w:pPr>
        <w:spacing w:after="0" w:line="14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If a Qualifying IPO occurs prior to the Reference Date, outstanding warrants will become exercisable for shares of our Class A common stock at a strike price equal to the lower of (i) 70% of the price per share in the Qualifying IPO and (ii) $38.29. If a Next Financing occurs prior to the Reference Date, outstanding warrants will become exercisable for shares of our preferred stock issued in the Next Financing at a strike price equal to the lower of (i) 70% of the price per share in the Next Financing and (ii) $38.29. If a Qualifying IPO or Next Financing does not occur by the Reference Date, the outstanding warrants will become exercisable for shares of our series G-1 redeemable convertible preferred stock at a strike price of $18.60.</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Off-balance sheet risk</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the normal course of business, we engage in activities involving settlement and financing of securities transactions. These activities may expose us to off-balance sheet risk in the event that the other party to the transaction is unable to fulfill its contractual obligations. User securities transactions are recorded on a settlement date basis, which is generally two business days for equities and one business day for options after the trade date. We are therefore exposed to risk of loss on these transactions in the event counterparties fail to meet the terms of their contracts. In such events, we may be required to purchase financial instruments at prevailing market prices in order to fulfill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F-58</w:t>
      </w:r>
    </w:p>
    <w:p>
      <w:pPr>
        <w:sectPr>
          <w:pgSz w:w="11900" w:h="16838" w:orient="portrait"/>
          <w:cols w:equalWidth="0" w:num="1">
            <w:col w:w="11260"/>
          </w:cols>
          <w:pgMar w:left="320" w:top="1426" w:right="319" w:bottom="1440" w:gutter="0" w:footer="0" w:header="0"/>
        </w:sectPr>
      </w:pPr>
    </w:p>
    <w:bookmarkStart w:id="375" w:name="page376"/>
    <w:bookmarkEnd w:id="375"/>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NOTE 11: MEZZANINE EQUITY, COMMON STOCK AND STOCKHOLDERS’ DEFICIT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Redeemable convertible preferred stock</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is a summary of redeemable convertible preferred stock as of December 31,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60" w:type="dxa"/>
            <w:vAlign w:val="bottom"/>
            <w:gridSpan w:val="3"/>
          </w:tcPr>
          <w:p>
            <w:pPr>
              <w:ind w:left="20"/>
              <w:spacing w:after="0"/>
              <w:rPr>
                <w:sz w:val="20"/>
                <w:szCs w:val="20"/>
                <w:color w:val="auto"/>
              </w:rPr>
            </w:pPr>
            <w:r>
              <w:rPr>
                <w:rFonts w:ascii="Arial" w:cs="Arial" w:eastAsia="Arial" w:hAnsi="Arial"/>
                <w:sz w:val="13"/>
                <w:szCs w:val="13"/>
                <w:i w:val="1"/>
                <w:iCs w:val="1"/>
                <w:color w:val="auto"/>
              </w:rPr>
              <w:t>(in thousands, except share data and per share amounts)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center"/>
              <w:ind w:right="231"/>
              <w:spacing w:after="0"/>
              <w:rPr>
                <w:sz w:val="20"/>
                <w:szCs w:val="20"/>
                <w:color w:val="auto"/>
              </w:rPr>
            </w:pPr>
            <w:r>
              <w:rPr>
                <w:rFonts w:ascii="Arial" w:cs="Arial" w:eastAsia="Arial" w:hAnsi="Arial"/>
                <w:sz w:val="13"/>
                <w:szCs w:val="13"/>
                <w:b w:val="1"/>
                <w:bCs w:val="1"/>
                <w:color w:val="auto"/>
                <w:w w:val="95"/>
              </w:rPr>
              <w:t>Per Share</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96"/>
              </w:rPr>
              <w:t>Carrying Value of</w:t>
            </w:r>
          </w:p>
        </w:tc>
        <w:tc>
          <w:tcPr>
            <w:tcW w:w="0" w:type="dxa"/>
            <w:vAlign w:val="bottom"/>
          </w:tcPr>
          <w:p>
            <w:pPr>
              <w:spacing w:after="0"/>
              <w:rPr>
                <w:sz w:val="1"/>
                <w:szCs w:val="1"/>
                <w:color w:val="auto"/>
              </w:rPr>
            </w:pPr>
          </w:p>
        </w:tc>
      </w:tr>
      <w:tr>
        <w:trPr>
          <w:trHeight w:val="129"/>
        </w:trPr>
        <w:tc>
          <w:tcPr>
            <w:tcW w:w="2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rPr>
              <w:t>Shares Issued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Per Share Initial</w:t>
            </w:r>
          </w:p>
        </w:tc>
        <w:tc>
          <w:tcPr>
            <w:tcW w:w="1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4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Series</w:t>
            </w:r>
          </w:p>
        </w:tc>
        <w:tc>
          <w:tcPr>
            <w:tcW w:w="14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Shares Authorized</w:t>
            </w:r>
          </w:p>
        </w:tc>
        <w:tc>
          <w:tcPr>
            <w:tcW w:w="100" w:type="dxa"/>
            <w:vAlign w:val="bottom"/>
            <w:vMerge w:val="restart"/>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center"/>
              <w:ind w:right="231"/>
              <w:spacing w:after="0" w:line="119" w:lineRule="exact"/>
              <w:rPr>
                <w:sz w:val="20"/>
                <w:szCs w:val="20"/>
                <w:color w:val="auto"/>
              </w:rPr>
            </w:pPr>
            <w:r>
              <w:rPr>
                <w:rFonts w:ascii="Arial" w:cs="Arial" w:eastAsia="Arial" w:hAnsi="Arial"/>
                <w:sz w:val="13"/>
                <w:szCs w:val="13"/>
                <w:b w:val="1"/>
                <w:bCs w:val="1"/>
                <w:color w:val="auto"/>
                <w:w w:val="99"/>
              </w:rPr>
              <w:t>Liquidation</w:t>
            </w:r>
          </w:p>
        </w:tc>
        <w:tc>
          <w:tcPr>
            <w:tcW w:w="100" w:type="dxa"/>
            <w:vAlign w:val="bottom"/>
          </w:tcPr>
          <w:p>
            <w:pPr>
              <w:spacing w:after="0"/>
              <w:rPr>
                <w:sz w:val="10"/>
                <w:szCs w:val="10"/>
                <w:color w:val="auto"/>
              </w:rPr>
            </w:pPr>
          </w:p>
        </w:tc>
        <w:tc>
          <w:tcPr>
            <w:tcW w:w="134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7"/>
              </w:rPr>
              <w:t>Liquidation Amount</w:t>
            </w:r>
          </w:p>
        </w:tc>
        <w:tc>
          <w:tcPr>
            <w:tcW w:w="2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Stock, Net of Issuance</w:t>
            </w:r>
          </w:p>
        </w:tc>
        <w:tc>
          <w:tcPr>
            <w:tcW w:w="0" w:type="dxa"/>
            <w:vAlign w:val="bottom"/>
          </w:tcPr>
          <w:p>
            <w:pPr>
              <w:spacing w:after="0"/>
              <w:rPr>
                <w:sz w:val="1"/>
                <w:szCs w:val="1"/>
                <w:color w:val="auto"/>
              </w:rPr>
            </w:pPr>
          </w:p>
        </w:tc>
      </w:tr>
      <w:tr>
        <w:trPr>
          <w:trHeight w:val="155"/>
        </w:trPr>
        <w:tc>
          <w:tcPr>
            <w:tcW w:w="2420" w:type="dxa"/>
            <w:vAlign w:val="bottom"/>
            <w:tcBorders>
              <w:bottom w:val="single" w:sz="8" w:color="CCEEFF"/>
            </w:tcBorders>
            <w:vMerge w:val="continue"/>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31"/>
              <w:spacing w:after="0"/>
              <w:rPr>
                <w:sz w:val="20"/>
                <w:szCs w:val="20"/>
                <w:color w:val="auto"/>
              </w:rPr>
            </w:pPr>
            <w:r>
              <w:rPr>
                <w:rFonts w:ascii="Arial" w:cs="Arial" w:eastAsia="Arial" w:hAnsi="Arial"/>
                <w:sz w:val="13"/>
                <w:szCs w:val="13"/>
                <w:b w:val="1"/>
                <w:bCs w:val="1"/>
                <w:color w:val="auto"/>
                <w:w w:val="98"/>
              </w:rPr>
              <w:t>Preference</w:t>
            </w: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97"/>
              </w:rPr>
              <w:t>Conversion Price</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9"/>
              </w:rPr>
              <w:t>Costs</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131,913,460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0.1954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25,777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16,139</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B</w:t>
            </w:r>
          </w:p>
        </w:tc>
        <w:tc>
          <w:tcPr>
            <w:tcW w:w="1440" w:type="dxa"/>
            <w:vAlign w:val="bottom"/>
          </w:tcPr>
          <w:p>
            <w:pPr>
              <w:jc w:val="right"/>
              <w:spacing w:after="0"/>
              <w:rPr>
                <w:sz w:val="20"/>
                <w:szCs w:val="20"/>
                <w:color w:val="auto"/>
              </w:rPr>
            </w:pPr>
            <w:r>
              <w:rPr>
                <w:rFonts w:ascii="Arial" w:cs="Arial" w:eastAsia="Arial" w:hAnsi="Arial"/>
                <w:sz w:val="14"/>
                <w:szCs w:val="14"/>
                <w:color w:val="auto"/>
              </w:rPr>
              <w:t>80,263,020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80,263,020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0.6354</w:t>
            </w:r>
          </w:p>
        </w:tc>
        <w:tc>
          <w:tcPr>
            <w:tcW w:w="1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50,999</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0.6354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50,999</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43,788,180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43,788,180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2.5121</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110,000</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109,870</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D</w:t>
            </w:r>
          </w:p>
        </w:tc>
        <w:tc>
          <w:tcPr>
            <w:tcW w:w="1440" w:type="dxa"/>
            <w:vAlign w:val="bottom"/>
          </w:tcPr>
          <w:p>
            <w:pPr>
              <w:jc w:val="right"/>
              <w:spacing w:after="0"/>
              <w:rPr>
                <w:sz w:val="20"/>
                <w:szCs w:val="20"/>
                <w:color w:val="auto"/>
              </w:rPr>
            </w:pPr>
            <w:r>
              <w:rPr>
                <w:rFonts w:ascii="Arial" w:cs="Arial" w:eastAsia="Arial" w:hAnsi="Arial"/>
                <w:sz w:val="14"/>
                <w:szCs w:val="14"/>
                <w:color w:val="auto"/>
              </w:rPr>
              <w:t>35,774,761</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35,774,761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10.1450</w:t>
            </w:r>
          </w:p>
        </w:tc>
        <w:tc>
          <w:tcPr>
            <w:tcW w:w="1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362,935</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10.1450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362,670</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29,887,357</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29,887,357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12.4827</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373,075</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372,733</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F</w:t>
            </w:r>
          </w:p>
        </w:tc>
        <w:tc>
          <w:tcPr>
            <w:tcW w:w="1440" w:type="dxa"/>
            <w:vAlign w:val="bottom"/>
          </w:tcPr>
          <w:p>
            <w:pPr>
              <w:jc w:val="right"/>
              <w:spacing w:after="0"/>
              <w:rPr>
                <w:sz w:val="20"/>
                <w:szCs w:val="20"/>
                <w:color w:val="auto"/>
              </w:rPr>
            </w:pPr>
            <w:r>
              <w:rPr>
                <w:rFonts w:ascii="Arial" w:cs="Arial" w:eastAsia="Arial" w:hAnsi="Arial"/>
                <w:sz w:val="14"/>
                <w:szCs w:val="14"/>
                <w:color w:val="auto"/>
              </w:rPr>
              <w:t>48,000,000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600,000</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599,284</w:t>
            </w:r>
          </w:p>
        </w:tc>
        <w:tc>
          <w:tcPr>
            <w:tcW w:w="0" w:type="dxa"/>
            <w:vAlign w:val="bottom"/>
          </w:tcPr>
          <w:p>
            <w:pPr>
              <w:spacing w:after="0"/>
              <w:rPr>
                <w:sz w:val="1"/>
                <w:szCs w:val="1"/>
                <w:color w:val="auto"/>
              </w:rPr>
            </w:pPr>
          </w:p>
        </w:tc>
      </w:tr>
      <w:tr>
        <w:trPr>
          <w:trHeight w:val="19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44,406,442</w:t>
            </w: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43,116,119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15.5000</w:t>
            </w: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668,300</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668,044</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414,033,220</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412,742,897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2,191,086</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2,179,739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is a summary of redeemable convertible preferred stock as of March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60" w:type="dxa"/>
            <w:vAlign w:val="bottom"/>
            <w:gridSpan w:val="3"/>
          </w:tcPr>
          <w:p>
            <w:pPr>
              <w:ind w:left="20"/>
              <w:spacing w:after="0"/>
              <w:rPr>
                <w:sz w:val="20"/>
                <w:szCs w:val="20"/>
                <w:color w:val="auto"/>
              </w:rPr>
            </w:pPr>
            <w:r>
              <w:rPr>
                <w:rFonts w:ascii="Arial" w:cs="Arial" w:eastAsia="Arial" w:hAnsi="Arial"/>
                <w:sz w:val="13"/>
                <w:szCs w:val="13"/>
                <w:i w:val="1"/>
                <w:iCs w:val="1"/>
                <w:color w:val="auto"/>
              </w:rPr>
              <w:t>(in thousands, except share data and per share amounts)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5"/>
              </w:rPr>
              <w:t>Per Share</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96"/>
              </w:rPr>
              <w:t>Carrying Value of</w:t>
            </w:r>
          </w:p>
        </w:tc>
        <w:tc>
          <w:tcPr>
            <w:tcW w:w="0" w:type="dxa"/>
            <w:vAlign w:val="bottom"/>
          </w:tcPr>
          <w:p>
            <w:pPr>
              <w:spacing w:after="0"/>
              <w:rPr>
                <w:sz w:val="1"/>
                <w:szCs w:val="1"/>
                <w:color w:val="auto"/>
              </w:rPr>
            </w:pPr>
          </w:p>
        </w:tc>
      </w:tr>
      <w:tr>
        <w:trPr>
          <w:trHeight w:val="129"/>
        </w:trPr>
        <w:tc>
          <w:tcPr>
            <w:tcW w:w="2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rPr>
              <w:t>Shares Issued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Per Share Initial</w:t>
            </w:r>
          </w:p>
        </w:tc>
        <w:tc>
          <w:tcPr>
            <w:tcW w:w="1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4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Series</w:t>
            </w:r>
          </w:p>
        </w:tc>
        <w:tc>
          <w:tcPr>
            <w:tcW w:w="14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Shares Authorized</w:t>
            </w:r>
          </w:p>
        </w:tc>
        <w:tc>
          <w:tcPr>
            <w:tcW w:w="100" w:type="dxa"/>
            <w:vAlign w:val="bottom"/>
            <w:vMerge w:val="restart"/>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Liquidation</w:t>
            </w:r>
          </w:p>
        </w:tc>
        <w:tc>
          <w:tcPr>
            <w:tcW w:w="100" w:type="dxa"/>
            <w:vAlign w:val="bottom"/>
          </w:tcPr>
          <w:p>
            <w:pPr>
              <w:spacing w:after="0"/>
              <w:rPr>
                <w:sz w:val="10"/>
                <w:szCs w:val="10"/>
                <w:color w:val="auto"/>
              </w:rPr>
            </w:pPr>
          </w:p>
        </w:tc>
        <w:tc>
          <w:tcPr>
            <w:tcW w:w="134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7"/>
              </w:rPr>
              <w:t>Liquidation Amount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Stock, Net of Issuance</w:t>
            </w:r>
          </w:p>
        </w:tc>
        <w:tc>
          <w:tcPr>
            <w:tcW w:w="0" w:type="dxa"/>
            <w:vAlign w:val="bottom"/>
          </w:tcPr>
          <w:p>
            <w:pPr>
              <w:spacing w:after="0"/>
              <w:rPr>
                <w:sz w:val="1"/>
                <w:szCs w:val="1"/>
                <w:color w:val="auto"/>
              </w:rPr>
            </w:pPr>
          </w:p>
        </w:tc>
      </w:tr>
      <w:tr>
        <w:trPr>
          <w:trHeight w:val="155"/>
        </w:trPr>
        <w:tc>
          <w:tcPr>
            <w:tcW w:w="2420" w:type="dxa"/>
            <w:vAlign w:val="bottom"/>
            <w:tcBorders>
              <w:bottom w:val="single" w:sz="8" w:color="CCEEFF"/>
            </w:tcBorders>
            <w:vMerge w:val="continue"/>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98"/>
              </w:rPr>
              <w:t>Preference</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97"/>
              </w:rPr>
              <w:t>Conversion Price</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9"/>
              </w:rPr>
              <w:t>Costs</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131,913,460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25,777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16,139</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B</w:t>
            </w:r>
          </w:p>
        </w:tc>
        <w:tc>
          <w:tcPr>
            <w:tcW w:w="1440" w:type="dxa"/>
            <w:vAlign w:val="bottom"/>
          </w:tcPr>
          <w:p>
            <w:pPr>
              <w:jc w:val="right"/>
              <w:spacing w:after="0"/>
              <w:rPr>
                <w:sz w:val="20"/>
                <w:szCs w:val="20"/>
                <w:color w:val="auto"/>
              </w:rPr>
            </w:pPr>
            <w:r>
              <w:rPr>
                <w:rFonts w:ascii="Arial" w:cs="Arial" w:eastAsia="Arial" w:hAnsi="Arial"/>
                <w:sz w:val="14"/>
                <w:szCs w:val="14"/>
                <w:color w:val="auto"/>
              </w:rPr>
              <w:t>80,263,020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80,263,020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0.6354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50,999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0.6354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50,999</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43,788,180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43,788,180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110,000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109,870</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D</w:t>
            </w:r>
          </w:p>
        </w:tc>
        <w:tc>
          <w:tcPr>
            <w:tcW w:w="1440" w:type="dxa"/>
            <w:vAlign w:val="bottom"/>
          </w:tcPr>
          <w:p>
            <w:pPr>
              <w:jc w:val="right"/>
              <w:spacing w:after="0"/>
              <w:rPr>
                <w:sz w:val="20"/>
                <w:szCs w:val="20"/>
                <w:color w:val="auto"/>
              </w:rPr>
            </w:pPr>
            <w:r>
              <w:rPr>
                <w:rFonts w:ascii="Arial" w:cs="Arial" w:eastAsia="Arial" w:hAnsi="Arial"/>
                <w:sz w:val="14"/>
                <w:szCs w:val="14"/>
                <w:color w:val="auto"/>
              </w:rPr>
              <w:t>35,774,761</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35,774,761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10.1450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362,935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10.1450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362,670</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29,887,357</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29,887,357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373,075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372,733</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F</w:t>
            </w:r>
          </w:p>
        </w:tc>
        <w:tc>
          <w:tcPr>
            <w:tcW w:w="1440" w:type="dxa"/>
            <w:vAlign w:val="bottom"/>
          </w:tcPr>
          <w:p>
            <w:pPr>
              <w:jc w:val="right"/>
              <w:spacing w:after="0"/>
              <w:rPr>
                <w:sz w:val="20"/>
                <w:szCs w:val="20"/>
                <w:color w:val="auto"/>
              </w:rPr>
            </w:pPr>
            <w:r>
              <w:rPr>
                <w:rFonts w:ascii="Arial" w:cs="Arial" w:eastAsia="Arial" w:hAnsi="Arial"/>
                <w:sz w:val="14"/>
                <w:szCs w:val="14"/>
                <w:color w:val="auto"/>
              </w:rPr>
              <w:t>48,000,000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600,000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599,284</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44,406,442</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43,116,119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668,300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668,044</w:t>
            </w:r>
          </w:p>
        </w:tc>
        <w:tc>
          <w:tcPr>
            <w:tcW w:w="0" w:type="dxa"/>
            <w:vAlign w:val="bottom"/>
          </w:tcPr>
          <w:p>
            <w:pPr>
              <w:spacing w:after="0"/>
              <w:rPr>
                <w:sz w:val="1"/>
                <w:szCs w:val="1"/>
                <w:color w:val="auto"/>
              </w:rPr>
            </w:pPr>
          </w:p>
        </w:tc>
      </w:tr>
      <w:tr>
        <w:trPr>
          <w:trHeight w:val="188"/>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244,278,204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18.6000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18.6000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658,311,424</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412,742,897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2,191,086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2,179,739</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holders of the redeemable convertible preferred stock are entitled to a number of votes equal to the number of shares of common stock into which the redeemable convertible preferred stock is convertible. Except where otherwise specified in our Certificate of Incorporation, holders of preferred stock vote together with the holders of common stock as a single class. The holders of our Series A and Series B redeemable convertible preferred stock are entitled to elect one director each (each, a “Preferred Director”), with each series voting separately as exclusive classes. Holders of common stock, voting exclusively and as a separate class, are entitled to elect four directors, two of which shall be entitled to two votes on any matter before the Board of Directors. The holders of our Series C, Series D, Series E, Series F, Series G and Series G-1 redeemable convertible preferred stock have no voting rights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F-59</w:t>
      </w:r>
    </w:p>
    <w:p>
      <w:pPr>
        <w:sectPr>
          <w:pgSz w:w="11900" w:h="16838" w:orient="portrait"/>
          <w:cols w:equalWidth="0" w:num="1">
            <w:col w:w="11260"/>
          </w:cols>
          <w:pgMar w:left="320" w:top="1440" w:right="319" w:bottom="1440" w:gutter="0" w:footer="0" w:header="0"/>
        </w:sectPr>
      </w:pPr>
    </w:p>
    <w:bookmarkStart w:id="376" w:name="page377"/>
    <w:bookmarkEnd w:id="376"/>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election of members of the Board of Directors or the determination of the size of the Board of Directors.</w:t>
      </w:r>
    </w:p>
    <w:p>
      <w:pPr>
        <w:spacing w:after="0" w:line="17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As long as 50,000,000 shares of redeemable convertible preferred stock are outstanding, we must obtain approval from the holders of a majority of the then outstanding shares of redeemable convertible preferred stock (voting together as a single class and not as separate series, and on an as-converted basis) in order to, among other actions: (1) amend, alter or repeal any provision of the Certificate of Incorporation or our Bylaws; (2) increase the authorized number of shares of redeemable convertible preferred stock (or any series thereof) or common stock; (3) create, or authorize the creation of, a new class or series of our capital stock unless it ranks junior to the redeemable convertible preferred stock with respect to the distribution of assets in a liquidation, dissolution or winding up, the payment of dividends and rights of redemption; (4) declare or pay any dividend on any shares of shares of redeemable convertible preferred stock or common stock, subject to certain exceptions; (5) liquidate, dissolve or wind up our company, effect any merger or consolidation, or sell, lease, transfer or exclusively license all or substantially all of our assets; (6) increase or decrease the authorized size of the Board of Directors; or (7) effect a repurchase or redemption of, or distribution on, any shares of redeemable convertible preferred stock or common stock, subject to certain exceptions.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preferences</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the event of any liquidation or winding up of our company, the holders of redeemable convertible preferred stock shall be entitled to receive, prior and in preference to the common stockholders, an amount equal to the aggregate original issue price for their shares of redeemable convertible preferred stock, plus any declared but unpaid dividends. After payment of the liquidation preference to the holders of the redeemable convertible preferred stock, our remaining assets are available for distribution to the holders of common stock on a pro rata basis. If the proceeds distributed among the holders of the redeemable convertible preferred stock are insufficient to permit the holders of redeemable convertible preferred stock to receive the full payment noted above, then the entire proceeds legally available for distribution shall be distributed ratably among the holders of the redeemable convertible preferred stock in proportion to the full preferential amount that each such holder is otherwise entitled to receive.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rights</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Each share of redeemable convertible preferred stock is convertible, at the option of the holder, according to a conversion ratio, which is subject to adjustment for dilutive share issuances. The total number of shares of common stock into which the redeemable convertible preferred stock may be converted is determined by dividing the then-applicable conversion price by the initial conversion price, as shown in the table above.</w:t>
      </w:r>
    </w:p>
    <w:p>
      <w:pPr>
        <w:spacing w:after="0" w:line="14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redeemable convertible preferred stock, with the exception of our Series F redeemable convertible preferred stock, automatically converts into common stock at the applicable conversion rate upon the earliest of: (1) immediately prior to the closing of a public offering of common stock to the public in an IPO at a price of at least $12.4827 per share and resulting in at least $200 million of gross proceeds to us and resulting in the listing of our common stock on a nationally-recognized exchange in the United States (a “Qualified Public Offering”); (2) upon the effectiveness of a registration statement filed under the Securities Act of 1933, as amended, that registers shares of our existing capital stock for resale not pursuant to an underwritten offering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of each of (i) the holders of the majority of the redeemable convertible preferred stock then outstanding (voting as a single class and on an as-converted basis), (ii) the holders of the majority of the then outstanding shares of Series B, C, G and G-1 redeemable convertible preferred stock (each voting exclusively and as a separate class), (iii) the holders of at least 60% of the then outstanding shares of Series D and E redeemable convertible preferred stock (each voting exclusively and as a separate class), and (iv)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F-60</w:t>
      </w:r>
    </w:p>
    <w:p>
      <w:pPr>
        <w:sectPr>
          <w:pgSz w:w="11900" w:h="16838" w:orient="portrait"/>
          <w:cols w:equalWidth="0" w:num="1">
            <w:col w:w="11260"/>
          </w:cols>
          <w:pgMar w:left="320" w:top="1440" w:right="319" w:bottom="1440" w:gutter="0" w:footer="0" w:header="0"/>
        </w:sectPr>
      </w:pPr>
    </w:p>
    <w:bookmarkStart w:id="377" w:name="page378"/>
    <w:bookmarkEnd w:id="377"/>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holders of at least 65% of the then outstanding shares of Series A redeemable convertible preferred stock (voting exclusively and as a separate class).</w:t>
      </w:r>
    </w:p>
    <w:p>
      <w:pPr>
        <w:spacing w:after="0" w:line="17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Series F redeemable convertible preferred stock automatically converts into common stock at the applicable conversion rate upon the earliest of: (1) immediately prior to the closing of a public offering of our common stock to the public in the IPO resulting in at least $200 million of gross proceeds to us and resulting in the listing of our common stock on a nationally-recognized exchange in the United States; (2) a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from the holders of the majority of the then outstanding Series F redeemable convertible preferred stock.</w:t>
      </w:r>
    </w:p>
    <w:p>
      <w:pPr>
        <w:spacing w:after="0" w:line="148"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In addition, if we issue any additional common stock below the conversion price of our Series A, B, C, D, E, F, G and G-1 redeemable convertible preferred stock, the conversion price of such series of redeemable convertible preferred stock may be subject to adjustment via a broad-based anti-dilution calculation, subject to certain exceptions.</w:t>
      </w:r>
    </w:p>
    <w:p>
      <w:pPr>
        <w:spacing w:after="0" w:line="14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Series F redeemable convertible preferred stock has a full-ratchet anti-dilution adjustment provision. In the event the price per share of our common stock in an IPO ends up being lower than the Series F redeemable convertible preferred stock conversion price, then the conversion price per share of the Series F redeemable convertible preferred stock will be reduced to the same price per share as the common stock price at the time of the IPO. We may also be obligated to issue additional shares of common stock to the holders of Series F redeemable convertible preferred stock in the event of a direct listing with a deemed trading price below the Series F redeemable convertible preferred stock conversion price.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The holders of shares of redeemable convertible preferred stock are entitled to receive dividends, when and if declared by the Board of Directors. Dividends are paid on a pari-passu basis with other holders of our redeemable convertible preferred stock and in preference to the payment of dividends to holders of our common stock. No dividends have been declared or paid by us as of March 31, 2021. Dividends are noncumulative.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Classification</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redeemable convertible preferred stock is contingently redeemable upon certain deemed liquidation events such as a merger or sale of substantially all of our assets. The redeemable convertible preferred stock is not mandatory redeemable but, since a deemed liquidation event would constitute a redeemable event outside of our control, all shares of the redeemable convertible preferred stock have been presented outside of permanent equity in mezzanine equity on the condensed consolidated balance sheets.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Common stock</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Each share of voting common stock is entitled to one vote. The holders of common stock are also entitled to receive dividends whenever funds are legally available and when and if declared by the Board of Directors, subject to the prior rights of holders of redeemable convertible preferred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F-61</w:t>
      </w:r>
    </w:p>
    <w:p>
      <w:pPr>
        <w:sectPr>
          <w:pgSz w:w="11900" w:h="16838" w:orient="portrait"/>
          <w:cols w:equalWidth="0" w:num="1">
            <w:col w:w="11260"/>
          </w:cols>
          <w:pgMar w:left="320" w:top="1440" w:right="319" w:bottom="1440" w:gutter="0" w:footer="0" w:header="0"/>
        </w:sectPr>
      </w:pPr>
    </w:p>
    <w:bookmarkStart w:id="378" w:name="page379"/>
    <w:bookmarkEnd w:id="378"/>
    <w:p>
      <w:pPr>
        <w:spacing w:after="0"/>
        <w:rPr>
          <w:sz w:val="20"/>
          <w:szCs w:val="20"/>
          <w:color w:val="auto"/>
        </w:rPr>
      </w:pPr>
      <w:r>
        <w:rPr>
          <w:rFonts w:ascii="Arial" w:cs="Arial" w:eastAsia="Arial" w:hAnsi="Arial"/>
          <w:sz w:val="19"/>
          <w:szCs w:val="19"/>
          <w:b w:val="1"/>
          <w:bCs w:val="1"/>
          <w:i w:val="1"/>
          <w:iCs w:val="1"/>
          <w:color w:val="auto"/>
        </w:rPr>
        <w:t>Stock option plan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Amended and Restated 2013 Stock Plan and 2020 Equity Incentive Plan</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Under our Amended and Restated 2013 Stock Plan, as amended, and our 2020 Equity Incentive Plan, as amended (each, a “Plan,” and together, the “Plans”), shares of common stock are reserved for the issuance of incentive stock options (“ISOs”), non-statutory stock options (“NSOs”), restricted stock units ("RSUs"), stock appreciation rights or restricted stock awards to eligible participants. Options may be granted with an exercise price per share not less than the fair market value at the date of grant. Options granted generally vest over a four-year term from the date of grant, at a rate of 25% after one year, then monthly on a straight-line basis thereafter. Generally, options granted are exercisable for up to ten years from the date of grant. RSUs granted generally vest quarterly on a straight-line basis and the occurrence of a qualifying event, defined as the earlier of (1) the closing of certain, specific change in control transactions, or (2) an IPO. Generally, RSUs expire seven years from the date of grant. Shares of common stock purchased under the Plans are subject to certain restrictions, including the right of first refusal by us for sales or transfers of shares to certain parties. Our rights of first refusal will terminate upon completion of an IPO.</w:t>
      </w:r>
    </w:p>
    <w:p>
      <w:pPr>
        <w:spacing w:after="0" w:line="152"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As of March 31, 2021, the Plan authorized 154,289,164 shares of common stock to be reserved for issuance on the exercise or settlement of equity awards, of which the right to purchase 7,799,737 shares remained available for issuance.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activity</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summary of stock option activity for the three months ended March 31, 2021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0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share and per share data)</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Weighted-Average</w:t>
            </w:r>
          </w:p>
        </w:tc>
        <w:tc>
          <w:tcPr>
            <w:tcW w:w="166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Weighted- Average</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560" w:type="dxa"/>
            <w:vAlign w:val="bottom"/>
            <w:vMerge w:val="restart"/>
          </w:tcPr>
          <w:p>
            <w:pPr>
              <w:jc w:val="right"/>
              <w:ind w:right="143"/>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vMerge w:val="restart"/>
          </w:tcPr>
          <w:p>
            <w:pPr>
              <w:jc w:val="right"/>
              <w:ind w:right="124"/>
              <w:spacing w:after="0"/>
              <w:rPr>
                <w:sz w:val="20"/>
                <w:szCs w:val="20"/>
                <w:color w:val="auto"/>
              </w:rPr>
            </w:pPr>
            <w:r>
              <w:rPr>
                <w:rFonts w:ascii="Arial" w:cs="Arial" w:eastAsia="Arial" w:hAnsi="Arial"/>
                <w:sz w:val="13"/>
                <w:szCs w:val="13"/>
                <w:b w:val="1"/>
                <w:bCs w:val="1"/>
                <w:color w:val="auto"/>
                <w:w w:val="97"/>
              </w:rPr>
              <w:t>Total Intrinsic Value</w:t>
            </w:r>
          </w:p>
        </w:tc>
        <w:tc>
          <w:tcPr>
            <w:tcW w:w="0" w:type="dxa"/>
            <w:vAlign w:val="bottom"/>
          </w:tcPr>
          <w:p>
            <w:pPr>
              <w:spacing w:after="0"/>
              <w:rPr>
                <w:sz w:val="1"/>
                <w:szCs w:val="1"/>
                <w:color w:val="auto"/>
              </w:rPr>
            </w:pPr>
          </w:p>
        </w:tc>
      </w:tr>
      <w:tr>
        <w:trPr>
          <w:trHeight w:val="155"/>
        </w:trPr>
        <w:tc>
          <w:tcPr>
            <w:tcW w:w="470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Exercise Price</w:t>
            </w: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266"/>
              <w:spacing w:after="0"/>
              <w:rPr>
                <w:sz w:val="20"/>
                <w:szCs w:val="20"/>
                <w:color w:val="auto"/>
              </w:rPr>
            </w:pPr>
            <w:r>
              <w:rPr>
                <w:rFonts w:ascii="Arial" w:cs="Arial" w:eastAsia="Arial" w:hAnsi="Arial"/>
                <w:sz w:val="13"/>
                <w:szCs w:val="13"/>
                <w:b w:val="1"/>
                <w:bCs w:val="1"/>
                <w:color w:val="auto"/>
              </w:rPr>
              <w:t>Remaining Life</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line="171" w:lineRule="exact"/>
              <w:rPr>
                <w:sz w:val="20"/>
                <w:szCs w:val="20"/>
                <w:color w:val="auto"/>
              </w:rPr>
            </w:pPr>
            <w:r>
              <w:rPr>
                <w:rFonts w:ascii="Arial" w:cs="Arial" w:eastAsia="Arial" w:hAnsi="Arial"/>
                <w:sz w:val="16"/>
                <w:szCs w:val="16"/>
                <w:color w:val="auto"/>
              </w:rPr>
              <w:t>Balance at December 31, 2020</w:t>
            </w:r>
          </w:p>
        </w:tc>
        <w:tc>
          <w:tcPr>
            <w:tcW w:w="156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21,543,828</w:t>
            </w:r>
          </w:p>
        </w:tc>
        <w:tc>
          <w:tcPr>
            <w:tcW w:w="280" w:type="dxa"/>
            <w:vAlign w:val="bottom"/>
            <w:tcBorders>
              <w:bottom w:val="single" w:sz="8" w:color="CCEEFF"/>
            </w:tcBorders>
            <w:gridSpan w:val="2"/>
            <w:shd w:val="clear" w:color="auto" w:fill="CCEEFF"/>
          </w:tcPr>
          <w:p>
            <w:pPr>
              <w:jc w:val="right"/>
              <w:ind w:right="80"/>
              <w:spacing w:after="0" w:line="171"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4"/>
              <w:spacing w:after="0" w:line="171" w:lineRule="exact"/>
              <w:rPr>
                <w:sz w:val="20"/>
                <w:szCs w:val="20"/>
                <w:color w:val="auto"/>
              </w:rPr>
            </w:pPr>
            <w:r>
              <w:rPr>
                <w:rFonts w:ascii="Arial" w:cs="Arial" w:eastAsia="Arial" w:hAnsi="Arial"/>
                <w:sz w:val="16"/>
                <w:szCs w:val="16"/>
                <w:color w:val="auto"/>
              </w:rPr>
              <w:t>2.19</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6.52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4"/>
              <w:spacing w:after="0" w:line="171" w:lineRule="exact"/>
              <w:rPr>
                <w:sz w:val="20"/>
                <w:szCs w:val="20"/>
                <w:color w:val="auto"/>
              </w:rPr>
            </w:pPr>
            <w:r>
              <w:rPr>
                <w:rFonts w:ascii="Arial" w:cs="Arial" w:eastAsia="Arial" w:hAnsi="Arial"/>
                <w:sz w:val="16"/>
                <w:szCs w:val="16"/>
                <w:color w:val="auto"/>
              </w:rPr>
              <w:t>304,590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tcPr>
          <w:p>
            <w:pPr>
              <w:ind w:left="200"/>
              <w:spacing w:after="0" w:line="171" w:lineRule="exact"/>
              <w:rPr>
                <w:sz w:val="20"/>
                <w:szCs w:val="20"/>
                <w:color w:val="auto"/>
              </w:rPr>
            </w:pPr>
            <w:r>
              <w:rPr>
                <w:rFonts w:ascii="Arial" w:cs="Arial" w:eastAsia="Arial" w:hAnsi="Arial"/>
                <w:sz w:val="16"/>
                <w:szCs w:val="16"/>
                <w:color w:val="auto"/>
              </w:rPr>
              <w:t>Exercised during the period</w:t>
            </w:r>
          </w:p>
        </w:tc>
        <w:tc>
          <w:tcPr>
            <w:tcW w:w="1560" w:type="dxa"/>
            <w:vAlign w:val="bottom"/>
          </w:tcPr>
          <w:p>
            <w:pPr>
              <w:jc w:val="right"/>
              <w:spacing w:after="0" w:line="171" w:lineRule="exact"/>
              <w:rPr>
                <w:sz w:val="20"/>
                <w:szCs w:val="20"/>
                <w:color w:val="auto"/>
              </w:rPr>
            </w:pPr>
            <w:r>
              <w:rPr>
                <w:rFonts w:ascii="Arial" w:cs="Arial" w:eastAsia="Arial" w:hAnsi="Arial"/>
                <w:sz w:val="16"/>
                <w:szCs w:val="16"/>
                <w:color w:val="auto"/>
              </w:rPr>
              <w:t>(3,225,828)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4"/>
              <w:spacing w:after="0" w:line="171" w:lineRule="exact"/>
              <w:rPr>
                <w:sz w:val="20"/>
                <w:szCs w:val="20"/>
                <w:color w:val="auto"/>
              </w:rPr>
            </w:pPr>
            <w:r>
              <w:rPr>
                <w:rFonts w:ascii="Arial" w:cs="Arial" w:eastAsia="Arial" w:hAnsi="Arial"/>
                <w:sz w:val="16"/>
                <w:szCs w:val="16"/>
                <w:color w:val="auto"/>
              </w:rPr>
              <w:t>1.80</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Cancelled and forfeited during the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5.09</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20"/>
              <w:spacing w:after="0"/>
              <w:rPr>
                <w:sz w:val="20"/>
                <w:szCs w:val="20"/>
                <w:color w:val="auto"/>
              </w:rPr>
            </w:pPr>
            <w:r>
              <w:rPr>
                <w:rFonts w:ascii="Arial" w:cs="Arial" w:eastAsia="Arial" w:hAnsi="Arial"/>
                <w:sz w:val="16"/>
                <w:szCs w:val="16"/>
                <w:color w:val="auto"/>
              </w:rPr>
              <w:t>Balance at March 31, 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18,096,127</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2.23</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6.16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709,067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vested and expected to vest at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18,096,127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2.23</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709,067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tcPr>
          <w:p>
            <w:pPr>
              <w:ind w:left="20"/>
              <w:spacing w:after="0" w:line="171" w:lineRule="exact"/>
              <w:rPr>
                <w:sz w:val="20"/>
                <w:szCs w:val="20"/>
                <w:color w:val="auto"/>
              </w:rPr>
            </w:pPr>
            <w:r>
              <w:rPr>
                <w:rFonts w:ascii="Arial" w:cs="Arial" w:eastAsia="Arial" w:hAnsi="Arial"/>
                <w:sz w:val="16"/>
                <w:szCs w:val="16"/>
                <w:color w:val="auto"/>
              </w:rPr>
              <w:t>Options exercisable at March 31, 2021</w:t>
            </w:r>
          </w:p>
        </w:tc>
        <w:tc>
          <w:tcPr>
            <w:tcW w:w="156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15,883,623</w:t>
            </w:r>
          </w:p>
        </w:tc>
        <w:tc>
          <w:tcPr>
            <w:tcW w:w="280" w:type="dxa"/>
            <w:vAlign w:val="bottom"/>
            <w:gridSpan w:val="2"/>
          </w:tcPr>
          <w:p>
            <w:pPr>
              <w:jc w:val="right"/>
              <w:ind w:right="80"/>
              <w:spacing w:after="0" w:line="171"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4"/>
              <w:spacing w:after="0" w:line="171" w:lineRule="exact"/>
              <w:rPr>
                <w:sz w:val="20"/>
                <w:szCs w:val="20"/>
                <w:color w:val="auto"/>
              </w:rPr>
            </w:pPr>
            <w:r>
              <w:rPr>
                <w:rFonts w:ascii="Arial" w:cs="Arial" w:eastAsia="Arial" w:hAnsi="Arial"/>
                <w:sz w:val="16"/>
                <w:szCs w:val="16"/>
                <w:color w:val="auto"/>
              </w:rPr>
              <w:t>1.64</w:t>
            </w:r>
          </w:p>
        </w:tc>
        <w:tc>
          <w:tcPr>
            <w:tcW w:w="80" w:type="dxa"/>
            <w:vAlign w:val="bottom"/>
          </w:tcPr>
          <w:p>
            <w:pPr>
              <w:spacing w:after="0"/>
              <w:rPr>
                <w:sz w:val="14"/>
                <w:szCs w:val="14"/>
                <w:color w:val="auto"/>
              </w:rPr>
            </w:pPr>
          </w:p>
        </w:tc>
        <w:tc>
          <w:tcPr>
            <w:tcW w:w="1580" w:type="dxa"/>
            <w:vAlign w:val="bottom"/>
          </w:tcPr>
          <w:p>
            <w:pPr>
              <w:jc w:val="right"/>
              <w:spacing w:after="0" w:line="171" w:lineRule="exact"/>
              <w:rPr>
                <w:sz w:val="20"/>
                <w:szCs w:val="20"/>
                <w:color w:val="auto"/>
              </w:rPr>
            </w:pPr>
            <w:r>
              <w:rPr>
                <w:rFonts w:ascii="Arial" w:cs="Arial" w:eastAsia="Arial" w:hAnsi="Arial"/>
                <w:sz w:val="16"/>
                <w:szCs w:val="16"/>
                <w:color w:val="auto"/>
              </w:rPr>
              <w:t>5.94</w:t>
            </w:r>
          </w:p>
        </w:tc>
        <w:tc>
          <w:tcPr>
            <w:tcW w:w="80" w:type="dxa"/>
            <w:vAlign w:val="bottom"/>
          </w:tcPr>
          <w:p>
            <w:pPr>
              <w:spacing w:after="0"/>
              <w:rPr>
                <w:sz w:val="14"/>
                <w:szCs w:val="14"/>
                <w:color w:val="auto"/>
              </w:rPr>
            </w:pPr>
          </w:p>
        </w:tc>
        <w:tc>
          <w:tcPr>
            <w:tcW w:w="16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1420" w:type="dxa"/>
            <w:vAlign w:val="bottom"/>
          </w:tcPr>
          <w:p>
            <w:pPr>
              <w:jc w:val="right"/>
              <w:ind w:right="4"/>
              <w:spacing w:after="0" w:line="171" w:lineRule="exact"/>
              <w:rPr>
                <w:sz w:val="20"/>
                <w:szCs w:val="20"/>
                <w:color w:val="auto"/>
              </w:rPr>
            </w:pPr>
            <w:r>
              <w:rPr>
                <w:rFonts w:ascii="Arial" w:cs="Arial" w:eastAsia="Arial" w:hAnsi="Arial"/>
                <w:sz w:val="16"/>
                <w:szCs w:val="16"/>
                <w:color w:val="auto"/>
              </w:rPr>
              <w:t>631,707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 activity</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the activity related to our time-based RSUs for the three months ended March 31,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66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Number of RSUs</w:t>
            </w: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Weighted- average grant</w:t>
            </w:r>
          </w:p>
        </w:tc>
        <w:tc>
          <w:tcPr>
            <w:tcW w:w="0" w:type="dxa"/>
            <w:vAlign w:val="bottom"/>
          </w:tcPr>
          <w:p>
            <w:pPr>
              <w:spacing w:after="0"/>
              <w:rPr>
                <w:sz w:val="1"/>
                <w:szCs w:val="1"/>
                <w:color w:val="auto"/>
              </w:rPr>
            </w:pPr>
          </w:p>
        </w:tc>
      </w:tr>
      <w:tr>
        <w:trPr>
          <w:trHeight w:val="155"/>
        </w:trPr>
        <w:tc>
          <w:tcPr>
            <w:tcW w:w="802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84"/>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220"/>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restricted stock at December 31, 2020</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47,711,649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20" w:type="dxa"/>
            <w:vAlign w:val="bottom"/>
          </w:tcPr>
          <w:p>
            <w:pPr>
              <w:ind w:left="200"/>
              <w:spacing w:after="0" w:line="171" w:lineRule="exact"/>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line="171" w:lineRule="exact"/>
              <w:rPr>
                <w:sz w:val="20"/>
                <w:szCs w:val="20"/>
                <w:color w:val="auto"/>
              </w:rPr>
            </w:pPr>
            <w:r>
              <w:rPr>
                <w:rFonts w:ascii="Arial" w:cs="Arial" w:eastAsia="Arial" w:hAnsi="Arial"/>
                <w:sz w:val="16"/>
                <w:szCs w:val="16"/>
                <w:color w:val="auto"/>
              </w:rPr>
              <w:t>7,298,805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4"/>
              <w:spacing w:after="0" w:line="171" w:lineRule="exact"/>
              <w:rPr>
                <w:sz w:val="20"/>
                <w:szCs w:val="20"/>
                <w:color w:val="auto"/>
              </w:rPr>
            </w:pPr>
            <w:r>
              <w:rPr>
                <w:rFonts w:ascii="Arial" w:cs="Arial" w:eastAsia="Arial" w:hAnsi="Arial"/>
                <w:sz w:val="16"/>
                <w:szCs w:val="16"/>
                <w:color w:val="auto"/>
              </w:rPr>
              <w:t>39.75</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(853,952)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Unvested restricted stock at March 31, 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54,156,502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In the year ended December 31, 2019, we also granted 27,663,658 RSUs with both performance and market-based conditions to certain executives. These awards have a weighted-average grant date fair value of $0.29 and were unvested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F-62</w:t>
      </w:r>
    </w:p>
    <w:p>
      <w:pPr>
        <w:sectPr>
          <w:pgSz w:w="11900" w:h="16838" w:orient="portrait"/>
          <w:cols w:equalWidth="0" w:num="1">
            <w:col w:w="11260"/>
          </w:cols>
          <w:pgMar w:left="320" w:top="1425" w:right="319" w:bottom="1440" w:gutter="0" w:footer="0" w:header="0"/>
        </w:sectPr>
      </w:pPr>
    </w:p>
    <w:bookmarkStart w:id="379" w:name="page380"/>
    <w:bookmarkEnd w:id="379"/>
    <w:p>
      <w:pPr>
        <w:spacing w:after="0"/>
        <w:rPr>
          <w:sz w:val="20"/>
          <w:szCs w:val="20"/>
          <w:color w:val="auto"/>
        </w:rPr>
      </w:pPr>
      <w:r>
        <w:rPr>
          <w:rFonts w:ascii="Arial" w:cs="Arial" w:eastAsia="Arial" w:hAnsi="Arial"/>
          <w:sz w:val="19"/>
          <w:szCs w:val="19"/>
          <w:b w:val="1"/>
          <w:bCs w:val="1"/>
          <w:i w:val="1"/>
          <w:iCs w:val="1"/>
          <w:color w:val="auto"/>
        </w:rPr>
        <w:t>Share-based compensation</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the effects of share-based compensation on our condensed 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960" w:type="dxa"/>
            <w:vAlign w:val="bottom"/>
          </w:tcPr>
          <w:p>
            <w:pPr>
              <w:spacing w:after="0"/>
              <w:rPr>
                <w:sz w:val="13"/>
                <w:szCs w:val="13"/>
                <w:color w:val="auto"/>
              </w:rPr>
            </w:pPr>
          </w:p>
        </w:tc>
      </w:tr>
      <w:tr>
        <w:trPr>
          <w:trHeight w:val="155"/>
        </w:trPr>
        <w:tc>
          <w:tcPr>
            <w:tcW w:w="80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3"/>
                <w:szCs w:val="13"/>
                <w:b w:val="1"/>
                <w:bCs w:val="1"/>
                <w:color w:val="auto"/>
              </w:rPr>
              <w:t>March 31,</w:t>
            </w:r>
          </w:p>
        </w:tc>
        <w:tc>
          <w:tcPr>
            <w:tcW w:w="960" w:type="dxa"/>
            <w:vAlign w:val="bottom"/>
            <w:tcBorders>
              <w:bottom w:val="single" w:sz="8" w:color="auto"/>
            </w:tcBorders>
          </w:tcPr>
          <w:p>
            <w:pPr>
              <w:spacing w:after="0"/>
              <w:rPr>
                <w:sz w:val="13"/>
                <w:szCs w:val="13"/>
                <w:color w:val="auto"/>
              </w:rPr>
            </w:pP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2021</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Brokerage and transaction</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Technology and development</w:t>
            </w:r>
          </w:p>
        </w:tc>
        <w:tc>
          <w:tcPr>
            <w:tcW w:w="38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1,716</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1,308</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Marketing</w:t>
            </w:r>
          </w:p>
        </w:tc>
        <w:tc>
          <w:tcPr>
            <w:tcW w:w="38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37</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672</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7,642</w:t>
            </w:r>
          </w:p>
        </w:tc>
      </w:tr>
      <w:tr>
        <w:trPr>
          <w:trHeight w:val="195"/>
        </w:trPr>
        <w:tc>
          <w:tcPr>
            <w:tcW w:w="8020" w:type="dxa"/>
            <w:vAlign w:val="bottom"/>
          </w:tcPr>
          <w:p>
            <w:pPr>
              <w:ind w:left="20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2,412</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8,996</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During the three months ended March 31, 2020 and 2021, we capitalized $0.3 million and $0.1 million in share-based compensation expense related to internally developed software.</w:t>
      </w:r>
    </w:p>
    <w:p>
      <w:pPr>
        <w:spacing w:after="0" w:line="13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As of March 31, 2021, there was $ 6.1 million of unrecognized compensation cost related to outstanding stock options that is expected to be recognized over a weighted-average period of 1.08 years.</w:t>
      </w:r>
    </w:p>
    <w:p>
      <w:pPr>
        <w:spacing w:after="0" w:line="15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grant RSUs that vest only upon the satisfaction of both time-based service and performance-based conditions. In March 2021, we modified the awards of 497 employees to remove the one-year vesting cliff, considered to be an improbable to improbable modification. As of March 31, 2021, no share-based compensation expense had been recognized for such awards with a performance condition based on the occurrence of a qualifying event, such as an IPO, as such qualifying event was not probable. The RSUs were revalued at the modification date, and the modified grant date fair value of the awards of $39.75 per share will be used to calculate share-based compensation expense once the performance condition becomes probable.</w:t>
      </w:r>
    </w:p>
    <w:p>
      <w:pPr>
        <w:spacing w:after="0" w:line="14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The total unrecognized share-based compensation expense related to our RSU awards was $ 1,211.3 million as of March 31, 2021. Of this amount, $348.8 million relates to awards for which the time-based vesting condition has been satisfied or partially satisfied while $862.5 million relates to awards for which the time-based vesting condition had not yet been satisfied.</w:t>
      </w:r>
    </w:p>
    <w:p>
      <w:pPr>
        <w:spacing w:after="0" w:line="145"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In the year ended December 31, 2019, we granted market-based awards in the form of RSUs to certain executives. These awards vest based on our achievement of market-based targets and certain performance conditions, subject to continuous employment by each recipient. As of December 31, 2020 no share-based compensation expense had been recognized for such awards based on the occurrence of a qualifying event of an IPO before a set date, as such qualifying event was not probable. The total unrecognized share-based compensation expense relating to these awards was $8.0 million as of March 31, 2021. Of this amount, $3.0 million relates to awards for which the time-based vesting condition had been satisfied or partially satisfied, $1.0 million relates to awards for which the time-based vesting condition had not yet been satisfied and $4.0 million relates to awards with a performance condition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F-63</w:t>
      </w:r>
    </w:p>
    <w:p>
      <w:pPr>
        <w:sectPr>
          <w:pgSz w:w="11900" w:h="16838" w:orient="portrait"/>
          <w:cols w:equalWidth="0" w:num="1">
            <w:col w:w="11260"/>
          </w:cols>
          <w:pgMar w:left="320" w:top="1426" w:right="319" w:bottom="1440" w:gutter="0" w:footer="0" w:header="0"/>
        </w:sectPr>
      </w:pPr>
    </w:p>
    <w:bookmarkStart w:id="380" w:name="page381"/>
    <w:bookmarkEnd w:id="380"/>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NOTE 12 - LOSS PER SHARE</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calculation of basic and diluted loss per share:</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159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195" cy="15938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allocation of earnings to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48195" cy="1746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8195" cy="174625"/>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7148195" cy="151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195" cy="151765"/>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Weighted-average common stock outstanding - basic</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Dilutive effect of stock options and unvested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48195" cy="1746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195" cy="174625"/>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Weighted-average common stock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7148195" cy="151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1765"/>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loss per share attributable to common stockholders: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w:t>
      </w:r>
    </w:p>
    <w:p>
      <w:pPr>
        <w:jc w:val="center"/>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204851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48510" cy="762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2021</w:t>
            </w:r>
          </w:p>
        </w:tc>
      </w:tr>
      <w:tr>
        <w:trPr>
          <w:trHeight w:val="207"/>
        </w:trPr>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(52,502)</w:t>
            </w:r>
          </w:p>
        </w:tc>
        <w:tc>
          <w:tcPr>
            <w:tcW w:w="80" w:type="dxa"/>
            <w:vAlign w:val="bottom"/>
          </w:tcPr>
          <w:p>
            <w:pPr>
              <w:spacing w:after="0"/>
              <w:rPr>
                <w:sz w:val="18"/>
                <w:szCs w:val="18"/>
                <w:color w:val="auto"/>
              </w:rPr>
            </w:pP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(1,444,803)</w:t>
            </w:r>
          </w:p>
        </w:tc>
      </w:tr>
      <w:tr>
        <w:trPr>
          <w:trHeight w:val="239"/>
        </w:trPr>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4"/>
        </w:trPr>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(52,502)</w:t>
            </w:r>
          </w:p>
        </w:tc>
        <w:tc>
          <w:tcPr>
            <w:tcW w:w="80" w:type="dxa"/>
            <w:vAlign w:val="bottom"/>
          </w:tcPr>
          <w:p>
            <w:pPr>
              <w:spacing w:after="0"/>
              <w:rPr>
                <w:sz w:val="18"/>
                <w:szCs w:val="18"/>
                <w:color w:val="auto"/>
              </w:rPr>
            </w:pP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(1,444,803)</w:t>
            </w:r>
          </w:p>
        </w:tc>
      </w:tr>
      <w:tr>
        <w:trPr>
          <w:trHeight w:val="24"/>
        </w:trPr>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30"/>
        </w:trPr>
        <w:tc>
          <w:tcPr>
            <w:tcW w:w="360" w:type="dxa"/>
            <w:vAlign w:val="bottom"/>
          </w:tcPr>
          <w:p>
            <w:pPr>
              <w:spacing w:after="0"/>
              <w:rPr>
                <w:sz w:val="24"/>
                <w:szCs w:val="24"/>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224,780,085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230,685,464</w:t>
            </w:r>
          </w:p>
        </w:tc>
      </w:tr>
      <w:tr>
        <w:trPr>
          <w:trHeight w:val="239"/>
        </w:trPr>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31"/>
        </w:trPr>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224,780,085</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230,685,464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65" w:lineRule="exact"/>
        <w:rPr>
          <w:sz w:val="20"/>
          <w:szCs w:val="20"/>
          <w:color w:val="auto"/>
        </w:rPr>
      </w:pPr>
    </w:p>
    <w:p>
      <w:pPr>
        <w:sectPr>
          <w:pgSz w:w="11900" w:h="16838" w:orient="portrait"/>
          <w:cols w:equalWidth="0" w:num="2">
            <w:col w:w="7300" w:space="720"/>
            <w:col w:w="3240"/>
          </w:cols>
          <w:pgMar w:left="320" w:top="1440" w:right="31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280" w:type="dxa"/>
            <w:vAlign w:val="bottom"/>
          </w:tcPr>
          <w:p>
            <w:pPr>
              <w:ind w:left="20"/>
              <w:spacing w:after="0"/>
              <w:rPr>
                <w:sz w:val="20"/>
                <w:szCs w:val="20"/>
                <w:color w:val="auto"/>
              </w:rPr>
            </w:pPr>
            <w:r>
              <w:rPr>
                <w:rFonts w:ascii="Arial" w:cs="Arial" w:eastAsia="Arial" w:hAnsi="Arial"/>
                <w:sz w:val="16"/>
                <w:szCs w:val="16"/>
                <w:color w:val="auto"/>
              </w:rPr>
              <w:t>Basic</w:t>
            </w:r>
          </w:p>
        </w:tc>
        <w:tc>
          <w:tcPr>
            <w:tcW w:w="436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(0.23)</w:t>
            </w:r>
          </w:p>
        </w:tc>
        <w:tc>
          <w:tcPr>
            <w:tcW w:w="66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24"/>
        </w:trPr>
        <w:tc>
          <w:tcPr>
            <w:tcW w:w="4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5"/>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436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66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r>
      <w:tr>
        <w:trPr>
          <w:trHeight w:val="24"/>
        </w:trPr>
        <w:tc>
          <w:tcPr>
            <w:tcW w:w="428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The following potential common shares were excluded from the calculation of diluted net loss per share because their effect would have been anti-dilutive or issuance of such shares is contingent upon the satisfaction of certain conditions which were not satisfied by the end of the period:</w:t>
      </w:r>
    </w:p>
    <w:p>
      <w:pPr>
        <w:spacing w:after="0" w:line="200" w:lineRule="exact"/>
        <w:rPr>
          <w:sz w:val="20"/>
          <w:szCs w:val="20"/>
          <w:color w:val="auto"/>
        </w:rPr>
      </w:pPr>
    </w:p>
    <w:p>
      <w:pPr>
        <w:spacing w:after="0" w:line="332" w:lineRule="exact"/>
        <w:rPr>
          <w:sz w:val="20"/>
          <w:szCs w:val="20"/>
          <w:color w:val="auto"/>
        </w:rPr>
      </w:pPr>
    </w:p>
    <w:p>
      <w:pPr>
        <w:jc w:val="center"/>
        <w:ind w:left="8020"/>
        <w:spacing w:after="0"/>
        <w:rPr>
          <w:sz w:val="20"/>
          <w:szCs w:val="20"/>
          <w:color w:val="auto"/>
        </w:rPr>
      </w:pPr>
      <w:r>
        <w:rPr>
          <w:rFonts w:ascii="Arial" w:cs="Arial" w:eastAsia="Arial" w:hAnsi="Arial"/>
          <w:sz w:val="13"/>
          <w:szCs w:val="13"/>
          <w:b w:val="1"/>
          <w:bCs w:val="1"/>
          <w:color w:val="auto"/>
        </w:rPr>
        <w:t>Three Months Ended</w:t>
      </w:r>
    </w:p>
    <w:p>
      <w:pPr>
        <w:jc w:val="center"/>
        <w:ind w:left="802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5096510</wp:posOffset>
            </wp:positionH>
            <wp:positionV relativeFrom="paragraph">
              <wp:posOffset>1270</wp:posOffset>
            </wp:positionV>
            <wp:extent cx="204851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48510" cy="762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2021</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convertible preferred stock</w:t>
            </w: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321,626,778</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412,742,897</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RSUs</w:t>
            </w:r>
          </w:p>
        </w:tc>
        <w:tc>
          <w:tcPr>
            <w:tcW w:w="1580" w:type="dxa"/>
            <w:vAlign w:val="bottom"/>
          </w:tcPr>
          <w:p>
            <w:pPr>
              <w:jc w:val="right"/>
              <w:ind w:right="3"/>
              <w:spacing w:after="0"/>
              <w:rPr>
                <w:sz w:val="20"/>
                <w:szCs w:val="20"/>
                <w:color w:val="auto"/>
              </w:rPr>
            </w:pPr>
            <w:r>
              <w:rPr>
                <w:rFonts w:ascii="Arial" w:cs="Arial" w:eastAsia="Arial" w:hAnsi="Arial"/>
                <w:sz w:val="16"/>
                <w:szCs w:val="16"/>
                <w:color w:val="auto"/>
              </w:rPr>
              <w:t>55,129,928</w:t>
            </w:r>
          </w:p>
        </w:tc>
        <w:tc>
          <w:tcPr>
            <w:tcW w:w="80" w:type="dxa"/>
            <w:vAlign w:val="bottom"/>
          </w:tcPr>
          <w:p>
            <w:pPr>
              <w:spacing w:after="0"/>
              <w:rPr>
                <w:sz w:val="17"/>
                <w:szCs w:val="17"/>
                <w:color w:val="auto"/>
              </w:rPr>
            </w:pPr>
          </w:p>
        </w:tc>
        <w:tc>
          <w:tcPr>
            <w:tcW w:w="1580" w:type="dxa"/>
            <w:vAlign w:val="bottom"/>
          </w:tcPr>
          <w:p>
            <w:pPr>
              <w:jc w:val="right"/>
              <w:ind w:right="3"/>
              <w:spacing w:after="0"/>
              <w:rPr>
                <w:sz w:val="20"/>
                <w:szCs w:val="20"/>
                <w:color w:val="auto"/>
              </w:rPr>
            </w:pPr>
            <w:r>
              <w:rPr>
                <w:rFonts w:ascii="Arial" w:cs="Arial" w:eastAsia="Arial" w:hAnsi="Arial"/>
                <w:sz w:val="16"/>
                <w:szCs w:val="16"/>
                <w:color w:val="auto"/>
              </w:rPr>
              <w:t>81,820,160</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26,592,784</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18,096,127</w:t>
            </w:r>
          </w:p>
        </w:tc>
      </w:tr>
      <w:tr>
        <w:trPr>
          <w:trHeight w:val="20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Unvested shares</w:t>
            </w:r>
          </w:p>
        </w:tc>
        <w:tc>
          <w:tcPr>
            <w:tcW w:w="1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704,651</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187,885</w:t>
            </w:r>
          </w:p>
        </w:tc>
      </w:tr>
      <w:tr>
        <w:trPr>
          <w:trHeight w:val="22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anti-dilutive securities</w:t>
            </w: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404,054,141</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512,847,069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table above does not include contingently issuable shares due to the conversion of our convertible notes or exercise of our warrant liability, issued in February 2021, described in Note 10 - Financing Activities and Off-Balance Sheet Risk.</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NOTE 13: RELATED PARTY TRANSACTIONS</w:t>
      </w:r>
    </w:p>
    <w:p>
      <w:pPr>
        <w:spacing w:after="0" w:line="163"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Related party transactions may include any transaction between entities under common control or with a related party. We have defined related parties as members of the board of directors, executive officers, principal owners of our outstanding stock and any immediate family members of each such related party, as well as any other person or entity with significant influence over our management or operations.</w:t>
      </w:r>
    </w:p>
    <w:p>
      <w:pPr>
        <w:spacing w:after="0" w:line="157"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February 2021, we issued two tranches of convertible notes and granted to each purchaser of the Tranche I convertible notes a warrant to purchase equity securities - see Note 10 - Financing Activities and Off-Balance Sheet Risk. Two of the Tranche I investors are our related parties. As of March 31, 2021, amounts due to these two related parties were $165.4 million of convertible notes and $18.2 million of warrant liability included as other non-current liabilities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F-64</w:t>
      </w:r>
    </w:p>
    <w:p>
      <w:pPr>
        <w:sectPr>
          <w:pgSz w:w="11900" w:h="16838" w:orient="portrait"/>
          <w:cols w:equalWidth="0" w:num="1">
            <w:col w:w="11260"/>
          </w:cols>
          <w:pgMar w:left="320" w:top="1440" w:right="319" w:bottom="1440" w:gutter="0" w:footer="0" w:header="0"/>
          <w:type w:val="continuous"/>
        </w:sectPr>
      </w:pPr>
    </w:p>
    <w:bookmarkStart w:id="381" w:name="page382"/>
    <w:bookmarkEnd w:id="381"/>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NOTE 14: COMMITMENTS AND CONTINGENCIES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Commitments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operating leases are comprised of office facilities, with the most significant leases relating to corporate headquarters in Menlo Park. Our leases have remaining terms of 1 year to 10 years, and many leases include one or more options to renew. We do not assume renewals in our determination of the lease term unless the renewals are deemed to be reasonably assured at lease commencement. We do not have any finance leases. As of December 31, 2020 and March 31, 2021 we had $49.2 million and $55.2 million of operating right-of-use assets included as other non-current assets and $ 54.1 million and $ 61.2 million of operating lease liabilities: $6.1 million and $6.6 million included as other current liabilities and $48.0 million and $54.6 million as other non-current liabilities in the condensed consolidated balance sheets.</w:t>
      </w:r>
    </w:p>
    <w:p>
      <w:pPr>
        <w:spacing w:after="0" w:line="160"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As of March 31, 2021, we have an executed operating lease that has not yet commenced for office facilities that will commence in May 2021. Under the terms of the lease, we will have the right to construct tenant improvements to the underlying asset upon commencement.</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components of lease expense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960" w:type="dxa"/>
            <w:vAlign w:val="bottom"/>
          </w:tcPr>
          <w:p>
            <w:pPr>
              <w:spacing w:after="0"/>
              <w:rPr>
                <w:sz w:val="13"/>
                <w:szCs w:val="13"/>
                <w:color w:val="auto"/>
              </w:rPr>
            </w:pPr>
          </w:p>
        </w:tc>
      </w:tr>
      <w:tr>
        <w:trPr>
          <w:trHeight w:val="155"/>
        </w:trPr>
        <w:tc>
          <w:tcPr>
            <w:tcW w:w="80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3"/>
                <w:szCs w:val="13"/>
                <w:b w:val="1"/>
                <w:bCs w:val="1"/>
                <w:color w:val="auto"/>
              </w:rPr>
              <w:t>March 31,</w:t>
            </w:r>
          </w:p>
        </w:tc>
        <w:tc>
          <w:tcPr>
            <w:tcW w:w="960" w:type="dxa"/>
            <w:vAlign w:val="bottom"/>
            <w:tcBorders>
              <w:bottom w:val="single" w:sz="8" w:color="auto"/>
            </w:tcBorders>
          </w:tcPr>
          <w:p>
            <w:pPr>
              <w:spacing w:after="0"/>
              <w:rPr>
                <w:sz w:val="13"/>
                <w:szCs w:val="13"/>
                <w:color w:val="auto"/>
              </w:rPr>
            </w:pPr>
          </w:p>
        </w:tc>
      </w:tr>
      <w:tr>
        <w:trPr>
          <w:trHeight w:val="15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2021</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operating lease costs</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2,370</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3,779</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Variable operating lease costs</w:t>
            </w:r>
          </w:p>
        </w:tc>
        <w:tc>
          <w:tcPr>
            <w:tcW w:w="380" w:type="dxa"/>
            <w:vAlign w:val="bottom"/>
          </w:tcPr>
          <w:p>
            <w:pPr>
              <w:spacing w:after="0"/>
              <w:rPr>
                <w:sz w:val="17"/>
                <w:szCs w:val="17"/>
                <w:color w:val="auto"/>
              </w:rPr>
            </w:pPr>
          </w:p>
        </w:tc>
        <w:tc>
          <w:tcPr>
            <w:tcW w:w="1200" w:type="dxa"/>
            <w:vAlign w:val="bottom"/>
          </w:tcPr>
          <w:p>
            <w:pPr>
              <w:jc w:val="right"/>
              <w:ind w:right="7"/>
              <w:spacing w:after="0"/>
              <w:rPr>
                <w:sz w:val="20"/>
                <w:szCs w:val="20"/>
                <w:color w:val="auto"/>
              </w:rPr>
            </w:pPr>
            <w:r>
              <w:rPr>
                <w:rFonts w:ascii="Arial" w:cs="Arial" w:eastAsia="Arial" w:hAnsi="Arial"/>
                <w:sz w:val="16"/>
                <w:szCs w:val="16"/>
                <w:color w:val="auto"/>
              </w:rPr>
              <w:t>723</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1,078</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costs</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254</w:t>
            </w:r>
          </w:p>
        </w:tc>
      </w:tr>
      <w:tr>
        <w:trPr>
          <w:trHeight w:val="195"/>
        </w:trPr>
        <w:tc>
          <w:tcPr>
            <w:tcW w:w="8020" w:type="dxa"/>
            <w:vAlign w:val="bottom"/>
          </w:tcPr>
          <w:p>
            <w:pPr>
              <w:ind w:left="200"/>
              <w:spacing w:after="0"/>
              <w:rPr>
                <w:sz w:val="20"/>
                <w:szCs w:val="20"/>
                <w:color w:val="auto"/>
              </w:rPr>
            </w:pPr>
            <w:r>
              <w:rPr>
                <w:rFonts w:ascii="Arial" w:cs="Arial" w:eastAsia="Arial" w:hAnsi="Arial"/>
                <w:sz w:val="16"/>
                <w:szCs w:val="16"/>
                <w:color w:val="auto"/>
              </w:rPr>
              <w:t>Total lease costs</w:t>
            </w:r>
          </w:p>
        </w:tc>
        <w:tc>
          <w:tcPr>
            <w:tcW w:w="3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3,099</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5,111</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Variable operating lease costs are primarily related to payments made to our landlords for common area maintenance, property taxes, insurance, and other operating expenses.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information related to our operating leases was as follows:</w:t>
      </w:r>
    </w:p>
    <w:p>
      <w:pPr>
        <w:spacing w:after="0" w:line="173" w:lineRule="exact"/>
        <w:rPr>
          <w:sz w:val="20"/>
          <w:szCs w:val="20"/>
          <w:color w:val="auto"/>
        </w:rPr>
      </w:pPr>
    </w:p>
    <w:p>
      <w:pPr>
        <w:jc w:val="center"/>
        <w:ind w:left="7800"/>
        <w:spacing w:after="0"/>
        <w:rPr>
          <w:sz w:val="20"/>
          <w:szCs w:val="20"/>
          <w:color w:val="auto"/>
        </w:rPr>
      </w:pPr>
      <w:r>
        <w:rPr>
          <w:rFonts w:ascii="Arial" w:cs="Arial" w:eastAsia="Arial" w:hAnsi="Arial"/>
          <w:sz w:val="13"/>
          <w:szCs w:val="13"/>
          <w:b w:val="1"/>
          <w:bCs w:val="1"/>
          <w:color w:val="auto"/>
        </w:rPr>
        <w:t>Three Months Ended</w:t>
      </w:r>
    </w:p>
    <w:p>
      <w:pPr>
        <w:jc w:val="center"/>
        <w:ind w:left="7800"/>
        <w:spacing w:after="0"/>
        <w:rPr>
          <w:sz w:val="20"/>
          <w:szCs w:val="20"/>
          <w:color w:val="auto"/>
        </w:rPr>
      </w:pPr>
      <w:r>
        <w:rPr>
          <w:rFonts w:ascii="Arial" w:cs="Arial" w:eastAsia="Arial" w:hAnsi="Arial"/>
          <w:sz w:val="13"/>
          <w:szCs w:val="13"/>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626"/>
              <w:spacing w:after="0"/>
              <w:rPr>
                <w:sz w:val="20"/>
                <w:szCs w:val="20"/>
                <w:color w:val="auto"/>
              </w:rPr>
            </w:pPr>
            <w:r>
              <w:rPr>
                <w:rFonts w:ascii="Arial" w:cs="Arial" w:eastAsia="Arial" w:hAnsi="Arial"/>
                <w:sz w:val="13"/>
                <w:szCs w:val="13"/>
                <w:b w:val="1"/>
                <w:bCs w:val="1"/>
                <w:color w:val="auto"/>
                <w:w w:val="96"/>
              </w:rPr>
              <w:t>2021</w:t>
            </w: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6.46 years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 years</w:t>
            </w:r>
          </w:p>
        </w:tc>
      </w:tr>
      <w:tr>
        <w:trPr>
          <w:trHeight w:val="203"/>
        </w:trPr>
        <w:tc>
          <w:tcPr>
            <w:tcW w:w="780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7.42 %</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center"/>
              <w:ind w:left="386"/>
              <w:spacing w:after="0"/>
              <w:rPr>
                <w:sz w:val="20"/>
                <w:szCs w:val="20"/>
                <w:color w:val="auto"/>
              </w:rPr>
            </w:pPr>
            <w:r>
              <w:rPr>
                <w:rFonts w:ascii="Arial" w:cs="Arial" w:eastAsia="Arial" w:hAnsi="Arial"/>
                <w:sz w:val="16"/>
                <w:szCs w:val="16"/>
                <w:color w:val="auto"/>
              </w:rPr>
              <w:t>6.63 %</w:t>
            </w:r>
          </w:p>
        </w:tc>
      </w:tr>
      <w:tr>
        <w:trPr>
          <w:trHeight w:val="430"/>
        </w:trPr>
        <w:tc>
          <w:tcPr>
            <w:tcW w:w="7800" w:type="dxa"/>
            <w:vAlign w:val="bottom"/>
          </w:tcPr>
          <w:p>
            <w:pPr>
              <w:ind w:left="280"/>
              <w:spacing w:after="0"/>
              <w:rPr>
                <w:sz w:val="20"/>
                <w:szCs w:val="20"/>
                <w:color w:val="auto"/>
              </w:rPr>
            </w:pPr>
            <w:r>
              <w:rPr>
                <w:rFonts w:ascii="Arial" w:cs="Arial" w:eastAsia="Arial" w:hAnsi="Arial"/>
                <w:sz w:val="16"/>
                <w:szCs w:val="16"/>
                <w:color w:val="auto"/>
              </w:rPr>
              <w:t>Cash flows related to leases were as follows: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0"/>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5"/>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000" w:type="dxa"/>
            <w:vAlign w:val="bottom"/>
          </w:tcPr>
          <w:p>
            <w:pPr>
              <w:spacing w:after="0"/>
              <w:rPr>
                <w:sz w:val="24"/>
                <w:szCs w:val="24"/>
                <w:color w:val="auto"/>
              </w:rPr>
            </w:pPr>
          </w:p>
        </w:tc>
      </w:tr>
      <w:tr>
        <w:trPr>
          <w:trHeight w:val="155"/>
        </w:trPr>
        <w:tc>
          <w:tcPr>
            <w:tcW w:w="7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bottom w:val="single" w:sz="8" w:color="auto"/>
            </w:tcBorders>
          </w:tcPr>
          <w:p>
            <w:pPr>
              <w:spacing w:after="0"/>
              <w:rPr>
                <w:sz w:val="13"/>
                <w:szCs w:val="13"/>
                <w:color w:val="auto"/>
              </w:rPr>
            </w:pPr>
          </w:p>
        </w:tc>
      </w:tr>
      <w:tr>
        <w:trPr>
          <w:trHeight w:val="15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2021</w:t>
            </w:r>
          </w:p>
        </w:tc>
      </w:tr>
      <w:tr>
        <w:trPr>
          <w:trHeight w:val="18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3"/>
        </w:trPr>
        <w:tc>
          <w:tcPr>
            <w:tcW w:w="7800" w:type="dxa"/>
            <w:vAlign w:val="bottom"/>
          </w:tcPr>
          <w:p>
            <w:pPr>
              <w:ind w:left="200"/>
              <w:spacing w:after="0"/>
              <w:rPr>
                <w:sz w:val="20"/>
                <w:szCs w:val="20"/>
                <w:color w:val="auto"/>
              </w:rPr>
            </w:pPr>
            <w:r>
              <w:rPr>
                <w:rFonts w:ascii="Arial" w:cs="Arial" w:eastAsia="Arial" w:hAnsi="Arial"/>
                <w:sz w:val="16"/>
                <w:szCs w:val="16"/>
                <w:color w:val="auto"/>
              </w:rPr>
              <w:t>Payments for operating lease liabilities</w:t>
            </w: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7,980</w:t>
            </w:r>
          </w:p>
        </w:tc>
        <w:tc>
          <w:tcPr>
            <w:tcW w:w="70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left="366"/>
              <w:spacing w:after="0"/>
              <w:rPr>
                <w:sz w:val="20"/>
                <w:szCs w:val="20"/>
                <w:color w:val="auto"/>
              </w:rPr>
            </w:pPr>
            <w:r>
              <w:rPr>
                <w:rFonts w:ascii="Arial" w:cs="Arial" w:eastAsia="Arial" w:hAnsi="Arial"/>
                <w:sz w:val="16"/>
                <w:szCs w:val="16"/>
                <w:color w:val="auto"/>
                <w:w w:val="99"/>
              </w:rPr>
              <w:t>2,469</w:t>
            </w:r>
          </w:p>
        </w:tc>
      </w:tr>
      <w:tr>
        <w:trPr>
          <w:trHeight w:val="20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data:</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7800" w:type="dxa"/>
            <w:vAlign w:val="bottom"/>
          </w:tcPr>
          <w:p>
            <w:pPr>
              <w:ind w:left="200"/>
              <w:spacing w:after="0"/>
              <w:rPr>
                <w:sz w:val="20"/>
                <w:szCs w:val="20"/>
                <w:color w:val="auto"/>
              </w:rPr>
            </w:pPr>
            <w:r>
              <w:rPr>
                <w:rFonts w:ascii="Arial" w:cs="Arial" w:eastAsia="Arial" w:hAnsi="Arial"/>
                <w:sz w:val="16"/>
                <w:szCs w:val="16"/>
                <w:color w:val="auto"/>
              </w:rPr>
              <w:t>Lease liabilities arising from obtaining right-of-use assets</w:t>
            </w: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7,833</w:t>
            </w:r>
          </w:p>
        </w:tc>
        <w:tc>
          <w:tcPr>
            <w:tcW w:w="70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left="366"/>
              <w:spacing w:after="0"/>
              <w:rPr>
                <w:sz w:val="20"/>
                <w:szCs w:val="20"/>
                <w:color w:val="auto"/>
              </w:rPr>
            </w:pPr>
            <w:r>
              <w:rPr>
                <w:rFonts w:ascii="Arial" w:cs="Arial" w:eastAsia="Arial" w:hAnsi="Arial"/>
                <w:sz w:val="16"/>
                <w:szCs w:val="16"/>
                <w:color w:val="auto"/>
                <w:w w:val="99"/>
              </w:rPr>
              <w:t>8,660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F-65</w:t>
      </w:r>
    </w:p>
    <w:p>
      <w:pPr>
        <w:sectPr>
          <w:pgSz w:w="11900" w:h="16838" w:orient="portrait"/>
          <w:cols w:equalWidth="0" w:num="1">
            <w:col w:w="11260"/>
          </w:cols>
          <w:pgMar w:left="320" w:top="1440" w:right="319" w:bottom="1440" w:gutter="0" w:footer="0" w:header="0"/>
        </w:sectPr>
      </w:pPr>
    </w:p>
    <w:bookmarkStart w:id="382" w:name="page383"/>
    <w:bookmarkEnd w:id="382"/>
    <w:p>
      <w:pPr>
        <w:spacing w:after="0" w:line="1"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Future minimum lease payments under non-cancellable operating leases (with initial lease terms in excess of one year) as of March 31, 2021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6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3"/>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2021</w:t>
            </w:r>
          </w:p>
        </w:tc>
        <w:tc>
          <w:tcPr>
            <w:tcW w:w="54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11,418</w:t>
            </w:r>
          </w:p>
        </w:tc>
      </w:tr>
      <w:tr>
        <w:trPr>
          <w:trHeight w:val="203"/>
        </w:trPr>
        <w:tc>
          <w:tcPr>
            <w:tcW w:w="9680" w:type="dxa"/>
            <w:vAlign w:val="bottom"/>
          </w:tcPr>
          <w:p>
            <w:pPr>
              <w:ind w:left="20"/>
              <w:spacing w:after="0"/>
              <w:rPr>
                <w:sz w:val="20"/>
                <w:szCs w:val="20"/>
                <w:color w:val="auto"/>
              </w:rPr>
            </w:pPr>
            <w:r>
              <w:rPr>
                <w:rFonts w:ascii="Arial" w:cs="Arial" w:eastAsia="Arial" w:hAnsi="Arial"/>
                <w:sz w:val="16"/>
                <w:szCs w:val="16"/>
                <w:color w:val="auto"/>
              </w:rPr>
              <w:t>2022</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21,598</w:t>
            </w:r>
          </w:p>
        </w:tc>
      </w:tr>
      <w:tr>
        <w:trPr>
          <w:trHeight w:val="203"/>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19,073</w:t>
            </w:r>
          </w:p>
        </w:tc>
      </w:tr>
      <w:tr>
        <w:trPr>
          <w:trHeight w:val="203"/>
        </w:trPr>
        <w:tc>
          <w:tcPr>
            <w:tcW w:w="9680" w:type="dxa"/>
            <w:vAlign w:val="bottom"/>
          </w:tcPr>
          <w:p>
            <w:pPr>
              <w:ind w:left="20"/>
              <w:spacing w:after="0"/>
              <w:rPr>
                <w:sz w:val="20"/>
                <w:szCs w:val="20"/>
                <w:color w:val="auto"/>
              </w:rPr>
            </w:pPr>
            <w:r>
              <w:rPr>
                <w:rFonts w:ascii="Arial" w:cs="Arial" w:eastAsia="Arial" w:hAnsi="Arial"/>
                <w:sz w:val="16"/>
                <w:szCs w:val="16"/>
                <w:color w:val="auto"/>
              </w:rPr>
              <w:t>2024</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14,552</w:t>
            </w:r>
          </w:p>
        </w:tc>
      </w:tr>
      <w:tr>
        <w:trPr>
          <w:trHeight w:val="203"/>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13,101</w:t>
            </w:r>
          </w:p>
        </w:tc>
      </w:tr>
      <w:tr>
        <w:trPr>
          <w:trHeight w:val="20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12,842</w:t>
            </w:r>
          </w:p>
        </w:tc>
      </w:tr>
      <w:tr>
        <w:trPr>
          <w:trHeight w:val="195"/>
        </w:trPr>
        <w:tc>
          <w:tcPr>
            <w:tcW w:w="9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undiscounted lease payments</w:t>
            </w: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92,584</w:t>
            </w:r>
          </w:p>
        </w:tc>
      </w:tr>
      <w:tr>
        <w:trPr>
          <w:trHeight w:val="203"/>
        </w:trPr>
        <w:tc>
          <w:tcPr>
            <w:tcW w:w="9680" w:type="dxa"/>
            <w:vAlign w:val="bottom"/>
          </w:tcPr>
          <w:p>
            <w:pPr>
              <w:ind w:left="20"/>
              <w:spacing w:after="0"/>
              <w:rPr>
                <w:sz w:val="20"/>
                <w:szCs w:val="20"/>
                <w:color w:val="auto"/>
              </w:rPr>
            </w:pPr>
            <w:r>
              <w:rPr>
                <w:rFonts w:ascii="Arial" w:cs="Arial" w:eastAsia="Arial" w:hAnsi="Arial"/>
                <w:sz w:val="16"/>
                <w:szCs w:val="16"/>
                <w:color w:val="auto"/>
              </w:rPr>
              <w:t>Less: present value discount</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(13,529)</w:t>
            </w:r>
          </w:p>
        </w:tc>
      </w:tr>
      <w:tr>
        <w:trPr>
          <w:trHeight w:val="203"/>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lease incentives</w:t>
            </w: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(11,199)</w:t>
            </w:r>
          </w:p>
        </w:tc>
      </w:tr>
      <w:tr>
        <w:trPr>
          <w:trHeight w:val="20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leases executed but not yet commenced</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(6,620)</w:t>
            </w:r>
          </w:p>
        </w:tc>
      </w:tr>
      <w:tr>
        <w:trPr>
          <w:trHeight w:val="220"/>
        </w:trPr>
        <w:tc>
          <w:tcPr>
            <w:tcW w:w="9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lease liabilities</w:t>
            </w:r>
          </w:p>
        </w:tc>
        <w:tc>
          <w:tcPr>
            <w:tcW w:w="54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61,236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Contingencies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securities industry is highly regulated and many aspects of our business involve substantial risk of liability. In past years, there has been an increasing incidence of litigation involving the brokerage industry, including class action suits that generally seek substantial damages. Damages may include, in some cases, punitive damages. Compliance and trading problems that are reported to federal, state and provincial regulators, exchanges or other self-regulatory organizations by dissatisfied customers are investigated by such regulatory bodies, and, if pursued by such regulatory body or such customers, may rise to the level of arbitration or disciplinary action. We are also subject to periodic regulatory audits and inspections.</w:t>
      </w:r>
    </w:p>
    <w:p>
      <w:pPr>
        <w:spacing w:after="0" w:line="14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Like other brokerage firms, we have been named as a defendant in lawsuits and from time to time we have been threatened with, or named as a defendant in arbitrations and administrative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and regulatory matters</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The outcomes of the legal and regulatory matters discussed in this section are inherently uncertain and some of these matters may result in adverse judgments or awards, including penalties, injunctions or other relief, and we may also determine to settle a matter because of the uncertainty and risks of litigation. Described below are certain historic matters as well as certain pending matters in which there is at least a reasonable possibility that a material loss could be incurred. We intend to continue to vigorously defend the pending matters. Litigation is inherently uncertain, and any judgment entered against us, or any adverse settlement, could materially and adversely impact our business, financial condition, operating results, and cash flows. Unless otherwise noted below with respect to a specific matter, we are unable to provide a reasonable estimate of any potential liability given the uncertain nature of litigation and the stage of proceedings in these matters. With respect to all other pending matters not disclosed below, based on current information, we do not believe that such matters, individually or in the aggregate, would have a material adverse impact on our business, financial condition, operating results, or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Best Execution, Payment for Order Flow, and Sources of Revenue Matters</w:t>
      </w:r>
    </w:p>
    <w:p>
      <w:pPr>
        <w:spacing w:after="0" w:line="191"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In May 2019, the U.S. Securities and Exchange Commission’s (“SEC”) Division of Enforcement (“Enforcement Division”) commenced an investigation into RHF’s best execution and payment for order flow practices, as well as statements concerning its sources of revenue. On December 17, 2020, RHF, on a neither admit nor deny basis, consented to the entry of an SEC order (i) requiring RHF to cease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F-66</w:t>
      </w:r>
    </w:p>
    <w:p>
      <w:pPr>
        <w:sectPr>
          <w:pgSz w:w="11900" w:h="16838" w:orient="portrait"/>
          <w:cols w:equalWidth="0" w:num="1">
            <w:col w:w="11260"/>
          </w:cols>
          <w:pgMar w:left="320" w:top="1440" w:right="319" w:bottom="1440" w:gutter="0" w:footer="0" w:header="0"/>
        </w:sectPr>
      </w:pPr>
    </w:p>
    <w:bookmarkStart w:id="383" w:name="page384"/>
    <w:bookmarkEnd w:id="383"/>
    <w:p>
      <w:pPr>
        <w:spacing w:after="0" w:line="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desist from committing or causing any violations and any future violations of Sections 17(a)(2) and 17(a)(3) of the Securities Act of 1933 and Section 17(a) of the Securities Exchange Act of 1934 and Rule 17a-4 thereunder; (ii) censuring RHF; and (iii) requiring RHF to pay a $65 million penalty. RHF also agreed to engage an independent compliance consultant to, among other things, perform a comprehensive review of RHF’s supervisory, compliance, and other policies and procedures related to its retail communications and payment for order flow and make recommendations for improvements. RHF paid the $65 million penalty in cash, which was recorded as general and administrative expenses in our consolidated statements of operations for the year ended December 31, 2020.</w:t>
      </w:r>
    </w:p>
    <w:p>
      <w:pPr>
        <w:spacing w:after="0" w:line="160"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Beginning on December 23, 2020, six putative securities fraud class action lawsuits were filed against RHM, RHF, and/or RHS. The lawsuits generally alleged that we violated the duty of best execution and misled putative class members by publishing misleading statements and omissions in customer communications relating to the execution of trades and revenue sources (including payment for order flow). Five of the complaints asserted claims for violations of Sections 10(b) of the Securities Exchange Act of 1934. All of the complaints asserted state law claims under California or New York law, and sought damages, restitution, disgorgement, and other relief. On April 13, 2021, one of the cases was voluntarily dismissed without prejudice. The five remaining actions have been consolidated under the caption In re Robinhood Order Flow Litigation in the United States District Court for the Northern District of California. The lead plaintiff has been ordered to file an amended consolidated complaint on or before May 17, 2021.</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March 2020 Outages</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On March 2-3, 2020, our platform experienced an outage across various services, which prevented customers from using the app, website, and help center. On March 9, 2020, our platform experienced an outage across its trading products, which prevented customers from placing trades (together with the March 2-3 outages, the “March 2020 Outages”). There are many uncertainties associated with these types of incidents and impacts associated with service outages have included, and may in the future include, remediation costs to customers, systems upgrades, increased insurance costs, adverse effects on compliance with laws and regulations, litigation, and reputational damage. To date, we have incurred customer goodwill remediation costs with respect to the March 2020 Outages in the amount of approximately $3.6 million, which was recorded as marketing expenses in our consolidated statements of operations for the year ended December 31, 2020.</w:t>
      </w:r>
    </w:p>
    <w:p>
      <w:pPr>
        <w:spacing w:after="0" w:line="15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 xml:space="preserve">Beginning on March 4, 2020, putative class actions were filed against RHM, RHF, and RHS in state and federal district courts relating to the March 2020 Outages. All but one of the cases have been consolidated as </w:t>
      </w:r>
      <w:r>
        <w:rPr>
          <w:rFonts w:ascii="Arial" w:cs="Arial" w:eastAsia="Arial" w:hAnsi="Arial"/>
          <w:sz w:val="16"/>
          <w:szCs w:val="16"/>
          <w:i w:val="1"/>
          <w:iCs w:val="1"/>
          <w:color w:val="auto"/>
        </w:rPr>
        <w:t>In re Robinhood Outage Litigation</w:t>
      </w:r>
      <w:r>
        <w:rPr>
          <w:rFonts w:ascii="Arial" w:cs="Arial" w:eastAsia="Arial" w:hAnsi="Arial"/>
          <w:sz w:val="16"/>
          <w:szCs w:val="16"/>
          <w:color w:val="auto"/>
        </w:rPr>
        <w:t xml:space="preserve"> in the United States District Court for the Northern District of California. The remaining putative class action, </w:t>
      </w:r>
      <w:r>
        <w:rPr>
          <w:rFonts w:ascii="Arial" w:cs="Arial" w:eastAsia="Arial" w:hAnsi="Arial"/>
          <w:sz w:val="16"/>
          <w:szCs w:val="16"/>
          <w:i w:val="1"/>
          <w:iCs w:val="1"/>
          <w:color w:val="auto"/>
        </w:rPr>
        <w:t>Withouski v. Robinhood Financial LLC et al.</w:t>
      </w:r>
      <w:r>
        <w:rPr>
          <w:rFonts w:ascii="Arial" w:cs="Arial" w:eastAsia="Arial" w:hAnsi="Arial"/>
          <w:sz w:val="16"/>
          <w:szCs w:val="16"/>
          <w:color w:val="auto"/>
        </w:rPr>
        <w:t>, pending in the Superior Court of the State of California, County of San Mateo, has been stayed by agreement of the parties. The lawsuits generally allege that putative class members were unable to execute trades during the March 2020 Outages because our platform was inadequately designed to handle customer demand and RHM, RHF, and RHS failed to implement appropriate backup systems. The lawsuits include, among other things, claims for breach of contract, negligence, gross negligence, breach of fiduciary duty, unjust enrichment, and violations of certain California consumer protection statutes. The lawsuits generally seek damages, restitution, and/or disgorgement, as well as declaratory and injunctive relief. On February 18, 2021, the court denied our motion to dismiss RHF and RHS but dismissed RHM from the case with leave to amend. The court also denied our motion to strike the class allegations, and ordered the parties to select a mediator within 14 days. A mediation is scheduled for June 22. 2021. Fact discovery has been completed and expert discovery is scheduled to be completed by June 9, 2021.</w:t>
      </w:r>
    </w:p>
    <w:p>
      <w:pPr>
        <w:spacing w:after="0" w:line="15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In addition, the SEC staff is conducting an examination, and FINRA and certain state regulatory authorities are conducting investigations, regarding the March 2020 Outages and related procedures. RHF and RHS are cooperating with requests from these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F-67</w:t>
      </w:r>
    </w:p>
    <w:p>
      <w:pPr>
        <w:sectPr>
          <w:pgSz w:w="11900" w:h="16838" w:orient="portrait"/>
          <w:cols w:equalWidth="0" w:num="1">
            <w:col w:w="11260"/>
          </w:cols>
          <w:pgMar w:left="320" w:top="1440" w:right="319" w:bottom="1440" w:gutter="0" w:footer="0" w:header="0"/>
        </w:sectPr>
      </w:pPr>
    </w:p>
    <w:bookmarkStart w:id="384" w:name="page385"/>
    <w:bookmarkEnd w:id="384"/>
    <w:p>
      <w:pPr>
        <w:spacing w:after="0"/>
        <w:rPr>
          <w:sz w:val="20"/>
          <w:szCs w:val="20"/>
          <w:color w:val="auto"/>
        </w:rPr>
      </w:pPr>
      <w:r>
        <w:rPr>
          <w:rFonts w:ascii="Arial" w:cs="Arial" w:eastAsia="Arial" w:hAnsi="Arial"/>
          <w:sz w:val="16"/>
          <w:szCs w:val="16"/>
          <w:i w:val="1"/>
          <w:iCs w:val="1"/>
          <w:color w:val="auto"/>
        </w:rPr>
        <w:t>Options Trading and Related Customer Communications and Displays</w:t>
      </w:r>
    </w:p>
    <w:p>
      <w:pPr>
        <w:spacing w:after="0" w:line="191" w:lineRule="exact"/>
        <w:rPr>
          <w:sz w:val="20"/>
          <w:szCs w:val="20"/>
          <w:color w:val="auto"/>
        </w:rPr>
      </w:pPr>
    </w:p>
    <w:p>
      <w:pPr>
        <w:jc w:val="both"/>
        <w:ind w:firstLine="287"/>
        <w:spacing w:after="0" w:line="279" w:lineRule="auto"/>
        <w:rPr>
          <w:sz w:val="20"/>
          <w:szCs w:val="20"/>
          <w:color w:val="auto"/>
        </w:rPr>
      </w:pPr>
      <w:r>
        <w:rPr>
          <w:rFonts w:ascii="Arial" w:cs="Arial" w:eastAsia="Arial" w:hAnsi="Arial"/>
          <w:sz w:val="15"/>
          <w:szCs w:val="15"/>
          <w:color w:val="auto"/>
        </w:rPr>
        <w:t>The SEC staff is conducting an examination, and FINRA and certain state regulatory authorities are conducting investigations, regarding RHF’s options trading and related customer communications and displays. The SEC staff, FINRA staff and staff of such state regulatory authorities are reviewing, among other things, how RHF displays cash and buying power to customers and its options trading approval processes. RHF is cooperating with the regulators’ requests.</w:t>
      </w:r>
    </w:p>
    <w:p>
      <w:pPr>
        <w:spacing w:after="0" w:line="127"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On February 8, 2021, the family of Alexander Kearns, a Robinhood customer who traded options, filed a lawsuit in the Superior Court of the State of California, County of Santa Clara, against RHF, RHS, and RHM in connection with Mr. Kearns’s death by suicide in June 2020. The lawsuit asserts claims for wrongful death, negligent infliction of emotional distress, and unfair business practices under a California statute, and seeks damages and other relief.</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Potential Resolution of FINRA Matters</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RHF and RHS are currently engaged in discussions with FINRA staff regarding a possible negotiated resolution of certain FINRA matters, including the March 2020 Outages and options trading and related customer communications and displays noted above. RHF has reached an agreement-in-principle with FINRA to resolve, on a no admit, no deny basis, a number of investigations and examinations, including investigations into systems outages, RHF’s options product offering, and margin-related communications with customers, among others. While the resolution is not yet final, RHF anticipates that it will involve the following components: (i) charges of violations of FINRA Rules 2010, 2210, 2360, 3110, 3310, 4370, and 4530; (ii) a fine of $57.0 million; (iii) customer restitution of approximately $12.6 million, of which approximately $8.1 million already has been paid with the remaining $4.5 million to be paid; (iv) a censure; and (v) engagement of an independent consultant to, among other things, review and make recommendations with respect to RHF’s relevant supervisory, compliance, and other policies and procedures. As of March 31, 2021, we have accrued the $57.0 million fine as well as the $4.5 million customer restitution to be paid.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Robinhood Crypto Anti-Money Laundering and Cyber-Related Issues</w:t>
      </w:r>
    </w:p>
    <w:p>
      <w:pPr>
        <w:spacing w:after="0" w:line="17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On July 24, 2020, the New York State Department of Financial Services (“NYDFS”) issued a report of its examination of RHC citing a number of “matters requiring attention” focused primarily on anti-money laundering and cybersecurity-related issues. The matter was subsequently referred to the Department’s Consumer Protection and Financial Enforcement Division, which is investigating the matter. In March 2021, NYDFS informed RHC of certain alleged violations of applicable (i) anti-money laundering and New York Banking Law requirements (Part 417, Part 504 and Banking Law § 44), including the failure to maintain and certify a compliant anti-money laundering program, (ii) notification provisions under RHC’s Supervisory Agreement with NYDFS, and (iii) 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In connection with these allegations, NYDFS has indicated that it plans to seek a monetary penalty, as well as the appointment of an independent consultant. RHC is cooperating with the NYDFS, and we anticipate that any potential resolution would include a monetary penalty component of at least $15 million, which is our best estimate of the bottom of the range for our probable loss in this matter as no amount within the range is considered a better estimate than any other amount and estimation of any additional loss in excess of the amount of the loss accrued cannot be made. We have accrued a loss contingency for such amount as of March 31, 2021. We cannot predict, however, whether these discussions will result in a resolution of this matter.</w:t>
      </w:r>
    </w:p>
    <w:p>
      <w:pPr>
        <w:spacing w:after="0" w:line="162"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Additionally, on April 14, 2021, the California Attorney General’s Office commenced an investigation into RHC’s trading platform and operations. RHC is cooperating with this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F-68</w:t>
      </w:r>
    </w:p>
    <w:p>
      <w:pPr>
        <w:sectPr>
          <w:pgSz w:w="11900" w:h="16838" w:orient="portrait"/>
          <w:cols w:equalWidth="0" w:num="1">
            <w:col w:w="11260"/>
          </w:cols>
          <w:pgMar w:left="320" w:top="1425" w:right="319" w:bottom="1440" w:gutter="0" w:footer="0" w:header="0"/>
        </w:sectPr>
      </w:pPr>
    </w:p>
    <w:bookmarkStart w:id="385" w:name="page386"/>
    <w:bookmarkEnd w:id="385"/>
    <w:p>
      <w:pPr>
        <w:spacing w:after="0"/>
        <w:rPr>
          <w:sz w:val="20"/>
          <w:szCs w:val="20"/>
          <w:color w:val="auto"/>
        </w:rPr>
      </w:pPr>
      <w:r>
        <w:rPr>
          <w:rFonts w:ascii="Arial" w:cs="Arial" w:eastAsia="Arial" w:hAnsi="Arial"/>
          <w:sz w:val="16"/>
          <w:szCs w:val="16"/>
          <w:i w:val="1"/>
          <w:iCs w:val="1"/>
          <w:color w:val="auto"/>
        </w:rPr>
        <w:t>Account Takeovers</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November 2020, FINRA Enforcement commenced an investigation into RHF concerning account takeovers, or circumstances under which an unauthorized actor successfully logs into a customer account, as well as anti-money laundering and cybersecurity issues. On February 1, 2021, RHF received a document request from the SEC’s Division of Enforcement in connection with its investigation into account takeovers at certain online brokers. Additionally, state regulators, including the NYDFS and the New York Attorney General’s Office have opened inquiries related to account takeovers. RHM, RHF, and RHC are cooperating with these investigations and inquiries.</w:t>
      </w:r>
    </w:p>
    <w:p>
      <w:pPr>
        <w:spacing w:after="0" w:line="145"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On January 8, 2021, a putative class action was filed in California Superior Court (Santa Clara County) against RHF and RHS by Siddharth Mehta, purportedly on behalf of approximately 2,000 Robinhood customers whose accounts were allegedly accessed by unauthorized users from January 1, 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California Consumer Privacy Act. On March 12, 2021, RHF and RHS filed a motion to dismiss the amended complaint, which on May 6, 2021 was granted in part and denied in part.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Massachusetts Securities Division Complaint</w:t>
      </w:r>
    </w:p>
    <w:p>
      <w:pPr>
        <w:spacing w:after="0" w:line="19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On December 16, 2020, the Enforcement Section of the Massachusetts Securities Division (the “MSD”) filed an administrative complaint against RHF, which stems from an investigation initiated by the MSD on or around July 21, 2020. The Complaint alleges three counts of Massachusetts securities law violations regarding unethical and dishonest conduct or practices, failure to supervise, and failure to act in accordance with the Massachusetts fiduciary duty standard, which became effective on March 6, 2020 and had an effective enforcement date beginning September 1, 2020. Among other things, MSD alleges that RHF’s product features and marketing strategies, outages, and options trading approval process constitute violations of Massachusetts securities laws. The MSD sought leave to amend its complaint on April 15, 2021. The proposed amended complaint adds factual allegations regarding RHF's plan to offer IPO shares of other companies, RHF's outstanding margin loan balance and margin interest rate reduction, RHF's reporting of fractional share transactions, and offering cash rewards for deposits. The initial complaint seeks, among other things, injunctive relief (seeking a permanent cease and desist order), censure, unspecified restitution, unspecified disgorgement, the appointment of an independent consultant, and an unspecified administrative fine. The proposed amended complaint also seeks revocation of RHF's license in Massachusetts. On January 29, 2021, RHF filed an answer to this complaint denying each of the alleged securities law violations. On April 15, RHF filed a complaint and motion for preliminary injunction and declaratory relief in Massachusetts state court seeking to enjoin the MSD administrative proceeding. RHF responded to the MSD’s motion to amend its complaint on April 29, 2021. The MSD’s response to the state court injunction motion is due on May 10, with a hearing scheduled for May 26.</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Pinchasov v. Robinhood Financial LLC</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On November 5, 2020, Plaintiff Shterna Pinchasov (“Plaintiff”) filed a putative class action in the Circuit Court of the 11th Judicial Circuit of Florida in and for Miami-Dade County asserting claims of negligence and breach of fiduciary duty based on allegations that RHF failed to prevent customers from using its interface for stocks that were subject to a “T1 Halt,” and seeking damages. Securities exchanges, such as the New York Stock Exchange and the Nasdaq Stock Market, have the authority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F-69</w:t>
      </w:r>
    </w:p>
    <w:p>
      <w:pPr>
        <w:sectPr>
          <w:pgSz w:w="11900" w:h="16838" w:orient="portrait"/>
          <w:cols w:equalWidth="0" w:num="1">
            <w:col w:w="11260"/>
          </w:cols>
          <w:pgMar w:left="320" w:top="1425" w:right="319" w:bottom="1440" w:gutter="0" w:footer="0" w:header="0"/>
        </w:sectPr>
      </w:pPr>
    </w:p>
    <w:bookmarkStart w:id="386" w:name="page387"/>
    <w:bookmarkEnd w:id="386"/>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halt and delay trading in a security, and a “T1 Halt” (or regulatory halt) may occur pending the release of material news about a company.</w:t>
      </w:r>
    </w:p>
    <w:p>
      <w:pPr>
        <w:spacing w:after="0" w:line="175"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On November 30, 2020, RHF removed this action to the U.S. District Court for the Southern District of Florida pursuant to the Class Action Fairness Act of 2005. On December 21, 2020, RHF filed a motion to dismiss the complaint, which the court denied on April 22, 2021. The case will now proceed to fact discovery.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Gordon v. Robinhood Financial LLC</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On October 29, 2019, a putative class action was filed against RHF and RHM in the Superior Court for the State of Washington, County of Spokane. The complaint alleges that RHF and RHM initiated or assisted in the transmission of commercial electronic text messages to Washington State residents without their consent in violation of Washington State law. The action has been removed to the Eastern District of Washington, pursuant to the Class Action Fairness Act of 2005, and the court granted RHM’s motion to dismiss for lack of personal jurisdiction. On January 7, 2020, we filed a motion to dismiss the complaint, which was denied. On January 25, 2021, the court granted the plaintiff’s motion for class certification. A trial date has not been set yet.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Early 2021 Trading Restrictions</w:t>
      </w:r>
    </w:p>
    <w:p>
      <w:pPr>
        <w:spacing w:after="0" w:line="179"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Beginning on January 28, 2021, due to unprecedented market volatility and related portfolio margin demands imposed on RHS by the clearinghouse National Securities Clearing Corporation, RHS temporarily restricted or limited its customers’ purchase of certain securities, including GameStop Corp. and AMC Entertainment Holdings, Inc., on our platform (“Early 2021 Trading Restrictions”).</w:t>
      </w:r>
    </w:p>
    <w:p>
      <w:pPr>
        <w:spacing w:after="0" w:line="14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have become aware of approximately 49 putative class actions and three individual actions that have been filed against RHM, RHF, and/or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and/or certain state consumer protection claims based on similar factual allegations. Approximately 18 of the putative class actions also name other broker-dealers and/or market makers as defendants. On February 5, 2021, certain plaintiffs filed a motion before the Judicial Panel on Multidistrict Litigation ("JPML") to transfer and coordinate or consolidate the actions filed in connection with the Early 2021 Trading Restrictions into a multidistrict litigation in the Northern District of California (the "Transfer Motion"). On March 1, 2021, we filed a response to the Transfer Motion, in which we supported transfer and coordination or consolidation of the actions into a multidistrict litigation in either the Northern District of California, or in the alternative, the Middle District of Florida. On April 1, the JPML entered an order centralizing the cases identified in the Transfer Motion into a multidistrict litigation in the United States District Court for the Southern District of Florida (the “Transfer Order”) captioned In re: January 2021 Short Squeeze Trading Litigation, Case No. 21-2989-MDL-ALTONAGA/Torres (the “MDL”). On April 19, 2021, the court held an initial case management conference.</w:t>
      </w:r>
    </w:p>
    <w:p>
      <w:pPr>
        <w:spacing w:after="0" w:line="16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SEC staff, FINRA, the New York Attorney General’s Office, other state attorneys general offices, and a number of state securities regulators. Also, a related search warrant was executed by the USAO to obtain Mr. Tenev's cell phone. There have also been several inquiries based on specific customer complaints and with respect to employee trading. In addition, we have received information and testimony requests from certain committees and members of the U.S. Congress and Mr. Tenev has provided testimony with respect to the Early 2021 Trading Restrictions. We are cooperating with these investigations and examinations.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F-70</w:t>
      </w:r>
    </w:p>
    <w:p>
      <w:pPr>
        <w:sectPr>
          <w:pgSz w:w="11900" w:h="16838" w:orient="portrait"/>
          <w:cols w:equalWidth="0" w:num="1">
            <w:col w:w="11260"/>
          </w:cols>
          <w:pgMar w:left="320" w:top="1440" w:right="319" w:bottom="1440" w:gutter="0" w:footer="0" w:header="0"/>
        </w:sectPr>
      </w:pPr>
    </w:p>
    <w:bookmarkStart w:id="387" w:name="page388"/>
    <w:bookmarkEnd w:id="387"/>
    <w:p>
      <w:pPr>
        <w:spacing w:after="0" w:line="1"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Due to the preliminary nature of all of these proceedings, we are unable at this time to estimate the likelihood or magnitude of any possible losses related to these matters.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NOTE 15: SUBSEQUENT EVENTS</w:t>
      </w:r>
    </w:p>
    <w:p>
      <w:pPr>
        <w:spacing w:after="0" w:line="163"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We have evaluated events subsequent to the balance sheet date for items requiring recording or disclosure in the condensed consolidated financial statements. The evaluation was performed through May 7, 2021.</w:t>
      </w:r>
    </w:p>
    <w:p>
      <w:pPr>
        <w:spacing w:after="0" w:line="13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April 2021, we entered into a $ 2.2 billion committed and partially secured revolving line of credit with a maturity date of April 15, 2022 (“April 2021 Credit Facility”). In connection with our entry into the April 2021 Credit Facility, the September 2019 Credit Facility was terminated in April 2021. In April 2021, we also amended the October 2019 Credit Facility and increased the aggregate committed and unsecured revolving line of credit amount to $625 million with a maturity date of October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F-71</w:t>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969010</wp:posOffset>
            </wp:positionV>
            <wp:extent cx="714819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930910</wp:posOffset>
            </wp:positionV>
            <wp:extent cx="714819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420"/>
        <w:spacing w:after="0"/>
        <w:rPr>
          <w:sz w:val="20"/>
          <w:szCs w:val="20"/>
          <w:color w:val="auto"/>
        </w:rPr>
      </w:pPr>
      <w:r>
        <w:rPr>
          <w:rFonts w:ascii="Arial" w:cs="Arial" w:eastAsia="Arial" w:hAnsi="Arial"/>
          <w:sz w:val="21"/>
          <w:szCs w:val="21"/>
          <w:b w:val="1"/>
          <w:bCs w:val="1"/>
          <w:color w:val="auto"/>
        </w:rPr>
        <w:t xml:space="preserve">55,000,000 </w:t>
      </w:r>
      <w:r>
        <w:rPr>
          <w:rFonts w:ascii="Arial" w:cs="Arial" w:eastAsia="Arial" w:hAnsi="Arial"/>
          <w:sz w:val="22"/>
          <w:szCs w:val="22"/>
          <w:b w:val="1"/>
          <w:bCs w:val="1"/>
          <w:color w:val="auto"/>
        </w:rPr>
        <w:t>Shares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Robinhood Markets, Inc.</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175260</wp:posOffset>
            </wp:positionV>
            <wp:extent cx="198056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80565" cy="762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471170</wp:posOffset>
            </wp:positionV>
            <wp:extent cx="4735195" cy="9410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35195" cy="94107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1715135</wp:posOffset>
            </wp:positionV>
            <wp:extent cx="198056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805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5080" w:type="dxa"/>
            <w:vAlign w:val="bottom"/>
            <w:gridSpan w:val="2"/>
          </w:tcPr>
          <w:p>
            <w:pPr>
              <w:spacing w:after="0"/>
              <w:rPr>
                <w:sz w:val="20"/>
                <w:szCs w:val="20"/>
                <w:color w:val="auto"/>
              </w:rPr>
            </w:pPr>
            <w:r>
              <w:rPr>
                <w:rFonts w:ascii="Arial" w:cs="Arial" w:eastAsia="Arial" w:hAnsi="Arial"/>
                <w:sz w:val="22"/>
                <w:szCs w:val="22"/>
                <w:b w:val="1"/>
                <w:bCs w:val="1"/>
                <w:color w:val="auto"/>
              </w:rPr>
              <w:t>Goldman Sachs &amp; Co. LLC</w:t>
            </w:r>
          </w:p>
        </w:tc>
        <w:tc>
          <w:tcPr>
            <w:tcW w:w="332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22"/>
                <w:szCs w:val="22"/>
                <w:b w:val="1"/>
                <w:bCs w:val="1"/>
                <w:color w:val="auto"/>
              </w:rPr>
              <w:t>J.P. Morgan</w:t>
            </w:r>
          </w:p>
        </w:tc>
      </w:tr>
      <w:tr>
        <w:trPr>
          <w:trHeight w:val="432"/>
        </w:trPr>
        <w:tc>
          <w:tcPr>
            <w:tcW w:w="2060" w:type="dxa"/>
            <w:vAlign w:val="bottom"/>
          </w:tcPr>
          <w:p>
            <w:pPr>
              <w:spacing w:after="0"/>
              <w:rPr>
                <w:sz w:val="20"/>
                <w:szCs w:val="20"/>
                <w:color w:val="auto"/>
              </w:rPr>
            </w:pPr>
            <w:r>
              <w:rPr>
                <w:rFonts w:ascii="Arial" w:cs="Arial" w:eastAsia="Arial" w:hAnsi="Arial"/>
                <w:sz w:val="19"/>
                <w:szCs w:val="19"/>
                <w:b w:val="1"/>
                <w:bCs w:val="1"/>
                <w:color w:val="auto"/>
              </w:rPr>
              <w:t>Barclays</w:t>
            </w:r>
          </w:p>
        </w:tc>
        <w:tc>
          <w:tcPr>
            <w:tcW w:w="3020" w:type="dxa"/>
            <w:vAlign w:val="bottom"/>
          </w:tcPr>
          <w:p>
            <w:pPr>
              <w:spacing w:after="0"/>
              <w:rPr>
                <w:sz w:val="24"/>
                <w:szCs w:val="24"/>
                <w:color w:val="auto"/>
              </w:rPr>
            </w:pPr>
          </w:p>
        </w:tc>
        <w:tc>
          <w:tcPr>
            <w:tcW w:w="3320" w:type="dxa"/>
            <w:vAlign w:val="bottom"/>
          </w:tcPr>
          <w:p>
            <w:pPr>
              <w:jc w:val="center"/>
              <w:ind w:right="2194"/>
              <w:spacing w:after="0"/>
              <w:rPr>
                <w:sz w:val="20"/>
                <w:szCs w:val="20"/>
                <w:color w:val="auto"/>
              </w:rPr>
            </w:pPr>
            <w:r>
              <w:rPr>
                <w:rFonts w:ascii="Arial" w:cs="Arial" w:eastAsia="Arial" w:hAnsi="Arial"/>
                <w:sz w:val="19"/>
                <w:szCs w:val="19"/>
                <w:b w:val="1"/>
                <w:bCs w:val="1"/>
                <w:color w:val="auto"/>
                <w:w w:val="99"/>
              </w:rPr>
              <w:t>Citigroup</w:t>
            </w:r>
          </w:p>
        </w:tc>
        <w:tc>
          <w:tcPr>
            <w:tcW w:w="2820" w:type="dxa"/>
            <w:vAlign w:val="bottom"/>
          </w:tcPr>
          <w:p>
            <w:pPr>
              <w:jc w:val="right"/>
              <w:spacing w:after="0"/>
              <w:rPr>
                <w:sz w:val="20"/>
                <w:szCs w:val="20"/>
                <w:color w:val="auto"/>
              </w:rPr>
            </w:pPr>
            <w:r>
              <w:rPr>
                <w:rFonts w:ascii="Arial" w:cs="Arial" w:eastAsia="Arial" w:hAnsi="Arial"/>
                <w:sz w:val="19"/>
                <w:szCs w:val="19"/>
                <w:b w:val="1"/>
                <w:bCs w:val="1"/>
                <w:color w:val="auto"/>
              </w:rPr>
              <w:t>Wells Fargo Securities</w:t>
            </w:r>
          </w:p>
        </w:tc>
      </w:tr>
      <w:tr>
        <w:trPr>
          <w:trHeight w:val="275"/>
        </w:trPr>
        <w:tc>
          <w:tcPr>
            <w:tcW w:w="2060" w:type="dxa"/>
            <w:vAlign w:val="bottom"/>
          </w:tcPr>
          <w:p>
            <w:pPr>
              <w:spacing w:after="0"/>
              <w:rPr>
                <w:sz w:val="23"/>
                <w:szCs w:val="23"/>
                <w:color w:val="auto"/>
              </w:rPr>
            </w:pPr>
          </w:p>
        </w:tc>
        <w:tc>
          <w:tcPr>
            <w:tcW w:w="6340" w:type="dxa"/>
            <w:vAlign w:val="bottom"/>
            <w:gridSpan w:val="2"/>
          </w:tcPr>
          <w:p>
            <w:pPr>
              <w:jc w:val="center"/>
              <w:ind w:left="676"/>
              <w:spacing w:after="0"/>
              <w:rPr>
                <w:sz w:val="20"/>
                <w:szCs w:val="20"/>
                <w:color w:val="auto"/>
              </w:rPr>
            </w:pPr>
            <w:r>
              <w:rPr>
                <w:rFonts w:ascii="Arial" w:cs="Arial" w:eastAsia="Arial" w:hAnsi="Arial"/>
                <w:sz w:val="19"/>
                <w:szCs w:val="19"/>
                <w:b w:val="1"/>
                <w:bCs w:val="1"/>
                <w:color w:val="auto"/>
              </w:rPr>
              <w:t>Mizuho Securities</w:t>
            </w:r>
          </w:p>
        </w:tc>
        <w:tc>
          <w:tcPr>
            <w:tcW w:w="2820" w:type="dxa"/>
            <w:vAlign w:val="bottom"/>
          </w:tcPr>
          <w:p>
            <w:pPr>
              <w:spacing w:after="0"/>
              <w:rPr>
                <w:sz w:val="23"/>
                <w:szCs w:val="23"/>
                <w:color w:val="auto"/>
              </w:rPr>
            </w:pPr>
          </w:p>
        </w:tc>
      </w:tr>
      <w:tr>
        <w:trPr>
          <w:trHeight w:val="386"/>
        </w:trPr>
        <w:tc>
          <w:tcPr>
            <w:tcW w:w="2060" w:type="dxa"/>
            <w:vAlign w:val="bottom"/>
          </w:tcPr>
          <w:p>
            <w:pPr>
              <w:spacing w:after="0"/>
              <w:rPr>
                <w:sz w:val="20"/>
                <w:szCs w:val="20"/>
                <w:color w:val="auto"/>
              </w:rPr>
            </w:pPr>
            <w:r>
              <w:rPr>
                <w:rFonts w:ascii="Arial" w:cs="Arial" w:eastAsia="Arial" w:hAnsi="Arial"/>
                <w:sz w:val="16"/>
                <w:szCs w:val="16"/>
                <w:b w:val="1"/>
                <w:bCs w:val="1"/>
                <w:color w:val="auto"/>
              </w:rPr>
              <w:t>JMP Securities</w:t>
            </w:r>
          </w:p>
        </w:tc>
        <w:tc>
          <w:tcPr>
            <w:tcW w:w="3020" w:type="dxa"/>
            <w:vAlign w:val="bottom"/>
          </w:tcPr>
          <w:p>
            <w:pPr>
              <w:ind w:left="1020"/>
              <w:spacing w:after="0"/>
              <w:rPr>
                <w:sz w:val="20"/>
                <w:szCs w:val="20"/>
                <w:color w:val="auto"/>
              </w:rPr>
            </w:pPr>
            <w:r>
              <w:rPr>
                <w:rFonts w:ascii="Arial" w:cs="Arial" w:eastAsia="Arial" w:hAnsi="Arial"/>
                <w:sz w:val="16"/>
                <w:szCs w:val="16"/>
                <w:b w:val="1"/>
                <w:bCs w:val="1"/>
                <w:color w:val="auto"/>
              </w:rPr>
              <w:t>KeyBanc Capital Markets</w:t>
            </w:r>
          </w:p>
        </w:tc>
        <w:tc>
          <w:tcPr>
            <w:tcW w:w="3320" w:type="dxa"/>
            <w:vAlign w:val="bottom"/>
          </w:tcPr>
          <w:p>
            <w:pPr>
              <w:jc w:val="right"/>
              <w:ind w:right="714"/>
              <w:spacing w:after="0"/>
              <w:rPr>
                <w:sz w:val="20"/>
                <w:szCs w:val="20"/>
                <w:color w:val="auto"/>
              </w:rPr>
            </w:pPr>
            <w:r>
              <w:rPr>
                <w:rFonts w:ascii="Arial" w:cs="Arial" w:eastAsia="Arial" w:hAnsi="Arial"/>
                <w:sz w:val="16"/>
                <w:szCs w:val="16"/>
                <w:b w:val="1"/>
                <w:bCs w:val="1"/>
                <w:color w:val="auto"/>
              </w:rPr>
              <w:t>Piper Sandler</w:t>
            </w:r>
          </w:p>
        </w:tc>
        <w:tc>
          <w:tcPr>
            <w:tcW w:w="2820" w:type="dxa"/>
            <w:vAlign w:val="bottom"/>
          </w:tcPr>
          <w:p>
            <w:pPr>
              <w:jc w:val="right"/>
              <w:spacing w:after="0"/>
              <w:rPr>
                <w:sz w:val="20"/>
                <w:szCs w:val="20"/>
                <w:color w:val="auto"/>
              </w:rPr>
            </w:pPr>
            <w:r>
              <w:rPr>
                <w:rFonts w:ascii="Arial" w:cs="Arial" w:eastAsia="Arial" w:hAnsi="Arial"/>
                <w:sz w:val="16"/>
                <w:szCs w:val="16"/>
                <w:b w:val="1"/>
                <w:bCs w:val="1"/>
                <w:color w:val="auto"/>
              </w:rPr>
              <w:t>Rosenblatt Securities</w:t>
            </w:r>
          </w:p>
        </w:tc>
      </w:tr>
      <w:tr>
        <w:trPr>
          <w:trHeight w:val="263"/>
        </w:trPr>
        <w:tc>
          <w:tcPr>
            <w:tcW w:w="2060" w:type="dxa"/>
            <w:vAlign w:val="bottom"/>
          </w:tcPr>
          <w:p>
            <w:pPr>
              <w:spacing w:after="0"/>
              <w:rPr>
                <w:sz w:val="20"/>
                <w:szCs w:val="20"/>
                <w:color w:val="auto"/>
              </w:rPr>
            </w:pPr>
            <w:r>
              <w:rPr>
                <w:rFonts w:ascii="Arial" w:cs="Arial" w:eastAsia="Arial" w:hAnsi="Arial"/>
                <w:sz w:val="16"/>
                <w:szCs w:val="16"/>
                <w:b w:val="1"/>
                <w:bCs w:val="1"/>
                <w:color w:val="auto"/>
              </w:rPr>
              <w:t>BMO Capital Markets</w:t>
            </w:r>
          </w:p>
        </w:tc>
        <w:tc>
          <w:tcPr>
            <w:tcW w:w="3020" w:type="dxa"/>
            <w:vAlign w:val="bottom"/>
          </w:tcPr>
          <w:p>
            <w:pPr>
              <w:spacing w:after="0"/>
              <w:rPr>
                <w:sz w:val="22"/>
                <w:szCs w:val="22"/>
                <w:color w:val="auto"/>
              </w:rPr>
            </w:pPr>
          </w:p>
        </w:tc>
        <w:tc>
          <w:tcPr>
            <w:tcW w:w="3320" w:type="dxa"/>
            <w:vAlign w:val="bottom"/>
          </w:tcPr>
          <w:p>
            <w:pPr>
              <w:jc w:val="center"/>
              <w:ind w:right="2174"/>
              <w:spacing w:after="0"/>
              <w:rPr>
                <w:sz w:val="20"/>
                <w:szCs w:val="20"/>
                <w:color w:val="auto"/>
              </w:rPr>
            </w:pPr>
            <w:r>
              <w:rPr>
                <w:rFonts w:ascii="Arial" w:cs="Arial" w:eastAsia="Arial" w:hAnsi="Arial"/>
                <w:sz w:val="16"/>
                <w:szCs w:val="16"/>
                <w:b w:val="1"/>
                <w:bCs w:val="1"/>
                <w:color w:val="auto"/>
                <w:w w:val="99"/>
              </w:rPr>
              <w:t>BTIG</w:t>
            </w:r>
          </w:p>
        </w:tc>
        <w:tc>
          <w:tcPr>
            <w:tcW w:w="2820" w:type="dxa"/>
            <w:vAlign w:val="bottom"/>
          </w:tcPr>
          <w:p>
            <w:pPr>
              <w:jc w:val="right"/>
              <w:spacing w:after="0"/>
              <w:rPr>
                <w:sz w:val="20"/>
                <w:szCs w:val="20"/>
                <w:color w:val="auto"/>
              </w:rPr>
            </w:pPr>
            <w:r>
              <w:rPr>
                <w:rFonts w:ascii="Arial" w:cs="Arial" w:eastAsia="Arial" w:hAnsi="Arial"/>
                <w:sz w:val="16"/>
                <w:szCs w:val="16"/>
                <w:b w:val="1"/>
                <w:bCs w:val="1"/>
                <w:color w:val="auto"/>
              </w:rPr>
              <w:t>Santander</w:t>
            </w:r>
          </w:p>
        </w:tc>
      </w:tr>
      <w:tr>
        <w:trPr>
          <w:trHeight w:val="263"/>
        </w:trPr>
        <w:tc>
          <w:tcPr>
            <w:tcW w:w="2060" w:type="dxa"/>
            <w:vAlign w:val="bottom"/>
          </w:tcPr>
          <w:p>
            <w:pPr>
              <w:spacing w:after="0"/>
              <w:rPr>
                <w:sz w:val="20"/>
                <w:szCs w:val="20"/>
                <w:color w:val="auto"/>
              </w:rPr>
            </w:pPr>
            <w:r>
              <w:rPr>
                <w:rFonts w:ascii="Arial" w:cs="Arial" w:eastAsia="Arial" w:hAnsi="Arial"/>
                <w:sz w:val="16"/>
                <w:szCs w:val="16"/>
                <w:b w:val="1"/>
                <w:bCs w:val="1"/>
                <w:color w:val="auto"/>
              </w:rPr>
              <w:t>Academy Securities</w:t>
            </w:r>
          </w:p>
        </w:tc>
        <w:tc>
          <w:tcPr>
            <w:tcW w:w="3020" w:type="dxa"/>
            <w:vAlign w:val="bottom"/>
          </w:tcPr>
          <w:p>
            <w:pPr>
              <w:ind w:left="1200"/>
              <w:spacing w:after="0"/>
              <w:rPr>
                <w:sz w:val="20"/>
                <w:szCs w:val="20"/>
                <w:color w:val="auto"/>
              </w:rPr>
            </w:pPr>
            <w:r>
              <w:rPr>
                <w:rFonts w:ascii="Arial" w:cs="Arial" w:eastAsia="Arial" w:hAnsi="Arial"/>
                <w:sz w:val="16"/>
                <w:szCs w:val="16"/>
                <w:b w:val="1"/>
                <w:bCs w:val="1"/>
                <w:color w:val="auto"/>
              </w:rPr>
              <w:t>Loop Capital Markets</w:t>
            </w:r>
          </w:p>
        </w:tc>
        <w:tc>
          <w:tcPr>
            <w:tcW w:w="3320" w:type="dxa"/>
            <w:vAlign w:val="bottom"/>
          </w:tcPr>
          <w:p>
            <w:pPr>
              <w:jc w:val="right"/>
              <w:ind w:right="694"/>
              <w:spacing w:after="0"/>
              <w:rPr>
                <w:sz w:val="20"/>
                <w:szCs w:val="20"/>
                <w:color w:val="auto"/>
              </w:rPr>
            </w:pPr>
            <w:r>
              <w:rPr>
                <w:rFonts w:ascii="Arial" w:cs="Arial" w:eastAsia="Arial" w:hAnsi="Arial"/>
                <w:sz w:val="16"/>
                <w:szCs w:val="16"/>
                <w:b w:val="1"/>
                <w:bCs w:val="1"/>
                <w:color w:val="auto"/>
              </w:rPr>
              <w:t>Ramirez &amp; Co., Inc.</w:t>
            </w:r>
          </w:p>
        </w:tc>
        <w:tc>
          <w:tcPr>
            <w:tcW w:w="2820" w:type="dxa"/>
            <w:vAlign w:val="bottom"/>
          </w:tcPr>
          <w:p>
            <w:pPr>
              <w:jc w:val="right"/>
              <w:spacing w:after="0"/>
              <w:rPr>
                <w:sz w:val="20"/>
                <w:szCs w:val="20"/>
                <w:color w:val="auto"/>
              </w:rPr>
            </w:pPr>
            <w:r>
              <w:rPr>
                <w:rFonts w:ascii="Arial" w:cs="Arial" w:eastAsia="Arial" w:hAnsi="Arial"/>
                <w:sz w:val="16"/>
                <w:szCs w:val="16"/>
                <w:b w:val="1"/>
                <w:bCs w:val="1"/>
                <w:color w:val="auto"/>
              </w:rPr>
              <w:t>Siebert Williams Shank</w:t>
            </w:r>
          </w:p>
        </w:tc>
      </w:tr>
      <w:tr>
        <w:trPr>
          <w:trHeight w:val="498"/>
        </w:trPr>
        <w:tc>
          <w:tcPr>
            <w:tcW w:w="2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320" w:type="dxa"/>
            <w:vAlign w:val="bottom"/>
          </w:tcPr>
          <w:p>
            <w:pPr>
              <w:jc w:val="right"/>
              <w:ind w:right="2134"/>
              <w:spacing w:after="0"/>
              <w:rPr>
                <w:sz w:val="20"/>
                <w:szCs w:val="20"/>
                <w:color w:val="auto"/>
              </w:rPr>
            </w:pPr>
            <w:r>
              <w:rPr>
                <w:rFonts w:ascii="Arial" w:cs="Arial" w:eastAsia="Arial" w:hAnsi="Arial"/>
                <w:sz w:val="19"/>
                <w:szCs w:val="19"/>
                <w:b w:val="1"/>
                <w:bCs w:val="1"/>
                <w:color w:val="auto"/>
              </w:rPr>
              <w:t>, 2021</w:t>
            </w:r>
          </w:p>
        </w:tc>
        <w:tc>
          <w:tcPr>
            <w:tcW w:w="2820" w:type="dxa"/>
            <w:vAlign w:val="bottom"/>
          </w:tcPr>
          <w:p>
            <w:pPr>
              <w:spacing w:after="0"/>
              <w:rPr>
                <w:sz w:val="24"/>
                <w:szCs w:val="24"/>
                <w:color w:val="auto"/>
              </w:rPr>
            </w:pPr>
          </w:p>
        </w:tc>
      </w:tr>
      <w:tr>
        <w:trPr>
          <w:trHeight w:val="708"/>
        </w:trPr>
        <w:tc>
          <w:tcPr>
            <w:tcW w:w="2060" w:type="dxa"/>
            <w:vAlign w:val="bottom"/>
          </w:tcPr>
          <w:p>
            <w:pPr>
              <w:ind w:left="260"/>
              <w:spacing w:after="0"/>
              <w:rPr>
                <w:sz w:val="20"/>
                <w:szCs w:val="20"/>
                <w:color w:val="auto"/>
              </w:rPr>
            </w:pPr>
            <w:r>
              <w:rPr>
                <w:rFonts w:ascii="Arial" w:cs="Arial" w:eastAsia="Arial" w:hAnsi="Arial"/>
                <w:sz w:val="16"/>
                <w:szCs w:val="16"/>
                <w:color w:val="auto"/>
              </w:rPr>
              <w:t>Through and including</w:t>
            </w:r>
          </w:p>
        </w:tc>
        <w:tc>
          <w:tcPr>
            <w:tcW w:w="9160" w:type="dxa"/>
            <w:vAlign w:val="bottom"/>
            <w:gridSpan w:val="3"/>
          </w:tcPr>
          <w:p>
            <w:pPr>
              <w:jc w:val="right"/>
              <w:ind w:right="311"/>
              <w:spacing w:after="0"/>
              <w:rPr>
                <w:sz w:val="20"/>
                <w:szCs w:val="20"/>
                <w:color w:val="auto"/>
              </w:rPr>
            </w:pPr>
            <w:r>
              <w:rPr>
                <w:rFonts w:ascii="Arial" w:cs="Arial" w:eastAsia="Arial" w:hAnsi="Arial"/>
                <w:sz w:val="16"/>
                <w:szCs w:val="16"/>
                <w:color w:val="auto"/>
              </w:rPr>
              <w:t>, 2021 (the 25th day after the date of this prospectus), all dealers effecting transactions in these securities, whether or not</w:t>
            </w:r>
          </w:p>
        </w:tc>
      </w:tr>
    </w:tbl>
    <w:p>
      <w:pPr>
        <w:ind w:right="540"/>
        <w:spacing w:after="0" w:line="260" w:lineRule="auto"/>
        <w:rPr>
          <w:sz w:val="20"/>
          <w:szCs w:val="20"/>
          <w:color w:val="auto"/>
        </w:rPr>
      </w:pPr>
      <w:r>
        <w:rPr>
          <w:rFonts w:ascii="Arial" w:cs="Arial" w:eastAsia="Arial" w:hAnsi="Arial"/>
          <w:sz w:val="16"/>
          <w:szCs w:val="16"/>
          <w:color w:val="auto"/>
        </w:rPr>
        <w:t>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14819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127000</wp:posOffset>
            </wp:positionV>
            <wp:extent cx="714819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678180</wp:posOffset>
            </wp:positionH>
            <wp:positionV relativeFrom="page">
              <wp:posOffset>323850</wp:posOffset>
            </wp:positionV>
            <wp:extent cx="6191885" cy="8013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6191885" cy="8013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0" w:name="page391"/>
    <w:bookmarkEnd w:id="390"/>
    <w:p>
      <w:pPr>
        <w:spacing w:after="0" w:line="12"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PART II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NOT REQUIRED IN PROSPECTUS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Item 13. Other Expenses of Issuance.</w:t>
      </w:r>
    </w:p>
    <w:p>
      <w:pPr>
        <w:spacing w:after="0" w:line="163"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following table sets forth the various expenses, other than the underwriting discount, payable in connection with the offering contemplated by this registration statement. All of the fees set forth below are estimates except for the SEC registration fee, the FINRA fee and the stock exchange listing fee.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ind w:right="483"/>
              <w:spacing w:after="0"/>
              <w:rPr>
                <w:sz w:val="20"/>
                <w:szCs w:val="20"/>
                <w:color w:val="auto"/>
              </w:rPr>
            </w:pPr>
            <w:r>
              <w:rPr>
                <w:rFonts w:ascii="Arial" w:cs="Arial" w:eastAsia="Arial" w:hAnsi="Arial"/>
                <w:sz w:val="13"/>
                <w:szCs w:val="13"/>
                <w:b w:val="1"/>
                <w:bCs w:val="1"/>
                <w:color w:val="auto"/>
              </w:rPr>
              <w:t>Payable by</w:t>
            </w:r>
          </w:p>
        </w:tc>
      </w:tr>
      <w:tr>
        <w:trPr>
          <w:trHeight w:val="155"/>
        </w:trPr>
        <w:tc>
          <w:tcPr>
            <w:tcW w:w="94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the registrant</w:t>
            </w:r>
          </w:p>
        </w:tc>
      </w:tr>
      <w:tr>
        <w:trPr>
          <w:trHeight w:val="195"/>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 registration fee</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277,223</w:t>
            </w:r>
          </w:p>
        </w:tc>
      </w:tr>
      <w:tr>
        <w:trPr>
          <w:trHeight w:val="203"/>
        </w:trPr>
        <w:tc>
          <w:tcPr>
            <w:tcW w:w="9480" w:type="dxa"/>
            <w:vAlign w:val="bottom"/>
          </w:tcPr>
          <w:p>
            <w:pPr>
              <w:ind w:left="20"/>
              <w:spacing w:after="0"/>
              <w:rPr>
                <w:sz w:val="20"/>
                <w:szCs w:val="20"/>
                <w:color w:val="auto"/>
              </w:rPr>
            </w:pPr>
            <w:r>
              <w:rPr>
                <w:rFonts w:ascii="Arial" w:cs="Arial" w:eastAsia="Arial" w:hAnsi="Arial"/>
                <w:sz w:val="16"/>
                <w:szCs w:val="16"/>
                <w:color w:val="auto"/>
              </w:rPr>
              <w:t>FINRA fee</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225,500</w:t>
            </w:r>
          </w:p>
        </w:tc>
      </w:tr>
      <w:tr>
        <w:trPr>
          <w:trHeight w:val="203"/>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exchange listing fee</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525,000</w:t>
            </w:r>
          </w:p>
        </w:tc>
      </w:tr>
      <w:tr>
        <w:trPr>
          <w:trHeight w:val="203"/>
        </w:trPr>
        <w:tc>
          <w:tcPr>
            <w:tcW w:w="9480" w:type="dxa"/>
            <w:vAlign w:val="bottom"/>
          </w:tcPr>
          <w:p>
            <w:pPr>
              <w:ind w:left="20"/>
              <w:spacing w:after="0"/>
              <w:rPr>
                <w:sz w:val="20"/>
                <w:szCs w:val="20"/>
                <w:color w:val="auto"/>
              </w:rPr>
            </w:pPr>
            <w:r>
              <w:rPr>
                <w:rFonts w:ascii="Arial" w:cs="Arial" w:eastAsia="Arial" w:hAnsi="Arial"/>
                <w:sz w:val="16"/>
                <w:szCs w:val="16"/>
                <w:color w:val="auto"/>
              </w:rPr>
              <w:t>Printing expenses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143,500</w:t>
            </w:r>
          </w:p>
        </w:tc>
      </w:tr>
      <w:tr>
        <w:trPr>
          <w:trHeight w:val="203"/>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Legal fees and expenses</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9,800,000</w:t>
            </w:r>
          </w:p>
        </w:tc>
      </w:tr>
      <w:tr>
        <w:trPr>
          <w:trHeight w:val="203"/>
        </w:trPr>
        <w:tc>
          <w:tcPr>
            <w:tcW w:w="9480" w:type="dxa"/>
            <w:vAlign w:val="bottom"/>
          </w:tcPr>
          <w:p>
            <w:pPr>
              <w:ind w:left="20"/>
              <w:spacing w:after="0"/>
              <w:rPr>
                <w:sz w:val="20"/>
                <w:szCs w:val="20"/>
                <w:color w:val="auto"/>
              </w:rPr>
            </w:pPr>
            <w:r>
              <w:rPr>
                <w:rFonts w:ascii="Arial" w:cs="Arial" w:eastAsia="Arial" w:hAnsi="Arial"/>
                <w:sz w:val="16"/>
                <w:szCs w:val="16"/>
                <w:color w:val="auto"/>
              </w:rPr>
              <w:t>Accounting fees and expenses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2,400,000</w:t>
            </w:r>
          </w:p>
        </w:tc>
      </w:tr>
      <w:tr>
        <w:trPr>
          <w:trHeight w:val="203"/>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 agent and registrar fees</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8,400</w:t>
            </w:r>
          </w:p>
        </w:tc>
      </w:tr>
      <w:tr>
        <w:trPr>
          <w:trHeight w:val="20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fees and expenses</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40,000</w:t>
            </w:r>
          </w:p>
        </w:tc>
      </w:tr>
      <w:tr>
        <w:trPr>
          <w:trHeight w:val="22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13,419,623</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Item 14. Indemnification of Directors and Officers.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Limitation of personal liability of directors and indemnification</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In addition, the indemnification agreements that we have entered into with Jan Hammer, who is a director of ours and a Partner at Index Ventures, and Scott Sandell, who is a director of ours and a Managing General Partner at New Enterprise Associates, also provide that, among other things, Index Ventures and New Enterprise Associates and their respective affiliates, respectively, will also be entitled to indemnification by us to the same extent as such director with respect to any claims that are based on such director’s service to us. We also intend to enter into indemnification agreements with our future directors and executive officers.</w:t>
      </w:r>
    </w:p>
    <w:p>
      <w:pPr>
        <w:spacing w:after="0" w:line="15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corporation. The DGCL provides that Section 145 is not exclusive of other rights to which those seeking indemnification may be entitled under any bylaw, agreement, vote of stockholders or disinterested directors or otherwise. Our Bylaws provide for indemnification by us of our directors and officers to the fullest extent permitted by the DGCL.</w:t>
      </w:r>
    </w:p>
    <w:p>
      <w:pPr>
        <w:spacing w:after="0" w:line="148"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260"/>
          </w:cols>
          <w:pgMar w:left="320" w:top="1440" w:right="319" w:bottom="1440" w:gutter="0" w:footer="0" w:header="0"/>
        </w:sectPr>
      </w:pPr>
    </w:p>
    <w:bookmarkStart w:id="391" w:name="page392"/>
    <w:bookmarkEnd w:id="391"/>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damages for breach of fiduciary duty as a director, subject to certain limitations. Our Charter provides for such limitation of liability.</w:t>
      </w:r>
    </w:p>
    <w:p>
      <w:pPr>
        <w:spacing w:after="0" w:line="175"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We maintain standard policies of insurance under which coverage is provided (a) to our directors and officers against loss arising from claims made by reason of breach of duty or other wrongful act, and (b) to us with respect to payments we may make to our officers and directors pursuant to the above indemnification provision or otherwise as a matter of law.</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Item 15. Recent Sales of Unregistered Securities.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Since December 31, 2017, we have issued the following securities that that were not registered under the Securities Act:</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Preferred Stock Issuances</w:t>
      </w:r>
    </w:p>
    <w:p>
      <w:pPr>
        <w:spacing w:after="0" w:line="179"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In April 2018, we sold an aggregate of 35,774,761 shares of our Series D redeemable convertible preferred stock at a purchase price of $10.1450 per share, for an aggregate purchase price of $362.9 million, pursuant to our Series D redeemable convertible preferred stock financing to entities affiliated with nine accredited investors.</w:t>
      </w:r>
    </w:p>
    <w:p>
      <w:pPr>
        <w:spacing w:after="0" w:line="145"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From August 2019 through October 2019, we sold an aggregate of 29,887,357 shares of our Series E redeemable convertible preferred stock at a purchase price of $12.4827 per share, for an aggregate purchase price of $373.1 million, pursuant to our Series E redeemable convertible preferred stock financing to entities affiliated with nine accredited investors.</w:t>
      </w:r>
    </w:p>
    <w:p>
      <w:pPr>
        <w:spacing w:after="0" w:line="157" w:lineRule="exact"/>
        <w:rPr>
          <w:sz w:val="20"/>
          <w:szCs w:val="20"/>
          <w:color w:val="auto"/>
        </w:rPr>
      </w:pPr>
    </w:p>
    <w:p>
      <w:pPr>
        <w:jc w:val="both"/>
        <w:ind w:firstLine="287"/>
        <w:spacing w:after="0" w:line="254" w:lineRule="auto"/>
        <w:rPr>
          <w:sz w:val="20"/>
          <w:szCs w:val="20"/>
          <w:color w:val="auto"/>
        </w:rPr>
      </w:pPr>
      <w:r>
        <w:rPr>
          <w:rFonts w:ascii="Arial" w:cs="Arial" w:eastAsia="Arial" w:hAnsi="Arial"/>
          <w:sz w:val="16"/>
          <w:szCs w:val="16"/>
          <w:color w:val="auto"/>
        </w:rPr>
        <w:t>From May 2020 through July 2020, we sold an aggregate of 48,000,000 shares of our Series F redeemable convertible preferred stock at a purchase price of $12.50 per share, for an aggregate purchase price of $600.0 million, pursuant to our Series F redeemable convertible preferred stock financing to entities affiliated with 23 accredited investors.</w:t>
      </w:r>
    </w:p>
    <w:p>
      <w:pPr>
        <w:spacing w:after="0" w:line="145" w:lineRule="exact"/>
        <w:rPr>
          <w:sz w:val="20"/>
          <w:szCs w:val="20"/>
          <w:color w:val="auto"/>
        </w:rPr>
      </w:pPr>
    </w:p>
    <w:p>
      <w:pPr>
        <w:jc w:val="both"/>
        <w:ind w:right="20" w:firstLine="287"/>
        <w:spacing w:after="0" w:line="254" w:lineRule="auto"/>
        <w:rPr>
          <w:sz w:val="20"/>
          <w:szCs w:val="20"/>
          <w:color w:val="auto"/>
        </w:rPr>
      </w:pPr>
      <w:r>
        <w:rPr>
          <w:rFonts w:ascii="Arial" w:cs="Arial" w:eastAsia="Arial" w:hAnsi="Arial"/>
          <w:sz w:val="16"/>
          <w:szCs w:val="16"/>
          <w:color w:val="auto"/>
        </w:rPr>
        <w:t>From August 2020 through September 2020, we sold an aggregate of 43,116,119 shares of our Series G redeemable convertible preferred stock at a purchase price of $15.50 per share, for an aggregate purchase price of $668.3 million, pursuant to our Series G redeemable convertible preferred stock financing to entities affiliated with 19 accredited investors.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Warrant Exercises</w:t>
      </w:r>
    </w:p>
    <w:p>
      <w:pPr>
        <w:spacing w:after="0" w:line="19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On June 5, 2018, we sold an aggregate of 918,760 shares of our Class A common stock, for an aggregate purchase price of $459.38, to an accredited investor upon the exercise by such investor of previously granted warrants to acquire our Class A common stock.</w:t>
      </w:r>
    </w:p>
    <w:p>
      <w:pPr>
        <w:spacing w:after="0" w:line="13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On August 7, 2018, we sold an aggregate of 262,500 shares of our Class A common stock, for an aggregate purchase price of $131.25 to an accredited investor upon the exercise by such investor of previously granted warrants to acquire our Class A common stock.</w:t>
      </w:r>
    </w:p>
    <w:p>
      <w:pPr>
        <w:spacing w:after="0" w:line="13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On November 6, 2018, we sold an aggregate of 393,750 shares of our Class A common stock, for an aggregate purchase price of $196.88, to an accredited investor upon the exercise by such investor of previously granted warrants to acquire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260"/>
          </w:cols>
          <w:pgMar w:left="320" w:top="1440" w:right="319" w:bottom="1440" w:gutter="0" w:footer="0" w:header="0"/>
        </w:sectPr>
      </w:pPr>
    </w:p>
    <w:bookmarkStart w:id="392" w:name="page393"/>
    <w:bookmarkEnd w:id="392"/>
    <w:p>
      <w:pPr>
        <w:spacing w:after="0" w:line="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On December 5, 2018, we sold an aggregate of 131,250 shares of our Class A common stock, for an aggregate purchase price of $65.63 to an accredited investor upon the exercise by such investor of previously granted warrants to acquire our Class A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2021 Convertible Note and Warrant Financings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February 2021, we issued $2,532.0 million aggregate principal amount of “Tranche I” convertible notes to entities affiliated with 19 accredited investors and $1,020.0 million aggregate principal amount of “Tranche II” convertible notes, to entities affiliated with six accredited investors. In addition, we granted to each purchaser of the Tranche I convertible notes a warrant to purchase a number of shares of equity securities equal to 15% of the aggregate proceeds invested by such purchaser in the Tranche I convertible notes (i.e., $379.8 million in aggregate maximum purchase amount).</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Employee Compensation</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Since December 31, 2017, we have granted 15,523,088 stock options to purchase shares of our Class A common stock to our employees, directors and consultants at a weighted average exercise price of $4.42 per share under our 2013 Plan and our 2020 Plan. We have also granted to our employees, directors and consultants an aggregate of 138,601,826 RSUs to be settled in shares of our Class A common stock under our 2013 Plan and 2020 Plan (including 68,991,706 RSUs granted to our founders in respect of shares of Class A common stock that, once vested and settled, may be exchanged for Class B common stock pursuant to the Equity Exchange Rights).</w:t>
      </w:r>
    </w:p>
    <w:p>
      <w:pPr>
        <w:spacing w:after="0" w:line="14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sales of the above securities were deemed to be exempt from registration under the Securities Act in reliance upon Section 4(a)(2) of the Securities Act (or Regulation D or Regulation S promulgated thereunder), as transactions by an issuer not involving any public offering, or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Each of the recipients of securities in these transactions had adequate access, through employment, business or other relationships, to information about us.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Item 16. Exhibits and Financial Statement Schedules.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Exhibits: The list of exhibits set forth under “</w:t>
      </w:r>
      <w:r>
        <w:rPr>
          <w:rFonts w:ascii="Arial" w:cs="Arial" w:eastAsia="Arial" w:hAnsi="Arial"/>
          <w:sz w:val="16"/>
          <w:szCs w:val="16"/>
          <w:i w:val="1"/>
          <w:iCs w:val="1"/>
          <w:color w:val="auto"/>
        </w:rPr>
        <w:t>Exhibit Index</w:t>
      </w:r>
      <w:r>
        <w:rPr>
          <w:rFonts w:ascii="Arial" w:cs="Arial" w:eastAsia="Arial" w:hAnsi="Arial"/>
          <w:sz w:val="16"/>
          <w:szCs w:val="16"/>
          <w:color w:val="auto"/>
        </w:rPr>
        <w:t>” at the end of this Registration Statement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Item 17. Undertakings.</w:t>
      </w:r>
    </w:p>
    <w:p>
      <w:pPr>
        <w:spacing w:after="0" w:line="163"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1"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260"/>
          </w:cols>
          <w:pgMar w:left="320" w:top="1440" w:right="319" w:bottom="1440" w:gutter="0" w:footer="0" w:header="0"/>
        </w:sectPr>
      </w:pPr>
    </w:p>
    <w:bookmarkStart w:id="393" w:name="page394"/>
    <w:bookmarkEnd w:id="393"/>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appropriate jurisdiction the question whether such indemnification by it is against public policy as expressed in the Securities Act and will be governed by the final adjudication of such issue.</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undersigned registrant hereby undertakes that:</w:t>
      </w:r>
    </w:p>
    <w:p>
      <w:pPr>
        <w:spacing w:after="0" w:line="163" w:lineRule="exact"/>
        <w:rPr>
          <w:sz w:val="20"/>
          <w:szCs w:val="20"/>
          <w:color w:val="auto"/>
        </w:rPr>
      </w:pPr>
    </w:p>
    <w:p>
      <w:pPr>
        <w:jc w:val="both"/>
        <w:ind w:left="560" w:right="20" w:hanging="278"/>
        <w:spacing w:after="0" w:line="254" w:lineRule="auto"/>
        <w:tabs>
          <w:tab w:leader="none" w:pos="55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4" w:lineRule="exact"/>
        <w:rPr>
          <w:rFonts w:ascii="Arial" w:cs="Arial" w:eastAsia="Arial" w:hAnsi="Arial"/>
          <w:sz w:val="16"/>
          <w:szCs w:val="16"/>
          <w:color w:val="auto"/>
        </w:rPr>
      </w:pPr>
    </w:p>
    <w:p>
      <w:pPr>
        <w:jc w:val="both"/>
        <w:ind w:left="560" w:hanging="278"/>
        <w:spacing w:after="0" w:line="254" w:lineRule="auto"/>
        <w:tabs>
          <w:tab w:leader="none" w:pos="55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260"/>
          </w:cols>
          <w:pgMar w:left="320" w:top="1440" w:right="319" w:bottom="1440" w:gutter="0" w:footer="0" w:header="0"/>
        </w:sectPr>
      </w:pPr>
    </w:p>
    <w:bookmarkStart w:id="394" w:name="page395"/>
    <w:bookmarkEnd w:id="394"/>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384"/>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60" w:type="dxa"/>
            <w:vAlign w:val="bottom"/>
            <w:gridSpan w:val="28"/>
          </w:tcPr>
          <w:p>
            <w:pPr>
              <w:ind w:left="80"/>
              <w:spacing w:after="0"/>
              <w:rPr>
                <w:sz w:val="20"/>
                <w:szCs w:val="20"/>
                <w:color w:val="auto"/>
              </w:rPr>
            </w:pPr>
            <w:r>
              <w:rPr>
                <w:rFonts w:ascii="Arial" w:cs="Arial" w:eastAsia="Arial" w:hAnsi="Arial"/>
                <w:sz w:val="32"/>
                <w:szCs w:val="32"/>
                <w:color w:val="auto"/>
              </w:rPr>
              <w:t>EXHIBIT INDEX</w:t>
            </w:r>
          </w:p>
        </w:tc>
      </w:tr>
      <w:tr>
        <w:trPr>
          <w:trHeight w:val="358"/>
        </w:trPr>
        <w:tc>
          <w:tcPr>
            <w:tcW w:w="146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Number</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60" w:type="dxa"/>
            <w:vAlign w:val="bottom"/>
            <w:gridSpan w:val="26"/>
          </w:tcPr>
          <w:p>
            <w:pPr>
              <w:ind w:left="380"/>
              <w:spacing w:after="0"/>
              <w:rPr>
                <w:sz w:val="20"/>
                <w:szCs w:val="20"/>
                <w:color w:val="auto"/>
              </w:rPr>
            </w:pPr>
            <w:r>
              <w:rPr>
                <w:rFonts w:ascii="Arial" w:cs="Arial" w:eastAsia="Arial" w:hAnsi="Arial"/>
                <w:sz w:val="13"/>
                <w:szCs w:val="13"/>
                <w:b w:val="1"/>
                <w:bCs w:val="1"/>
                <w:color w:val="auto"/>
              </w:rPr>
              <w:t>Exhibit Description</w:t>
            </w:r>
          </w:p>
        </w:tc>
      </w:tr>
      <w:tr>
        <w:trPr>
          <w:trHeight w:val="159"/>
        </w:trPr>
        <w:tc>
          <w:tcPr>
            <w:tcW w:w="1360" w:type="dxa"/>
            <w:vAlign w:val="bottom"/>
            <w:tcBorders>
              <w:top w:val="single" w:sz="8" w:color="auto"/>
            </w:tcBorders>
          </w:tcPr>
          <w:p>
            <w:pPr>
              <w:ind w:left="20"/>
              <w:spacing w:after="0" w:line="159" w:lineRule="exact"/>
              <w:rPr>
                <w:sz w:val="20"/>
                <w:szCs w:val="20"/>
                <w:color w:val="auto"/>
              </w:rPr>
            </w:pPr>
            <w:r>
              <w:rPr>
                <w:rFonts w:ascii="Arial" w:cs="Arial" w:eastAsia="Arial" w:hAnsi="Arial"/>
                <w:sz w:val="16"/>
                <w:szCs w:val="16"/>
                <w:color w:val="auto"/>
              </w:rPr>
              <w:t>1.1</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320" w:type="dxa"/>
            <w:vAlign w:val="bottom"/>
            <w:tcBorders>
              <w:top w:val="single" w:sz="8" w:color="auto"/>
              <w:bottom w:val="single" w:sz="8" w:color="0000FF"/>
            </w:tcBorders>
            <w:gridSpan w:val="3"/>
          </w:tcPr>
          <w:p>
            <w:pPr>
              <w:spacing w:after="0" w:line="159" w:lineRule="exact"/>
              <w:rPr>
                <w:rFonts w:ascii="Arial" w:cs="Arial" w:eastAsia="Arial" w:hAnsi="Arial"/>
                <w:sz w:val="16"/>
                <w:szCs w:val="16"/>
                <w:color w:val="0000FF"/>
                <w:w w:val="99"/>
              </w:rPr>
            </w:pPr>
            <w:hyperlink w:anchor="page398">
              <w:r>
                <w:rPr>
                  <w:rFonts w:ascii="Arial" w:cs="Arial" w:eastAsia="Arial" w:hAnsi="Arial"/>
                  <w:sz w:val="16"/>
                  <w:szCs w:val="16"/>
                  <w:color w:val="0000FF"/>
                  <w:w w:val="99"/>
                </w:rPr>
                <w:t>Form of Underwriting Agreement</w:t>
              </w:r>
            </w:hyperlink>
          </w:p>
        </w:tc>
        <w:tc>
          <w:tcPr>
            <w:tcW w:w="7460" w:type="dxa"/>
            <w:vAlign w:val="bottom"/>
            <w:tcBorders>
              <w:top w:val="single" w:sz="8" w:color="auto"/>
            </w:tcBorders>
            <w:gridSpan w:val="29"/>
          </w:tcPr>
          <w:p>
            <w:pPr>
              <w:spacing w:after="0"/>
              <w:rPr>
                <w:sz w:val="13"/>
                <w:szCs w:val="13"/>
                <w:color w:val="auto"/>
              </w:rPr>
            </w:pPr>
          </w:p>
        </w:tc>
      </w:tr>
      <w:tr>
        <w:trPr>
          <w:trHeight w:val="183"/>
        </w:trPr>
        <w:tc>
          <w:tcPr>
            <w:tcW w:w="1360" w:type="dxa"/>
            <w:vAlign w:val="bottom"/>
          </w:tcPr>
          <w:p>
            <w:pPr>
              <w:ind w:lef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FF"/>
            </w:tcBorders>
            <w:gridSpan w:val="22"/>
          </w:tcPr>
          <w:p>
            <w:pPr>
              <w:spacing w:after="0"/>
              <w:rPr>
                <w:rFonts w:ascii="Arial" w:cs="Arial" w:eastAsia="Arial" w:hAnsi="Arial"/>
                <w:sz w:val="16"/>
                <w:szCs w:val="16"/>
                <w:color w:val="0000FF"/>
                <w:w w:val="99"/>
              </w:rPr>
            </w:pPr>
            <w:hyperlink r:id="rId154">
              <w:r>
                <w:rPr>
                  <w:rFonts w:ascii="Arial" w:cs="Arial" w:eastAsia="Arial" w:hAnsi="Arial"/>
                  <w:sz w:val="16"/>
                  <w:szCs w:val="16"/>
                  <w:color w:val="0000FF"/>
                  <w:w w:val="99"/>
                </w:rPr>
                <w:t>Form of Amended and Restated Certificate of Incorporation of Robinhood Markets, Inc., to be effective following this offering</w:t>
              </w:r>
            </w:hyperlink>
          </w:p>
        </w:tc>
        <w:tc>
          <w:tcPr>
            <w:tcW w:w="1040" w:type="dxa"/>
            <w:vAlign w:val="bottom"/>
            <w:gridSpan w:val="10"/>
          </w:tcPr>
          <w:p>
            <w:pPr>
              <w:spacing w:after="0"/>
              <w:rPr>
                <w:sz w:val="15"/>
                <w:szCs w:val="15"/>
                <w:color w:val="auto"/>
              </w:rPr>
            </w:pPr>
          </w:p>
        </w:tc>
      </w:tr>
      <w:tr>
        <w:trPr>
          <w:trHeight w:val="183"/>
        </w:trPr>
        <w:tc>
          <w:tcPr>
            <w:tcW w:w="136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32"/>
          </w:tcPr>
          <w:p>
            <w:pPr>
              <w:spacing w:after="0"/>
              <w:rPr>
                <w:rFonts w:ascii="Arial" w:cs="Arial" w:eastAsia="Arial" w:hAnsi="Arial"/>
                <w:sz w:val="16"/>
                <w:szCs w:val="16"/>
                <w:color w:val="0000FF"/>
              </w:rPr>
            </w:pPr>
            <w:hyperlink r:id="rId155">
              <w:r>
                <w:rPr>
                  <w:rFonts w:ascii="Arial" w:cs="Arial" w:eastAsia="Arial" w:hAnsi="Arial"/>
                  <w:sz w:val="16"/>
                  <w:szCs w:val="16"/>
                  <w:color w:val="0000FF"/>
                </w:rPr>
                <w:t>Form of Amended and Restated Bylaws of Robinhood Markets, Inc., to be effective following this offering</w:t>
              </w:r>
            </w:hyperlink>
          </w:p>
        </w:tc>
      </w:tr>
      <w:tr>
        <w:trPr>
          <w:trHeight w:val="183"/>
        </w:trPr>
        <w:tc>
          <w:tcPr>
            <w:tcW w:w="1360" w:type="dxa"/>
            <w:vAlign w:val="bottom"/>
          </w:tcPr>
          <w:p>
            <w:pPr>
              <w:ind w:lef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360" w:type="dxa"/>
            <w:vAlign w:val="bottom"/>
            <w:tcBorders>
              <w:top w:val="single" w:sz="8" w:color="0000FF"/>
            </w:tcBorders>
            <w:gridSpan w:val="16"/>
          </w:tcPr>
          <w:p>
            <w:pPr>
              <w:spacing w:after="0"/>
              <w:rPr>
                <w:rFonts w:ascii="Arial" w:cs="Arial" w:eastAsia="Arial" w:hAnsi="Arial"/>
                <w:sz w:val="16"/>
                <w:szCs w:val="16"/>
                <w:color w:val="0000FF"/>
              </w:rPr>
            </w:pPr>
            <w:hyperlink w:anchor="page449">
              <w:r>
                <w:rPr>
                  <w:rFonts w:ascii="Arial" w:cs="Arial" w:eastAsia="Arial" w:hAnsi="Arial"/>
                  <w:sz w:val="16"/>
                  <w:szCs w:val="16"/>
                  <w:color w:val="0000FF"/>
                </w:rPr>
                <w:t>Form of Class A Common Stock Certificate of Robinhood Markets, Inc.</w:t>
              </w:r>
            </w:hyperlink>
          </w:p>
        </w:tc>
        <w:tc>
          <w:tcPr>
            <w:tcW w:w="2420" w:type="dxa"/>
            <w:vAlign w:val="bottom"/>
            <w:gridSpan w:val="16"/>
          </w:tcPr>
          <w:p>
            <w:pPr>
              <w:spacing w:after="0"/>
              <w:rPr>
                <w:sz w:val="15"/>
                <w:szCs w:val="15"/>
                <w:color w:val="auto"/>
              </w:rPr>
            </w:pPr>
          </w:p>
        </w:tc>
      </w:tr>
      <w:tr>
        <w:trPr>
          <w:trHeight w:val="183"/>
        </w:trPr>
        <w:tc>
          <w:tcPr>
            <w:tcW w:w="1360" w:type="dxa"/>
            <w:vAlign w:val="bottom"/>
          </w:tcPr>
          <w:p>
            <w:pPr>
              <w:ind w:left="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FF"/>
            </w:tcBorders>
            <w:gridSpan w:val="8"/>
          </w:tcPr>
          <w:p>
            <w:pPr>
              <w:spacing w:after="0"/>
              <w:rPr>
                <w:rFonts w:ascii="Arial" w:cs="Arial" w:eastAsia="Arial" w:hAnsi="Arial"/>
                <w:sz w:val="16"/>
                <w:szCs w:val="16"/>
                <w:color w:val="0000FF"/>
              </w:rPr>
            </w:pPr>
            <w:hyperlink r:id="rId156">
              <w:r>
                <w:rPr>
                  <w:rFonts w:ascii="Arial" w:cs="Arial" w:eastAsia="Arial" w:hAnsi="Arial"/>
                  <w:sz w:val="16"/>
                  <w:szCs w:val="16"/>
                  <w:color w:val="0000FF"/>
                </w:rPr>
                <w:t>Form of Warrant Agreement of Robinhood Markets, Inc.</w:t>
              </w:r>
            </w:hyperlink>
          </w:p>
        </w:tc>
        <w:tc>
          <w:tcPr>
            <w:tcW w:w="4800" w:type="dxa"/>
            <w:vAlign w:val="bottom"/>
            <w:gridSpan w:val="24"/>
          </w:tcPr>
          <w:p>
            <w:pPr>
              <w:spacing w:after="0"/>
              <w:rPr>
                <w:sz w:val="15"/>
                <w:szCs w:val="15"/>
                <w:color w:val="auto"/>
              </w:rPr>
            </w:pPr>
          </w:p>
        </w:tc>
      </w:tr>
      <w:tr>
        <w:trPr>
          <w:trHeight w:val="183"/>
        </w:trPr>
        <w:tc>
          <w:tcPr>
            <w:tcW w:w="1360" w:type="dxa"/>
            <w:vAlign w:val="bottom"/>
          </w:tcPr>
          <w:p>
            <w:pPr>
              <w:ind w:left="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9"/>
              </w:rPr>
            </w:pPr>
            <w:hyperlink w:anchor="page451">
              <w:r>
                <w:rPr>
                  <w:rFonts w:ascii="Arial" w:cs="Arial" w:eastAsia="Arial" w:hAnsi="Arial"/>
                  <w:sz w:val="16"/>
                  <w:szCs w:val="16"/>
                  <w:color w:val="0000FF"/>
                  <w:w w:val="99"/>
                </w:rPr>
                <w:t>Opinion of Cravath, Swaine &amp; Moore LLP</w:t>
              </w:r>
            </w:hyperlink>
          </w:p>
        </w:tc>
        <w:tc>
          <w:tcPr>
            <w:tcW w:w="1000" w:type="dxa"/>
            <w:vAlign w:val="bottom"/>
            <w:tcBorders>
              <w:top w:val="single" w:sz="8" w:color="0000FF"/>
            </w:tcBorders>
            <w:gridSpan w:val="2"/>
          </w:tcPr>
          <w:p>
            <w:pPr>
              <w:spacing w:after="0"/>
              <w:rPr>
                <w:sz w:val="15"/>
                <w:szCs w:val="15"/>
                <w:color w:val="auto"/>
              </w:rPr>
            </w:pPr>
          </w:p>
        </w:tc>
        <w:tc>
          <w:tcPr>
            <w:tcW w:w="5860" w:type="dxa"/>
            <w:vAlign w:val="bottom"/>
            <w:gridSpan w:val="26"/>
          </w:tcPr>
          <w:p>
            <w:pPr>
              <w:spacing w:after="0"/>
              <w:rPr>
                <w:sz w:val="15"/>
                <w:szCs w:val="15"/>
                <w:color w:val="auto"/>
              </w:rPr>
            </w:pPr>
          </w:p>
        </w:tc>
      </w:tr>
      <w:tr>
        <w:trPr>
          <w:trHeight w:val="183"/>
        </w:trPr>
        <w:tc>
          <w:tcPr>
            <w:tcW w:w="1360" w:type="dxa"/>
            <w:vAlign w:val="bottom"/>
          </w:tcPr>
          <w:p>
            <w:pPr>
              <w:ind w:lef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32"/>
          </w:tcPr>
          <w:p>
            <w:pPr>
              <w:spacing w:after="0"/>
              <w:rPr>
                <w:rFonts w:ascii="Arial" w:cs="Arial" w:eastAsia="Arial" w:hAnsi="Arial"/>
                <w:sz w:val="16"/>
                <w:szCs w:val="16"/>
                <w:color w:val="0000FF"/>
              </w:rPr>
            </w:pPr>
            <w:hyperlink w:anchor="page453">
              <w:r>
                <w:rPr>
                  <w:rFonts w:ascii="Arial" w:cs="Arial" w:eastAsia="Arial" w:hAnsi="Arial"/>
                  <w:sz w:val="16"/>
                  <w:szCs w:val="16"/>
                  <w:color w:val="0000FF"/>
                </w:rPr>
                <w:t>Form of Indemnification Agreement between Robinhood Markets, Inc. and each of its directors and executive officers (other than Jan</w:t>
              </w:r>
            </w:hyperlink>
          </w:p>
        </w:tc>
      </w:tr>
      <w:tr>
        <w:trPr>
          <w:trHeight w:val="135"/>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tcBorders>
              <w:top w:val="single" w:sz="8" w:color="0000FF"/>
              <w:bottom w:val="single" w:sz="8" w:color="0000FF"/>
            </w:tcBorders>
            <w:gridSpan w:val="2"/>
          </w:tcPr>
          <w:p>
            <w:pPr>
              <w:spacing w:after="0" w:line="136" w:lineRule="exact"/>
              <w:rPr>
                <w:rFonts w:ascii="Arial" w:cs="Arial" w:eastAsia="Arial" w:hAnsi="Arial"/>
                <w:sz w:val="15"/>
                <w:szCs w:val="15"/>
                <w:color w:val="0000FF"/>
              </w:rPr>
            </w:pPr>
            <w:hyperlink w:anchor="page453">
              <w:r>
                <w:rPr>
                  <w:rFonts w:ascii="Arial" w:cs="Arial" w:eastAsia="Arial" w:hAnsi="Arial"/>
                  <w:sz w:val="15"/>
                  <w:szCs w:val="15"/>
                  <w:color w:val="0000FF"/>
                </w:rPr>
                <w:t>Hammer and Scott Sandell)</w:t>
              </w:r>
            </w:hyperlink>
          </w:p>
        </w:tc>
        <w:tc>
          <w:tcPr>
            <w:tcW w:w="7380" w:type="dxa"/>
            <w:vAlign w:val="bottom"/>
            <w:tcBorders>
              <w:top w:val="single" w:sz="8" w:color="0000FF"/>
            </w:tcBorders>
            <w:gridSpan w:val="25"/>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3"/>
        </w:trPr>
        <w:tc>
          <w:tcPr>
            <w:tcW w:w="1360" w:type="dxa"/>
            <w:vAlign w:val="bottom"/>
          </w:tcPr>
          <w:p>
            <w:pPr>
              <w:ind w:left="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40" w:type="dxa"/>
            <w:vAlign w:val="bottom"/>
            <w:tcBorders>
              <w:bottom w:val="single" w:sz="8" w:color="0000FF"/>
            </w:tcBorders>
            <w:gridSpan w:val="18"/>
          </w:tcPr>
          <w:p>
            <w:pPr>
              <w:spacing w:after="0"/>
              <w:rPr>
                <w:rFonts w:ascii="Arial" w:cs="Arial" w:eastAsia="Arial" w:hAnsi="Arial"/>
                <w:sz w:val="16"/>
                <w:szCs w:val="16"/>
                <w:color w:val="0000FF"/>
                <w:w w:val="99"/>
              </w:rPr>
            </w:pPr>
            <w:hyperlink w:anchor="page465">
              <w:r>
                <w:rPr>
                  <w:rFonts w:ascii="Arial" w:cs="Arial" w:eastAsia="Arial" w:hAnsi="Arial"/>
                  <w:sz w:val="16"/>
                  <w:szCs w:val="16"/>
                  <w:color w:val="0000FF"/>
                  <w:w w:val="99"/>
                </w:rPr>
                <w:t>Form of Indemnification Agreement between Robinhood Markets, Inc. and each of Jan Hammer and Scott Sandell</w:t>
              </w:r>
            </w:hyperlink>
          </w:p>
        </w:tc>
        <w:tc>
          <w:tcPr>
            <w:tcW w:w="1740" w:type="dxa"/>
            <w:vAlign w:val="bottom"/>
            <w:gridSpan w:val="14"/>
          </w:tcPr>
          <w:p>
            <w:pPr>
              <w:spacing w:after="0"/>
              <w:rPr>
                <w:sz w:val="15"/>
                <w:szCs w:val="15"/>
                <w:color w:val="auto"/>
              </w:rPr>
            </w:pPr>
          </w:p>
        </w:tc>
      </w:tr>
      <w:tr>
        <w:trPr>
          <w:trHeight w:val="183"/>
        </w:trPr>
        <w:tc>
          <w:tcPr>
            <w:tcW w:w="1460" w:type="dxa"/>
            <w:vAlign w:val="bottom"/>
            <w:gridSpan w:val="2"/>
          </w:tcPr>
          <w:p>
            <w:pPr>
              <w:ind w:left="20"/>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5"/>
                <w:szCs w:val="15"/>
                <w:color w:val="auto"/>
              </w:rPr>
            </w:pPr>
          </w:p>
        </w:tc>
        <w:tc>
          <w:tcPr>
            <w:tcW w:w="9780" w:type="dxa"/>
            <w:vAlign w:val="bottom"/>
            <w:gridSpan w:val="32"/>
          </w:tcPr>
          <w:p>
            <w:pPr>
              <w:spacing w:after="0"/>
              <w:rPr>
                <w:rFonts w:ascii="Arial" w:cs="Arial" w:eastAsia="Arial" w:hAnsi="Arial"/>
                <w:sz w:val="16"/>
                <w:szCs w:val="16"/>
                <w:color w:val="0000FF"/>
              </w:rPr>
            </w:pPr>
            <w:hyperlink r:id="rId157">
              <w:r>
                <w:rPr>
                  <w:rFonts w:ascii="Arial" w:cs="Arial" w:eastAsia="Arial" w:hAnsi="Arial"/>
                  <w:sz w:val="16"/>
                  <w:szCs w:val="16"/>
                  <w:color w:val="0000FF"/>
                </w:rPr>
                <w:t>Robinhood Markets, Inc. 2020 Equity Incentive Plan, as amended on June 18, 2020 and form grant notices and award agreements</w:t>
              </w:r>
            </w:hyperlink>
          </w:p>
        </w:tc>
      </w:tr>
      <w:tr>
        <w:trPr>
          <w:trHeight w:val="135"/>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0000FF"/>
              <w:bottom w:val="single" w:sz="8" w:color="0000FF"/>
            </w:tcBorders>
          </w:tcPr>
          <w:p>
            <w:pPr>
              <w:spacing w:after="0" w:line="136" w:lineRule="exact"/>
              <w:rPr>
                <w:rFonts w:ascii="Arial" w:cs="Arial" w:eastAsia="Arial" w:hAnsi="Arial"/>
                <w:sz w:val="15"/>
                <w:szCs w:val="15"/>
                <w:color w:val="0000FF"/>
              </w:rPr>
            </w:pPr>
            <w:hyperlink r:id="rId157">
              <w:r>
                <w:rPr>
                  <w:rFonts w:ascii="Arial" w:cs="Arial" w:eastAsia="Arial" w:hAnsi="Arial"/>
                  <w:sz w:val="15"/>
                  <w:szCs w:val="15"/>
                  <w:color w:val="0000FF"/>
                </w:rPr>
                <w:t>thereunder</w:t>
              </w:r>
            </w:hyperlink>
          </w:p>
        </w:tc>
        <w:tc>
          <w:tcPr>
            <w:tcW w:w="8420" w:type="dxa"/>
            <w:vAlign w:val="bottom"/>
            <w:tcBorders>
              <w:top w:val="single" w:sz="8" w:color="0000FF"/>
            </w:tcBorders>
            <w:gridSpan w:val="24"/>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3"/>
        </w:trPr>
        <w:tc>
          <w:tcPr>
            <w:tcW w:w="1460" w:type="dxa"/>
            <w:vAlign w:val="bottom"/>
            <w:gridSpan w:val="2"/>
          </w:tcPr>
          <w:p>
            <w:pPr>
              <w:ind w:left="20"/>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5"/>
                <w:szCs w:val="15"/>
                <w:color w:val="auto"/>
              </w:rPr>
            </w:pPr>
          </w:p>
        </w:tc>
        <w:tc>
          <w:tcPr>
            <w:tcW w:w="9780" w:type="dxa"/>
            <w:vAlign w:val="bottom"/>
            <w:gridSpan w:val="32"/>
          </w:tcPr>
          <w:p>
            <w:pPr>
              <w:spacing w:after="0"/>
              <w:rPr>
                <w:rFonts w:ascii="Arial" w:cs="Arial" w:eastAsia="Arial" w:hAnsi="Arial"/>
                <w:sz w:val="16"/>
                <w:szCs w:val="16"/>
                <w:color w:val="0000FF"/>
              </w:rPr>
            </w:pPr>
            <w:hyperlink r:id="rId158">
              <w:r>
                <w:rPr>
                  <w:rFonts w:ascii="Arial" w:cs="Arial" w:eastAsia="Arial" w:hAnsi="Arial"/>
                  <w:sz w:val="16"/>
                  <w:szCs w:val="16"/>
                  <w:color w:val="0000FF"/>
                </w:rPr>
                <w:t>Robinhood Markets, Inc. Amended and Restated 2013 Stock Plan and form grant notices and award agreements thereunder</w:t>
              </w:r>
            </w:hyperlink>
          </w:p>
        </w:tc>
      </w:tr>
      <w:tr>
        <w:trPr>
          <w:trHeight w:val="183"/>
        </w:trPr>
        <w:tc>
          <w:tcPr>
            <w:tcW w:w="1360" w:type="dxa"/>
            <w:vAlign w:val="bottom"/>
          </w:tcPr>
          <w:p>
            <w:pPr>
              <w:ind w:left="2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60" w:type="dxa"/>
            <w:vAlign w:val="bottom"/>
            <w:tcBorders>
              <w:top w:val="single" w:sz="8" w:color="0000FF"/>
            </w:tcBorders>
            <w:gridSpan w:val="23"/>
          </w:tcPr>
          <w:p>
            <w:pPr>
              <w:spacing w:after="0"/>
              <w:rPr>
                <w:rFonts w:ascii="Arial" w:cs="Arial" w:eastAsia="Arial" w:hAnsi="Arial"/>
                <w:sz w:val="16"/>
                <w:szCs w:val="16"/>
                <w:color w:val="0000FF"/>
              </w:rPr>
            </w:pPr>
            <w:hyperlink r:id="rId159">
              <w:r>
                <w:rPr>
                  <w:rFonts w:ascii="Arial" w:cs="Arial" w:eastAsia="Arial" w:hAnsi="Arial"/>
                  <w:sz w:val="16"/>
                  <w:szCs w:val="16"/>
                  <w:color w:val="0000FF"/>
                </w:rPr>
                <w:t>Second Amendment to the Robinhood Markets, Inc. 2020 Equity Incentive Plan, dated March 10, 2021</w:t>
              </w:r>
            </w:hyperlink>
          </w:p>
        </w:tc>
        <w:tc>
          <w:tcPr>
            <w:tcW w:w="1020" w:type="dxa"/>
            <w:vAlign w:val="bottom"/>
            <w:gridSpan w:val="9"/>
          </w:tcPr>
          <w:p>
            <w:pPr>
              <w:spacing w:after="0"/>
              <w:rPr>
                <w:sz w:val="15"/>
                <w:szCs w:val="15"/>
                <w:color w:val="auto"/>
              </w:rPr>
            </w:pPr>
          </w:p>
        </w:tc>
      </w:tr>
      <w:tr>
        <w:trPr>
          <w:trHeight w:val="183"/>
        </w:trPr>
        <w:tc>
          <w:tcPr>
            <w:tcW w:w="1360" w:type="dxa"/>
            <w:vAlign w:val="bottom"/>
          </w:tcPr>
          <w:p>
            <w:pPr>
              <w:ind w:left="2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20" w:type="dxa"/>
            <w:vAlign w:val="bottom"/>
            <w:tcBorders>
              <w:top w:val="single" w:sz="8" w:color="0000FF"/>
            </w:tcBorders>
            <w:gridSpan w:val="15"/>
          </w:tcPr>
          <w:p>
            <w:pPr>
              <w:spacing w:after="0"/>
              <w:rPr>
                <w:rFonts w:ascii="Arial" w:cs="Arial" w:eastAsia="Arial" w:hAnsi="Arial"/>
                <w:sz w:val="16"/>
                <w:szCs w:val="16"/>
                <w:color w:val="0000FF"/>
              </w:rPr>
            </w:pPr>
            <w:hyperlink r:id="rId160">
              <w:r>
                <w:rPr>
                  <w:rFonts w:ascii="Arial" w:cs="Arial" w:eastAsia="Arial" w:hAnsi="Arial"/>
                  <w:sz w:val="16"/>
                  <w:szCs w:val="16"/>
                  <w:color w:val="0000FF"/>
                </w:rPr>
                <w:t>Third Amendment to the Robinhood Markets, Inc. 2020 Equity Incentive Plan, dated May 26, 2021</w:t>
              </w:r>
            </w:hyperlink>
          </w:p>
        </w:tc>
        <w:tc>
          <w:tcPr>
            <w:tcW w:w="2560" w:type="dxa"/>
            <w:vAlign w:val="bottom"/>
            <w:gridSpan w:val="17"/>
          </w:tcPr>
          <w:p>
            <w:pPr>
              <w:spacing w:after="0"/>
              <w:rPr>
                <w:sz w:val="15"/>
                <w:szCs w:val="15"/>
                <w:color w:val="auto"/>
              </w:rPr>
            </w:pPr>
          </w:p>
        </w:tc>
      </w:tr>
      <w:tr>
        <w:trPr>
          <w:trHeight w:val="183"/>
        </w:trPr>
        <w:tc>
          <w:tcPr>
            <w:tcW w:w="1360" w:type="dxa"/>
            <w:vAlign w:val="bottom"/>
          </w:tcPr>
          <w:p>
            <w:pPr>
              <w:ind w:lef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60" w:type="dxa"/>
            <w:vAlign w:val="bottom"/>
            <w:tcBorders>
              <w:top w:val="single" w:sz="8" w:color="0000FF"/>
              <w:bottom w:val="single" w:sz="8" w:color="0000FF"/>
            </w:tcBorders>
            <w:gridSpan w:val="12"/>
          </w:tcPr>
          <w:p>
            <w:pPr>
              <w:spacing w:after="0"/>
              <w:rPr>
                <w:rFonts w:ascii="Arial" w:cs="Arial" w:eastAsia="Arial" w:hAnsi="Arial"/>
                <w:sz w:val="16"/>
                <w:szCs w:val="16"/>
                <w:color w:val="0000FF"/>
                <w:w w:val="99"/>
              </w:rPr>
            </w:pPr>
            <w:hyperlink r:id="rId161">
              <w:r>
                <w:rPr>
                  <w:rFonts w:ascii="Arial" w:cs="Arial" w:eastAsia="Arial" w:hAnsi="Arial"/>
                  <w:sz w:val="16"/>
                  <w:szCs w:val="16"/>
                  <w:color w:val="0000FF"/>
                  <w:w w:val="99"/>
                </w:rPr>
                <w:t>Offer Letter between Robinhood Markets, Inc. and Jason Warnick, dated November 8, 2018</w:t>
              </w:r>
            </w:hyperlink>
          </w:p>
        </w:tc>
        <w:tc>
          <w:tcPr>
            <w:tcW w:w="440" w:type="dxa"/>
            <w:vAlign w:val="bottom"/>
            <w:tcBorders>
              <w:top w:val="single" w:sz="8" w:color="0000FF"/>
            </w:tcBorders>
            <w:gridSpan w:val="2"/>
          </w:tcPr>
          <w:p>
            <w:pPr>
              <w:spacing w:after="0"/>
              <w:rPr>
                <w:sz w:val="15"/>
                <w:szCs w:val="15"/>
                <w:color w:val="auto"/>
              </w:rPr>
            </w:pPr>
          </w:p>
        </w:tc>
        <w:tc>
          <w:tcPr>
            <w:tcW w:w="2880" w:type="dxa"/>
            <w:vAlign w:val="bottom"/>
            <w:gridSpan w:val="18"/>
          </w:tcPr>
          <w:p>
            <w:pPr>
              <w:spacing w:after="0"/>
              <w:rPr>
                <w:sz w:val="15"/>
                <w:szCs w:val="15"/>
                <w:color w:val="auto"/>
              </w:rPr>
            </w:pPr>
          </w:p>
        </w:tc>
      </w:tr>
      <w:tr>
        <w:trPr>
          <w:trHeight w:val="183"/>
        </w:trPr>
        <w:tc>
          <w:tcPr>
            <w:tcW w:w="1460" w:type="dxa"/>
            <w:vAlign w:val="bottom"/>
            <w:gridSpan w:val="2"/>
          </w:tcPr>
          <w:p>
            <w:pPr>
              <w:ind w:left="20"/>
              <w:spacing w:after="0"/>
              <w:rPr>
                <w:sz w:val="20"/>
                <w:szCs w:val="20"/>
                <w:color w:val="auto"/>
              </w:rPr>
            </w:pPr>
            <w:r>
              <w:rPr>
                <w:rFonts w:ascii="Arial" w:cs="Arial" w:eastAsia="Arial" w:hAnsi="Arial"/>
                <w:sz w:val="16"/>
                <w:szCs w:val="16"/>
                <w:color w:val="auto"/>
              </w:rPr>
              <w:t>10.8†+*</w:t>
            </w:r>
          </w:p>
        </w:tc>
        <w:tc>
          <w:tcPr>
            <w:tcW w:w="20" w:type="dxa"/>
            <w:vAlign w:val="bottom"/>
          </w:tcPr>
          <w:p>
            <w:pPr>
              <w:spacing w:after="0"/>
              <w:rPr>
                <w:sz w:val="15"/>
                <w:szCs w:val="15"/>
                <w:color w:val="auto"/>
              </w:rPr>
            </w:pPr>
          </w:p>
        </w:tc>
        <w:tc>
          <w:tcPr>
            <w:tcW w:w="8260" w:type="dxa"/>
            <w:vAlign w:val="bottom"/>
            <w:tcBorders>
              <w:bottom w:val="single" w:sz="8" w:color="0000FF"/>
            </w:tcBorders>
            <w:gridSpan w:val="20"/>
          </w:tcPr>
          <w:p>
            <w:pPr>
              <w:spacing w:after="0"/>
              <w:rPr>
                <w:rFonts w:ascii="Arial" w:cs="Arial" w:eastAsia="Arial" w:hAnsi="Arial"/>
                <w:sz w:val="16"/>
                <w:szCs w:val="16"/>
                <w:color w:val="0000FF"/>
                <w:w w:val="99"/>
              </w:rPr>
            </w:pPr>
            <w:hyperlink r:id="rId162">
              <w:r>
                <w:rPr>
                  <w:rFonts w:ascii="Arial" w:cs="Arial" w:eastAsia="Arial" w:hAnsi="Arial"/>
                  <w:sz w:val="16"/>
                  <w:szCs w:val="16"/>
                  <w:color w:val="0000FF"/>
                  <w:w w:val="99"/>
                </w:rPr>
                <w:t>Offer letter between Robinhood Markets, Inc. and Daniel Gallagher, as amended and restated on December 15, 2020</w:t>
              </w:r>
            </w:hyperlink>
          </w:p>
        </w:tc>
        <w:tc>
          <w:tcPr>
            <w:tcW w:w="1520" w:type="dxa"/>
            <w:vAlign w:val="bottom"/>
            <w:gridSpan w:val="12"/>
          </w:tcPr>
          <w:p>
            <w:pPr>
              <w:spacing w:after="0"/>
              <w:rPr>
                <w:sz w:val="15"/>
                <w:szCs w:val="15"/>
                <w:color w:val="auto"/>
              </w:rPr>
            </w:pPr>
          </w:p>
        </w:tc>
      </w:tr>
      <w:tr>
        <w:trPr>
          <w:trHeight w:val="183"/>
        </w:trPr>
        <w:tc>
          <w:tcPr>
            <w:tcW w:w="1460" w:type="dxa"/>
            <w:vAlign w:val="bottom"/>
            <w:gridSpan w:val="2"/>
          </w:tcPr>
          <w:p>
            <w:pPr>
              <w:ind w:left="20"/>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15"/>
                <w:szCs w:val="15"/>
                <w:color w:val="auto"/>
              </w:rPr>
            </w:pPr>
          </w:p>
        </w:tc>
        <w:tc>
          <w:tcPr>
            <w:tcW w:w="5880" w:type="dxa"/>
            <w:vAlign w:val="bottom"/>
            <w:tcBorders>
              <w:bottom w:val="single" w:sz="8" w:color="0000FF"/>
            </w:tcBorders>
            <w:gridSpan w:val="10"/>
          </w:tcPr>
          <w:p>
            <w:pPr>
              <w:spacing w:after="0"/>
              <w:rPr>
                <w:rFonts w:ascii="Arial" w:cs="Arial" w:eastAsia="Arial" w:hAnsi="Arial"/>
                <w:sz w:val="16"/>
                <w:szCs w:val="16"/>
                <w:color w:val="0000FF"/>
                <w:w w:val="99"/>
              </w:rPr>
            </w:pPr>
            <w:hyperlink r:id="rId163">
              <w:r>
                <w:rPr>
                  <w:rFonts w:ascii="Arial" w:cs="Arial" w:eastAsia="Arial" w:hAnsi="Arial"/>
                  <w:sz w:val="16"/>
                  <w:szCs w:val="16"/>
                  <w:color w:val="0000FF"/>
                  <w:w w:val="99"/>
                </w:rPr>
                <w:t>Offer Letter between Robinhood Markets, Inc. and Paula Loop, dated May 14, 2021</w:t>
              </w:r>
            </w:hyperlink>
          </w:p>
        </w:tc>
        <w:tc>
          <w:tcPr>
            <w:tcW w:w="3900" w:type="dxa"/>
            <w:vAlign w:val="bottom"/>
            <w:gridSpan w:val="22"/>
          </w:tcPr>
          <w:p>
            <w:pPr>
              <w:spacing w:after="0"/>
              <w:rPr>
                <w:sz w:val="15"/>
                <w:szCs w:val="15"/>
                <w:color w:val="auto"/>
              </w:rPr>
            </w:pPr>
          </w:p>
        </w:tc>
      </w:tr>
      <w:tr>
        <w:trPr>
          <w:trHeight w:val="183"/>
        </w:trPr>
        <w:tc>
          <w:tcPr>
            <w:tcW w:w="1460" w:type="dxa"/>
            <w:vAlign w:val="bottom"/>
            <w:gridSpan w:val="2"/>
          </w:tcPr>
          <w:p>
            <w:pPr>
              <w:ind w:left="20"/>
              <w:spacing w:after="0"/>
              <w:rPr>
                <w:sz w:val="20"/>
                <w:szCs w:val="20"/>
                <w:color w:val="auto"/>
              </w:rPr>
            </w:pPr>
            <w:r>
              <w:rPr>
                <w:rFonts w:ascii="Arial" w:cs="Arial" w:eastAsia="Arial" w:hAnsi="Arial"/>
                <w:sz w:val="16"/>
                <w:szCs w:val="16"/>
                <w:color w:val="auto"/>
              </w:rPr>
              <w:t>10.10†+*</w:t>
            </w:r>
          </w:p>
        </w:tc>
        <w:tc>
          <w:tcPr>
            <w:tcW w:w="20" w:type="dxa"/>
            <w:vAlign w:val="bottom"/>
          </w:tcPr>
          <w:p>
            <w:pPr>
              <w:spacing w:after="0"/>
              <w:rPr>
                <w:sz w:val="15"/>
                <w:szCs w:val="15"/>
                <w:color w:val="auto"/>
              </w:rPr>
            </w:pPr>
          </w:p>
        </w:tc>
        <w:tc>
          <w:tcPr>
            <w:tcW w:w="9780" w:type="dxa"/>
            <w:vAlign w:val="bottom"/>
            <w:gridSpan w:val="32"/>
          </w:tcPr>
          <w:p>
            <w:pPr>
              <w:spacing w:after="0"/>
              <w:rPr>
                <w:rFonts w:ascii="Arial" w:cs="Arial" w:eastAsia="Arial" w:hAnsi="Arial"/>
                <w:sz w:val="16"/>
                <w:szCs w:val="16"/>
                <w:color w:val="0000FF"/>
              </w:rPr>
            </w:pPr>
            <w:hyperlink r:id="rId164">
              <w:r>
                <w:rPr>
                  <w:rFonts w:ascii="Arial" w:cs="Arial" w:eastAsia="Arial" w:hAnsi="Arial"/>
                  <w:sz w:val="16"/>
                  <w:szCs w:val="16"/>
                  <w:color w:val="0000FF"/>
                </w:rPr>
                <w:t>Offer Letter between Robinhood Markets, Inc. and Jonathan Rubinstein, dated May 14, 2021</w:t>
              </w:r>
            </w:hyperlink>
          </w:p>
        </w:tc>
      </w:tr>
      <w:tr>
        <w:trPr>
          <w:trHeight w:val="183"/>
        </w:trPr>
        <w:tc>
          <w:tcPr>
            <w:tcW w:w="1460" w:type="dxa"/>
            <w:vAlign w:val="bottom"/>
            <w:gridSpan w:val="2"/>
          </w:tcPr>
          <w:p>
            <w:pPr>
              <w:ind w:left="20"/>
              <w:spacing w:after="0"/>
              <w:rPr>
                <w:sz w:val="20"/>
                <w:szCs w:val="20"/>
                <w:color w:val="auto"/>
              </w:rPr>
            </w:pPr>
            <w:r>
              <w:rPr>
                <w:rFonts w:ascii="Arial" w:cs="Arial" w:eastAsia="Arial" w:hAnsi="Arial"/>
                <w:sz w:val="16"/>
                <w:szCs w:val="16"/>
                <w:color w:val="auto"/>
              </w:rPr>
              <w:t>10.11†+*</w:t>
            </w:r>
          </w:p>
        </w:tc>
        <w:tc>
          <w:tcPr>
            <w:tcW w:w="20" w:type="dxa"/>
            <w:vAlign w:val="bottom"/>
          </w:tcPr>
          <w:p>
            <w:pPr>
              <w:spacing w:after="0"/>
              <w:rPr>
                <w:sz w:val="15"/>
                <w:szCs w:val="15"/>
                <w:color w:val="auto"/>
              </w:rPr>
            </w:pPr>
          </w:p>
        </w:tc>
        <w:tc>
          <w:tcPr>
            <w:tcW w:w="6140" w:type="dxa"/>
            <w:vAlign w:val="bottom"/>
            <w:tcBorders>
              <w:top w:val="single" w:sz="8" w:color="0000FF"/>
              <w:bottom w:val="single" w:sz="8" w:color="0000FF"/>
            </w:tcBorders>
            <w:gridSpan w:val="11"/>
          </w:tcPr>
          <w:p>
            <w:pPr>
              <w:spacing w:after="0"/>
              <w:rPr>
                <w:rFonts w:ascii="Arial" w:cs="Arial" w:eastAsia="Arial" w:hAnsi="Arial"/>
                <w:sz w:val="16"/>
                <w:szCs w:val="16"/>
                <w:color w:val="0000FF"/>
                <w:w w:val="99"/>
              </w:rPr>
            </w:pPr>
            <w:hyperlink r:id="rId165">
              <w:r>
                <w:rPr>
                  <w:rFonts w:ascii="Arial" w:cs="Arial" w:eastAsia="Arial" w:hAnsi="Arial"/>
                  <w:sz w:val="16"/>
                  <w:szCs w:val="16"/>
                  <w:color w:val="0000FF"/>
                  <w:w w:val="99"/>
                </w:rPr>
                <w:t>Offer Letter between Robinhood Markets, Inc. and Robert Zoellick, dated May 14, 2021</w:t>
              </w:r>
            </w:hyperlink>
          </w:p>
        </w:tc>
        <w:tc>
          <w:tcPr>
            <w:tcW w:w="380" w:type="dxa"/>
            <w:vAlign w:val="bottom"/>
            <w:tcBorders>
              <w:top w:val="single" w:sz="8" w:color="0000FF"/>
            </w:tcBorders>
            <w:gridSpan w:val="2"/>
          </w:tcPr>
          <w:p>
            <w:pPr>
              <w:spacing w:after="0"/>
              <w:rPr>
                <w:sz w:val="15"/>
                <w:szCs w:val="15"/>
                <w:color w:val="auto"/>
              </w:rPr>
            </w:pPr>
          </w:p>
        </w:tc>
        <w:tc>
          <w:tcPr>
            <w:tcW w:w="3260" w:type="dxa"/>
            <w:vAlign w:val="bottom"/>
            <w:gridSpan w:val="19"/>
          </w:tcPr>
          <w:p>
            <w:pPr>
              <w:spacing w:after="0"/>
              <w:rPr>
                <w:sz w:val="15"/>
                <w:szCs w:val="15"/>
                <w:color w:val="auto"/>
              </w:rPr>
            </w:pPr>
          </w:p>
        </w:tc>
      </w:tr>
      <w:tr>
        <w:trPr>
          <w:trHeight w:val="183"/>
        </w:trPr>
        <w:tc>
          <w:tcPr>
            <w:tcW w:w="146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10.12</w:t>
            </w: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8600" w:type="dxa"/>
            <w:vAlign w:val="bottom"/>
            <w:tcBorders>
              <w:bottom w:val="single" w:sz="8" w:color="0000FF"/>
            </w:tcBorders>
            <w:gridSpan w:val="21"/>
          </w:tcPr>
          <w:p>
            <w:pPr>
              <w:spacing w:after="0" w:line="171" w:lineRule="exact"/>
              <w:rPr>
                <w:rFonts w:ascii="Arial" w:cs="Arial" w:eastAsia="Arial" w:hAnsi="Arial"/>
                <w:sz w:val="16"/>
                <w:szCs w:val="16"/>
                <w:color w:val="0000FF"/>
                <w:w w:val="99"/>
              </w:rPr>
            </w:pPr>
            <w:hyperlink w:anchor="page483">
              <w:r>
                <w:rPr>
                  <w:rFonts w:ascii="Arial" w:cs="Arial" w:eastAsia="Arial" w:hAnsi="Arial"/>
                  <w:sz w:val="16"/>
                  <w:szCs w:val="16"/>
                  <w:color w:val="0000FF"/>
                  <w:w w:val="99"/>
                </w:rPr>
                <w:t>Form of Exchange Agreement among Robinhood Markets, Inc., Baiju Bhatt and Vladimir Tenev and certain related entities</w:t>
              </w:r>
            </w:hyperlink>
          </w:p>
        </w:tc>
        <w:tc>
          <w:tcPr>
            <w:tcW w:w="1180" w:type="dxa"/>
            <w:vAlign w:val="bottom"/>
            <w:gridSpan w:val="11"/>
          </w:tcPr>
          <w:p>
            <w:pPr>
              <w:spacing w:after="0"/>
              <w:rPr>
                <w:sz w:val="15"/>
                <w:szCs w:val="15"/>
                <w:color w:val="auto"/>
              </w:rPr>
            </w:pPr>
          </w:p>
        </w:tc>
      </w:tr>
      <w:tr>
        <w:trPr>
          <w:trHeight w:val="219"/>
        </w:trPr>
        <w:tc>
          <w:tcPr>
            <w:tcW w:w="1460" w:type="dxa"/>
            <w:vAlign w:val="bottom"/>
            <w:gridSpan w:val="2"/>
          </w:tcPr>
          <w:p>
            <w:pPr>
              <w:ind w:left="20"/>
              <w:spacing w:after="0"/>
              <w:rPr>
                <w:sz w:val="20"/>
                <w:szCs w:val="20"/>
                <w:color w:val="auto"/>
              </w:rPr>
            </w:pPr>
            <w:r>
              <w:rPr>
                <w:rFonts w:ascii="Arial" w:cs="Arial" w:eastAsia="Arial" w:hAnsi="Arial"/>
                <w:sz w:val="16"/>
                <w:szCs w:val="16"/>
                <w:color w:val="auto"/>
              </w:rPr>
              <w:t>10.13</w:t>
            </w:r>
            <w:r>
              <w:rPr>
                <w:rFonts w:ascii="Arial" w:cs="Arial" w:eastAsia="Arial" w:hAnsi="Arial"/>
                <w:sz w:val="12"/>
                <w:szCs w:val="12"/>
                <w:color w:val="auto"/>
              </w:rPr>
              <w:t>†</w:t>
            </w:r>
          </w:p>
        </w:tc>
        <w:tc>
          <w:tcPr>
            <w:tcW w:w="20" w:type="dxa"/>
            <w:vAlign w:val="bottom"/>
          </w:tcPr>
          <w:p>
            <w:pPr>
              <w:spacing w:after="0"/>
              <w:rPr>
                <w:sz w:val="19"/>
                <w:szCs w:val="19"/>
                <w:color w:val="auto"/>
              </w:rPr>
            </w:pPr>
          </w:p>
        </w:tc>
        <w:tc>
          <w:tcPr>
            <w:tcW w:w="8120" w:type="dxa"/>
            <w:vAlign w:val="bottom"/>
            <w:tcBorders>
              <w:bottom w:val="single" w:sz="8" w:color="0000FF"/>
            </w:tcBorders>
            <w:gridSpan w:val="19"/>
          </w:tcPr>
          <w:p>
            <w:pPr>
              <w:spacing w:after="0"/>
              <w:rPr>
                <w:rFonts w:ascii="Arial" w:cs="Arial" w:eastAsia="Arial" w:hAnsi="Arial"/>
                <w:sz w:val="16"/>
                <w:szCs w:val="16"/>
                <w:color w:val="0000FF"/>
                <w:w w:val="99"/>
              </w:rPr>
            </w:pPr>
            <w:hyperlink w:anchor="page490">
              <w:r>
                <w:rPr>
                  <w:rFonts w:ascii="Arial" w:cs="Arial" w:eastAsia="Arial" w:hAnsi="Arial"/>
                  <w:sz w:val="16"/>
                  <w:szCs w:val="16"/>
                  <w:color w:val="0000FF"/>
                  <w:w w:val="99"/>
                </w:rPr>
                <w:t>Form of Equity Exchange Agreement between Robinhood Markets, Inc. and each of Baiju Bhatt and Vladimir Tenev</w:t>
              </w:r>
            </w:hyperlink>
          </w:p>
        </w:tc>
        <w:tc>
          <w:tcPr>
            <w:tcW w:w="1660" w:type="dxa"/>
            <w:vAlign w:val="bottom"/>
            <w:gridSpan w:val="13"/>
          </w:tcPr>
          <w:p>
            <w:pPr>
              <w:spacing w:after="0"/>
              <w:rPr>
                <w:sz w:val="19"/>
                <w:szCs w:val="19"/>
                <w:color w:val="auto"/>
              </w:rPr>
            </w:pPr>
          </w:p>
        </w:tc>
      </w:tr>
      <w:tr>
        <w:trPr>
          <w:trHeight w:val="219"/>
        </w:trPr>
        <w:tc>
          <w:tcPr>
            <w:tcW w:w="1460" w:type="dxa"/>
            <w:vAlign w:val="bottom"/>
            <w:gridSpan w:val="2"/>
          </w:tcPr>
          <w:p>
            <w:pPr>
              <w:ind w:left="20"/>
              <w:spacing w:after="0"/>
              <w:rPr>
                <w:sz w:val="20"/>
                <w:szCs w:val="20"/>
                <w:color w:val="auto"/>
              </w:rPr>
            </w:pPr>
            <w:r>
              <w:rPr>
                <w:rFonts w:ascii="Arial" w:cs="Arial" w:eastAsia="Arial" w:hAnsi="Arial"/>
                <w:sz w:val="16"/>
                <w:szCs w:val="16"/>
                <w:color w:val="auto"/>
              </w:rPr>
              <w:t>10.14</w:t>
            </w:r>
            <w:r>
              <w:rPr>
                <w:rFonts w:ascii="Arial" w:cs="Arial" w:eastAsia="Arial" w:hAnsi="Arial"/>
                <w:sz w:val="12"/>
                <w:szCs w:val="12"/>
                <w:color w:val="auto"/>
              </w:rPr>
              <w:t>†</w:t>
            </w:r>
          </w:p>
        </w:tc>
        <w:tc>
          <w:tcPr>
            <w:tcW w:w="20" w:type="dxa"/>
            <w:vAlign w:val="bottom"/>
          </w:tcPr>
          <w:p>
            <w:pPr>
              <w:spacing w:after="0"/>
              <w:rPr>
                <w:sz w:val="19"/>
                <w:szCs w:val="19"/>
                <w:color w:val="auto"/>
              </w:rPr>
            </w:pPr>
          </w:p>
        </w:tc>
        <w:tc>
          <w:tcPr>
            <w:tcW w:w="7980" w:type="dxa"/>
            <w:vAlign w:val="bottom"/>
            <w:tcBorders>
              <w:bottom w:val="single" w:sz="8" w:color="0000FF"/>
            </w:tcBorders>
            <w:gridSpan w:val="17"/>
          </w:tcPr>
          <w:p>
            <w:pPr>
              <w:spacing w:after="0"/>
              <w:rPr>
                <w:rFonts w:ascii="Arial" w:cs="Arial" w:eastAsia="Arial" w:hAnsi="Arial"/>
                <w:sz w:val="16"/>
                <w:szCs w:val="16"/>
                <w:color w:val="0000FF"/>
                <w:w w:val="98"/>
              </w:rPr>
            </w:pPr>
            <w:hyperlink w:anchor="page498">
              <w:r>
                <w:rPr>
                  <w:rFonts w:ascii="Arial" w:cs="Arial" w:eastAsia="Arial" w:hAnsi="Arial"/>
                  <w:sz w:val="16"/>
                  <w:szCs w:val="16"/>
                  <w:color w:val="0000FF"/>
                  <w:w w:val="98"/>
                </w:rPr>
                <w:t>Form of Voting Agreement among Robinhood Markets, Baiju Bhatt and Vladimir Tenev and certain related entities</w:t>
              </w:r>
            </w:hyperlink>
          </w:p>
        </w:tc>
        <w:tc>
          <w:tcPr>
            <w:tcW w:w="980" w:type="dxa"/>
            <w:vAlign w:val="bottom"/>
            <w:gridSpan w:val="7"/>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1460" w:type="dxa"/>
            <w:vAlign w:val="bottom"/>
            <w:gridSpan w:val="2"/>
          </w:tcPr>
          <w:p>
            <w:pPr>
              <w:ind w:left="20"/>
              <w:spacing w:after="0"/>
              <w:rPr>
                <w:sz w:val="20"/>
                <w:szCs w:val="20"/>
                <w:color w:val="auto"/>
              </w:rPr>
            </w:pPr>
            <w:r>
              <w:rPr>
                <w:rFonts w:ascii="Arial" w:cs="Arial" w:eastAsia="Arial" w:hAnsi="Arial"/>
                <w:sz w:val="16"/>
                <w:szCs w:val="16"/>
                <w:color w:val="auto"/>
              </w:rPr>
              <w:t>10.15†*</w:t>
            </w:r>
          </w:p>
        </w:tc>
        <w:tc>
          <w:tcPr>
            <w:tcW w:w="20" w:type="dxa"/>
            <w:vAlign w:val="bottom"/>
          </w:tcPr>
          <w:p>
            <w:pPr>
              <w:spacing w:after="0"/>
              <w:rPr>
                <w:sz w:val="19"/>
                <w:szCs w:val="19"/>
                <w:color w:val="auto"/>
              </w:rPr>
            </w:pPr>
          </w:p>
        </w:tc>
        <w:tc>
          <w:tcPr>
            <w:tcW w:w="9780" w:type="dxa"/>
            <w:vAlign w:val="bottom"/>
            <w:gridSpan w:val="32"/>
          </w:tcPr>
          <w:p>
            <w:pPr>
              <w:spacing w:after="0"/>
              <w:rPr>
                <w:rFonts w:ascii="Arial" w:cs="Arial" w:eastAsia="Arial" w:hAnsi="Arial"/>
                <w:sz w:val="16"/>
                <w:szCs w:val="16"/>
                <w:color w:val="0000FF"/>
              </w:rPr>
            </w:pPr>
            <w:hyperlink r:id="rId166">
              <w:r>
                <w:rPr>
                  <w:rFonts w:ascii="Arial" w:cs="Arial" w:eastAsia="Arial" w:hAnsi="Arial"/>
                  <w:sz w:val="16"/>
                  <w:szCs w:val="16"/>
                  <w:color w:val="0000FF"/>
                </w:rPr>
                <w:t>Credit Agreement, dated as of April 16, 2021, by and among Robinhood Securities, LLC, the lenders thereto, JPMorgan Chase Bank N.A.</w:t>
              </w:r>
            </w:hyperlink>
          </w:p>
        </w:tc>
      </w:tr>
      <w:tr>
        <w:trPr>
          <w:trHeight w:val="135"/>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80" w:type="dxa"/>
            <w:vAlign w:val="bottom"/>
            <w:tcBorders>
              <w:top w:val="single" w:sz="8" w:color="0000FF"/>
            </w:tcBorders>
            <w:gridSpan w:val="31"/>
          </w:tcPr>
          <w:p>
            <w:pPr>
              <w:spacing w:after="0" w:line="136" w:lineRule="exact"/>
              <w:rPr>
                <w:rFonts w:ascii="Arial" w:cs="Arial" w:eastAsia="Arial" w:hAnsi="Arial"/>
                <w:sz w:val="15"/>
                <w:szCs w:val="15"/>
                <w:color w:val="0000FF"/>
              </w:rPr>
            </w:pPr>
            <w:hyperlink r:id="rId166">
              <w:r>
                <w:rPr>
                  <w:rFonts w:ascii="Arial" w:cs="Arial" w:eastAsia="Arial" w:hAnsi="Arial"/>
                  <w:sz w:val="15"/>
                  <w:szCs w:val="15"/>
                  <w:color w:val="0000FF"/>
                </w:rPr>
                <w:t>as administrative agent, joint bookrunner and joint lead arranger, BMO Harris Bank N.A., as syndication agent, and BMO Capital Markets</w:t>
              </w:r>
            </w:hyperlink>
          </w:p>
        </w:tc>
        <w:tc>
          <w:tcPr>
            <w:tcW w:w="100" w:type="dxa"/>
            <w:vAlign w:val="bottom"/>
          </w:tcPr>
          <w:p>
            <w:pPr>
              <w:spacing w:after="0"/>
              <w:rPr>
                <w:sz w:val="11"/>
                <w:szCs w:val="11"/>
                <w:color w:val="auto"/>
              </w:rPr>
            </w:pPr>
          </w:p>
        </w:tc>
      </w:tr>
      <w:tr>
        <w:trPr>
          <w:trHeight w:val="135"/>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40" w:type="dxa"/>
            <w:vAlign w:val="bottom"/>
            <w:tcBorders>
              <w:top w:val="single" w:sz="8" w:color="0000FF"/>
            </w:tcBorders>
            <w:gridSpan w:val="29"/>
          </w:tcPr>
          <w:p>
            <w:pPr>
              <w:spacing w:after="0" w:line="136" w:lineRule="exact"/>
              <w:rPr>
                <w:rFonts w:ascii="Arial" w:cs="Arial" w:eastAsia="Arial" w:hAnsi="Arial"/>
                <w:sz w:val="15"/>
                <w:szCs w:val="15"/>
                <w:color w:val="0000FF"/>
              </w:rPr>
            </w:pPr>
            <w:hyperlink r:id="rId166">
              <w:r>
                <w:rPr>
                  <w:rFonts w:ascii="Arial" w:cs="Arial" w:eastAsia="Arial" w:hAnsi="Arial"/>
                  <w:sz w:val="15"/>
                  <w:szCs w:val="15"/>
                  <w:color w:val="0000FF"/>
                </w:rPr>
                <w:t>Corp. as joint bookrunner and joint lead arranger</w:t>
              </w:r>
            </w:hyperlink>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40" w:type="dxa"/>
            <w:vAlign w:val="bottom"/>
            <w:gridSpan w:val="1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3"/>
        </w:trPr>
        <w:tc>
          <w:tcPr>
            <w:tcW w:w="1360" w:type="dxa"/>
            <w:vAlign w:val="bottom"/>
          </w:tcPr>
          <w:p>
            <w:pPr>
              <w:ind w:left="20"/>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32"/>
          </w:tcPr>
          <w:p>
            <w:pPr>
              <w:spacing w:after="0"/>
              <w:rPr>
                <w:rFonts w:ascii="Arial" w:cs="Arial" w:eastAsia="Arial" w:hAnsi="Arial"/>
                <w:sz w:val="16"/>
                <w:szCs w:val="16"/>
                <w:color w:val="0000FF"/>
              </w:rPr>
            </w:pPr>
            <w:hyperlink r:id="rId167">
              <w:r>
                <w:rPr>
                  <w:rFonts w:ascii="Arial" w:cs="Arial" w:eastAsia="Arial" w:hAnsi="Arial"/>
                  <w:sz w:val="16"/>
                  <w:szCs w:val="16"/>
                  <w:color w:val="0000FF"/>
                </w:rPr>
                <w:t>Form of Notice of Time-Based Restricted Stock Unit Award and Restricted Stock Unit Agreement under the Robinhood Markets, Inc.</w:t>
              </w:r>
            </w:hyperlink>
          </w:p>
        </w:tc>
      </w:tr>
      <w:tr>
        <w:trPr>
          <w:trHeight w:val="135"/>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300" w:type="dxa"/>
            <w:vAlign w:val="bottom"/>
            <w:tcBorders>
              <w:top w:val="single" w:sz="8" w:color="0000FF"/>
            </w:tcBorders>
            <w:gridSpan w:val="26"/>
          </w:tcPr>
          <w:p>
            <w:pPr>
              <w:spacing w:after="0" w:line="136" w:lineRule="exact"/>
              <w:rPr>
                <w:rFonts w:ascii="Arial" w:cs="Arial" w:eastAsia="Arial" w:hAnsi="Arial"/>
                <w:sz w:val="15"/>
                <w:szCs w:val="15"/>
                <w:color w:val="0000FF"/>
              </w:rPr>
            </w:pPr>
            <w:hyperlink r:id="rId167">
              <w:r>
                <w:rPr>
                  <w:rFonts w:ascii="Arial" w:cs="Arial" w:eastAsia="Arial" w:hAnsi="Arial"/>
                  <w:sz w:val="15"/>
                  <w:szCs w:val="15"/>
                  <w:color w:val="0000FF"/>
                </w:rPr>
                <w:t>Amended and Restated 2013 Stock Plan for Vladimir Tenev and Baiju Bhatt</w:t>
              </w:r>
            </w:hyperlink>
          </w:p>
        </w:tc>
        <w:tc>
          <w:tcPr>
            <w:tcW w:w="26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40" w:type="dxa"/>
            <w:vAlign w:val="bottom"/>
            <w:gridSpan w:val="1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3"/>
        </w:trPr>
        <w:tc>
          <w:tcPr>
            <w:tcW w:w="1360" w:type="dxa"/>
            <w:vAlign w:val="bottom"/>
          </w:tcPr>
          <w:p>
            <w:pPr>
              <w:ind w:left="20"/>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32"/>
          </w:tcPr>
          <w:p>
            <w:pPr>
              <w:spacing w:after="0"/>
              <w:rPr>
                <w:rFonts w:ascii="Arial" w:cs="Arial" w:eastAsia="Arial" w:hAnsi="Arial"/>
                <w:sz w:val="16"/>
                <w:szCs w:val="16"/>
                <w:color w:val="0000FF"/>
              </w:rPr>
            </w:pPr>
            <w:hyperlink r:id="rId168">
              <w:r>
                <w:rPr>
                  <w:rFonts w:ascii="Arial" w:cs="Arial" w:eastAsia="Arial" w:hAnsi="Arial"/>
                  <w:sz w:val="16"/>
                  <w:szCs w:val="16"/>
                  <w:color w:val="0000FF"/>
                </w:rPr>
                <w:t>Form of Notice of Performance-Based Amended and Restated Restricted Stock Unit Award and Amended and Restated Restricted Stock</w:t>
              </w:r>
            </w:hyperlink>
          </w:p>
        </w:tc>
      </w:tr>
      <w:tr>
        <w:trPr>
          <w:trHeight w:val="135"/>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60" w:type="dxa"/>
            <w:vAlign w:val="bottom"/>
            <w:tcBorders>
              <w:top w:val="single" w:sz="8" w:color="0000FF"/>
            </w:tcBorders>
            <w:gridSpan w:val="30"/>
          </w:tcPr>
          <w:p>
            <w:pPr>
              <w:spacing w:after="0" w:line="136" w:lineRule="exact"/>
              <w:rPr>
                <w:rFonts w:ascii="Arial" w:cs="Arial" w:eastAsia="Arial" w:hAnsi="Arial"/>
                <w:sz w:val="15"/>
                <w:szCs w:val="15"/>
                <w:color w:val="0000FF"/>
              </w:rPr>
            </w:pPr>
            <w:hyperlink r:id="rId168">
              <w:r>
                <w:rPr>
                  <w:rFonts w:ascii="Arial" w:cs="Arial" w:eastAsia="Arial" w:hAnsi="Arial"/>
                  <w:sz w:val="15"/>
                  <w:szCs w:val="15"/>
                  <w:color w:val="0000FF"/>
                </w:rPr>
                <w:t>Unit Agreement under the Robinhood Markets, Inc. Amended and Restated 2013 Stock Plan for Vladimir Tenev and Baiju Bhatt</w:t>
              </w:r>
            </w:hyperlink>
          </w:p>
        </w:tc>
        <w:tc>
          <w:tcPr>
            <w:tcW w:w="120" w:type="dxa"/>
            <w:vAlign w:val="bottom"/>
            <w:gridSpan w:val="2"/>
          </w:tcPr>
          <w:p>
            <w:pPr>
              <w:spacing w:after="0"/>
              <w:rPr>
                <w:sz w:val="11"/>
                <w:szCs w:val="1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4320" w:type="dxa"/>
            <w:vAlign w:val="bottom"/>
            <w:gridSpan w:val="17"/>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83"/>
        </w:trPr>
        <w:tc>
          <w:tcPr>
            <w:tcW w:w="1360" w:type="dxa"/>
            <w:vAlign w:val="bottom"/>
          </w:tcPr>
          <w:p>
            <w:pPr>
              <w:ind w:left="20"/>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32"/>
          </w:tcPr>
          <w:p>
            <w:pPr>
              <w:spacing w:after="0"/>
              <w:rPr>
                <w:rFonts w:ascii="Arial" w:cs="Arial" w:eastAsia="Arial" w:hAnsi="Arial"/>
                <w:sz w:val="16"/>
                <w:szCs w:val="16"/>
                <w:color w:val="0000FF"/>
              </w:rPr>
            </w:pPr>
            <w:hyperlink r:id="rId169">
              <w:r>
                <w:rPr>
                  <w:rFonts w:ascii="Arial" w:cs="Arial" w:eastAsia="Arial" w:hAnsi="Arial"/>
                  <w:sz w:val="16"/>
                  <w:szCs w:val="16"/>
                  <w:color w:val="0000FF"/>
                </w:rPr>
                <w:t>Form of Notice of Performance-Based Restricted Stock Unit Award and Restricted Stock Unit Agreement under the Robinhood Markets,</w:t>
              </w:r>
            </w:hyperlink>
          </w:p>
        </w:tc>
      </w:tr>
      <w:tr>
        <w:trPr>
          <w:trHeight w:val="135"/>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40" w:type="dxa"/>
            <w:vAlign w:val="bottom"/>
            <w:tcBorders>
              <w:top w:val="single" w:sz="8" w:color="0000FF"/>
              <w:bottom w:val="single" w:sz="8" w:color="0000FF"/>
            </w:tcBorders>
            <w:gridSpan w:val="7"/>
          </w:tcPr>
          <w:p>
            <w:pPr>
              <w:spacing w:after="0" w:line="136" w:lineRule="exact"/>
              <w:rPr>
                <w:rFonts w:ascii="Arial" w:cs="Arial" w:eastAsia="Arial" w:hAnsi="Arial"/>
                <w:sz w:val="15"/>
                <w:szCs w:val="15"/>
                <w:color w:val="0000FF"/>
              </w:rPr>
            </w:pPr>
            <w:hyperlink r:id="rId169">
              <w:r>
                <w:rPr>
                  <w:rFonts w:ascii="Arial" w:cs="Arial" w:eastAsia="Arial" w:hAnsi="Arial"/>
                  <w:sz w:val="15"/>
                  <w:szCs w:val="15"/>
                  <w:color w:val="0000FF"/>
                </w:rPr>
                <w:t>Inc. 2020 Equity Incentive Plan for Vladimir Tenev and Baiju Bhatt</w:t>
              </w:r>
            </w:hyperlink>
          </w:p>
        </w:tc>
        <w:tc>
          <w:tcPr>
            <w:tcW w:w="4920" w:type="dxa"/>
            <w:vAlign w:val="bottom"/>
            <w:tcBorders>
              <w:top w:val="single" w:sz="8" w:color="0000FF"/>
            </w:tcBorders>
            <w:gridSpan w:val="21"/>
          </w:tcPr>
          <w:p>
            <w:pPr>
              <w:spacing w:after="0"/>
              <w:rPr>
                <w:sz w:val="11"/>
                <w:szCs w:val="11"/>
                <w:color w:val="auto"/>
              </w:rPr>
            </w:pPr>
          </w:p>
        </w:tc>
        <w:tc>
          <w:tcPr>
            <w:tcW w:w="220" w:type="dxa"/>
            <w:vAlign w:val="bottom"/>
            <w:gridSpan w:val="4"/>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260"/>
          </w:cols>
          <w:pgMar w:left="320" w:top="1440" w:right="319" w:bottom="1440" w:gutter="0" w:footer="0" w:header="0"/>
        </w:sectPr>
      </w:pPr>
    </w:p>
    <w:bookmarkStart w:id="395" w:name="page396"/>
    <w:bookmarkEnd w:id="395"/>
    <w:p>
      <w:pPr>
        <w:spacing w:after="0" w:line="9"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1480" w:type="dxa"/>
            <w:vAlign w:val="bottom"/>
          </w:tcPr>
          <w:p>
            <w:pPr>
              <w:ind w:left="20"/>
              <w:spacing w:after="0"/>
              <w:rPr>
                <w:sz w:val="20"/>
                <w:szCs w:val="20"/>
                <w:color w:val="auto"/>
              </w:rPr>
            </w:pPr>
            <w:r>
              <w:rPr>
                <w:rFonts w:ascii="Arial" w:cs="Arial" w:eastAsia="Arial" w:hAnsi="Arial"/>
                <w:sz w:val="16"/>
                <w:szCs w:val="16"/>
                <w:color w:val="auto"/>
              </w:rPr>
              <w:t>10.19+*</w:t>
            </w:r>
          </w:p>
        </w:tc>
        <w:tc>
          <w:tcPr>
            <w:tcW w:w="9720" w:type="dxa"/>
            <w:vAlign w:val="bottom"/>
            <w:gridSpan w:val="10"/>
          </w:tcPr>
          <w:p>
            <w:pPr>
              <w:spacing w:after="0"/>
              <w:rPr>
                <w:rFonts w:ascii="Arial" w:cs="Arial" w:eastAsia="Arial" w:hAnsi="Arial"/>
                <w:sz w:val="16"/>
                <w:szCs w:val="16"/>
                <w:color w:val="0000FF"/>
                <w:w w:val="99"/>
              </w:rPr>
            </w:pPr>
            <w:hyperlink r:id="rId170">
              <w:r>
                <w:rPr>
                  <w:rFonts w:ascii="Arial" w:cs="Arial" w:eastAsia="Arial" w:hAnsi="Arial"/>
                  <w:sz w:val="16"/>
                  <w:szCs w:val="16"/>
                  <w:color w:val="0000FF"/>
                  <w:w w:val="99"/>
                </w:rPr>
                <w:t>Form of Notice of Time-Based Restricted Stock Unit Award and Restricted Stock Unit Agreement under the Robinhood Markets, Inc. 2020</w:t>
              </w:r>
            </w:hyperlink>
          </w:p>
        </w:tc>
      </w:tr>
      <w:tr>
        <w:trPr>
          <w:trHeight w:val="135"/>
        </w:trPr>
        <w:tc>
          <w:tcPr>
            <w:tcW w:w="1480" w:type="dxa"/>
            <w:vAlign w:val="bottom"/>
          </w:tcPr>
          <w:p>
            <w:pPr>
              <w:spacing w:after="0"/>
              <w:rPr>
                <w:sz w:val="11"/>
                <w:szCs w:val="11"/>
                <w:color w:val="auto"/>
              </w:rPr>
            </w:pPr>
          </w:p>
        </w:tc>
        <w:tc>
          <w:tcPr>
            <w:tcW w:w="9700" w:type="dxa"/>
            <w:vAlign w:val="bottom"/>
            <w:tcBorders>
              <w:top w:val="single" w:sz="8" w:color="0000FF"/>
            </w:tcBorders>
            <w:gridSpan w:val="9"/>
          </w:tcPr>
          <w:p>
            <w:pPr>
              <w:spacing w:after="0" w:line="136" w:lineRule="exact"/>
              <w:rPr>
                <w:rFonts w:ascii="Arial" w:cs="Arial" w:eastAsia="Arial" w:hAnsi="Arial"/>
                <w:sz w:val="15"/>
                <w:szCs w:val="15"/>
                <w:color w:val="0000FF"/>
              </w:rPr>
            </w:pPr>
            <w:hyperlink r:id="rId170">
              <w:r>
                <w:rPr>
                  <w:rFonts w:ascii="Arial" w:cs="Arial" w:eastAsia="Arial" w:hAnsi="Arial"/>
                  <w:sz w:val="15"/>
                  <w:szCs w:val="15"/>
                  <w:color w:val="0000FF"/>
                </w:rPr>
                <w:t>Equity Incentive Plan for non-employee directors</w:t>
              </w:r>
            </w:hyperlink>
          </w:p>
        </w:tc>
        <w:tc>
          <w:tcPr>
            <w:tcW w:w="20" w:type="dxa"/>
            <w:vAlign w:val="bottom"/>
          </w:tcPr>
          <w:p>
            <w:pPr>
              <w:spacing w:after="0"/>
              <w:rPr>
                <w:sz w:val="11"/>
                <w:szCs w:val="11"/>
                <w:color w:val="auto"/>
              </w:rPr>
            </w:pPr>
          </w:p>
        </w:tc>
      </w:tr>
      <w:tr>
        <w:trPr>
          <w:trHeight w:val="20"/>
        </w:trPr>
        <w:tc>
          <w:tcPr>
            <w:tcW w:w="14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r>
      <w:tr>
        <w:trPr>
          <w:trHeight w:val="183"/>
        </w:trPr>
        <w:tc>
          <w:tcPr>
            <w:tcW w:w="1480" w:type="dxa"/>
            <w:vAlign w:val="bottom"/>
          </w:tcPr>
          <w:p>
            <w:pPr>
              <w:ind w:left="20"/>
              <w:spacing w:after="0"/>
              <w:rPr>
                <w:sz w:val="20"/>
                <w:szCs w:val="20"/>
                <w:color w:val="auto"/>
              </w:rPr>
            </w:pPr>
            <w:r>
              <w:rPr>
                <w:rFonts w:ascii="Arial" w:cs="Arial" w:eastAsia="Arial" w:hAnsi="Arial"/>
                <w:sz w:val="16"/>
                <w:szCs w:val="16"/>
                <w:color w:val="auto"/>
              </w:rPr>
              <w:t>10.20+*</w:t>
            </w:r>
          </w:p>
        </w:tc>
        <w:tc>
          <w:tcPr>
            <w:tcW w:w="3860" w:type="dxa"/>
            <w:vAlign w:val="bottom"/>
            <w:tcBorders>
              <w:bottom w:val="single" w:sz="8" w:color="0000FF"/>
            </w:tcBorders>
            <w:gridSpan w:val="5"/>
          </w:tcPr>
          <w:p>
            <w:pPr>
              <w:spacing w:after="0"/>
              <w:rPr>
                <w:rFonts w:ascii="Arial" w:cs="Arial" w:eastAsia="Arial" w:hAnsi="Arial"/>
                <w:sz w:val="16"/>
                <w:szCs w:val="16"/>
                <w:color w:val="0000FF"/>
                <w:w w:val="99"/>
              </w:rPr>
            </w:pPr>
            <w:hyperlink r:id="rId171">
              <w:r>
                <w:rPr>
                  <w:rFonts w:ascii="Arial" w:cs="Arial" w:eastAsia="Arial" w:hAnsi="Arial"/>
                  <w:sz w:val="16"/>
                  <w:szCs w:val="16"/>
                  <w:color w:val="0000FF"/>
                  <w:w w:val="99"/>
                </w:rPr>
                <w:t>Robinhood Markets, Inc. 2021 Omnibus Incentive Plan</w:t>
              </w:r>
            </w:hyperlink>
          </w:p>
        </w:tc>
        <w:tc>
          <w:tcPr>
            <w:tcW w:w="5860" w:type="dxa"/>
            <w:vAlign w:val="bottom"/>
            <w:gridSpan w:val="5"/>
          </w:tcPr>
          <w:p>
            <w:pPr>
              <w:spacing w:after="0"/>
              <w:rPr>
                <w:sz w:val="15"/>
                <w:szCs w:val="15"/>
                <w:color w:val="auto"/>
              </w:rPr>
            </w:pPr>
          </w:p>
        </w:tc>
      </w:tr>
      <w:tr>
        <w:trPr>
          <w:trHeight w:val="183"/>
        </w:trPr>
        <w:tc>
          <w:tcPr>
            <w:tcW w:w="1480" w:type="dxa"/>
            <w:vAlign w:val="bottom"/>
          </w:tcPr>
          <w:p>
            <w:pPr>
              <w:ind w:left="20"/>
              <w:spacing w:after="0"/>
              <w:rPr>
                <w:sz w:val="20"/>
                <w:szCs w:val="20"/>
                <w:color w:val="auto"/>
              </w:rPr>
            </w:pPr>
            <w:r>
              <w:rPr>
                <w:rFonts w:ascii="Arial" w:cs="Arial" w:eastAsia="Arial" w:hAnsi="Arial"/>
                <w:sz w:val="16"/>
                <w:szCs w:val="16"/>
                <w:color w:val="auto"/>
              </w:rPr>
              <w:t>10.21+*</w:t>
            </w:r>
          </w:p>
        </w:tc>
        <w:tc>
          <w:tcPr>
            <w:tcW w:w="9720" w:type="dxa"/>
            <w:vAlign w:val="bottom"/>
            <w:gridSpan w:val="10"/>
          </w:tcPr>
          <w:p>
            <w:pPr>
              <w:spacing w:after="0"/>
              <w:rPr>
                <w:rFonts w:ascii="Arial" w:cs="Arial" w:eastAsia="Arial" w:hAnsi="Arial"/>
                <w:sz w:val="16"/>
                <w:szCs w:val="16"/>
                <w:color w:val="0000FF"/>
              </w:rPr>
            </w:pPr>
            <w:hyperlink r:id="rId172">
              <w:r>
                <w:rPr>
                  <w:rFonts w:ascii="Arial" w:cs="Arial" w:eastAsia="Arial" w:hAnsi="Arial"/>
                  <w:sz w:val="16"/>
                  <w:szCs w:val="16"/>
                  <w:color w:val="0000FF"/>
                </w:rPr>
                <w:t>Robinhood Markets, Inc. 2021 Employee Share Purchase Plan</w:t>
              </w:r>
            </w:hyperlink>
          </w:p>
        </w:tc>
      </w:tr>
      <w:tr>
        <w:trPr>
          <w:trHeight w:val="20"/>
        </w:trPr>
        <w:tc>
          <w:tcPr>
            <w:tcW w:w="14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r>
      <w:tr>
        <w:trPr>
          <w:trHeight w:val="183"/>
        </w:trPr>
        <w:tc>
          <w:tcPr>
            <w:tcW w:w="1480" w:type="dxa"/>
            <w:vAlign w:val="bottom"/>
          </w:tcPr>
          <w:p>
            <w:pPr>
              <w:ind w:left="20"/>
              <w:spacing w:after="0"/>
              <w:rPr>
                <w:sz w:val="20"/>
                <w:szCs w:val="20"/>
                <w:color w:val="auto"/>
              </w:rPr>
            </w:pPr>
            <w:r>
              <w:rPr>
                <w:rFonts w:ascii="Arial" w:cs="Arial" w:eastAsia="Arial" w:hAnsi="Arial"/>
                <w:sz w:val="16"/>
                <w:szCs w:val="16"/>
                <w:color w:val="auto"/>
              </w:rPr>
              <w:t>10.22+</w:t>
            </w:r>
          </w:p>
        </w:tc>
        <w:tc>
          <w:tcPr>
            <w:tcW w:w="5920" w:type="dxa"/>
            <w:vAlign w:val="bottom"/>
            <w:tcBorders>
              <w:bottom w:val="single" w:sz="8" w:color="0000FF"/>
            </w:tcBorders>
            <w:gridSpan w:val="7"/>
          </w:tcPr>
          <w:p>
            <w:pPr>
              <w:spacing w:after="0"/>
              <w:rPr>
                <w:rFonts w:ascii="Arial" w:cs="Arial" w:eastAsia="Arial" w:hAnsi="Arial"/>
                <w:sz w:val="16"/>
                <w:szCs w:val="16"/>
                <w:color w:val="0000FF"/>
                <w:w w:val="99"/>
              </w:rPr>
            </w:pPr>
            <w:hyperlink w:anchor="page524">
              <w:r>
                <w:rPr>
                  <w:rFonts w:ascii="Arial" w:cs="Arial" w:eastAsia="Arial" w:hAnsi="Arial"/>
                  <w:sz w:val="16"/>
                  <w:szCs w:val="16"/>
                  <w:color w:val="0000FF"/>
                  <w:w w:val="99"/>
                </w:rPr>
                <w:t>Robinhood Markets, Inc. Change in Control and Severance Plan for Key Employees</w:t>
              </w:r>
            </w:hyperlink>
          </w:p>
        </w:tc>
        <w:tc>
          <w:tcPr>
            <w:tcW w:w="3800" w:type="dxa"/>
            <w:vAlign w:val="bottom"/>
            <w:gridSpan w:val="3"/>
          </w:tcPr>
          <w:p>
            <w:pPr>
              <w:spacing w:after="0"/>
              <w:rPr>
                <w:sz w:val="15"/>
                <w:szCs w:val="15"/>
                <w:color w:val="auto"/>
              </w:rPr>
            </w:pPr>
          </w:p>
        </w:tc>
      </w:tr>
      <w:tr>
        <w:trPr>
          <w:trHeight w:val="183"/>
        </w:trPr>
        <w:tc>
          <w:tcPr>
            <w:tcW w:w="1480" w:type="dxa"/>
            <w:vAlign w:val="bottom"/>
          </w:tcPr>
          <w:p>
            <w:pPr>
              <w:ind w:left="20"/>
              <w:spacing w:after="0"/>
              <w:rPr>
                <w:sz w:val="20"/>
                <w:szCs w:val="20"/>
                <w:color w:val="auto"/>
              </w:rPr>
            </w:pPr>
            <w:r>
              <w:rPr>
                <w:rFonts w:ascii="Arial" w:cs="Arial" w:eastAsia="Arial" w:hAnsi="Arial"/>
                <w:sz w:val="16"/>
                <w:szCs w:val="16"/>
                <w:color w:val="auto"/>
              </w:rPr>
              <w:t>21.1*</w:t>
            </w:r>
          </w:p>
        </w:tc>
        <w:tc>
          <w:tcPr>
            <w:tcW w:w="2820" w:type="dxa"/>
            <w:vAlign w:val="bottom"/>
            <w:tcBorders>
              <w:bottom w:val="single" w:sz="8" w:color="0000FF"/>
            </w:tcBorders>
            <w:gridSpan w:val="3"/>
          </w:tcPr>
          <w:p>
            <w:pPr>
              <w:spacing w:after="0"/>
              <w:rPr>
                <w:rFonts w:ascii="Arial" w:cs="Arial" w:eastAsia="Arial" w:hAnsi="Arial"/>
                <w:sz w:val="16"/>
                <w:szCs w:val="16"/>
                <w:color w:val="0000FF"/>
                <w:w w:val="98"/>
              </w:rPr>
            </w:pPr>
            <w:hyperlink r:id="rId173">
              <w:r>
                <w:rPr>
                  <w:rFonts w:ascii="Arial" w:cs="Arial" w:eastAsia="Arial" w:hAnsi="Arial"/>
                  <w:sz w:val="16"/>
                  <w:szCs w:val="16"/>
                  <w:color w:val="0000FF"/>
                  <w:w w:val="98"/>
                </w:rPr>
                <w:t>Subsidiaries of Robinhood Markets, Inc.</w:t>
              </w:r>
            </w:hyperlink>
          </w:p>
        </w:tc>
        <w:tc>
          <w:tcPr>
            <w:tcW w:w="6900" w:type="dxa"/>
            <w:vAlign w:val="bottom"/>
            <w:gridSpan w:val="7"/>
          </w:tcPr>
          <w:p>
            <w:pPr>
              <w:spacing w:after="0"/>
              <w:rPr>
                <w:sz w:val="15"/>
                <w:szCs w:val="15"/>
                <w:color w:val="auto"/>
              </w:rPr>
            </w:pPr>
          </w:p>
        </w:tc>
      </w:tr>
      <w:tr>
        <w:trPr>
          <w:trHeight w:val="183"/>
        </w:trPr>
        <w:tc>
          <w:tcPr>
            <w:tcW w:w="1480" w:type="dxa"/>
            <w:vAlign w:val="bottom"/>
          </w:tcPr>
          <w:p>
            <w:pPr>
              <w:ind w:left="20"/>
              <w:spacing w:after="0"/>
              <w:rPr>
                <w:sz w:val="20"/>
                <w:szCs w:val="20"/>
                <w:color w:val="auto"/>
              </w:rPr>
            </w:pPr>
            <w:r>
              <w:rPr>
                <w:rFonts w:ascii="Arial" w:cs="Arial" w:eastAsia="Arial" w:hAnsi="Arial"/>
                <w:sz w:val="16"/>
                <w:szCs w:val="16"/>
                <w:color w:val="auto"/>
              </w:rPr>
              <w:t>23.1</w:t>
            </w:r>
          </w:p>
        </w:tc>
        <w:tc>
          <w:tcPr>
            <w:tcW w:w="2160" w:type="dxa"/>
            <w:vAlign w:val="bottom"/>
            <w:tcBorders>
              <w:bottom w:val="single" w:sz="8" w:color="0000FF"/>
            </w:tcBorders>
            <w:gridSpan w:val="2"/>
          </w:tcPr>
          <w:p>
            <w:pPr>
              <w:spacing w:after="0"/>
              <w:rPr>
                <w:rFonts w:ascii="Arial" w:cs="Arial" w:eastAsia="Arial" w:hAnsi="Arial"/>
                <w:sz w:val="16"/>
                <w:szCs w:val="16"/>
                <w:color w:val="0000FF"/>
                <w:w w:val="98"/>
              </w:rPr>
            </w:pPr>
            <w:hyperlink w:anchor="page537">
              <w:r>
                <w:rPr>
                  <w:rFonts w:ascii="Arial" w:cs="Arial" w:eastAsia="Arial" w:hAnsi="Arial"/>
                  <w:sz w:val="16"/>
                  <w:szCs w:val="16"/>
                  <w:color w:val="0000FF"/>
                  <w:w w:val="98"/>
                </w:rPr>
                <w:t>Consent of Ernst &amp; Young LLP</w:t>
              </w:r>
            </w:hyperlink>
          </w:p>
        </w:tc>
        <w:tc>
          <w:tcPr>
            <w:tcW w:w="7560" w:type="dxa"/>
            <w:vAlign w:val="bottom"/>
            <w:gridSpan w:val="8"/>
          </w:tcPr>
          <w:p>
            <w:pPr>
              <w:spacing w:after="0"/>
              <w:rPr>
                <w:sz w:val="15"/>
                <w:szCs w:val="15"/>
                <w:color w:val="auto"/>
              </w:rPr>
            </w:pPr>
          </w:p>
        </w:tc>
      </w:tr>
      <w:tr>
        <w:trPr>
          <w:trHeight w:val="183"/>
        </w:trPr>
        <w:tc>
          <w:tcPr>
            <w:tcW w:w="1480" w:type="dxa"/>
            <w:vAlign w:val="bottom"/>
          </w:tcPr>
          <w:p>
            <w:pPr>
              <w:ind w:left="20"/>
              <w:spacing w:after="0"/>
              <w:rPr>
                <w:sz w:val="20"/>
                <w:szCs w:val="20"/>
                <w:color w:val="auto"/>
              </w:rPr>
            </w:pPr>
            <w:r>
              <w:rPr>
                <w:rFonts w:ascii="Arial" w:cs="Arial" w:eastAsia="Arial" w:hAnsi="Arial"/>
                <w:sz w:val="16"/>
                <w:szCs w:val="16"/>
                <w:color w:val="auto"/>
              </w:rPr>
              <w:t>23.2</w:t>
            </w:r>
          </w:p>
        </w:tc>
        <w:tc>
          <w:tcPr>
            <w:tcW w:w="9720" w:type="dxa"/>
            <w:vAlign w:val="bottom"/>
            <w:gridSpan w:val="10"/>
          </w:tcPr>
          <w:p>
            <w:pPr>
              <w:spacing w:after="0"/>
              <w:rPr>
                <w:rFonts w:ascii="Arial" w:cs="Arial" w:eastAsia="Arial" w:hAnsi="Arial"/>
                <w:sz w:val="16"/>
                <w:szCs w:val="16"/>
                <w:color w:val="0000FF"/>
              </w:rPr>
            </w:pPr>
            <w:hyperlink w:anchor="page451">
              <w:r>
                <w:rPr>
                  <w:rFonts w:ascii="Arial" w:cs="Arial" w:eastAsia="Arial" w:hAnsi="Arial"/>
                  <w:sz w:val="16"/>
                  <w:szCs w:val="16"/>
                  <w:color w:val="0000FF"/>
                </w:rPr>
                <w:t>Consent of Cravath, Swaine &amp; Moore LLP (contained in its opinion filed as Exhibit 5.1 hereto)</w:t>
              </w:r>
            </w:hyperlink>
          </w:p>
        </w:tc>
      </w:tr>
      <w:tr>
        <w:trPr>
          <w:trHeight w:val="183"/>
        </w:trPr>
        <w:tc>
          <w:tcPr>
            <w:tcW w:w="1480" w:type="dxa"/>
            <w:vAlign w:val="bottom"/>
          </w:tcPr>
          <w:p>
            <w:pPr>
              <w:ind w:left="20"/>
              <w:spacing w:after="0"/>
              <w:rPr>
                <w:sz w:val="20"/>
                <w:szCs w:val="20"/>
                <w:color w:val="auto"/>
              </w:rPr>
            </w:pPr>
            <w:r>
              <w:rPr>
                <w:rFonts w:ascii="Arial" w:cs="Arial" w:eastAsia="Arial" w:hAnsi="Arial"/>
                <w:sz w:val="16"/>
                <w:szCs w:val="16"/>
                <w:color w:val="auto"/>
              </w:rPr>
              <w:t>24.1*</w:t>
            </w:r>
          </w:p>
        </w:tc>
        <w:tc>
          <w:tcPr>
            <w:tcW w:w="6560" w:type="dxa"/>
            <w:vAlign w:val="bottom"/>
            <w:tcBorders>
              <w:top w:val="single" w:sz="8" w:color="0000FF"/>
            </w:tcBorders>
            <w:gridSpan w:val="8"/>
          </w:tcPr>
          <w:p>
            <w:pPr>
              <w:spacing w:after="0"/>
              <w:rPr>
                <w:rFonts w:ascii="Arial" w:cs="Arial" w:eastAsia="Arial" w:hAnsi="Arial"/>
                <w:sz w:val="16"/>
                <w:szCs w:val="16"/>
                <w:color w:val="0000FF"/>
              </w:rPr>
            </w:pPr>
            <w:hyperlink r:id="rId174">
              <w:r>
                <w:rPr>
                  <w:rFonts w:ascii="Arial" w:cs="Arial" w:eastAsia="Arial" w:hAnsi="Arial"/>
                  <w:sz w:val="16"/>
                  <w:szCs w:val="16"/>
                  <w:color w:val="0000FF"/>
                </w:rPr>
                <w:t>Powers of attorney</w:t>
              </w:r>
            </w:hyperlink>
          </w:p>
        </w:tc>
        <w:tc>
          <w:tcPr>
            <w:tcW w:w="3160" w:type="dxa"/>
            <w:vAlign w:val="bottom"/>
            <w:gridSpan w:val="2"/>
          </w:tcPr>
          <w:p>
            <w:pPr>
              <w:spacing w:after="0"/>
              <w:rPr>
                <w:sz w:val="15"/>
                <w:szCs w:val="15"/>
                <w:color w:val="auto"/>
              </w:rPr>
            </w:pPr>
          </w:p>
        </w:tc>
      </w:tr>
      <w:tr>
        <w:trPr>
          <w:trHeight w:val="163"/>
        </w:trPr>
        <w:tc>
          <w:tcPr>
            <w:tcW w:w="1480" w:type="dxa"/>
            <w:vAlign w:val="bottom"/>
          </w:tcPr>
          <w:p>
            <w:pPr>
              <w:spacing w:after="0"/>
              <w:rPr>
                <w:sz w:val="20"/>
                <w:szCs w:val="20"/>
                <w:color w:val="auto"/>
              </w:rPr>
            </w:pPr>
            <w:r>
              <w:rPr>
                <w:rFonts w:ascii="Arial" w:cs="Arial" w:eastAsia="Arial" w:hAnsi="Arial"/>
                <w:sz w:val="13"/>
                <w:szCs w:val="13"/>
                <w:color w:val="auto"/>
              </w:rPr>
              <w:t>__________________</w:t>
            </w:r>
          </w:p>
        </w:tc>
        <w:tc>
          <w:tcPr>
            <w:tcW w:w="1320" w:type="dxa"/>
            <w:vAlign w:val="bottom"/>
            <w:tcBorders>
              <w:top w:val="single" w:sz="8" w:color="0000FF"/>
            </w:tcBorders>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3"/>
        </w:trPr>
        <w:tc>
          <w:tcPr>
            <w:tcW w:w="1480" w:type="dxa"/>
            <w:vAlign w:val="bottom"/>
          </w:tcPr>
          <w:p>
            <w:pPr>
              <w:spacing w:after="0" w:line="144" w:lineRule="exact"/>
              <w:rPr>
                <w:sz w:val="20"/>
                <w:szCs w:val="20"/>
                <w:color w:val="auto"/>
              </w:rPr>
            </w:pPr>
            <w:r>
              <w:rPr>
                <w:rFonts w:ascii="Arial" w:cs="Arial" w:eastAsia="Arial" w:hAnsi="Arial"/>
                <w:sz w:val="13"/>
                <w:szCs w:val="13"/>
                <w:color w:val="auto"/>
              </w:rPr>
              <w:t>*  Previously filed.</w:t>
            </w: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ind w:left="144" w:hanging="144"/>
        <w:spacing w:after="0" w:line="230" w:lineRule="auto"/>
        <w:tabs>
          <w:tab w:leader="none" w:pos="146" w:val="left"/>
        </w:tabs>
        <w:numPr>
          <w:ilvl w:val="0"/>
          <w:numId w:val="157"/>
        </w:numPr>
        <w:rPr>
          <w:rFonts w:ascii="Arial" w:cs="Arial" w:eastAsia="Arial" w:hAnsi="Arial"/>
          <w:sz w:val="13"/>
          <w:szCs w:val="13"/>
          <w:color w:val="auto"/>
        </w:rPr>
      </w:pPr>
      <w:r>
        <w:rPr>
          <w:rFonts w:ascii="Arial" w:cs="Arial" w:eastAsia="Arial" w:hAnsi="Arial"/>
          <w:sz w:val="13"/>
          <w:szCs w:val="13"/>
          <w:color w:val="auto"/>
        </w:rPr>
        <w:t>Certain schedules and exhibits have been omitted pursuant to Rule 601(a)(5) of Regulation S-K under the Securities Act. A copy of any omitted schedule or exhibit will be furnished to the SEC upon request.</w:t>
      </w:r>
    </w:p>
    <w:p>
      <w:pPr>
        <w:ind w:left="4"/>
        <w:spacing w:after="0"/>
        <w:rPr>
          <w:sz w:val="20"/>
          <w:szCs w:val="20"/>
          <w:color w:val="auto"/>
        </w:rPr>
      </w:pPr>
      <w:r>
        <w:rPr>
          <w:rFonts w:ascii="Arial" w:cs="Arial" w:eastAsia="Arial" w:hAnsi="Arial"/>
          <w:sz w:val="13"/>
          <w:szCs w:val="13"/>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264"/>
          </w:cols>
          <w:pgMar w:left="316" w:top="1440" w:right="319" w:bottom="1440" w:gutter="0" w:footer="0" w:header="0"/>
        </w:sectPr>
      </w:pPr>
    </w:p>
    <w:bookmarkStart w:id="396" w:name="page397"/>
    <w:bookmarkEnd w:id="396"/>
    <w:p>
      <w:pPr>
        <w:spacing w:after="0" w:line="12"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SIGNATURES</w:t>
      </w:r>
    </w:p>
    <w:p>
      <w:pPr>
        <w:spacing w:after="0" w:line="182"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Menlo Park, California, on July 19, 2021.</w:t>
      </w:r>
    </w:p>
    <w:p>
      <w:pPr>
        <w:spacing w:after="0" w:line="175"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Robinhood Markets, Inc.</w:t>
      </w:r>
    </w:p>
    <w:p>
      <w:pPr>
        <w:spacing w:after="0" w:line="258" w:lineRule="exact"/>
        <w:rPr>
          <w:sz w:val="20"/>
          <w:szCs w:val="20"/>
          <w:color w:val="auto"/>
        </w:rPr>
      </w:pPr>
    </w:p>
    <w:tbl>
      <w:tblPr>
        <w:tblLayout w:type="fixed"/>
        <w:tblInd w:w="6540" w:type="dxa"/>
        <w:tblCellMar>
          <w:top w:w="0" w:type="dxa"/>
          <w:left w:w="0" w:type="dxa"/>
          <w:bottom w:w="0" w:type="dxa"/>
          <w:right w:w="0" w:type="dxa"/>
        </w:tblCellMar>
      </w:tblPr>
      <w:tr>
        <w:trPr>
          <w:trHeight w:val="192"/>
        </w:trPr>
        <w:tc>
          <w:tcPr>
            <w:tcW w:w="840" w:type="dxa"/>
            <w:vAlign w:val="bottom"/>
          </w:tcPr>
          <w:p>
            <w:pPr>
              <w:spacing w:after="0"/>
              <w:rPr>
                <w:sz w:val="20"/>
                <w:szCs w:val="20"/>
                <w:color w:val="auto"/>
              </w:rPr>
            </w:pPr>
            <w:r>
              <w:rPr>
                <w:rFonts w:ascii="Arial" w:cs="Arial" w:eastAsia="Arial" w:hAnsi="Arial"/>
                <w:sz w:val="16"/>
                <w:szCs w:val="16"/>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/s/Vladimir Tenev</w:t>
            </w:r>
          </w:p>
        </w:tc>
      </w:tr>
      <w:tr>
        <w:trPr>
          <w:trHeight w:val="195"/>
        </w:trPr>
        <w:tc>
          <w:tcPr>
            <w:tcW w:w="840" w:type="dxa"/>
            <w:vAlign w:val="bottom"/>
          </w:tcPr>
          <w:p>
            <w:pPr>
              <w:spacing w:after="0"/>
              <w:rPr>
                <w:sz w:val="20"/>
                <w:szCs w:val="20"/>
                <w:color w:val="auto"/>
              </w:rPr>
            </w:pPr>
            <w:r>
              <w:rPr>
                <w:rFonts w:ascii="Arial" w:cs="Arial" w:eastAsia="Arial" w:hAnsi="Arial"/>
                <w:sz w:val="16"/>
                <w:szCs w:val="16"/>
                <w:color w:val="auto"/>
              </w:rPr>
              <w:t>Name:</w:t>
            </w:r>
          </w:p>
        </w:tc>
        <w:tc>
          <w:tcPr>
            <w:tcW w:w="3880" w:type="dxa"/>
            <w:vAlign w:val="bottom"/>
          </w:tcPr>
          <w:p>
            <w:pPr>
              <w:ind w:left="20"/>
              <w:spacing w:after="0"/>
              <w:rPr>
                <w:sz w:val="20"/>
                <w:szCs w:val="20"/>
                <w:color w:val="auto"/>
              </w:rPr>
            </w:pPr>
            <w:r>
              <w:rPr>
                <w:rFonts w:ascii="Arial" w:cs="Arial" w:eastAsia="Arial" w:hAnsi="Arial"/>
                <w:sz w:val="16"/>
                <w:szCs w:val="16"/>
                <w:color w:val="auto"/>
              </w:rPr>
              <w:t>Vladimir Tenev</w:t>
            </w:r>
          </w:p>
        </w:tc>
      </w:tr>
      <w:tr>
        <w:trPr>
          <w:trHeight w:val="203"/>
        </w:trPr>
        <w:tc>
          <w:tcPr>
            <w:tcW w:w="840" w:type="dxa"/>
            <w:vAlign w:val="bottom"/>
          </w:tcPr>
          <w:p>
            <w:pPr>
              <w:spacing w:after="0"/>
              <w:rPr>
                <w:sz w:val="20"/>
                <w:szCs w:val="20"/>
                <w:color w:val="auto"/>
              </w:rPr>
            </w:pPr>
            <w:r>
              <w:rPr>
                <w:rFonts w:ascii="Arial" w:cs="Arial" w:eastAsia="Arial" w:hAnsi="Arial"/>
                <w:sz w:val="16"/>
                <w:szCs w:val="16"/>
                <w:color w:val="auto"/>
              </w:rPr>
              <w:t>Title:</w:t>
            </w:r>
          </w:p>
        </w:tc>
        <w:tc>
          <w:tcPr>
            <w:tcW w:w="3880" w:type="dxa"/>
            <w:vAlign w:val="bottom"/>
          </w:tcPr>
          <w:p>
            <w:pPr>
              <w:ind w:left="20"/>
              <w:spacing w:after="0"/>
              <w:rPr>
                <w:sz w:val="20"/>
                <w:szCs w:val="20"/>
                <w:color w:val="auto"/>
              </w:rPr>
            </w:pPr>
            <w:r>
              <w:rPr>
                <w:rFonts w:ascii="Arial" w:cs="Arial" w:eastAsia="Arial" w:hAnsi="Arial"/>
                <w:sz w:val="16"/>
                <w:szCs w:val="16"/>
                <w:color w:val="auto"/>
              </w:rPr>
              <w:t>Co-Founder, Chief Executive Officer and President</w:t>
            </w:r>
          </w:p>
        </w:tc>
      </w:tr>
    </w:tbl>
    <w:p>
      <w:pPr>
        <w:spacing w:after="0" w:line="238"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indicated on July 19, 2021.</w:t>
      </w:r>
    </w:p>
    <w:p>
      <w:pPr>
        <w:sectPr>
          <w:pgSz w:w="11900" w:h="16838" w:orient="portrait"/>
          <w:cols w:equalWidth="0" w:num="1">
            <w:col w:w="11260"/>
          </w:cols>
          <w:pgMar w:left="320" w:top="1440" w:right="319" w:bottom="1440" w:gutter="0" w:footer="0" w:header="0"/>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ind w:left="1300"/>
              <w:spacing w:after="0"/>
              <w:rPr>
                <w:sz w:val="20"/>
                <w:szCs w:val="20"/>
                <w:color w:val="auto"/>
              </w:rPr>
            </w:pPr>
            <w:r>
              <w:rPr>
                <w:rFonts w:ascii="Arial" w:cs="Arial" w:eastAsia="Arial" w:hAnsi="Arial"/>
                <w:sz w:val="13"/>
                <w:szCs w:val="13"/>
                <w:b w:val="1"/>
                <w:bCs w:val="1"/>
                <w:color w:val="auto"/>
              </w:rPr>
              <w:t>Signature</w:t>
            </w:r>
          </w:p>
        </w:tc>
      </w:tr>
      <w:tr>
        <w:trPr>
          <w:trHeight w:val="315"/>
        </w:trPr>
        <w:tc>
          <w:tcPr>
            <w:tcW w:w="580" w:type="dxa"/>
            <w:vAlign w:val="bottom"/>
          </w:tcPr>
          <w:p>
            <w:pPr>
              <w:ind w:left="20"/>
              <w:spacing w:after="0"/>
              <w:rPr>
                <w:sz w:val="20"/>
                <w:szCs w:val="20"/>
                <w:color w:val="auto"/>
              </w:rPr>
            </w:pPr>
            <w:r>
              <w:rPr>
                <w:rFonts w:ascii="Arial" w:cs="Arial" w:eastAsia="Arial" w:hAnsi="Arial"/>
                <w:sz w:val="16"/>
                <w:szCs w:val="16"/>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/s/Vladimir Tenev</w:t>
            </w:r>
          </w:p>
        </w:tc>
      </w:tr>
      <w:tr>
        <w:trPr>
          <w:trHeight w:val="195"/>
        </w:trPr>
        <w:tc>
          <w:tcPr>
            <w:tcW w:w="580" w:type="dxa"/>
            <w:vAlign w:val="bottom"/>
          </w:tcPr>
          <w:p>
            <w:pPr>
              <w:spacing w:after="0"/>
              <w:rPr>
                <w:sz w:val="16"/>
                <w:szCs w:val="16"/>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7"/>
              </w:rPr>
              <w:t>Vladimir Tenev</w:t>
            </w:r>
          </w:p>
        </w:tc>
      </w:tr>
      <w:tr>
        <w:trPr>
          <w:trHeight w:val="406"/>
        </w:trPr>
        <w:tc>
          <w:tcPr>
            <w:tcW w:w="580" w:type="dxa"/>
            <w:vAlign w:val="bottom"/>
          </w:tcPr>
          <w:p>
            <w:pPr>
              <w:ind w:left="20"/>
              <w:spacing w:after="0"/>
              <w:rPr>
                <w:sz w:val="20"/>
                <w:szCs w:val="20"/>
                <w:color w:val="auto"/>
              </w:rPr>
            </w:pPr>
            <w:r>
              <w:rPr>
                <w:rFonts w:ascii="Arial" w:cs="Arial" w:eastAsia="Arial" w:hAnsi="Arial"/>
                <w:sz w:val="16"/>
                <w:szCs w:val="16"/>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195"/>
        </w:trPr>
        <w:tc>
          <w:tcPr>
            <w:tcW w:w="580" w:type="dxa"/>
            <w:vAlign w:val="bottom"/>
          </w:tcPr>
          <w:p>
            <w:pPr>
              <w:spacing w:after="0"/>
              <w:rPr>
                <w:sz w:val="16"/>
                <w:szCs w:val="16"/>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9"/>
              </w:rPr>
              <w:t>Jason Warnick</w:t>
            </w:r>
          </w:p>
        </w:tc>
      </w:tr>
      <w:tr>
        <w:trPr>
          <w:trHeight w:val="406"/>
        </w:trPr>
        <w:tc>
          <w:tcPr>
            <w:tcW w:w="580" w:type="dxa"/>
            <w:vAlign w:val="bottom"/>
          </w:tcPr>
          <w:p>
            <w:pPr>
              <w:ind w:left="20"/>
              <w:spacing w:after="0"/>
              <w:rPr>
                <w:sz w:val="20"/>
                <w:szCs w:val="20"/>
                <w:color w:val="auto"/>
              </w:rPr>
            </w:pPr>
            <w:r>
              <w:rPr>
                <w:rFonts w:ascii="Arial" w:cs="Arial" w:eastAsia="Arial" w:hAnsi="Arial"/>
                <w:sz w:val="16"/>
                <w:szCs w:val="16"/>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195"/>
        </w:trPr>
        <w:tc>
          <w:tcPr>
            <w:tcW w:w="580" w:type="dxa"/>
            <w:vAlign w:val="bottom"/>
          </w:tcPr>
          <w:p>
            <w:pPr>
              <w:spacing w:after="0"/>
              <w:rPr>
                <w:sz w:val="16"/>
                <w:szCs w:val="16"/>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8"/>
              </w:rPr>
              <w:t>Baiju Bhatt</w:t>
            </w:r>
          </w:p>
        </w:tc>
      </w:tr>
      <w:tr>
        <w:trPr>
          <w:trHeight w:val="406"/>
        </w:trPr>
        <w:tc>
          <w:tcPr>
            <w:tcW w:w="580" w:type="dxa"/>
            <w:vAlign w:val="bottom"/>
          </w:tcPr>
          <w:p>
            <w:pPr>
              <w:ind w:left="20"/>
              <w:spacing w:after="0"/>
              <w:rPr>
                <w:sz w:val="20"/>
                <w:szCs w:val="20"/>
                <w:color w:val="auto"/>
              </w:rPr>
            </w:pPr>
            <w:r>
              <w:rPr>
                <w:rFonts w:ascii="Arial" w:cs="Arial" w:eastAsia="Arial" w:hAnsi="Arial"/>
                <w:sz w:val="16"/>
                <w:szCs w:val="16"/>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195"/>
        </w:trPr>
        <w:tc>
          <w:tcPr>
            <w:tcW w:w="580" w:type="dxa"/>
            <w:vAlign w:val="bottom"/>
          </w:tcPr>
          <w:p>
            <w:pPr>
              <w:spacing w:after="0"/>
              <w:rPr>
                <w:sz w:val="16"/>
                <w:szCs w:val="16"/>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Jan Hammer</w:t>
            </w:r>
          </w:p>
        </w:tc>
      </w:tr>
      <w:tr>
        <w:trPr>
          <w:trHeight w:val="406"/>
        </w:trPr>
        <w:tc>
          <w:tcPr>
            <w:tcW w:w="580" w:type="dxa"/>
            <w:vAlign w:val="bottom"/>
          </w:tcPr>
          <w:p>
            <w:pPr>
              <w:ind w:left="20"/>
              <w:spacing w:after="0"/>
              <w:rPr>
                <w:sz w:val="20"/>
                <w:szCs w:val="20"/>
                <w:color w:val="auto"/>
              </w:rPr>
            </w:pPr>
            <w:r>
              <w:rPr>
                <w:rFonts w:ascii="Arial" w:cs="Arial" w:eastAsia="Arial" w:hAnsi="Arial"/>
                <w:sz w:val="16"/>
                <w:szCs w:val="16"/>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195"/>
        </w:trPr>
        <w:tc>
          <w:tcPr>
            <w:tcW w:w="580" w:type="dxa"/>
            <w:vAlign w:val="bottom"/>
          </w:tcPr>
          <w:p>
            <w:pPr>
              <w:spacing w:after="0"/>
              <w:rPr>
                <w:sz w:val="16"/>
                <w:szCs w:val="16"/>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8"/>
              </w:rPr>
              <w:t>Paula Loop</w:t>
            </w:r>
          </w:p>
        </w:tc>
      </w:tr>
      <w:tr>
        <w:trPr>
          <w:trHeight w:val="406"/>
        </w:trPr>
        <w:tc>
          <w:tcPr>
            <w:tcW w:w="580" w:type="dxa"/>
            <w:vAlign w:val="bottom"/>
          </w:tcPr>
          <w:p>
            <w:pPr>
              <w:ind w:left="20"/>
              <w:spacing w:after="0"/>
              <w:rPr>
                <w:sz w:val="20"/>
                <w:szCs w:val="20"/>
                <w:color w:val="auto"/>
              </w:rPr>
            </w:pPr>
            <w:r>
              <w:rPr>
                <w:rFonts w:ascii="Arial" w:cs="Arial" w:eastAsia="Arial" w:hAnsi="Arial"/>
                <w:sz w:val="16"/>
                <w:szCs w:val="16"/>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195"/>
        </w:trPr>
        <w:tc>
          <w:tcPr>
            <w:tcW w:w="580" w:type="dxa"/>
            <w:vAlign w:val="bottom"/>
          </w:tcPr>
          <w:p>
            <w:pPr>
              <w:spacing w:after="0"/>
              <w:rPr>
                <w:sz w:val="16"/>
                <w:szCs w:val="16"/>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8"/>
              </w:rPr>
              <w:t>Jonathan Rubinstein</w:t>
            </w:r>
          </w:p>
        </w:tc>
      </w:tr>
      <w:tr>
        <w:trPr>
          <w:trHeight w:val="406"/>
        </w:trPr>
        <w:tc>
          <w:tcPr>
            <w:tcW w:w="580" w:type="dxa"/>
            <w:vAlign w:val="bottom"/>
          </w:tcPr>
          <w:p>
            <w:pPr>
              <w:ind w:left="20"/>
              <w:spacing w:after="0"/>
              <w:rPr>
                <w:sz w:val="20"/>
                <w:szCs w:val="20"/>
                <w:color w:val="auto"/>
              </w:rPr>
            </w:pPr>
            <w:r>
              <w:rPr>
                <w:rFonts w:ascii="Arial" w:cs="Arial" w:eastAsia="Arial" w:hAnsi="Arial"/>
                <w:sz w:val="16"/>
                <w:szCs w:val="16"/>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195"/>
        </w:trPr>
        <w:tc>
          <w:tcPr>
            <w:tcW w:w="580" w:type="dxa"/>
            <w:vAlign w:val="bottom"/>
          </w:tcPr>
          <w:p>
            <w:pPr>
              <w:spacing w:after="0"/>
              <w:rPr>
                <w:sz w:val="16"/>
                <w:szCs w:val="16"/>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9"/>
              </w:rPr>
              <w:t>Scott Sandell</w:t>
            </w:r>
          </w:p>
        </w:tc>
      </w:tr>
      <w:tr>
        <w:trPr>
          <w:trHeight w:val="406"/>
        </w:trPr>
        <w:tc>
          <w:tcPr>
            <w:tcW w:w="580" w:type="dxa"/>
            <w:vAlign w:val="bottom"/>
          </w:tcPr>
          <w:p>
            <w:pPr>
              <w:ind w:left="20"/>
              <w:spacing w:after="0"/>
              <w:rPr>
                <w:sz w:val="20"/>
                <w:szCs w:val="20"/>
                <w:color w:val="auto"/>
              </w:rPr>
            </w:pPr>
            <w:r>
              <w:rPr>
                <w:rFonts w:ascii="Arial" w:cs="Arial" w:eastAsia="Arial" w:hAnsi="Arial"/>
                <w:sz w:val="16"/>
                <w:szCs w:val="16"/>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195"/>
        </w:trPr>
        <w:tc>
          <w:tcPr>
            <w:tcW w:w="580" w:type="dxa"/>
            <w:vAlign w:val="bottom"/>
          </w:tcPr>
          <w:p>
            <w:pPr>
              <w:spacing w:after="0"/>
              <w:rPr>
                <w:sz w:val="16"/>
                <w:szCs w:val="16"/>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9"/>
              </w:rPr>
              <w:t>Robert Zoellick</w:t>
            </w:r>
          </w:p>
        </w:tc>
      </w:tr>
      <w:tr>
        <w:trPr>
          <w:trHeight w:val="406"/>
        </w:trPr>
        <w:tc>
          <w:tcPr>
            <w:tcW w:w="580" w:type="dxa"/>
            <w:vAlign w:val="bottom"/>
          </w:tcPr>
          <w:p>
            <w:pPr>
              <w:ind w:left="20"/>
              <w:spacing w:after="0"/>
              <w:rPr>
                <w:sz w:val="20"/>
                <w:szCs w:val="20"/>
                <w:color w:val="auto"/>
              </w:rPr>
            </w:pPr>
            <w:r>
              <w:rPr>
                <w:rFonts w:ascii="Arial" w:cs="Arial" w:eastAsia="Arial" w:hAnsi="Arial"/>
                <w:sz w:val="16"/>
                <w:szCs w:val="16"/>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/s/Vladimir Tenev</w:t>
            </w:r>
          </w:p>
        </w:tc>
      </w:tr>
      <w:tr>
        <w:trPr>
          <w:trHeight w:val="158"/>
        </w:trPr>
        <w:tc>
          <w:tcPr>
            <w:tcW w:w="580" w:type="dxa"/>
            <w:vAlign w:val="bottom"/>
          </w:tcPr>
          <w:p>
            <w:pPr>
              <w:spacing w:after="0"/>
              <w:rPr>
                <w:sz w:val="13"/>
                <w:szCs w:val="13"/>
                <w:color w:val="auto"/>
              </w:rPr>
            </w:pPr>
          </w:p>
        </w:tc>
        <w:tc>
          <w:tcPr>
            <w:tcW w:w="3760" w:type="dxa"/>
            <w:vAlign w:val="bottom"/>
          </w:tcPr>
          <w:p>
            <w:pPr>
              <w:jc w:val="center"/>
              <w:spacing w:after="0" w:line="158" w:lineRule="exact"/>
              <w:rPr>
                <w:sz w:val="20"/>
                <w:szCs w:val="20"/>
                <w:color w:val="auto"/>
              </w:rPr>
            </w:pPr>
            <w:r>
              <w:rPr>
                <w:rFonts w:ascii="Arial" w:cs="Arial" w:eastAsia="Arial" w:hAnsi="Arial"/>
                <w:sz w:val="16"/>
                <w:szCs w:val="16"/>
                <w:color w:val="auto"/>
                <w:w w:val="97"/>
              </w:rPr>
              <w:t>Vladimir Tenev</w:t>
            </w:r>
          </w:p>
        </w:tc>
      </w:tr>
      <w:tr>
        <w:trPr>
          <w:trHeight w:val="192"/>
        </w:trPr>
        <w:tc>
          <w:tcPr>
            <w:tcW w:w="580" w:type="dxa"/>
            <w:vAlign w:val="bottom"/>
          </w:tcPr>
          <w:p>
            <w:pPr>
              <w:spacing w:after="0"/>
              <w:rPr>
                <w:sz w:val="16"/>
                <w:szCs w:val="16"/>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8"/>
              </w:rPr>
              <w:t>Attorney-in-Fact</w:t>
            </w:r>
          </w:p>
        </w:tc>
      </w:tr>
    </w:tbl>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340"/>
        <w:spacing w:after="0"/>
        <w:rPr>
          <w:sz w:val="20"/>
          <w:szCs w:val="20"/>
          <w:color w:val="auto"/>
        </w:rPr>
      </w:pPr>
      <w:r>
        <w:rPr>
          <w:rFonts w:ascii="Arial" w:cs="Arial" w:eastAsia="Arial" w:hAnsi="Arial"/>
          <w:sz w:val="13"/>
          <w:szCs w:val="13"/>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11430</wp:posOffset>
            </wp:positionV>
            <wp:extent cx="42646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4264660" cy="7620"/>
                    </a:xfrm>
                    <a:prstGeom prst="rect">
                      <a:avLst/>
                    </a:prstGeom>
                    <a:noFill/>
                  </pic:spPr>
                </pic:pic>
              </a:graphicData>
            </a:graphic>
          </wp:anchor>
        </w:drawing>
      </w:r>
    </w:p>
    <w:p>
      <w:pPr>
        <w:spacing w:after="0" w:line="147" w:lineRule="exact"/>
        <w:rPr>
          <w:sz w:val="20"/>
          <w:szCs w:val="20"/>
          <w:color w:val="auto"/>
        </w:rPr>
      </w:pPr>
    </w:p>
    <w:p>
      <w:pPr>
        <w:jc w:val="center"/>
        <w:ind w:right="1340"/>
        <w:spacing w:after="0"/>
        <w:rPr>
          <w:sz w:val="20"/>
          <w:szCs w:val="20"/>
          <w:color w:val="auto"/>
        </w:rPr>
      </w:pPr>
      <w:r>
        <w:rPr>
          <w:rFonts w:ascii="Arial" w:cs="Arial" w:eastAsia="Arial" w:hAnsi="Arial"/>
          <w:sz w:val="15"/>
          <w:szCs w:val="15"/>
          <w:color w:val="auto"/>
        </w:rPr>
        <w:t>Co-Founder, Chief Executive Officer, President and Director</w:t>
      </w:r>
    </w:p>
    <w:p>
      <w:pPr>
        <w:jc w:val="center"/>
        <w:ind w:right="1340"/>
        <w:spacing w:after="0"/>
        <w:rPr>
          <w:sz w:val="20"/>
          <w:szCs w:val="20"/>
          <w:color w:val="auto"/>
        </w:rPr>
      </w:pPr>
      <w:r>
        <w:rPr>
          <w:rFonts w:ascii="Arial" w:cs="Arial" w:eastAsia="Arial" w:hAnsi="Arial"/>
          <w:sz w:val="16"/>
          <w:szCs w:val="16"/>
          <w:i w:val="1"/>
          <w:iCs w:val="1"/>
          <w:color w:val="auto"/>
        </w:rPr>
        <w:t>(Principal Executive Officer)</w:t>
      </w:r>
    </w:p>
    <w:p>
      <w:pPr>
        <w:spacing w:after="0" w:line="253"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Chief Financial Officer</w:t>
      </w:r>
    </w:p>
    <w:p>
      <w:pPr>
        <w:jc w:val="center"/>
        <w:ind w:right="1340"/>
        <w:spacing w:after="0"/>
        <w:rPr>
          <w:sz w:val="20"/>
          <w:szCs w:val="20"/>
          <w:color w:val="auto"/>
        </w:rPr>
      </w:pPr>
      <w:r>
        <w:rPr>
          <w:rFonts w:ascii="Arial" w:cs="Arial" w:eastAsia="Arial" w:hAnsi="Arial"/>
          <w:sz w:val="15"/>
          <w:szCs w:val="15"/>
          <w:i w:val="1"/>
          <w:iCs w:val="1"/>
          <w:color w:val="auto"/>
        </w:rPr>
        <w:t>(Principal Financial Officer and Principal Accounting Officer)</w:t>
      </w:r>
    </w:p>
    <w:p>
      <w:pPr>
        <w:spacing w:after="0" w:line="265"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Co-Founder, Chief Creative Officer</w:t>
      </w:r>
    </w:p>
    <w:p>
      <w:pPr>
        <w:jc w:val="center"/>
        <w:ind w:right="1340"/>
        <w:spacing w:after="0"/>
        <w:rPr>
          <w:sz w:val="20"/>
          <w:szCs w:val="20"/>
          <w:color w:val="auto"/>
        </w:rPr>
      </w:pPr>
      <w:r>
        <w:rPr>
          <w:rFonts w:ascii="Arial" w:cs="Arial" w:eastAsia="Arial" w:hAnsi="Arial"/>
          <w:sz w:val="16"/>
          <w:szCs w:val="16"/>
          <w:color w:val="auto"/>
        </w:rPr>
        <w:t>and Director</w:t>
      </w:r>
    </w:p>
    <w:p>
      <w:pPr>
        <w:spacing w:after="0" w:line="354"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37"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37"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37"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37"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Director</w:t>
      </w:r>
    </w:p>
    <w:p>
      <w:pPr>
        <w:spacing w:after="0" w:line="1104" w:lineRule="exact"/>
        <w:rPr>
          <w:sz w:val="20"/>
          <w:szCs w:val="20"/>
          <w:color w:val="auto"/>
        </w:rPr>
      </w:pPr>
    </w:p>
    <w:p>
      <w:pPr>
        <w:sectPr>
          <w:pgSz w:w="11900" w:h="16838" w:orient="portrait"/>
          <w:cols w:equalWidth="0" w:num="2">
            <w:col w:w="4960" w:space="720"/>
            <w:col w:w="5580"/>
          </w:cols>
          <w:pgMar w:left="32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II-7</w:t>
      </w:r>
    </w:p>
    <w:p>
      <w:pPr>
        <w:sectPr>
          <w:pgSz w:w="11900" w:h="16838" w:orient="portrait"/>
          <w:cols w:equalWidth="0" w:num="1">
            <w:col w:w="11260"/>
          </w:cols>
          <w:pgMar w:left="320" w:top="1440" w:right="319" w:bottom="1440" w:gutter="0" w:footer="0" w:header="0"/>
          <w:type w:val="continuous"/>
        </w:sectPr>
      </w:pPr>
    </w:p>
    <w:bookmarkStart w:id="397" w:name="page398"/>
    <w:bookmarkEnd w:id="397"/>
    <w:p>
      <w:pPr>
        <w:jc w:val="right"/>
        <w:spacing w:after="0"/>
        <w:rPr>
          <w:sz w:val="20"/>
          <w:szCs w:val="20"/>
          <w:color w:val="auto"/>
        </w:rPr>
      </w:pPr>
      <w:r>
        <w:rPr>
          <w:rFonts w:ascii="Arial" w:cs="Arial" w:eastAsia="Arial" w:hAnsi="Arial"/>
          <w:sz w:val="16"/>
          <w:szCs w:val="16"/>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714819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35" w:lineRule="auto"/>
        <w:rPr>
          <w:sz w:val="20"/>
          <w:szCs w:val="20"/>
          <w:color w:val="auto"/>
        </w:rPr>
      </w:pPr>
      <w:r>
        <w:rPr>
          <w:rFonts w:ascii="Arial" w:cs="Arial" w:eastAsia="Arial" w:hAnsi="Arial"/>
          <w:sz w:val="18"/>
          <w:szCs w:val="18"/>
          <w:color w:val="auto"/>
        </w:rPr>
        <w:t>Goldman Sachs &amp; Co. LLC</w:t>
      </w:r>
    </w:p>
    <w:p>
      <w:pPr>
        <w:spacing w:after="0" w:line="236" w:lineRule="auto"/>
        <w:rPr>
          <w:sz w:val="20"/>
          <w:szCs w:val="20"/>
          <w:color w:val="auto"/>
        </w:rPr>
      </w:pPr>
      <w:r>
        <w:rPr>
          <w:rFonts w:ascii="Arial" w:cs="Arial" w:eastAsia="Arial" w:hAnsi="Arial"/>
          <w:sz w:val="18"/>
          <w:szCs w:val="18"/>
          <w:color w:val="auto"/>
        </w:rPr>
        <w:t>J.P. Morgan Securities LLC,</w:t>
      </w:r>
    </w:p>
    <w:p>
      <w:pPr>
        <w:ind w:left="220"/>
        <w:spacing w:after="0" w:line="235" w:lineRule="auto"/>
        <w:rPr>
          <w:sz w:val="20"/>
          <w:szCs w:val="20"/>
          <w:color w:val="auto"/>
        </w:rPr>
      </w:pPr>
      <w:r>
        <w:rPr>
          <w:rFonts w:ascii="Arial" w:cs="Arial" w:eastAsia="Arial" w:hAnsi="Arial"/>
          <w:sz w:val="18"/>
          <w:szCs w:val="18"/>
          <w:color w:val="auto"/>
        </w:rPr>
        <w:t>As representatives (the “Representatives”) of the several Underwriters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named in Schedule I 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5" w:lineRule="auto"/>
        <w:rPr>
          <w:sz w:val="20"/>
          <w:szCs w:val="20"/>
          <w:color w:val="auto"/>
        </w:rPr>
      </w:pPr>
      <w:r>
        <w:rPr>
          <w:rFonts w:ascii="Arial" w:cs="Arial" w:eastAsia="Arial" w:hAnsi="Arial"/>
          <w:sz w:val="18"/>
          <w:szCs w:val="18"/>
          <w:color w:val="auto"/>
        </w:rPr>
        <w:t>200 West Street</w:t>
      </w:r>
    </w:p>
    <w:p>
      <w:pPr>
        <w:spacing w:after="0"/>
        <w:rPr>
          <w:sz w:val="20"/>
          <w:szCs w:val="20"/>
          <w:color w:val="auto"/>
        </w:rPr>
      </w:pPr>
      <w:r>
        <w:rPr>
          <w:rFonts w:ascii="Arial" w:cs="Arial" w:eastAsia="Arial" w:hAnsi="Arial"/>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5" w:lineRule="auto"/>
        <w:rPr>
          <w:sz w:val="20"/>
          <w:szCs w:val="20"/>
          <w:color w:val="auto"/>
        </w:rPr>
      </w:pPr>
      <w:r>
        <w:rPr>
          <w:rFonts w:ascii="Arial" w:cs="Arial" w:eastAsia="Arial" w:hAnsi="Arial"/>
          <w:sz w:val="18"/>
          <w:szCs w:val="18"/>
          <w:color w:val="auto"/>
        </w:rPr>
        <w:t>383 Madison Avenue</w:t>
      </w:r>
    </w:p>
    <w:p>
      <w:pPr>
        <w:spacing w:after="0"/>
        <w:rPr>
          <w:sz w:val="20"/>
          <w:szCs w:val="20"/>
          <w:color w:val="auto"/>
        </w:rPr>
      </w:pPr>
      <w:r>
        <w:rPr>
          <w:rFonts w:ascii="Arial" w:cs="Arial" w:eastAsia="Arial" w:hAnsi="Arial"/>
          <w:sz w:val="18"/>
          <w:szCs w:val="18"/>
          <w:color w:val="auto"/>
        </w:rPr>
        <w:t>New York, New York 10179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2" w:lineRule="exact"/>
        <w:rPr>
          <w:sz w:val="20"/>
          <w:szCs w:val="20"/>
          <w:color w:val="auto"/>
        </w:rPr>
      </w:pPr>
    </w:p>
    <w:p>
      <w:pPr>
        <w:jc w:val="both"/>
        <w:ind w:firstLine="574"/>
        <w:spacing w:after="0" w:line="236" w:lineRule="auto"/>
        <w:rPr>
          <w:sz w:val="20"/>
          <w:szCs w:val="20"/>
          <w:color w:val="auto"/>
        </w:rPr>
      </w:pPr>
      <w:r>
        <w:rPr>
          <w:rFonts w:ascii="Arial" w:cs="Arial" w:eastAsia="Arial" w:hAnsi="Arial"/>
          <w:sz w:val="18"/>
          <w:szCs w:val="18"/>
          <w:color w:val="auto"/>
        </w:rPr>
        <w:t>Robinhood Markets, Inc., a Delaware corporation (the “Company”), proposes, subject to the terms and conditions stated in this agreement (this “Agreement”), to issue and sell to the Underwriters named in Schedule I hereto (the “Underwriters”) an aggregate of shares of Class A Common Stock, par value $0.0001 per share, of the Company (the “Class A Common Stock”) and, at the election of the Underwriters, up to additional shares of Class A Common Stock, and the stockholders of the Company named in Schedule II hereto (the “Selling Stockholders”) propose, subject to the terms and conditions stated in this this Agreement, to sell to the Underwriters an aggregate of shares of Class A Common Stock. The aggregate of shares of Class A Common Stock to be sold by the Company and the Selling Stockholders is herein called the “Firm Shares” and the aggregate of additional shares of Class A Common Stock to be sold by the Company is herein called the “Optional Shares”. The Firm Shares and the Optional Shares that the Underwriters elect to purchase pursuant to Section 2 hereof are herein collectively called the “Shares”.</w:t>
      </w:r>
    </w:p>
    <w:p>
      <w:pPr>
        <w:spacing w:after="0" w:line="92" w:lineRule="exact"/>
        <w:rPr>
          <w:sz w:val="20"/>
          <w:szCs w:val="20"/>
          <w:color w:val="auto"/>
        </w:rPr>
      </w:pPr>
    </w:p>
    <w:p>
      <w:pPr>
        <w:ind w:left="900" w:hanging="331"/>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The Company represents and warrants to, and agrees with, each of the Underwriters that:</w:t>
      </w:r>
    </w:p>
    <w:p>
      <w:pPr>
        <w:spacing w:after="0" w:line="91" w:lineRule="exact"/>
        <w:rPr>
          <w:rFonts w:ascii="Arial" w:cs="Arial" w:eastAsia="Arial" w:hAnsi="Arial"/>
          <w:sz w:val="18"/>
          <w:szCs w:val="18"/>
          <w:color w:val="auto"/>
        </w:rPr>
      </w:pPr>
    </w:p>
    <w:p>
      <w:pPr>
        <w:jc w:val="both"/>
        <w:ind w:left="560" w:firstLine="439"/>
        <w:spacing w:after="0" w:line="270" w:lineRule="auto"/>
        <w:tabs>
          <w:tab w:leader="none" w:pos="136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 registration statement on Form S–1 (File No. 333-257602) (the “Initial Registration Statement”) in respect of the Shares has been filed with the Securities and Exchange Commission (the “Commission”); the Initial Registration Statement and any post-effective amendment thereto, each in the form heretofore delivered to the Representatives,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w:t>
      </w:r>
    </w:p>
    <w:p>
      <w:pPr>
        <w:sectPr>
          <w:pgSz w:w="11900" w:h="16838" w:orient="portrait"/>
          <w:cols w:equalWidth="0" w:num="1">
            <w:col w:w="11260"/>
          </w:cols>
          <w:pgMar w:left="320" w:top="123" w:right="319" w:bottom="1440" w:gutter="0" w:footer="0" w:header="0"/>
        </w:sectPr>
      </w:pPr>
    </w:p>
    <w:bookmarkStart w:id="398" w:name="page399"/>
    <w:bookmarkEnd w:id="398"/>
    <w:p>
      <w:pPr>
        <w:jc w:val="both"/>
        <w:spacing w:after="0" w:line="267" w:lineRule="auto"/>
        <w:rPr>
          <w:sz w:val="20"/>
          <w:szCs w:val="20"/>
          <w:color w:val="auto"/>
        </w:rPr>
      </w:pPr>
      <w:r>
        <w:rPr>
          <w:rFonts w:ascii="Arial" w:cs="Arial" w:eastAsia="Arial" w:hAnsi="Arial"/>
          <w:sz w:val="16"/>
          <w:szCs w:val="16"/>
          <w:color w:val="auto"/>
        </w:rPr>
        <w:t>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1(a)(iii)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and any Testing-the-Waters Communication that is a written communication within the meaning of Rule 405 under the Act is hereinafter called a “Written Testing-the-Waters Communication”; any “issuer free writing prospectus” as defined in Rule 433(h)(1) under the Act relating to the Shares is hereinafter called an “Issuer Free Writing Prospectus”; and any “road show” as defined in Rule 433(h)(4) under the Act, together with any communication that is provided or transmitted simultaneously with such road show in a manner designed to make such communication available as part of such road show, is hereinafter called a “road show”);</w:t>
      </w:r>
    </w:p>
    <w:p>
      <w:pPr>
        <w:spacing w:after="0" w:line="200" w:lineRule="exact"/>
        <w:rPr>
          <w:sz w:val="20"/>
          <w:szCs w:val="20"/>
          <w:color w:val="auto"/>
        </w:rPr>
      </w:pPr>
    </w:p>
    <w:p>
      <w:pPr>
        <w:spacing w:after="0" w:line="279" w:lineRule="exact"/>
        <w:rPr>
          <w:sz w:val="20"/>
          <w:szCs w:val="20"/>
          <w:color w:val="auto"/>
        </w:rPr>
      </w:pPr>
    </w:p>
    <w:p>
      <w:pPr>
        <w:jc w:val="both"/>
        <w:ind w:firstLine="439"/>
        <w:spacing w:after="0" w:line="270" w:lineRule="auto"/>
        <w:tabs>
          <w:tab w:leader="none" w:pos="81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 No order preventing or suspending the use of any Preliminary Prospectus or any Issuer Free Writing Prospectus (other than as a result of the Company’s status as an “ineligible issuer” as defined in Rule 405 under the Act)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9(c) of this Agreement);</w:t>
      </w:r>
    </w:p>
    <w:p>
      <w:pPr>
        <w:spacing w:after="0" w:line="68" w:lineRule="exact"/>
        <w:rPr>
          <w:rFonts w:ascii="Arial" w:cs="Arial" w:eastAsia="Arial" w:hAnsi="Arial"/>
          <w:sz w:val="16"/>
          <w:szCs w:val="16"/>
          <w:color w:val="auto"/>
        </w:rPr>
      </w:pPr>
    </w:p>
    <w:p>
      <w:pPr>
        <w:jc w:val="both"/>
        <w:ind w:firstLine="439"/>
        <w:spacing w:after="0" w:line="236" w:lineRule="auto"/>
        <w:tabs>
          <w:tab w:leader="none" w:pos="92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the purposes of this Agreement, the “Applicable Time” is p.m. (New York City time) on the date of this Agreement; the Pricing Prospectus, as supplemented by the information listed on Schedule III(c)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each Written Testing-the-Waters Communication and each road show does not conflict with the information contained in the Registration Statement, the Pricing Prospectus or the Prospectus,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700"/>
          </w:cols>
          <w:pgMar w:left="880" w:top="1379" w:right="319" w:bottom="1440" w:gutter="0" w:footer="0" w:header="0"/>
        </w:sectPr>
      </w:pPr>
    </w:p>
    <w:bookmarkStart w:id="399" w:name="page400"/>
    <w:bookmarkEnd w:id="399"/>
    <w:p>
      <w:pPr>
        <w:jc w:val="both"/>
        <w:spacing w:after="0" w:line="237" w:lineRule="auto"/>
        <w:rPr>
          <w:sz w:val="20"/>
          <w:szCs w:val="20"/>
          <w:color w:val="auto"/>
        </w:rPr>
      </w:pPr>
      <w:r>
        <w:rPr>
          <w:rFonts w:ascii="Arial" w:cs="Arial" w:eastAsia="Arial" w:hAnsi="Arial"/>
          <w:sz w:val="18"/>
          <w:szCs w:val="18"/>
          <w:color w:val="auto"/>
        </w:rPr>
        <w:t>each Issuer Free Writing Prospectus, each Written Testing-the-Waters Communication and each road show,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89" w:lineRule="exact"/>
        <w:rPr>
          <w:sz w:val="20"/>
          <w:szCs w:val="20"/>
          <w:color w:val="auto"/>
        </w:rPr>
      </w:pPr>
    </w:p>
    <w:p>
      <w:pPr>
        <w:jc w:val="both"/>
        <w:ind w:right="20" w:firstLine="439"/>
        <w:spacing w:after="0" w:line="238" w:lineRule="auto"/>
        <w:tabs>
          <w:tab w:leader="none" w:pos="95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 The Company has not prepared or used any Issuer Free Writing Prospectus, and (ii) no documents were filed with the Commission since the Commission’s close of business on the business day immediately prior to the date of this Agreement and prior to the execution of this Agreement, except as set forth on Schedule III(b) hereto;</w:t>
      </w:r>
    </w:p>
    <w:p>
      <w:pPr>
        <w:spacing w:after="0" w:line="89" w:lineRule="exact"/>
        <w:rPr>
          <w:rFonts w:ascii="Arial" w:cs="Arial" w:eastAsia="Arial" w:hAnsi="Arial"/>
          <w:sz w:val="18"/>
          <w:szCs w:val="18"/>
          <w:color w:val="auto"/>
        </w:rPr>
      </w:pPr>
    </w:p>
    <w:p>
      <w:pPr>
        <w:jc w:val="both"/>
        <w:ind w:firstLine="439"/>
        <w:spacing w:after="0" w:line="236" w:lineRule="auto"/>
        <w:tabs>
          <w:tab w:leader="none" w:pos="89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92" w:lineRule="exact"/>
        <w:rPr>
          <w:rFonts w:ascii="Arial" w:cs="Arial" w:eastAsia="Arial" w:hAnsi="Arial"/>
          <w:sz w:val="18"/>
          <w:szCs w:val="18"/>
          <w:color w:val="auto"/>
        </w:rPr>
      </w:pPr>
    </w:p>
    <w:p>
      <w:pPr>
        <w:jc w:val="both"/>
        <w:ind w:firstLine="439"/>
        <w:spacing w:after="0" w:line="267" w:lineRule="auto"/>
        <w:tabs>
          <w:tab w:leader="none" w:pos="912" w:val="left"/>
        </w:tabs>
        <w:numPr>
          <w:ilvl w:val="1"/>
          <w:numId w:val="160"/>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since the date of the latest audited financial statements included in the Pricing Prospectus, (A) sustained any loss or interference with its business that is material to the Company and its subsidiaries, taken as a whole, from fire, explosion, flood or other calamity, whether or not covered by insurance, or from any labor dispute or court or governmental action, order or decree or (B)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if any, of stock options or the award, if any, of stock options, restricted stock units or restricted stock in the ordinary course of business pursuant to the Company’s equity incentive plans that are described in the Pricing Prospectus and the Prospectus, (ii) the purchase of shares of capital stock upon termination of the holder’s employment or service with the Company pursuant to agreements providing for an option to repurchase or a right of first refusal on behalf of the Company or (iii) the issuance, if any, of stock upon the exercise or conversion of Company securities as described in the Pricing Prospectus and the Prospectus) or any increase in long-term debt of the Company or any of its subsidiaries or</w:t>
      </w:r>
    </w:p>
    <w:p>
      <w:pPr>
        <w:spacing w:after="0" w:line="184" w:lineRule="exact"/>
        <w:rPr>
          <w:rFonts w:ascii="Arial" w:cs="Arial" w:eastAsia="Arial" w:hAnsi="Arial"/>
          <w:sz w:val="16"/>
          <w:szCs w:val="16"/>
          <w:color w:val="auto"/>
        </w:rPr>
      </w:pPr>
    </w:p>
    <w:p>
      <w:pPr>
        <w:ind w:right="20" w:firstLine="9"/>
        <w:spacing w:after="0" w:line="239" w:lineRule="auto"/>
        <w:tabs>
          <w:tab w:leader="none" w:pos="25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Material Adverse Effect (as defined below); as used in this Agreement, “Material Adverse Effect” shall mean any material adverse change or effect, or any development involving a prospective material adverse change or effect,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700"/>
          </w:cols>
          <w:pgMar w:left="880" w:top="1379" w:right="319" w:bottom="1440" w:gutter="0" w:footer="0" w:header="0"/>
        </w:sectPr>
      </w:pPr>
    </w:p>
    <w:bookmarkStart w:id="400" w:name="page401"/>
    <w:bookmarkEnd w:id="400"/>
    <w:p>
      <w:pPr>
        <w:jc w:val="both"/>
        <w:ind w:right="20"/>
        <w:spacing w:after="0" w:line="237" w:lineRule="auto"/>
        <w:rPr>
          <w:sz w:val="20"/>
          <w:szCs w:val="20"/>
          <w:color w:val="auto"/>
        </w:rPr>
      </w:pPr>
      <w:r>
        <w:rPr>
          <w:rFonts w:ascii="Arial" w:cs="Arial" w:eastAsia="Arial" w:hAnsi="Arial"/>
          <w:sz w:val="18"/>
          <w:szCs w:val="18"/>
          <w:color w:val="auto"/>
        </w:rPr>
        <w:t>or affecting (i) the business, properties, general affairs, management, financial position, stockholders' equity or results of operations of the Company and its subsidiaries,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91" w:lineRule="exact"/>
        <w:rPr>
          <w:sz w:val="20"/>
          <w:szCs w:val="20"/>
          <w:color w:val="auto"/>
        </w:rPr>
      </w:pPr>
    </w:p>
    <w:p>
      <w:pPr>
        <w:jc w:val="both"/>
        <w:ind w:firstLine="439"/>
        <w:spacing w:after="0" w:line="264" w:lineRule="auto"/>
        <w:tabs>
          <w:tab w:leader="none" w:pos="946"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Company and its subsidiaries do not own any real property and have good and marketable title to all personal property owned by them (other than with respect to Intellectual Property (as defined below), title to which is addressed exclusively in subsection</w:t>
      </w:r>
    </w:p>
    <w:p>
      <w:pPr>
        <w:spacing w:after="0" w:line="1" w:lineRule="exact"/>
        <w:rPr>
          <w:rFonts w:ascii="Arial" w:cs="Arial" w:eastAsia="Arial" w:hAnsi="Arial"/>
          <w:sz w:val="16"/>
          <w:szCs w:val="16"/>
          <w:color w:val="auto"/>
        </w:rPr>
      </w:pPr>
    </w:p>
    <w:p>
      <w:pPr>
        <w:jc w:val="both"/>
        <w:ind w:firstLine="9"/>
        <w:spacing w:after="0" w:line="236" w:lineRule="auto"/>
        <w:tabs>
          <w:tab w:leader="none" w:pos="43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below), free and clear of all liens, encumbrances and defects except such as would not, individually or in the aggregate, reasonable be expected to have a Material Adverse Effect; and any real property and buildings held under lease by the Company and its subsidiaries are held by them under valid, subsisting and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exceptions as would not, individually or in the aggregate, reasonable be expected to have a Material Adverse Effect;</w:t>
      </w:r>
    </w:p>
    <w:p>
      <w:pPr>
        <w:spacing w:after="0" w:line="92" w:lineRule="exact"/>
        <w:rPr>
          <w:rFonts w:ascii="Arial" w:cs="Arial" w:eastAsia="Arial" w:hAnsi="Arial"/>
          <w:sz w:val="18"/>
          <w:szCs w:val="18"/>
          <w:color w:val="auto"/>
        </w:rPr>
      </w:pPr>
    </w:p>
    <w:p>
      <w:pPr>
        <w:jc w:val="both"/>
        <w:ind w:firstLine="439"/>
        <w:spacing w:after="0" w:line="236" w:lineRule="auto"/>
        <w:tabs>
          <w:tab w:leader="none" w:pos="100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Each of the Company and each of its subsidiaries has been (i) duly organized and is validly existing and in good standing under the laws of its jurisdiction of organization (to the extent the concept of good standing or an equivalent concept is applicable in such jurisdictions), with power and authority (corporate and other) to own its properties and conduct its business as described in the Pricing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(other than any immaterial and inactive subsidiary) has been listed in the Registration Statement;</w:t>
      </w:r>
    </w:p>
    <w:p>
      <w:pPr>
        <w:spacing w:after="0" w:line="92" w:lineRule="exact"/>
        <w:rPr>
          <w:rFonts w:ascii="Arial" w:cs="Arial" w:eastAsia="Arial" w:hAnsi="Arial"/>
          <w:sz w:val="18"/>
          <w:szCs w:val="18"/>
          <w:color w:val="auto"/>
        </w:rPr>
      </w:pPr>
    </w:p>
    <w:p>
      <w:pPr>
        <w:jc w:val="both"/>
        <w:ind w:firstLine="439"/>
        <w:spacing w:after="0" w:line="236" w:lineRule="auto"/>
        <w:tabs>
          <w:tab w:leader="none" w:pos="92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Pricing Prospectus and all of the issued shares of capital stock of the Company, including the Shares to be sold by the Selling Stockholders, have been duly and validly authorized and issued and are fully paid and non-assessable and conform in all material respects to the descriptions thereof contained in the Pricing Disclosure Package and the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Pricing Disclosure Package and the Prospectus;</w:t>
      </w:r>
    </w:p>
    <w:p>
      <w:pPr>
        <w:spacing w:after="0" w:line="92" w:lineRule="exact"/>
        <w:rPr>
          <w:rFonts w:ascii="Arial" w:cs="Arial" w:eastAsia="Arial" w:hAnsi="Arial"/>
          <w:sz w:val="18"/>
          <w:szCs w:val="18"/>
          <w:color w:val="auto"/>
        </w:rPr>
      </w:pPr>
    </w:p>
    <w:p>
      <w:pPr>
        <w:ind w:firstLine="439"/>
        <w:spacing w:after="0" w:line="239" w:lineRule="auto"/>
        <w:tabs>
          <w:tab w:leader="none" w:pos="89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Shares to be issued and sold by the Company have been duly and validly authorized and, when issued and delivered against payment therefor as provided herein, will be duly and validly issued and fully paid and non-assessable and will conform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700"/>
          </w:cols>
          <w:pgMar w:left="880" w:top="1378" w:right="319" w:bottom="1440" w:gutter="0" w:footer="0" w:header="0"/>
        </w:sectPr>
      </w:pPr>
    </w:p>
    <w:bookmarkStart w:id="401" w:name="page402"/>
    <w:bookmarkEnd w:id="401"/>
    <w:p>
      <w:pPr>
        <w:jc w:val="both"/>
        <w:ind w:right="20"/>
        <w:spacing w:after="0" w:line="238" w:lineRule="auto"/>
        <w:rPr>
          <w:sz w:val="20"/>
          <w:szCs w:val="20"/>
          <w:color w:val="auto"/>
        </w:rPr>
      </w:pPr>
      <w:r>
        <w:rPr>
          <w:rFonts w:ascii="Arial" w:cs="Arial" w:eastAsia="Arial" w:hAnsi="Arial"/>
          <w:sz w:val="18"/>
          <w:szCs w:val="18"/>
          <w:color w:val="auto"/>
        </w:rPr>
        <w:t>in all material respects to the description of the Class A Common Stock contained in the Pricing Disclosure Package and the Prospectus; and the issuance of the Shares is not subject to any preemptive or similar rights, except rights that have been complied with or waived in writing as of the date of this Agreement;</w:t>
      </w:r>
    </w:p>
    <w:p>
      <w:pPr>
        <w:spacing w:after="0" w:line="89" w:lineRule="exact"/>
        <w:rPr>
          <w:sz w:val="20"/>
          <w:szCs w:val="20"/>
          <w:color w:val="auto"/>
        </w:rPr>
      </w:pPr>
    </w:p>
    <w:p>
      <w:pPr>
        <w:jc w:val="both"/>
        <w:ind w:firstLine="439"/>
        <w:spacing w:after="0" w:line="267" w:lineRule="auto"/>
        <w:tabs>
          <w:tab w:leader="none" w:pos="86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issue and sale of the Shares to be sold by the Company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for such defaults, breaches, or violations that would not reasonably be expected to have, individually or in the aggregate, a Material Adverse Effect; and no consent, approval, authorization, order, registration or qualification of or with any such court or governmental agency or body is required for the issue of the Shares to be sold by the Company and the sale of the Shares or the consummation by the Company of the transactions contemplated by this Agreement, except such as have been obtained under the Act, the approval by the Financial Industry Regulatory Authority (“FINRA”) of the underwriting terms and arrangements and such consents, approvals, authorizations, orders, registrations or qualifications as may be required under state securities or Blue Sky laws in connection with the purchase and distribution of the Shares by the Underwriters, except such consents, approvals, authorizations, orders, registrations or qualifications as have already been obtained, made or waived or will be obtained prior to the purchase and distribution of the Shares by the Underwriters;</w:t>
      </w:r>
    </w:p>
    <w:p>
      <w:pPr>
        <w:spacing w:after="0" w:line="275" w:lineRule="exact"/>
        <w:rPr>
          <w:rFonts w:ascii="Arial" w:cs="Arial" w:eastAsia="Arial" w:hAnsi="Arial"/>
          <w:sz w:val="16"/>
          <w:szCs w:val="16"/>
          <w:color w:val="auto"/>
        </w:rPr>
      </w:pPr>
    </w:p>
    <w:p>
      <w:pPr>
        <w:jc w:val="both"/>
        <w:ind w:firstLine="439"/>
        <w:spacing w:after="0" w:line="236" w:lineRule="auto"/>
        <w:tabs>
          <w:tab w:leader="none" w:pos="10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 or default that would not reasonably be expected to have, individually or in the aggregate, a Material Adverse Effect;</w:t>
      </w:r>
    </w:p>
    <w:p>
      <w:pPr>
        <w:spacing w:after="0" w:line="92" w:lineRule="exact"/>
        <w:rPr>
          <w:rFonts w:ascii="Arial" w:cs="Arial" w:eastAsia="Arial" w:hAnsi="Arial"/>
          <w:sz w:val="18"/>
          <w:szCs w:val="18"/>
          <w:color w:val="auto"/>
        </w:rPr>
      </w:pPr>
    </w:p>
    <w:p>
      <w:pPr>
        <w:jc w:val="both"/>
        <w:ind w:right="20" w:firstLine="439"/>
        <w:spacing w:after="0" w:line="237" w:lineRule="auto"/>
        <w:tabs>
          <w:tab w:leader="none" w:pos="104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the Prospectus under the caption “Description of Capital Stock”, insofar as they purport to constitute a summary of the terms of the Class A Common Stock, under the caption “Material U.S. Federal Income Tax Considerations for Non-U.S. Holders of our Class A Common Stock” and under the caption “Underwriting (Conflicts of Interest)”, insofar as they purport to describe the provisions of the laws and documents referred to therein, are accurate, complete and fair in all material respects; provided that this representation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700"/>
          </w:cols>
          <w:pgMar w:left="880" w:top="1378" w:right="319" w:bottom="1440" w:gutter="0" w:footer="0" w:header="0"/>
        </w:sectPr>
      </w:pPr>
    </w:p>
    <w:bookmarkStart w:id="402" w:name="page403"/>
    <w:bookmarkEnd w:id="402"/>
    <w:p>
      <w:pPr>
        <w:spacing w:after="0"/>
        <w:rPr>
          <w:sz w:val="20"/>
          <w:szCs w:val="20"/>
          <w:color w:val="auto"/>
        </w:rPr>
      </w:pPr>
      <w:r>
        <w:rPr>
          <w:rFonts w:ascii="Arial" w:cs="Arial" w:eastAsia="Arial" w:hAnsi="Arial"/>
          <w:sz w:val="18"/>
          <w:szCs w:val="18"/>
          <w:color w:val="auto"/>
        </w:rPr>
        <w:t>warranty shall not apply to any statements or omissions made in reliance upon and in conformity with the Underwriter Information;</w:t>
      </w:r>
    </w:p>
    <w:p>
      <w:pPr>
        <w:spacing w:after="0" w:line="92" w:lineRule="exact"/>
        <w:rPr>
          <w:sz w:val="20"/>
          <w:szCs w:val="20"/>
          <w:color w:val="auto"/>
        </w:rPr>
      </w:pPr>
    </w:p>
    <w:p>
      <w:pPr>
        <w:jc w:val="both"/>
        <w:ind w:firstLine="439"/>
        <w:spacing w:after="0" w:line="236" w:lineRule="auto"/>
        <w:tabs>
          <w:tab w:leader="none" w:pos="105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Other than as set forth in the Pricing Prospectus, there are no legal, governmental or regulatory investigations, actions, demands, claims, suits, arbitrations, inquiries or proceedings (“Actions”)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reasonably be expected to have, individually or in the aggregate,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the Registration Statement and the Pricing Prospectus;</w:t>
      </w:r>
    </w:p>
    <w:p>
      <w:pPr>
        <w:spacing w:after="0" w:line="91" w:lineRule="exact"/>
        <w:rPr>
          <w:rFonts w:ascii="Arial" w:cs="Arial" w:eastAsia="Arial" w:hAnsi="Arial"/>
          <w:sz w:val="18"/>
          <w:szCs w:val="18"/>
          <w:color w:val="auto"/>
        </w:rPr>
      </w:pPr>
    </w:p>
    <w:p>
      <w:pPr>
        <w:jc w:val="both"/>
        <w:ind w:right="20" w:firstLine="439"/>
        <w:spacing w:after="0" w:line="238" w:lineRule="auto"/>
        <w:tabs>
          <w:tab w:leader="none" w:pos="92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will not be an “investment company”, as such term is defined in the Investment Company Act of 1940, as amended, and the rules and regulations of the Commission thereunder (the “Investment Company Act”);</w:t>
      </w:r>
    </w:p>
    <w:p>
      <w:pPr>
        <w:spacing w:after="0" w:line="89" w:lineRule="exact"/>
        <w:rPr>
          <w:rFonts w:ascii="Arial" w:cs="Arial" w:eastAsia="Arial" w:hAnsi="Arial"/>
          <w:sz w:val="18"/>
          <w:szCs w:val="18"/>
          <w:color w:val="auto"/>
        </w:rPr>
      </w:pPr>
    </w:p>
    <w:p>
      <w:pPr>
        <w:ind w:right="20" w:firstLine="439"/>
        <w:spacing w:after="0" w:line="239" w:lineRule="auto"/>
        <w:tabs>
          <w:tab w:leader="none" w:pos="1025" w:val="left"/>
        </w:tabs>
        <w:numPr>
          <w:ilvl w:val="1"/>
          <w:numId w:val="165"/>
        </w:numPr>
        <w:rPr>
          <w:rFonts w:ascii="Arial" w:cs="Arial" w:eastAsia="Arial" w:hAnsi="Arial"/>
          <w:sz w:val="18"/>
          <w:szCs w:val="18"/>
          <w:color w:val="auto"/>
        </w:rPr>
      </w:pPr>
      <w:r>
        <w:rPr>
          <w:rFonts w:ascii="Arial" w:cs="Arial" w:eastAsia="Arial" w:hAnsi="Arial"/>
          <w:sz w:val="18"/>
          <w:szCs w:val="18"/>
          <w:color w:val="auto"/>
        </w:rPr>
        <w:t>Ernst &amp; Young LLP, who has certified certain financial statements of the Company and its subsidiaries, is an independent registered public accounting firm as required by the Act and the rules and regulations of the Commission thereunder;</w:t>
      </w:r>
    </w:p>
    <w:p>
      <w:pPr>
        <w:spacing w:after="0" w:line="89" w:lineRule="exact"/>
        <w:rPr>
          <w:rFonts w:ascii="Arial" w:cs="Arial" w:eastAsia="Arial" w:hAnsi="Arial"/>
          <w:sz w:val="18"/>
          <w:szCs w:val="18"/>
          <w:color w:val="auto"/>
        </w:rPr>
      </w:pPr>
    </w:p>
    <w:p>
      <w:pPr>
        <w:jc w:val="both"/>
        <w:ind w:firstLine="439"/>
        <w:spacing w:after="0" w:line="264" w:lineRule="auto"/>
        <w:tabs>
          <w:tab w:leader="none" w:pos="1004"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Securities Exchange Act of 1934, as amended (the “Exchange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in the United States and (iii) is sufficient to provide reasonable assurance that</w:t>
      </w:r>
    </w:p>
    <w:p>
      <w:pPr>
        <w:spacing w:after="0" w:line="3" w:lineRule="exact"/>
        <w:rPr>
          <w:rFonts w:ascii="Arial" w:cs="Arial" w:eastAsia="Arial" w:hAnsi="Arial"/>
          <w:sz w:val="16"/>
          <w:szCs w:val="16"/>
          <w:color w:val="auto"/>
        </w:rPr>
      </w:pPr>
    </w:p>
    <w:p>
      <w:pPr>
        <w:jc w:val="both"/>
        <w:ind w:right="20" w:firstLine="9"/>
        <w:spacing w:after="0" w:line="264" w:lineRule="auto"/>
        <w:tabs>
          <w:tab w:leader="none" w:pos="31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w:t>
      </w:r>
    </w:p>
    <w:p>
      <w:pPr>
        <w:spacing w:after="0" w:line="2" w:lineRule="exact"/>
        <w:rPr>
          <w:rFonts w:ascii="Arial" w:cs="Arial" w:eastAsia="Arial" w:hAnsi="Arial"/>
          <w:sz w:val="16"/>
          <w:szCs w:val="16"/>
          <w:color w:val="auto"/>
        </w:rPr>
      </w:pPr>
    </w:p>
    <w:p>
      <w:pPr>
        <w:jc w:val="both"/>
        <w:ind w:firstLine="9"/>
        <w:spacing w:after="0" w:line="236" w:lineRule="auto"/>
        <w:tabs>
          <w:tab w:leader="none" w:pos="29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recorded accountability for assets is compared with the existing assets at reasonable intervals and appropriate action is taken with respect to any differences; and except as disclosed in the Pricing Prospectus, the Company’s internal control over financial reporting is effective and the Company is not aware of any material weaknesses in its internal control over financial reporting (it being understood that nothing in this Agreement shall require the Company to comply with Section 404 of the Sarbanes Oxley Act of 2002, as amended, and the rules and regulations promulgated in connection therewith (the “Sarbanes-Oxley Act”) as of an earlier date than it would otherwise be required to so comply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700"/>
          </w:cols>
          <w:pgMar w:left="880" w:top="1379" w:right="319" w:bottom="1440" w:gutter="0" w:footer="0" w:header="0"/>
        </w:sectPr>
      </w:pPr>
    </w:p>
    <w:bookmarkStart w:id="403" w:name="page404"/>
    <w:bookmarkEnd w:id="403"/>
    <w:p>
      <w:pPr>
        <w:jc w:val="both"/>
        <w:ind w:left="-439" w:right="20" w:firstLine="439"/>
        <w:spacing w:after="0" w:line="238" w:lineRule="auto"/>
        <w:tabs>
          <w:tab w:leader="none" w:pos="69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Except as disclosed in the Pricing Prospectus, 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89" w:lineRule="exact"/>
        <w:rPr>
          <w:rFonts w:ascii="Arial" w:cs="Arial" w:eastAsia="Arial" w:hAnsi="Arial"/>
          <w:sz w:val="18"/>
          <w:szCs w:val="18"/>
          <w:color w:val="auto"/>
        </w:rPr>
      </w:pPr>
    </w:p>
    <w:p>
      <w:pPr>
        <w:jc w:val="both"/>
        <w:ind w:left="-439" w:right="20" w:firstLine="439"/>
        <w:spacing w:after="0" w:line="237" w:lineRule="auto"/>
        <w:tabs>
          <w:tab w:leader="none" w:pos="57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90" w:lineRule="exact"/>
        <w:rPr>
          <w:rFonts w:ascii="Arial" w:cs="Arial" w:eastAsia="Arial" w:hAnsi="Arial"/>
          <w:sz w:val="18"/>
          <w:szCs w:val="18"/>
          <w:color w:val="auto"/>
        </w:rPr>
      </w:pPr>
    </w:p>
    <w:p>
      <w:pPr>
        <w:ind w:left="481" w:hanging="481"/>
        <w:spacing w:after="0"/>
        <w:tabs>
          <w:tab w:leader="none" w:pos="48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1" w:lineRule="exact"/>
        <w:rPr>
          <w:rFonts w:ascii="Arial" w:cs="Arial" w:eastAsia="Arial" w:hAnsi="Arial"/>
          <w:sz w:val="18"/>
          <w:szCs w:val="18"/>
          <w:color w:val="auto"/>
        </w:rPr>
      </w:pPr>
    </w:p>
    <w:p>
      <w:pPr>
        <w:jc w:val="both"/>
        <w:ind w:left="-439" w:firstLine="445"/>
        <w:spacing w:after="0" w:line="268" w:lineRule="auto"/>
        <w:tabs>
          <w:tab w:leader="none" w:pos="3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director or officer of the Company or any of its subsidiaries nor, to the Company’s knowledge, any employee, agent, affiliate or other person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the Company and its subsidiaries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Company nor any of its subsidiaries will use, directly or indirectly, the proceeds of the offering of the Shares hereunder in furtherance of an offer, payment, promise to pay, or authorization of the payment or giving of money, or anything else of value, to any person in violation of Anti-Corruption Laws;</w:t>
      </w:r>
    </w:p>
    <w:p>
      <w:pPr>
        <w:spacing w:after="0" w:line="275" w:lineRule="exact"/>
        <w:rPr>
          <w:rFonts w:ascii="Arial" w:cs="Arial" w:eastAsia="Arial" w:hAnsi="Arial"/>
          <w:sz w:val="16"/>
          <w:szCs w:val="16"/>
          <w:color w:val="auto"/>
        </w:rPr>
      </w:pPr>
    </w:p>
    <w:p>
      <w:pPr>
        <w:jc w:val="both"/>
        <w:ind w:left="-439" w:firstLine="445"/>
        <w:spacing w:after="0" w:line="236" w:lineRule="auto"/>
        <w:tabs>
          <w:tab w:leader="none" w:pos="41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Pricing Prospectus and the Prospectus, 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Company’s knowledge, threatened;</w:t>
      </w:r>
    </w:p>
    <w:p>
      <w:pPr>
        <w:spacing w:after="0" w:line="92" w:lineRule="exact"/>
        <w:rPr>
          <w:rFonts w:ascii="Arial" w:cs="Arial" w:eastAsia="Arial" w:hAnsi="Arial"/>
          <w:sz w:val="18"/>
          <w:szCs w:val="18"/>
          <w:color w:val="auto"/>
        </w:rPr>
      </w:pPr>
    </w:p>
    <w:p>
      <w:pPr>
        <w:ind w:left="-439" w:right="20" w:firstLine="445"/>
        <w:spacing w:after="0" w:line="239" w:lineRule="auto"/>
        <w:tabs>
          <w:tab w:leader="none" w:pos="45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any director or officer of the Company or any of its subsidiaries nor, to the Company’s knowledge, any employee, agent, affiliate or other person acting on behalf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81"/>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261"/>
          </w:cols>
          <w:pgMar w:left="1319" w:top="1379" w:right="319" w:bottom="1440" w:gutter="0" w:footer="0" w:header="0"/>
        </w:sectPr>
      </w:pPr>
    </w:p>
    <w:bookmarkStart w:id="404" w:name="page405"/>
    <w:bookmarkEnd w:id="404"/>
    <w:p>
      <w:pPr>
        <w:jc w:val="both"/>
        <w:spacing w:after="0" w:line="268" w:lineRule="auto"/>
        <w:rPr>
          <w:sz w:val="20"/>
          <w:szCs w:val="20"/>
          <w:color w:val="auto"/>
        </w:rPr>
      </w:pPr>
      <w:r>
        <w:rPr>
          <w:rFonts w:ascii="Arial" w:cs="Arial" w:eastAsia="Arial" w:hAnsi="Arial"/>
          <w:sz w:val="16"/>
          <w:szCs w:val="16"/>
          <w:color w:val="auto"/>
        </w:rPr>
        <w:t>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(ii) located, organized, or resident in a country or territory that is the subject or target of Sanctions (a “Sanctioned Jurisdiction”),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neither the Company nor any of its subsidiaries is knowingly engaged in, or has, at any time in the past five years, knowingly engaged in, any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designed to promote and achieve continued compliance with Sanctions;</w:t>
      </w:r>
    </w:p>
    <w:p>
      <w:pPr>
        <w:spacing w:after="0" w:line="271" w:lineRule="exact"/>
        <w:rPr>
          <w:sz w:val="20"/>
          <w:szCs w:val="20"/>
          <w:color w:val="auto"/>
        </w:rPr>
      </w:pPr>
    </w:p>
    <w:p>
      <w:pPr>
        <w:jc w:val="both"/>
        <w:ind w:firstLine="439"/>
        <w:spacing w:after="0" w:line="236" w:lineRule="auto"/>
        <w:tabs>
          <w:tab w:leader="none" w:pos="90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present fairly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90" w:lineRule="exact"/>
        <w:rPr>
          <w:rFonts w:ascii="Arial" w:cs="Arial" w:eastAsia="Arial" w:hAnsi="Arial"/>
          <w:sz w:val="18"/>
          <w:szCs w:val="18"/>
          <w:color w:val="auto"/>
        </w:rPr>
      </w:pPr>
    </w:p>
    <w:p>
      <w:pPr>
        <w:jc w:val="both"/>
        <w:ind w:right="20" w:firstLine="439"/>
        <w:spacing w:after="0" w:line="237" w:lineRule="auto"/>
        <w:tabs>
          <w:tab w:leader="none" w:pos="89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and each of its subsidiaries own or otherwise possess, or have a valid and enforceable right to use, all inventions, patents, trademarks, service marks, trade names, trade dress, domain names, copyrights, licenses, know-how, software, social media identifiers and accounts, systems and technology, including trade secrets and other unpatented and/or unpatentable proprietary or confidential information, systems or procedures and other intellectual property or proprietary rights in any jurisdiction throughout the world (including all goodwill associated with,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700"/>
          </w:cols>
          <w:pgMar w:left="880" w:top="1379" w:right="319" w:bottom="1440" w:gutter="0" w:footer="0" w:header="0"/>
        </w:sectPr>
      </w:pPr>
    </w:p>
    <w:bookmarkStart w:id="405" w:name="page406"/>
    <w:bookmarkEnd w:id="405"/>
    <w:p>
      <w:pPr>
        <w:jc w:val="both"/>
        <w:spacing w:after="0" w:line="267" w:lineRule="auto"/>
        <w:rPr>
          <w:sz w:val="20"/>
          <w:szCs w:val="20"/>
          <w:color w:val="auto"/>
        </w:rPr>
      </w:pPr>
      <w:r>
        <w:rPr>
          <w:rFonts w:ascii="Arial" w:cs="Arial" w:eastAsia="Arial" w:hAnsi="Arial"/>
          <w:sz w:val="16"/>
          <w:szCs w:val="16"/>
          <w:color w:val="auto"/>
        </w:rPr>
        <w:t>registrations of and applications of registration of, the foregoing) (collectively, “Intellectual Property”) used or held for use in, or otherwise necessary for the conduct of their respective businesses as currently conducted, except where such failure to own or possess such rights would not reasonably be expected, individually or in the aggregate, to have a Material Adverse Effect. Except as would not reasonably be expected, individually or in the aggregate, to have a Material Adverse Effect, the Intellectual Property rights owned by the Company and its subsidiaries are subsisting, valid and enforceable. To the knowledge of the Company, (A) neither the Company nor any of its subsidiaries, nor the conduct of their respective businesses, infringes, misappropriates or otherwise violates, or has infringed, misappropriated or otherwise violated, any third-party Intellectual Property and (B) no third party is infringing, misappropriating or otherwise violating, or has infringed, misappropriated or otherwise violated, any Intellectual Property owned by the Company or any of its subsidiaries, in each case of (A) and (B), except as would not reasonably be expected, individually or in the aggregate, to have a Material Adverse Effect. There is no pending or, to the Company’s knowledge, threatened action, suit, proceeding or claim (1) challenging the Company’s or any subsidiary of the Company’s rights in or to any of their Intellectual Property; (2) alleging that the Company or any of its subsidiaries has infringed, misappropriated or otherwise violated any Intellectual Property of any third party; or (3) challenging the ownership, validity, scope or enforceability of any Intellectual Property owned by the Company or any of its subsidiaries, in each case of</w:t>
      </w:r>
    </w:p>
    <w:p>
      <w:pPr>
        <w:spacing w:after="0" w:line="185" w:lineRule="exact"/>
        <w:rPr>
          <w:sz w:val="20"/>
          <w:szCs w:val="20"/>
          <w:color w:val="auto"/>
        </w:rPr>
      </w:pPr>
    </w:p>
    <w:p>
      <w:pPr>
        <w:jc w:val="both"/>
        <w:ind w:firstLine="9"/>
        <w:spacing w:after="0" w:line="236" w:lineRule="auto"/>
        <w:tabs>
          <w:tab w:leader="none" w:pos="27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(3), except as would not reasonably be expected, individually or in the aggregate, to have a Material Adverse Effect. Neither the Company nor any of its subsidiaries has received any written notice of any such action, suit, proceeding or claim in connection with clauses (1) to (3) of the immediately preceding sentence, except as would not reasonably be expected, individually or in the aggregate, to have a Material Adverse Effect. All material Intellectual Property owned by the Company or its subsidiaries is owned solely by the Company or its subsidiaries, is owned free and clear of all liens, encumbrances, defects and other restrictions (except for non-exclusive licenses granted to third parties in the ordinary course of business consistent with past practice). All employees or contractors engaged in the development of material Intellectual Property on behalf of the Company or any subsidiary of the Company have executed an invention assignment agreement whereby such employees or contractors presently assign all of their right, title and interest in and to such Intellectual Property to the Company or the applicable subsidiary. Except as would not reasonably be expected, individually or in the aggregate, to have a Material Adverse Effect, the Company and its subsidiaries take, and have taken, commercially reasonable steps in accordance with customary industry practice to maintain the confidentiality of all Intellectual Property, the value of which to the Company or any of its subsidiaries is contingent upon maintaining the confidentiality thereof and no such Intellectual Property has been disclosed other than to employees, representatives and agents of the Company or any of its subsidiaries, all of whom are bound by written confidentiality agreements;</w:t>
      </w:r>
    </w:p>
    <w:p>
      <w:pPr>
        <w:spacing w:after="0" w:line="90" w:lineRule="exact"/>
        <w:rPr>
          <w:rFonts w:ascii="Arial" w:cs="Arial" w:eastAsia="Arial" w:hAnsi="Arial"/>
          <w:sz w:val="18"/>
          <w:szCs w:val="18"/>
          <w:color w:val="auto"/>
        </w:rPr>
      </w:pPr>
    </w:p>
    <w:p>
      <w:pPr>
        <w:jc w:val="both"/>
        <w:ind w:firstLine="439"/>
        <w:spacing w:after="0" w:line="237" w:lineRule="auto"/>
        <w:tabs>
          <w:tab w:leader="none" w:pos="92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Except as would not reasonably be expected, individually or in the aggregate, to have a Material Adverse Effect, (A) the Company and its subsidiaries use and have used software and other materials distributed under a “free,” “open source,” or similar licensing model (including, but not limited to, the MIT License, Apache License, GNU General Public License, GNU Lesser General Public License and GNU Affero General Public License) (collectively, “Open Source Software”) in compliance with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700"/>
          </w:cols>
          <w:pgMar w:left="880" w:top="1378" w:right="319" w:bottom="1440" w:gutter="0" w:footer="0" w:header="0"/>
        </w:sectPr>
      </w:pPr>
    </w:p>
    <w:bookmarkStart w:id="406" w:name="page407"/>
    <w:bookmarkEnd w:id="406"/>
    <w:p>
      <w:pPr>
        <w:jc w:val="both"/>
        <w:ind w:right="20"/>
        <w:spacing w:after="0" w:line="236" w:lineRule="auto"/>
        <w:rPr>
          <w:sz w:val="20"/>
          <w:szCs w:val="20"/>
          <w:color w:val="auto"/>
        </w:rPr>
      </w:pPr>
      <w:r>
        <w:rPr>
          <w:rFonts w:ascii="Arial" w:cs="Arial" w:eastAsia="Arial" w:hAnsi="Arial"/>
          <w:sz w:val="18"/>
          <w:szCs w:val="18"/>
          <w:color w:val="auto"/>
        </w:rPr>
        <w:t>license terms applicable to such Open Source Software and (B) neither the Company nor any of its subsidiaries has used or distributed any Open Source Software in a manner that requires or has required (1) the Company or any of its subsidiaries to permit reverse engineering of any products or services of the Company or any of its subsidiaries, or any software code or other technology owned by the Company or any of its subsidiaries or (2) any products or services of the Company or any of its subsidiaries, or any software code or other technology owned by the Company or any of its subsidiaries, to be (x) disclosed or distributed in source code form, (y) licensed for the purpose of making derivative works or (z) redistributed at no charge;</w:t>
      </w:r>
    </w:p>
    <w:p>
      <w:pPr>
        <w:spacing w:after="0" w:line="93" w:lineRule="exact"/>
        <w:rPr>
          <w:sz w:val="20"/>
          <w:szCs w:val="20"/>
          <w:color w:val="auto"/>
        </w:rPr>
      </w:pPr>
    </w:p>
    <w:p>
      <w:pPr>
        <w:jc w:val="both"/>
        <w:ind w:firstLine="439"/>
        <w:spacing w:after="0" w:line="266" w:lineRule="auto"/>
        <w:tabs>
          <w:tab w:leader="none" w:pos="97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Pricing Prospectus or the Prospectus, (A) the Company and its subsidiaries’ own or have a valid right to access and use all information technology assets and equipment, computers, systems, networks, hardware, software, websites, applications, and databases (collectively, “IT Systems”); (B) all IT Systems used by or on behalf of the Company or any of its subsidiaries in connection with their respective businesses are (1) adequate for, and operate and perform in all respects as required in connection with the operation of the business of the Company and its subsidiaries as currently conducted, (2) have not malfunctioned or failed and (3) are, to the Company’s knowledge, free and clear of all bugs, errors, defects, Trojan horses, time bombs, malware and other corruptants, including software or hardware components that are designed to interrupt use of, permit unauthorized access to or disable, damage or erase such IT Systems; (C) the Company and its subsidiaries have established, implemented and maintained reasonable controls, policies, procedures, and safeguards consistent with applicable regulatory standards and customary industry practices to maintain and protect their confidential information and the integrity, continuous operation, redundancy and security of such IT Systems and data and information (including all personal, personally identifiable, sensitive, confidential or regulated data and information) used, gathered, accessed, stored, maintained or otherwise processed by or on behalf of the Company or any of its subsidiaries in connection with their businesses (“Data”), and, to the Company’s knowledge, there have been no breaches, violations, outages, destructions, losses, disablements, misappropriations, modifications, misuses, disclosures or unauthorized uses of or accesses to same (each, a “Breach”), except for those that have been remedied without cost or liability or the duty to notify any other person, (D) the Company and its subsidiaries have not been notified of, and have no knowledge of, any event or condition that would reasonably be expected to result in any Breach, nor any incidents under internal review or investigations relating to the same; (E) the Company and its subsidiaries have complied since December 31, 2019 and are presently in compliance in all respects with all applicable laws, binding industry standards, statutes, all judgments, orders, rules and regulations of any court or arbitrator or governmental or regulatory authority and all internal and external privacy policies of the Company or any of its subsidiaries, contractual obligations and any other legal obligations, in each case, relating to the collection, use, processing, transfer, import, export, storage, protection, disposal, privacy and security of IT Systems and Data (“Data Security Obligations”) and to the protection of such IT Systems and Data from a Breach; (F) neither the Company nor any of its subsidiaries has received any notification of or complaint regarding, and, to the knowledge of the Company, there are not any other facts that would reasonably indicate, non-compliance with any Data Security Obligation and there is no action, suit or proceeding by or before any court or governmental agency, authority or body pending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700"/>
          </w:cols>
          <w:pgMar w:left="880" w:top="1378" w:right="319" w:bottom="1440" w:gutter="0" w:footer="0" w:header="0"/>
        </w:sectPr>
      </w:pPr>
    </w:p>
    <w:bookmarkStart w:id="407" w:name="page408"/>
    <w:bookmarkEnd w:id="407"/>
    <w:p>
      <w:pPr>
        <w:jc w:val="both"/>
        <w:spacing w:after="0" w:line="237" w:lineRule="auto"/>
        <w:rPr>
          <w:sz w:val="20"/>
          <w:szCs w:val="20"/>
          <w:color w:val="auto"/>
        </w:rPr>
      </w:pPr>
      <w:r>
        <w:rPr>
          <w:rFonts w:ascii="Arial" w:cs="Arial" w:eastAsia="Arial" w:hAnsi="Arial"/>
          <w:sz w:val="18"/>
          <w:szCs w:val="18"/>
          <w:color w:val="auto"/>
        </w:rPr>
        <w:t>to the Company’s knowledge, threatened in writing alleging non-compliance with any Data Security Obligation; and (G) the Company and its subsidiaries have implemented reasonable backup and disaster recovery technology consistent with applicable regulatory standards and customary industry practices, except as would not, in the case of each of clauses (A) through (G), reasonably be expected, individually or in the aggregate, to have a Material Adverse Effect;</w:t>
      </w:r>
    </w:p>
    <w:p>
      <w:pPr>
        <w:spacing w:after="0" w:line="91" w:lineRule="exact"/>
        <w:rPr>
          <w:sz w:val="20"/>
          <w:szCs w:val="20"/>
          <w:color w:val="auto"/>
        </w:rPr>
      </w:pPr>
    </w:p>
    <w:p>
      <w:pPr>
        <w:jc w:val="both"/>
        <w:ind w:firstLine="439"/>
        <w:spacing w:after="0" w:line="238" w:lineRule="auto"/>
        <w:tabs>
          <w:tab w:leader="none" w:pos="98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Act and Section 21E of the Exchange Act) included in any of the Registration Statement, the Pricing Prospectus or the Prospectus has been made or reaffirmed without a reasonable basis or has been disclosed other than in good faith;</w:t>
      </w:r>
    </w:p>
    <w:p>
      <w:pPr>
        <w:spacing w:after="0" w:line="89" w:lineRule="exact"/>
        <w:rPr>
          <w:rFonts w:ascii="Arial" w:cs="Arial" w:eastAsia="Arial" w:hAnsi="Arial"/>
          <w:sz w:val="18"/>
          <w:szCs w:val="18"/>
          <w:color w:val="auto"/>
        </w:rPr>
      </w:pPr>
    </w:p>
    <w:p>
      <w:pPr>
        <w:jc w:val="both"/>
        <w:ind w:firstLine="439"/>
        <w:spacing w:after="0" w:line="238" w:lineRule="auto"/>
        <w:tabs>
          <w:tab w:leader="none" w:pos="91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w:t>
      </w:r>
    </w:p>
    <w:p>
      <w:pPr>
        <w:spacing w:after="0" w:line="89" w:lineRule="exact"/>
        <w:rPr>
          <w:rFonts w:ascii="Arial" w:cs="Arial" w:eastAsia="Arial" w:hAnsi="Arial"/>
          <w:sz w:val="18"/>
          <w:szCs w:val="18"/>
          <w:color w:val="auto"/>
        </w:rPr>
      </w:pPr>
    </w:p>
    <w:p>
      <w:pPr>
        <w:jc w:val="both"/>
        <w:ind w:firstLine="439"/>
        <w:spacing w:after="0" w:line="238" w:lineRule="auto"/>
        <w:tabs>
          <w:tab w:leader="none" w:pos="86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the extent applicable to the Company on the date hereof, there is and has been no failure on the part of the Company or, to the Company’s knowledge, any of the Company’s directors or officers, in their capacities as such, to comply with any provision of the Sarbanes-Oxley Act, including Section 402 related to loans and Sections 302 and 906 related to certifications;</w:t>
      </w:r>
    </w:p>
    <w:p>
      <w:pPr>
        <w:spacing w:after="0" w:line="89" w:lineRule="exact"/>
        <w:rPr>
          <w:rFonts w:ascii="Arial" w:cs="Arial" w:eastAsia="Arial" w:hAnsi="Arial"/>
          <w:sz w:val="18"/>
          <w:szCs w:val="18"/>
          <w:color w:val="auto"/>
        </w:rPr>
      </w:pPr>
    </w:p>
    <w:p>
      <w:pPr>
        <w:ind w:right="20" w:firstLine="439"/>
        <w:spacing w:after="0" w:line="239" w:lineRule="auto"/>
        <w:tabs>
          <w:tab w:leader="none" w:pos="90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Neither the Company nor any of its affiliates has taken or will take, directly or indirectly, any action designed to or that could reasonably be expected to cause or result in the stabilization or manipulation of the price of the Shares;</w:t>
      </w:r>
    </w:p>
    <w:p>
      <w:pPr>
        <w:spacing w:after="0" w:line="89" w:lineRule="exact"/>
        <w:rPr>
          <w:rFonts w:ascii="Arial" w:cs="Arial" w:eastAsia="Arial" w:hAnsi="Arial"/>
          <w:sz w:val="18"/>
          <w:szCs w:val="18"/>
          <w:color w:val="auto"/>
        </w:rPr>
      </w:pPr>
    </w:p>
    <w:p>
      <w:pPr>
        <w:jc w:val="both"/>
        <w:ind w:firstLine="439"/>
        <w:spacing w:after="0" w:line="236" w:lineRule="auto"/>
        <w:tabs>
          <w:tab w:leader="none" w:pos="9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and each of its subsidiaries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reasonably be expected to have, individually or in the aggregate, a Material Adverse Effect. Except as described in the Registration Statement, the Pricing Disclosure Package and the Prospectus, neither the Company nor any of its subsidiaries has received notice of any proceedings related to the revocation or modification of any such Permits that, individually or in the aggregate, if the subject of an unfavorable decision, ruling or finding, would reasonably be expected to have a Material Adverse Effect;</w:t>
      </w:r>
    </w:p>
    <w:p>
      <w:pPr>
        <w:spacing w:after="0" w:line="92" w:lineRule="exact"/>
        <w:rPr>
          <w:rFonts w:ascii="Arial" w:cs="Arial" w:eastAsia="Arial" w:hAnsi="Arial"/>
          <w:sz w:val="18"/>
          <w:szCs w:val="18"/>
          <w:color w:val="auto"/>
        </w:rPr>
      </w:pPr>
    </w:p>
    <w:p>
      <w:pPr>
        <w:ind w:firstLine="439"/>
        <w:spacing w:after="0" w:line="239" w:lineRule="auto"/>
        <w:tabs>
          <w:tab w:leader="none" w:pos="98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and its subsidiaries, taken as a whole, are insured against such losses and risks and in such amounts as the Company believes in good faith are prudent and customary in the businesses in which they are engaged and as required by law;</w:t>
      </w:r>
    </w:p>
    <w:p>
      <w:pPr>
        <w:spacing w:after="0" w:line="89" w:lineRule="exact"/>
        <w:rPr>
          <w:rFonts w:ascii="Arial" w:cs="Arial" w:eastAsia="Arial" w:hAnsi="Arial"/>
          <w:sz w:val="18"/>
          <w:szCs w:val="18"/>
          <w:color w:val="auto"/>
        </w:rPr>
      </w:pPr>
    </w:p>
    <w:p>
      <w:pPr>
        <w:jc w:val="both"/>
        <w:ind w:right="20" w:firstLine="439"/>
        <w:spacing w:after="0" w:line="238" w:lineRule="auto"/>
        <w:tabs>
          <w:tab w:leader="none" w:pos="98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a registration statement relating to the Shares with the Commission through the date hereof, the Company has been and is an “emerging growth company” as defined in Section 2(a)(19) of the Act (an “Emerging Growth Company”);</w:t>
      </w:r>
    </w:p>
    <w:p>
      <w:pPr>
        <w:spacing w:after="0" w:line="89" w:lineRule="exact"/>
        <w:rPr>
          <w:rFonts w:ascii="Arial" w:cs="Arial" w:eastAsia="Arial" w:hAnsi="Arial"/>
          <w:sz w:val="18"/>
          <w:szCs w:val="18"/>
          <w:color w:val="auto"/>
        </w:rPr>
      </w:pPr>
    </w:p>
    <w:p>
      <w:pPr>
        <w:ind w:firstLine="439"/>
        <w:spacing w:after="0" w:line="239" w:lineRule="auto"/>
        <w:tabs>
          <w:tab w:leader="none" w:pos="96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securities of the Company are rated by any “nationally recognized statistical rating organization” (as defined in Section 3(a)(62)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700"/>
          </w:cols>
          <w:pgMar w:left="880" w:top="1379" w:right="319" w:bottom="1440" w:gutter="0" w:footer="0" w:header="0"/>
        </w:sectPr>
      </w:pPr>
    </w:p>
    <w:bookmarkStart w:id="408" w:name="page409"/>
    <w:bookmarkEnd w:id="408"/>
    <w:p>
      <w:pPr>
        <w:jc w:val="both"/>
        <w:ind w:left="-439" w:firstLine="439"/>
        <w:spacing w:after="0" w:line="236" w:lineRule="auto"/>
        <w:tabs>
          <w:tab w:leader="none" w:pos="54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Other than Robinhood Financial LLC and Robinhood Securities, LLC (each, a “Robinhood BD”), which are registered with the Commission as broker-dealers, neither the Company nor any of its subsidiaries (A) is registered, (B) is required to be registered or (C) as a result of the transactions contemplated by this Agreement will be required to register, as an investment adviser under the Investment Advisers Act of 1940, as amended (the “IAA”), as a commodity trading advisor, commodity pool operator, swap dealer or futures commission merchant under the Commodity Exchange Act of 1936, as amended, or as a broker or a dealer under the Exchange Act or under the Blue Sky or securities laws of any applicable jurisdiction or the rules and regulations thereunder, except for any such registration, the failure of which to have obtained would not reasonably be expected to have, individually or in the aggregate, a Material Adverse Effect;</w:t>
      </w:r>
    </w:p>
    <w:p>
      <w:pPr>
        <w:spacing w:after="0" w:line="92" w:lineRule="exact"/>
        <w:rPr>
          <w:rFonts w:ascii="Arial" w:cs="Arial" w:eastAsia="Arial" w:hAnsi="Arial"/>
          <w:sz w:val="18"/>
          <w:szCs w:val="18"/>
          <w:color w:val="auto"/>
        </w:rPr>
      </w:pPr>
    </w:p>
    <w:p>
      <w:pPr>
        <w:jc w:val="both"/>
        <w:ind w:left="-439" w:firstLine="439"/>
        <w:spacing w:after="0" w:line="236" w:lineRule="auto"/>
        <w:tabs>
          <w:tab w:leader="none" w:pos="58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subject to regulation as a “bank holding company” under the Bank Holding Company Act of 1956, as amended (the “BHCA”) and to regulation by the Board of Governors of the Federal Reserve System (the “Federal Reserve”). Neither the Company nor any of its subsidiaries owns or controls, directly or indirectly, 5% or more of the outstanding shares of any class of voting securities or 25% or more of the total equity of a bank or any entity that is subject to the BHCA or to regulation by the Federal Reserve. Neither the Company nor any of its subsidiaries or affiliates exercises a controlling influence over the management or policies of a bank or any entity that is subject to the BHCA or to regulation by the Federal Reserve;</w:t>
      </w:r>
    </w:p>
    <w:p>
      <w:pPr>
        <w:spacing w:after="0" w:line="93" w:lineRule="exact"/>
        <w:rPr>
          <w:rFonts w:ascii="Arial" w:cs="Arial" w:eastAsia="Arial" w:hAnsi="Arial"/>
          <w:sz w:val="18"/>
          <w:szCs w:val="18"/>
          <w:color w:val="auto"/>
        </w:rPr>
      </w:pPr>
    </w:p>
    <w:p>
      <w:pPr>
        <w:jc w:val="both"/>
        <w:ind w:left="-439" w:firstLine="439"/>
        <w:spacing w:after="0" w:line="236" w:lineRule="auto"/>
        <w:tabs>
          <w:tab w:leader="none" w:pos="63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Robinhood BD is registered as a broker-dealer with the Commission, is a member in good standing of FINRA and all other self-regulatory organizations (“SRO”) of which it is or is required to be a member and is registered or qualified as a broker-dealer or other regulated entity in each jurisdiction where the conduct of its business requires such registration or qualification, and such registrations, memberships or qualifications have not been suspended, revoked or rescinded and remain in full force and effect. All persons associated with each Robinhood BD are registered with any SRO and each jurisdiction where the association of such persons with each Robinhood BD requires such registration, and such registrations have not been suspended, revoked or rescinded and remain in full force and effect, except to the extent that the failure to be so registered would not reasonably be expected to have a Material Adverse Effect. Except as disclosed in the Registration Statement, Pricing Prospectus and the Prospectus, the business activities of each Robinhood BD are limited to the execution of retail customer self-directed securities transactions and do not involve the making of “recommendations” of securities transactions or investment strategies involving securities to any customer, as such term is used in applicable rules and regulations of the Commission, FINRA and any applicable state securities regulatory authority, including the Commission’s Regulation Best Interest and FINRA Rule 2111. Other than as disclosed in the Registration Statement, the Pricing Prospectus and the Prospectus, the operations of each Robinhood BD have been conducted in material compliance with all requirements of the Exchange Act, the rules and regulations of the Commission, FINRA and any applicable state securities regulatory authority or other self-regulatory organization including, but not limited to (A) establishing financial and operational controls and supervisory procedures in material compliance with all applicable legal and regulatory requirements and (B) maintaining required minimum net capital and net capital in excess of levels that may require “early warning” notice to the Commission, FINRA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54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61"/>
          </w:cols>
          <w:pgMar w:left="1319" w:top="1378" w:right="319" w:bottom="1440" w:gutter="0" w:footer="0" w:header="0"/>
        </w:sectPr>
      </w:pPr>
    </w:p>
    <w:bookmarkStart w:id="409" w:name="page410"/>
    <w:bookmarkEnd w:id="409"/>
    <w:p>
      <w:pPr>
        <w:jc w:val="both"/>
        <w:spacing w:after="0" w:line="236" w:lineRule="auto"/>
        <w:rPr>
          <w:sz w:val="20"/>
          <w:szCs w:val="20"/>
          <w:color w:val="auto"/>
        </w:rPr>
      </w:pPr>
      <w:r>
        <w:rPr>
          <w:rFonts w:ascii="Arial" w:cs="Arial" w:eastAsia="Arial" w:hAnsi="Arial"/>
          <w:sz w:val="18"/>
          <w:szCs w:val="18"/>
          <w:color w:val="auto"/>
        </w:rPr>
        <w:t>SRO. No Robinhood BD nor any person associated with any Robinhood BD is or has been subject to statutory disqualification, as that term is defined in Section 3(a)(39) of the Exchange Act, or a disqualification, as that term is defined in Article III, Section 4 of the FINRA By-Laws, except in each case as would not, individually or in the aggregate, reasonably be expected to have a Material Adverse Effect. Neither Robinhood BD has submitted any early warning notice to the Commission or FINRA and has not had any restriction on its business activities imposed upon it based upon the sufficiency of its net capital. Each Robinhood BD has (A) filed all reports, registrations, statements and certifications, together with any amendments required to be made prior to the date hereof with (i) the Commission, (ii) FINRA, (iii) any applicable state securities regulatory authority and (iv) any other SRO and (B) obtained all necessary regulatory approvals that may be required in connection with the sale of the Shares contemplated hereby, except for any such filing or approval, the failure of which to have obtained would not reasonably be expected to have, individually or in the aggregate, a Material Adverse Effect; and</w:t>
      </w:r>
    </w:p>
    <w:p>
      <w:pPr>
        <w:spacing w:after="0" w:line="92" w:lineRule="exact"/>
        <w:rPr>
          <w:sz w:val="20"/>
          <w:szCs w:val="20"/>
          <w:color w:val="auto"/>
        </w:rPr>
      </w:pPr>
    </w:p>
    <w:p>
      <w:pPr>
        <w:jc w:val="both"/>
        <w:ind w:firstLine="439"/>
        <w:spacing w:after="0" w:line="236" w:lineRule="auto"/>
        <w:tabs>
          <w:tab w:leader="none" w:pos="105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Robinhood Crypto, LLC (“Robinhood Crypto”) is duly registered to the extent required with all applicable state, federal and other governmental authorities under Money Transmitter Laws and Virtual Currency Business Laws in the United States and any other applicable non-U.S. countries relating to licensing or registration for its activities. The operations of Robinhood Crypto have, to the Company’s knowledge, been conducted in material compliance with all requirements under applicable Money Transmitter Laws and Virtual Currency Business Laws. Other than as disclosed in the Registration Statement, the Pricing Prospectus and the Prospectus, Robinhood Crypto is not subject to any material enforcement actions, regulatory inquiries and investigations, threatened, ongoing, or settled enforcement, cautionary or other disciplinary matters, complaints or correspondence discussing actual or potential liabilities, requests for information, citations or notices of violation, and any significant proceedings before any governmental authority regarding its money transmitter or virtual currency business, except for any of the foregoing that would not reasonably be expected to have, individually or in the aggregate, a Material Adverse Effect. For purposes of this paragraph, (1) “Money Transmitter Laws” means all legal or regulatory requirements relating to the licensing or registration of a person that provides services relating to the acceptance of currency, funds, or other value that substitutes for currency from one person and the transmission of currency, funds, or other value that substitutes for currency to another location or person by any means, including through a financial agency or institution, a Federal Reserve Bank or other facility of one or more Federal Reserve Banks, the Board of Governors of the Federal Reserve System, or both, an electronic funds transfer network or an informal value transfer system, or any other person engaged in the transfer of funds; and (2) “Virtual Currency Business Laws” means all legal or regulatory requirements that may be enforced by any governmental authority for activities involving virtual currency, including, but not limited to, (i) receiving virtual currency for transmission or transmitting virtual currency, (ii) storing, holding, or maintaining custody or control of virtual currency on behalf of others, (iii) buying and selling virtual currency, (iv) performing exchange services or (v) controlling, administering or issuing a virtual currency.</w:t>
      </w:r>
    </w:p>
    <w:p>
      <w:pPr>
        <w:spacing w:after="0" w:line="88" w:lineRule="exact"/>
        <w:rPr>
          <w:sz w:val="20"/>
          <w:szCs w:val="20"/>
          <w:color w:val="auto"/>
        </w:rPr>
      </w:pPr>
    </w:p>
    <w:p>
      <w:pPr>
        <w:ind w:right="20" w:firstLine="430"/>
        <w:spacing w:after="0" w:line="239" w:lineRule="auto"/>
        <w:rPr>
          <w:sz w:val="20"/>
          <w:szCs w:val="20"/>
          <w:color w:val="auto"/>
        </w:rPr>
      </w:pPr>
      <w:r>
        <w:rPr>
          <w:rFonts w:ascii="Arial" w:cs="Arial" w:eastAsia="Arial" w:hAnsi="Arial"/>
          <w:sz w:val="18"/>
          <w:szCs w:val="18"/>
          <w:color w:val="auto"/>
        </w:rPr>
        <w:t>(xl) Other than as disclosed in the Registration Statement, the Pricing Prospectus and the Prospectus, the holders of shares of Class A Common Stock or securities convertible into or exercisable or exchangeable for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700"/>
          </w:cols>
          <w:pgMar w:left="880" w:top="1379" w:right="319" w:bottom="1440" w:gutter="0" w:footer="0" w:header="0"/>
        </w:sectPr>
      </w:pPr>
    </w:p>
    <w:bookmarkStart w:id="410" w:name="page411"/>
    <w:bookmarkEnd w:id="410"/>
    <w:p>
      <w:pPr>
        <w:jc w:val="both"/>
        <w:ind w:left="560"/>
        <w:spacing w:after="0" w:line="236" w:lineRule="auto"/>
        <w:rPr>
          <w:sz w:val="20"/>
          <w:szCs w:val="20"/>
          <w:color w:val="auto"/>
        </w:rPr>
      </w:pPr>
      <w:r>
        <w:rPr>
          <w:rFonts w:ascii="Arial" w:cs="Arial" w:eastAsia="Arial" w:hAnsi="Arial"/>
          <w:sz w:val="18"/>
          <w:szCs w:val="18"/>
          <w:color w:val="auto"/>
        </w:rPr>
        <w:t>that have not delivered executed lock-up agreements to the Representatives as of the date hereof are bound by market standoff provisions with the Company pursuant to which such holders have agreed not to offer, sell, contract to sell, pledge, grant any option to purchase, lend or otherwise dispose of such holder’s securities during the Company Lock-Up Period (as defined below) without the consent of the Company (“Market Standoff Provisions”) that are enforceable by the Company. Each such Market Standoff Provision is in full force and effect as of the date hereof and shall remain in full force an effect during the Company Lock-Up Period, except that this provision shall not prevent the Company from effecting such a waiver or amendment to permit a transfer of securities which would be permissible if such securities were subject to the terms of the lock-up agreement in the form attached as Annex II hereto.</w:t>
      </w:r>
    </w:p>
    <w:p>
      <w:pPr>
        <w:spacing w:after="0" w:line="93" w:lineRule="exact"/>
        <w:rPr>
          <w:sz w:val="20"/>
          <w:szCs w:val="20"/>
          <w:color w:val="auto"/>
        </w:rPr>
      </w:pPr>
    </w:p>
    <w:p>
      <w:pPr>
        <w:ind w:left="1000" w:hanging="431"/>
        <w:spacing w:after="0"/>
        <w:tabs>
          <w:tab w:leader="none" w:pos="10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Each of the Selling Stockholders severally represents and warrants to, and agrees with, each of the Underwriters and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92" w:lineRule="exact"/>
        <w:rPr>
          <w:sz w:val="20"/>
          <w:szCs w:val="20"/>
          <w:color w:val="auto"/>
        </w:rPr>
      </w:pPr>
    </w:p>
    <w:p>
      <w:pPr>
        <w:jc w:val="both"/>
        <w:ind w:left="560" w:right="20" w:firstLine="439"/>
        <w:spacing w:after="0" w:line="276" w:lineRule="auto"/>
        <w:tabs>
          <w:tab w:leader="none" w:pos="135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All consents, approvals, authorizations and orders necessary for the execution and delivery by such Selling Stockholder of this Agreement and the Power of Attorney referred to below, and for the sale and delivery of the Shares to be sold by such Selling Stockholder hereunder, have been obtained; and such Selling Stockholder has full right, power and authority to enter into this Agreement and the Power-of-Attorney and to sell, assign, transfer and deliver the Shares to be sold by such Selling Stockholder hereunder;</w:t>
      </w:r>
    </w:p>
    <w:p>
      <w:pPr>
        <w:spacing w:after="0" w:line="61" w:lineRule="exact"/>
        <w:rPr>
          <w:rFonts w:ascii="Arial" w:cs="Arial" w:eastAsia="Arial" w:hAnsi="Arial"/>
          <w:sz w:val="16"/>
          <w:szCs w:val="16"/>
          <w:color w:val="auto"/>
        </w:rPr>
      </w:pPr>
    </w:p>
    <w:p>
      <w:pPr>
        <w:jc w:val="both"/>
        <w:ind w:left="560" w:firstLine="439"/>
        <w:spacing w:after="0" w:line="267" w:lineRule="auto"/>
        <w:tabs>
          <w:tab w:leader="none" w:pos="139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sale of the Shares to be sold by such Selling Stockholder hereunder and the compliance by such Selling Stockholder with this Agreement [and the Power of Attorney] and the consummation of the transactions herein and therein contemplated will not conflict with or result in a material breach or violation of any of the terms or provisions of, or constitute a material default under, any statute, indenture, mortgage, deed of trust, loan agreement, lease or other agreement or instrument to which such Selling Stockholder is a party or by which such Selling Stockholder is bound or to which any of the property or assets of such Selling Stockholder is subject, nor will such action result in any violation of any statute or any judgment, order, rule or regulation of any court or governmental agency or body having jurisdiction over such Selling Stockholder or any property or assets of such Selling Stockholder; and no consent, approval, authorization, order, registration or qualification of or with any such court or governmental body or agency is required for the performance by such Selling Stockholder of its obligations under this Agreement and the Power of Attorney and the consummation by such Selling Stockholder of the transactions contemplated by this Agreement and the Power of Attorney in connection with the Shares to be sold by such Selling Stockholder hereunder, except (A) the registration under the Act of the Shares, (B) such consents, approvals, authorizations, orders, registrations or qualifications as may be required under state securities or Blue Sky laws in connection with the purchase and distribution of the Shares by the Underwriters and (C) such consents, approvals, authorizations, orders, registrations or qualifications that have already been obtained, made or waived prior to the purchase and distribution of the Shares by the Underwriters;</w:t>
      </w:r>
    </w:p>
    <w:p>
      <w:pPr>
        <w:spacing w:after="0" w:line="278" w:lineRule="exact"/>
        <w:rPr>
          <w:rFonts w:ascii="Arial" w:cs="Arial" w:eastAsia="Arial" w:hAnsi="Arial"/>
          <w:sz w:val="16"/>
          <w:szCs w:val="16"/>
          <w:color w:val="auto"/>
        </w:rPr>
      </w:pPr>
    </w:p>
    <w:p>
      <w:pPr>
        <w:jc w:val="both"/>
        <w:ind w:left="560" w:firstLine="439"/>
        <w:spacing w:after="0" w:line="237" w:lineRule="auto"/>
        <w:tabs>
          <w:tab w:leader="none" w:pos="129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Selling Stockholder has, and immediately prior to each Time of Delivery (as defined in Section 4 hereof) such Selling Stockholder will have, good and valid title to, or a valid “security entitlement” within the meaning of Section 8-501 of the New York Uniform Commercial Code in respect of, the Shares to be sold by such Selling Stockholder hereunder at such Time of Delivery, free and clear of all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60"/>
          </w:cols>
          <w:pgMar w:left="320" w:top="1379" w:right="319" w:bottom="1440" w:gutter="0" w:footer="0" w:header="0"/>
        </w:sectPr>
      </w:pPr>
    </w:p>
    <w:bookmarkStart w:id="411" w:name="page412"/>
    <w:bookmarkEnd w:id="411"/>
    <w:p>
      <w:pPr>
        <w:ind w:right="20"/>
        <w:spacing w:after="0" w:line="239" w:lineRule="auto"/>
        <w:rPr>
          <w:sz w:val="20"/>
          <w:szCs w:val="20"/>
          <w:color w:val="auto"/>
        </w:rPr>
      </w:pPr>
      <w:r>
        <w:rPr>
          <w:rFonts w:ascii="Arial" w:cs="Arial" w:eastAsia="Arial" w:hAnsi="Arial"/>
          <w:sz w:val="18"/>
          <w:szCs w:val="18"/>
          <w:color w:val="auto"/>
        </w:rPr>
        <w:t>encumbrances, equities or claims; and, upon delivery of such Shares and payment therefor pursuant hereto, good and valid title to such Shares, free and clear of all liens, encumbrances, equities or claims, will pass to the several Underwriters;</w:t>
      </w:r>
    </w:p>
    <w:p>
      <w:pPr>
        <w:spacing w:after="0" w:line="90" w:lineRule="exact"/>
        <w:rPr>
          <w:sz w:val="20"/>
          <w:szCs w:val="20"/>
          <w:color w:val="auto"/>
        </w:rPr>
      </w:pPr>
    </w:p>
    <w:p>
      <w:pPr>
        <w:ind w:right="20" w:firstLine="439"/>
        <w:spacing w:after="0" w:line="239" w:lineRule="auto"/>
        <w:tabs>
          <w:tab w:leader="none" w:pos="88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On or prior to the date of the Pricing Prospectus, such Selling Stockholder has executed and delivered to the Underwriters an agreement substantially in the form of Annex II hereto.</w:t>
      </w:r>
    </w:p>
    <w:p>
      <w:pPr>
        <w:spacing w:after="0" w:line="89" w:lineRule="exact"/>
        <w:rPr>
          <w:rFonts w:ascii="Arial" w:cs="Arial" w:eastAsia="Arial" w:hAnsi="Arial"/>
          <w:sz w:val="18"/>
          <w:szCs w:val="18"/>
          <w:color w:val="auto"/>
        </w:rPr>
      </w:pPr>
    </w:p>
    <w:p>
      <w:pPr>
        <w:ind w:right="20" w:firstLine="439"/>
        <w:spacing w:after="0" w:line="239" w:lineRule="auto"/>
        <w:tabs>
          <w:tab w:leader="none" w:pos="93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Such Selling Stockholder has not taken and will not take, directly or indirectly, any action that is designed to or that has constituted or might reasonably be expected to cause or result in stabilization or manipulation of the price of the Shares;</w:t>
      </w:r>
    </w:p>
    <w:p>
      <w:pPr>
        <w:spacing w:after="0" w:line="89" w:lineRule="exact"/>
        <w:rPr>
          <w:rFonts w:ascii="Arial" w:cs="Arial" w:eastAsia="Arial" w:hAnsi="Arial"/>
          <w:sz w:val="18"/>
          <w:szCs w:val="18"/>
          <w:color w:val="auto"/>
        </w:rPr>
      </w:pPr>
    </w:p>
    <w:p>
      <w:pPr>
        <w:jc w:val="both"/>
        <w:ind w:firstLine="439"/>
        <w:spacing w:after="0" w:line="264" w:lineRule="auto"/>
        <w:tabs>
          <w:tab w:leader="none" w:pos="1032"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To the extent that any statements or omissions made in the Registration Statement, any Preliminary Prospectus, the Prospectus or any amendment or supplement thereto are made in reliance upon and in conformity with written information furnished to the Company by such Selling Stockholder expressly for use therein, such Registration Statement and Preliminary Prospectus did, and the Prospectus and any further amendments or supplements to the Registration Statement and the Prospectus will, when they become effective or are filed with the Commission, as the case may be, conform in all material respects to the requirements of the Act and the rules and regulations of the Commission thereunder and not contain any untrue statement of a material fact or omit to state any material fact required to be stated therein or necessary to make the statements therein not misleading; provided that this representation and warranty shall (A) not apply to any statements or omissions made in reliance upon and in conformity with the Underwriter Information and</w:t>
      </w:r>
    </w:p>
    <w:p>
      <w:pPr>
        <w:spacing w:after="0" w:line="6" w:lineRule="exact"/>
        <w:rPr>
          <w:rFonts w:ascii="Arial" w:cs="Arial" w:eastAsia="Arial" w:hAnsi="Arial"/>
          <w:sz w:val="16"/>
          <w:szCs w:val="16"/>
          <w:color w:val="auto"/>
        </w:rPr>
      </w:pPr>
    </w:p>
    <w:p>
      <w:pPr>
        <w:jc w:val="both"/>
        <w:ind w:firstLine="9"/>
        <w:spacing w:after="0" w:line="236" w:lineRule="auto"/>
        <w:tabs>
          <w:tab w:leader="none" w:pos="29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be limited to statements or omissions made in reliance upon and in conformity with information relating to such Selling Stockholder furnished to the Company in writing by such Selling Stockholder expressly for use in the Registration Statement, the Pricing Prospectus, the Prospectus or any amendments or supplements thereto, it being understood and agreed that the only information furnished by such Selling Stockholder consists of the name of such Selling Stockholder, the number of offered shares and the address of such Selling Stockholder which appear in the Registration Statement, the Pricing Prospectus or any Prospectus in the table (and corresponding footnotes) under the caption “Principal and Selling Stockholders” (with respect to each Selling Stockholder, the “Selling Stockholder Information”);</w:t>
      </w:r>
    </w:p>
    <w:p>
      <w:pPr>
        <w:spacing w:after="0" w:line="92" w:lineRule="exact"/>
        <w:rPr>
          <w:rFonts w:ascii="Arial" w:cs="Arial" w:eastAsia="Arial" w:hAnsi="Arial"/>
          <w:sz w:val="18"/>
          <w:szCs w:val="18"/>
          <w:color w:val="auto"/>
        </w:rPr>
      </w:pPr>
    </w:p>
    <w:p>
      <w:pPr>
        <w:jc w:val="both"/>
        <w:ind w:firstLine="439"/>
        <w:spacing w:after="0" w:line="237" w:lineRule="auto"/>
        <w:tabs>
          <w:tab w:leader="none" w:pos="93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 order to document the Underwriters’ compliance with the reporting and withholding provisions of the Tax Equity and Fiscal Responsibility Act of 1982 with respect to the transactions herein contemplated, such Selling Stockholder will deliver to the Representatives prior to or at the First Time of Delivery a properly completed and executed United States Treasury Department Form W-9 or Form W-8 (or other applicable form or statement specified by Treasury Department regulations in lieu thereof);</w:t>
      </w:r>
    </w:p>
    <w:p>
      <w:pPr>
        <w:spacing w:after="0" w:line="90" w:lineRule="exact"/>
        <w:rPr>
          <w:rFonts w:ascii="Arial" w:cs="Arial" w:eastAsia="Arial" w:hAnsi="Arial"/>
          <w:sz w:val="18"/>
          <w:szCs w:val="18"/>
          <w:color w:val="auto"/>
        </w:rPr>
      </w:pPr>
    </w:p>
    <w:p>
      <w:pPr>
        <w:jc w:val="both"/>
        <w:ind w:right="20" w:firstLine="439"/>
        <w:spacing w:after="0" w:line="237" w:lineRule="auto"/>
        <w:tabs>
          <w:tab w:leader="none" w:pos="1059"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Such Selling Stockholder has duly executed and delivered a Power of Attorney, in the form heretofore furnished to the Representatives (the “Power of Attorney”), appointing the persons indicated in Schedule II hereto, and each of them, as such Selling Stockholder's attorneys-in-fact (the “Attorneys-in-Fact”) with authority to execute and deliver this Agreement on behalf of such Selling Stockholder, to determine the purchase price to be paid by the Underwriters to the Selling Stockholders as provided in Section 2 hereof, to authorize the delivery of the Shares to be sold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700"/>
          </w:cols>
          <w:pgMar w:left="880" w:top="1379" w:right="319" w:bottom="1440" w:gutter="0" w:footer="0" w:header="0"/>
        </w:sectPr>
      </w:pPr>
    </w:p>
    <w:bookmarkStart w:id="412" w:name="page413"/>
    <w:bookmarkEnd w:id="412"/>
    <w:p>
      <w:pPr>
        <w:ind w:left="560"/>
        <w:spacing w:after="0" w:line="239" w:lineRule="auto"/>
        <w:rPr>
          <w:sz w:val="20"/>
          <w:szCs w:val="20"/>
          <w:color w:val="auto"/>
        </w:rPr>
      </w:pPr>
      <w:r>
        <w:rPr>
          <w:rFonts w:ascii="Arial" w:cs="Arial" w:eastAsia="Arial" w:hAnsi="Arial"/>
          <w:sz w:val="18"/>
          <w:szCs w:val="18"/>
          <w:color w:val="auto"/>
        </w:rPr>
        <w:t>Selling Stockholder hereunder and otherwise to act on behalf of such Selling Stockholder in connection with the transactions contemplated by this Agreement;</w:t>
      </w:r>
    </w:p>
    <w:p>
      <w:pPr>
        <w:spacing w:after="0" w:line="90" w:lineRule="exact"/>
        <w:rPr>
          <w:sz w:val="20"/>
          <w:szCs w:val="20"/>
          <w:color w:val="auto"/>
        </w:rPr>
      </w:pPr>
    </w:p>
    <w:p>
      <w:pPr>
        <w:jc w:val="both"/>
        <w:ind w:left="560" w:firstLine="439"/>
        <w:spacing w:after="0" w:line="236" w:lineRule="auto"/>
        <w:tabs>
          <w:tab w:leader="none" w:pos="146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appointment by such Selling Stockholder of the Attorneys-in-Fact by the Power of Attorney, is to that extent irrevocable; the obligations of the Selling Stockholders hereunder shall not be terminated by operation of law, whether by the death or incapacity of any individual Selling Stockholder or, in the case of an estate or trust, by the death or incapacity of any executor or trustee or the termination of such estate or trust, or by the occurrence of any other event; if any individual Selling Stockholder or any such executor or trustee should die or become incapacitated, or if any such estate or trust should be terminated or if any other such event should occur, before the delivery of the Shares to be sold by such Selling Stockholder hereunder, certificates representing the Shares to be sold by such Selling Stockholder hereunder shall be delivered by or on behalf of the Selling Stockholders in accordance with the terms and conditions of this Agreement; and actions taken by the Attorneys-in-Fact pursuant to the Powers of Attorney shall be as valid as if such death, incapacity, termination, dissolution or other event had not occurred, regardless of whether or not the Attorneys-in-Fact shall have received notice of such death, incapacity, termination, dissolution or other event;</w:t>
      </w:r>
    </w:p>
    <w:p>
      <w:pPr>
        <w:spacing w:after="0" w:line="91" w:lineRule="exact"/>
        <w:rPr>
          <w:rFonts w:ascii="Arial" w:cs="Arial" w:eastAsia="Arial" w:hAnsi="Arial"/>
          <w:sz w:val="18"/>
          <w:szCs w:val="18"/>
          <w:color w:val="auto"/>
        </w:rPr>
      </w:pPr>
    </w:p>
    <w:p>
      <w:pPr>
        <w:jc w:val="both"/>
        <w:ind w:left="560" w:firstLine="439"/>
        <w:spacing w:after="0" w:line="236" w:lineRule="auto"/>
        <w:tabs>
          <w:tab w:leader="none" w:pos="150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Such Selling Stockholder will not directly or indirectly use the proceeds of the offering of the Shares hereunder, or lend, contribute or otherwise make available such proceeds to any other person or entity, (A) to fund or facilitate any activities of or business with any person, or in any country or territory, that, at the time of such funding, is the subject or the target of Sanctions, or in any other manner that will result in a violation by any person, to such person’s knowledge (including any person participating in the transaction, whether as underwriter, advisor, investor or otherwise), of Sanctions, or (B) in furtherance of an offer, payment, promise to pay, or authorization of the payment or giving of money, or anything else of value, to any person in violation of any Money Laundering Laws or any Anti-Corruption Laws; and</w:t>
      </w:r>
    </w:p>
    <w:p>
      <w:pPr>
        <w:spacing w:after="0" w:line="92" w:lineRule="exact"/>
        <w:rPr>
          <w:rFonts w:ascii="Arial" w:cs="Arial" w:eastAsia="Arial" w:hAnsi="Arial"/>
          <w:sz w:val="18"/>
          <w:szCs w:val="18"/>
          <w:color w:val="auto"/>
        </w:rPr>
      </w:pPr>
    </w:p>
    <w:p>
      <w:pPr>
        <w:ind w:left="560" w:right="20" w:firstLine="439"/>
        <w:spacing w:after="0" w:line="239" w:lineRule="auto"/>
        <w:tabs>
          <w:tab w:leader="none" w:pos="143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Such Selling Stockholder is not prompted by any material information concerning the Company or any of its subsidiaries that is not disclosed in the Pricing Prospectus to sell its Shares pursuant to this Agreement.</w:t>
      </w:r>
    </w:p>
    <w:p>
      <w:pPr>
        <w:spacing w:after="0" w:line="89" w:lineRule="exact"/>
        <w:rPr>
          <w:rFonts w:ascii="Arial" w:cs="Arial" w:eastAsia="Arial" w:hAnsi="Arial"/>
          <w:sz w:val="18"/>
          <w:szCs w:val="18"/>
          <w:color w:val="auto"/>
        </w:rPr>
      </w:pPr>
    </w:p>
    <w:p>
      <w:pPr>
        <w:jc w:val="both"/>
        <w:ind w:firstLine="569"/>
        <w:spacing w:after="0" w:line="236" w:lineRule="auto"/>
        <w:tabs>
          <w:tab w:leader="none" w:pos="94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Subject to the terms and conditions herein set forth, (a) the Company and each of the Selling Stockholders agree, severally and not jointly, to sell to each of the Underwriters, and each of the Underwriters agrees, severally and not jointly, to purchase from the Company and each of the Selling Stockholders, at a purchase price per share of $ , the number of Firm Shares (to be adjusted by the Representatives so as to eliminate fractional shares) determined by multiplying the aggregate number of Firm Shares to be sold by the Company and each of the Selling Stockholders as set forth opposite their respective names in Schedule II hereto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the Company and all of the Selling Stockholders hereunder and (b) in the event and to the extent that the Underwriters shall exercise the election to purchase Optional Shares as provided below, the Company agrees to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0"/>
          </w:cols>
          <w:pgMar w:left="320" w:top="1379" w:right="319" w:bottom="1440" w:gutter="0" w:footer="0" w:header="0"/>
        </w:sectPr>
      </w:pPr>
    </w:p>
    <w:bookmarkStart w:id="413" w:name="page414"/>
    <w:bookmarkEnd w:id="413"/>
    <w:p>
      <w:pPr>
        <w:jc w:val="both"/>
        <w:ind w:right="20"/>
        <w:spacing w:after="0" w:line="237" w:lineRule="auto"/>
        <w:rPr>
          <w:sz w:val="20"/>
          <w:szCs w:val="20"/>
          <w:color w:val="auto"/>
        </w:rPr>
      </w:pPr>
      <w:r>
        <w:rPr>
          <w:rFonts w:ascii="Arial" w:cs="Arial" w:eastAsia="Arial" w:hAnsi="Arial"/>
          <w:sz w:val="18"/>
          <w:szCs w:val="18"/>
          <w:color w:val="auto"/>
        </w:rPr>
        <w:t>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89" w:lineRule="exact"/>
        <w:rPr>
          <w:sz w:val="20"/>
          <w:szCs w:val="20"/>
          <w:color w:val="auto"/>
        </w:rPr>
      </w:pPr>
    </w:p>
    <w:p>
      <w:pPr>
        <w:jc w:val="both"/>
        <w:ind w:firstLine="574"/>
        <w:spacing w:after="0" w:line="236" w:lineRule="auto"/>
        <w:rPr>
          <w:sz w:val="20"/>
          <w:szCs w:val="20"/>
          <w:color w:val="auto"/>
        </w:rPr>
      </w:pPr>
      <w:r>
        <w:rPr>
          <w:rFonts w:ascii="Arial" w:cs="Arial" w:eastAsia="Arial" w:hAnsi="Arial"/>
          <w:sz w:val="18"/>
          <w:szCs w:val="18"/>
          <w:color w:val="auto"/>
        </w:rPr>
        <w:t>The Company hereby grants to the Underwriters the right to purchase at their election up to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the Representatives to the Company, given within a period of 30 calendar days after the date of this Agreement and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otherwise agree in writing, earlier than two or later than ten business days after the date of such notice.</w:t>
      </w:r>
    </w:p>
    <w:p>
      <w:pPr>
        <w:spacing w:after="0" w:line="93" w:lineRule="exact"/>
        <w:rPr>
          <w:sz w:val="20"/>
          <w:szCs w:val="20"/>
          <w:color w:val="auto"/>
        </w:rPr>
      </w:pPr>
    </w:p>
    <w:p>
      <w:pPr>
        <w:ind w:right="20" w:firstLine="569"/>
        <w:spacing w:after="0" w:line="239" w:lineRule="auto"/>
        <w:tabs>
          <w:tab w:leader="none" w:pos="93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Upon the authorization by the Representatives of the release of the Shares, the several Underwriters propose to offer the applicable Shares for sale upon the terms and conditions set forth in the Pricing Disclosure Package and the Prospectus.</w:t>
      </w:r>
    </w:p>
    <w:p>
      <w:pPr>
        <w:spacing w:after="0" w:line="89" w:lineRule="exact"/>
        <w:rPr>
          <w:rFonts w:ascii="Arial" w:cs="Arial" w:eastAsia="Arial" w:hAnsi="Arial"/>
          <w:sz w:val="18"/>
          <w:szCs w:val="18"/>
          <w:color w:val="auto"/>
        </w:rPr>
      </w:pPr>
    </w:p>
    <w:p>
      <w:pPr>
        <w:jc w:val="both"/>
        <w:ind w:firstLine="569"/>
        <w:spacing w:after="0" w:line="264" w:lineRule="auto"/>
        <w:tabs>
          <w:tab w:leader="none" w:pos="111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 The Shares to be purchased by each Underwriter hereunder, in definitive or book-entry form, and in such authorized denominations and registered in such names as the Representatives may request upon at least forty-eight hours’ prior notice to the Company and the Selling Stockholders shall be delivered by or on behalf of the Company and the Selling Stockholders to the Representatives, through the facilities of The Depository Trust Company (“DTC”), for the account of such Underwriter, against payment by or on behalf of such Underwriter of the purchase price therefor by wire transfer of Federal (same-day) funds to the accounts specified by the Company to the Representatives at least forty-eight hours in advance. The Company and the Selling Stockholders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w:t>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Firm Shares, 9:30 a.m., New York City time, on , 2021 or such other time and date as the Representatives, the Company and the Attorneys-in-Fact may agree upon in writing, and, with respect to the Optional Shares, 9:30 a.m., New York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93" w:lineRule="exact"/>
        <w:rPr>
          <w:sz w:val="20"/>
          <w:szCs w:val="20"/>
          <w:color w:val="auto"/>
        </w:rPr>
      </w:pPr>
    </w:p>
    <w:p>
      <w:pPr>
        <w:ind w:right="20" w:firstLine="569"/>
        <w:spacing w:after="0" w:line="239" w:lineRule="auto"/>
        <w:tabs>
          <w:tab w:leader="none" w:pos="99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8 hereof, including the cross receipt for the Shares and any additional documents requested by the Underwriters pursuant to Section 8(l) hereof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60"/>
          </w:cols>
          <w:pgMar w:left="320" w:top="1378" w:right="319" w:bottom="1440" w:gutter="0" w:footer="0" w:header="0"/>
        </w:sectPr>
      </w:pPr>
    </w:p>
    <w:bookmarkStart w:id="414" w:name="page415"/>
    <w:bookmarkEnd w:id="414"/>
    <w:p>
      <w:pPr>
        <w:jc w:val="both"/>
        <w:spacing w:after="0" w:line="236" w:lineRule="auto"/>
        <w:rPr>
          <w:sz w:val="20"/>
          <w:szCs w:val="20"/>
          <w:color w:val="auto"/>
        </w:rPr>
      </w:pPr>
      <w:r>
        <w:rPr>
          <w:rFonts w:ascii="Arial" w:cs="Arial" w:eastAsia="Arial" w:hAnsi="Arial"/>
          <w:sz w:val="18"/>
          <w:szCs w:val="18"/>
          <w:color w:val="auto"/>
        </w:rPr>
        <w:t>delivered at the offices of Davis Polk &amp; Wardwell LLP, 1600 El Camino Real, Menlo Park, California 94025 (the “Closing Location”), and the Shares will be delivered at the Designated Office, all at such Time of Delivery. A meeting will be held at the Closing Location at 2:00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93" w:lineRule="exact"/>
        <w:rPr>
          <w:sz w:val="20"/>
          <w:szCs w:val="20"/>
          <w:color w:val="auto"/>
        </w:rPr>
      </w:pPr>
    </w:p>
    <w:p>
      <w:pPr>
        <w:ind w:left="900" w:hanging="331"/>
        <w:spacing w:after="0"/>
        <w:tabs>
          <w:tab w:leader="none" w:pos="9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Company agrees with each of the Underwriters:</w:t>
      </w:r>
    </w:p>
    <w:p>
      <w:pPr>
        <w:spacing w:after="0" w:line="91" w:lineRule="exact"/>
        <w:rPr>
          <w:rFonts w:ascii="Arial" w:cs="Arial" w:eastAsia="Arial" w:hAnsi="Arial"/>
          <w:sz w:val="18"/>
          <w:szCs w:val="18"/>
          <w:color w:val="auto"/>
        </w:rPr>
      </w:pPr>
    </w:p>
    <w:p>
      <w:pPr>
        <w:jc w:val="both"/>
        <w:ind w:firstLine="206"/>
        <w:spacing w:after="0" w:line="236" w:lineRule="auto"/>
        <w:tabs>
          <w:tab w:leader="none" w:pos="63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prepare the Prospectus in a form approved by the Representatives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reasonably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 required to be filed by the Company with the Commission pursuant to Rule 433(d) under the Act; to advise the Representatives,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90" w:lineRule="exact"/>
        <w:rPr>
          <w:rFonts w:ascii="Arial" w:cs="Arial" w:eastAsia="Arial" w:hAnsi="Arial"/>
          <w:sz w:val="18"/>
          <w:szCs w:val="18"/>
          <w:color w:val="auto"/>
        </w:rPr>
      </w:pPr>
    </w:p>
    <w:p>
      <w:pPr>
        <w:jc w:val="both"/>
        <w:ind w:firstLine="203"/>
        <w:spacing w:after="0" w:line="236" w:lineRule="auto"/>
        <w:tabs>
          <w:tab w:leader="none" w:pos="62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the Representatives may reasonably request to qualify the Shares for offering and sale under the securities laws of such jurisdictions as the Representatives may reasonably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to subject itself to taxation for doing business any jurisdiction in which it is not otherwise subject to taxation, or to file a general consent to service of process in any jurisdiction (where not otherwise required);</w:t>
      </w:r>
    </w:p>
    <w:p>
      <w:pPr>
        <w:spacing w:after="0" w:line="93" w:lineRule="exact"/>
        <w:rPr>
          <w:rFonts w:ascii="Arial" w:cs="Arial" w:eastAsia="Arial" w:hAnsi="Arial"/>
          <w:sz w:val="18"/>
          <w:szCs w:val="18"/>
          <w:color w:val="auto"/>
        </w:rPr>
      </w:pPr>
    </w:p>
    <w:p>
      <w:pPr>
        <w:jc w:val="both"/>
        <w:ind w:right="20" w:firstLine="219"/>
        <w:spacing w:after="0" w:line="236" w:lineRule="auto"/>
        <w:tabs>
          <w:tab w:leader="none" w:pos="65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Prior to 10:00 a.m., New York City time, on the New York Business Day next succeeding the date of this Agreement (or such other time as may be agreed to by the Company and the Representatives)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320" w:top="1378" w:right="319" w:bottom="1440" w:gutter="0" w:footer="0" w:header="0"/>
        </w:sectPr>
      </w:pPr>
    </w:p>
    <w:bookmarkStart w:id="415" w:name="page416"/>
    <w:bookmarkEnd w:id="415"/>
    <w:p>
      <w:pPr>
        <w:jc w:val="both"/>
        <w:ind w:left="4"/>
        <w:spacing w:after="0" w:line="236" w:lineRule="auto"/>
        <w:rPr>
          <w:sz w:val="20"/>
          <w:szCs w:val="20"/>
          <w:color w:val="auto"/>
        </w:rPr>
      </w:pPr>
      <w:r>
        <w:rPr>
          <w:rFonts w:ascii="Arial" w:cs="Arial" w:eastAsia="Arial" w:hAnsi="Arial"/>
          <w:sz w:val="18"/>
          <w:szCs w:val="18"/>
          <w:color w:val="auto"/>
        </w:rPr>
        <w:t>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the Representatives and upon the Representatives’ request to prepare and furnish without charge to each Underwriter and to any dealer in securities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 Underwriter, to prepare and deliver to such Underwriter as many written and electronic copies as the Representatives may reasonably request of an amended or supplemented Prospectus complying with Section 10(a)(3) of the Act;</w:t>
      </w:r>
    </w:p>
    <w:p>
      <w:pPr>
        <w:spacing w:after="0" w:line="91" w:lineRule="exact"/>
        <w:rPr>
          <w:sz w:val="20"/>
          <w:szCs w:val="20"/>
          <w:color w:val="auto"/>
        </w:rPr>
      </w:pPr>
    </w:p>
    <w:p>
      <w:pPr>
        <w:jc w:val="both"/>
        <w:ind w:left="4" w:firstLine="195"/>
        <w:spacing w:after="0" w:line="237" w:lineRule="auto"/>
        <w:tabs>
          <w:tab w:leader="none" w:pos="61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To make generally available to its securityholders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 provided, however, that the Company may satisfy the requirements of this Section 5(d) by filing such information through the Commission’s Electronic Data Gathering Analysis and Retrieval System (“EDGAR”);</w:t>
      </w:r>
    </w:p>
    <w:p>
      <w:pPr>
        <w:spacing w:after="0" w:line="89" w:lineRule="exact"/>
        <w:rPr>
          <w:rFonts w:ascii="Arial" w:cs="Arial" w:eastAsia="Arial" w:hAnsi="Arial"/>
          <w:sz w:val="18"/>
          <w:szCs w:val="18"/>
          <w:color w:val="auto"/>
        </w:rPr>
      </w:pPr>
    </w:p>
    <w:p>
      <w:pPr>
        <w:jc w:val="both"/>
        <w:ind w:left="4" w:right="20" w:firstLine="224"/>
        <w:spacing w:after="0" w:line="264" w:lineRule="auto"/>
        <w:tabs>
          <w:tab w:leader="none" w:pos="676" w:val="left"/>
        </w:tabs>
        <w:numPr>
          <w:ilvl w:val="2"/>
          <w:numId w:val="185"/>
        </w:numPr>
        <w:rPr>
          <w:rFonts w:ascii="Arial" w:cs="Arial" w:eastAsia="Arial" w:hAnsi="Arial"/>
          <w:sz w:val="16"/>
          <w:szCs w:val="16"/>
          <w:color w:val="auto"/>
        </w:rPr>
      </w:pPr>
      <w:r>
        <w:rPr>
          <w:rFonts w:ascii="Arial" w:cs="Arial" w:eastAsia="Arial" w:hAnsi="Arial"/>
          <w:sz w:val="16"/>
          <w:szCs w:val="16"/>
          <w:color w:val="auto"/>
        </w:rPr>
        <w:t>(i) During the period beginning from the date hereof and continuing to and including the date 180 days after the date of the Prospectus (the “Company Lock-Up Period”), not to (A)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Class A Common Stock or any securities that are convertible into or exchangeable for, or that represent the right to receive, Class A Common Stock or any such substantially similar securities, or publicly disclose the intention to make any offer, sale, pledge, disposition or filing or</w:t>
      </w:r>
    </w:p>
    <w:p>
      <w:pPr>
        <w:spacing w:after="0" w:line="4" w:lineRule="exact"/>
        <w:rPr>
          <w:rFonts w:ascii="Arial" w:cs="Arial" w:eastAsia="Arial" w:hAnsi="Arial"/>
          <w:sz w:val="16"/>
          <w:szCs w:val="16"/>
          <w:color w:val="auto"/>
        </w:rPr>
      </w:pPr>
    </w:p>
    <w:p>
      <w:pPr>
        <w:jc w:val="both"/>
        <w:ind w:left="4" w:hanging="4"/>
        <w:spacing w:after="0" w:line="236" w:lineRule="auto"/>
        <w:tabs>
          <w:tab w:leader="none" w:pos="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the Class A Common Stock or any such other securities, whether any such transaction described in clause (A) or (B) above is to be settled by delivery of Class A Common Stock or such other securities, in cash or otherwise, without the prior written consent of the Representatives, in each case, other than (1) the Shares to be sold hereunder, (2) issuance by the Company of shares of Class A Common Stock pursuant to the exercise of warrants to purchase securities of the Company outstanding as of the date of this Agreement, (3) the issuance by the Company of stock options, restricted stock units, and employee stock purchase plan (“ESPP”) purchase rights pursuant to the Company’s equity incentive plans described in the Pricing Prospectus and the Prospectus, (4) the issuance by the Company of shares of Class A Common Stock upon the exercise of stock options or ESPP purchase rights or upon the settlement of restricted stock units, in each case outstanding as of the date of this Agreement or issued after the date of this Agreement pursuant to the Company’s equity incentive plans described in the Pricing Prospectus and the Prospectus, (5) the issuance by the Company of shares of Class A Common Stock upon the conversion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64"/>
          </w:cols>
          <w:pgMar w:left="316" w:top="1379" w:right="319" w:bottom="1440" w:gutter="0" w:footer="0" w:header="0"/>
        </w:sectPr>
      </w:pPr>
    </w:p>
    <w:bookmarkStart w:id="416" w:name="page417"/>
    <w:bookmarkEnd w:id="416"/>
    <w:p>
      <w:pPr>
        <w:jc w:val="both"/>
        <w:spacing w:after="0" w:line="235" w:lineRule="auto"/>
        <w:rPr>
          <w:sz w:val="20"/>
          <w:szCs w:val="20"/>
          <w:color w:val="auto"/>
        </w:rPr>
      </w:pPr>
      <w:r>
        <w:rPr>
          <w:rFonts w:ascii="Arial" w:cs="Arial" w:eastAsia="Arial" w:hAnsi="Arial"/>
          <w:sz w:val="18"/>
          <w:szCs w:val="18"/>
          <w:color w:val="auto"/>
        </w:rPr>
        <w:t>shares of Class B common stock of the Company, (6) the exchange or conversion (or other means by which shares of one class or series can become another class or series) of any class or series of capital stock of the Company for any other class or series of shares of capital stock of the Company as described and as contemplated in the Prospectus, (7) the issuance by the Company of shares of Class A Common Stock or securities convertible into, exchangeable for or that represent the right to receive Class A Common Stock in connection with (x) the acquisition by the Company or any of its subsidiaries of the securities, business, technology, property or other assets of one or more persons or entities (including any assumption of employee benefit plans or equity incentive plans by the Company in connection with any such acquisition, and any issuance of securities pursuant to any such assumed plan), or (y) any joint ventures, commercial relationships and other strategic relationships of the Company or its subsidiaries; provided, that the aggregate number of shares of Stock that the Company may sell or issue or agree to sell or issue pursuant to this clause (7) shall not exceed 7.5% of the total number of shares of common stock of the Company outstanding immediately following the issuance of the Shares contemplated by this Agreement, (8) the filing of any registration statement(s) on Form S-8 relating to the securities (or the shares underlying such securities) granted or to be granted pursuant to (x) the Company’s equity incentive plans that are described in the Pricing Prospectus and the Prospectus or (y) any assumed employee benefit plan or equity incentive plan contemplated by clause (7) or (9) the filing of any registration statement(s) on Form S-1 relating to the Class A Common Stock issuable or issued upon the conversion of any convertible notes of the Company or of any securities previously issued upon the conversion of such convertible notes as described in the Pricing Prospectus and the Prospectus; provided, that in the case of clauses (2) (but only with respect to 50% of such shares of Class A Common Stock issued pursuant to the exercise of warrants to purchase securities of the Company), (3) through (7), the Company shall cause each recipient of such securities to execute and deliver to the Representatives on or prior to the issuance of such securities, a lock-up letter in substantially the form attached as Annex II hereto for the remainder of the Lock-Up Period (as defined therein) and enter stop transfer instructions with the Company’s transfer agent and registrar on such securities, or otherwise provide that the issued securities are subject to Market Standoff Provisions, which in either case the Company agrees it will not waive or amend without the prior written consent of the Representatives;</w:t>
      </w:r>
    </w:p>
    <w:p>
      <w:pPr>
        <w:spacing w:after="0" w:line="106" w:lineRule="exact"/>
        <w:rPr>
          <w:sz w:val="20"/>
          <w:szCs w:val="20"/>
          <w:color w:val="auto"/>
        </w:rPr>
      </w:pPr>
    </w:p>
    <w:p>
      <w:pPr>
        <w:jc w:val="both"/>
        <w:ind w:right="20" w:firstLine="433"/>
        <w:spacing w:after="0" w:line="237" w:lineRule="auto"/>
        <w:tabs>
          <w:tab w:leader="none" w:pos="68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the Representatives, in their sole discretion, agree to release or waive the restrictions in lock-up letters pursuant to Section 1(b)(iv) or Section 8(k) hereof, in each case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Annex I hereto through a major news service at least two business days before the effective date of the release or waiver;</w:t>
      </w:r>
    </w:p>
    <w:p>
      <w:pPr>
        <w:spacing w:after="0" w:line="89" w:lineRule="exact"/>
        <w:rPr>
          <w:rFonts w:ascii="Arial" w:cs="Arial" w:eastAsia="Arial" w:hAnsi="Arial"/>
          <w:sz w:val="18"/>
          <w:szCs w:val="18"/>
          <w:color w:val="auto"/>
        </w:rPr>
      </w:pPr>
    </w:p>
    <w:p>
      <w:pPr>
        <w:jc w:val="both"/>
        <w:ind w:firstLine="403"/>
        <w:spacing w:after="0" w:line="271" w:lineRule="auto"/>
        <w:tabs>
          <w:tab w:leader="none" w:pos="69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During the Company Lock-Up Period, the Company agrees to enforce the Market Standoff Provisions and any similar transfer restriction contained in any agreement between the Company and any of its securityholders, including, without limitation, through the issuance of stop transfer instructions to the Company’s transfer agent with respect to any transaction that would constitute a breach of, or default under, the transfer restrictions, except that this provision shall not prevent the Company from effecting a waiver or amendment to permit a transfer of securities that would be permissible under the terms of the lock-up agreement in the form attached as Annex II hereto, and the Company shall not amend or waive any such transfer restrictions with respect to any such holder without the prior written consent of the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60"/>
          </w:cols>
          <w:pgMar w:left="320" w:top="1379" w:right="319" w:bottom="1440" w:gutter="0" w:footer="0" w:header="0"/>
        </w:sectPr>
      </w:pPr>
    </w:p>
    <w:bookmarkStart w:id="417" w:name="page418"/>
    <w:bookmarkEnd w:id="417"/>
    <w:p>
      <w:pPr>
        <w:jc w:val="both"/>
        <w:ind w:firstLine="297"/>
        <w:spacing w:after="0" w:line="236" w:lineRule="auto"/>
        <w:tabs>
          <w:tab w:leader="none" w:pos="769" w:val="left"/>
        </w:tabs>
        <w:numPr>
          <w:ilvl w:val="2"/>
          <w:numId w:val="188"/>
        </w:numPr>
        <w:rPr>
          <w:rFonts w:ascii="Arial" w:cs="Arial" w:eastAsia="Arial" w:hAnsi="Arial"/>
          <w:sz w:val="18"/>
          <w:szCs w:val="18"/>
          <w:color w:val="auto"/>
        </w:rPr>
      </w:pPr>
      <w:r>
        <w:rPr>
          <w:rFonts w:ascii="Arial" w:cs="Arial" w:eastAsia="Arial" w:hAnsi="Arial"/>
          <w:sz w:val="18"/>
          <w:szCs w:val="18"/>
          <w:color w:val="auto"/>
        </w:rPr>
        <w:t>During a period of two years from the effective date of the Registration Statement, to furnish to its stockholders by the applicable Commission filing deadline after the end of each fiscal year an annual report (including a balance sheet and statements of income, stockholders’ equity and cash flows of the Company and its consolidated subsidiaries certified by independent public accountants) and, by the applicable Commission filing deadline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however, that the Company may satisfy the requirements of this Section 5(f) by filing such information through the Commission’s EDGAR;</w:t>
      </w:r>
    </w:p>
    <w:p>
      <w:pPr>
        <w:spacing w:after="0" w:line="92" w:lineRule="exact"/>
        <w:rPr>
          <w:rFonts w:ascii="Arial" w:cs="Arial" w:eastAsia="Arial" w:hAnsi="Arial"/>
          <w:sz w:val="18"/>
          <w:szCs w:val="18"/>
          <w:color w:val="auto"/>
        </w:rPr>
      </w:pPr>
    </w:p>
    <w:p>
      <w:pPr>
        <w:jc w:val="both"/>
        <w:ind w:right="20" w:firstLine="238"/>
        <w:spacing w:after="0" w:line="269" w:lineRule="auto"/>
        <w:tabs>
          <w:tab w:leader="none" w:pos="699" w:val="left"/>
        </w:tabs>
        <w:numPr>
          <w:ilvl w:val="3"/>
          <w:numId w:val="188"/>
        </w:numPr>
        <w:rPr>
          <w:rFonts w:ascii="Arial" w:cs="Arial" w:eastAsia="Arial" w:hAnsi="Arial"/>
          <w:sz w:val="16"/>
          <w:szCs w:val="16"/>
          <w:color w:val="auto"/>
        </w:rPr>
      </w:pPr>
      <w:r>
        <w:rPr>
          <w:rFonts w:ascii="Arial" w:cs="Arial" w:eastAsia="Arial" w:hAnsi="Arial"/>
          <w:sz w:val="16"/>
          <w:szCs w:val="16"/>
          <w:color w:val="auto"/>
        </w:rPr>
        <w:t>During a period of two years from the effective date of the Registration Statement, so long as the Company is subject to the reporting requirements of either Section 13 or Section 15(d) of the Exchange Act, to furnish to the Representatives copies of all reports or other communications (financial or other) furnished to stockholders, and to deliver to the Representatives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the Representatives may from time to time reasonably request (such financial statements to be on a consolidated basis to the extent the accounts of the Company and its subsidiaries are consolidated in reports furnished to its stockholders generally or to the Commission); provided, however, that the Company may satisfy the requirements of this Section 5(g) by filing such information through the Commission’s EDGAR and that no such information need to be furnished pursuant to this Section 5(g) if such provision would require disclosure by the Company under Regulation FD;</w:t>
      </w:r>
    </w:p>
    <w:p>
      <w:pPr>
        <w:spacing w:after="0" w:line="67" w:lineRule="exact"/>
        <w:rPr>
          <w:rFonts w:ascii="Arial" w:cs="Arial" w:eastAsia="Arial" w:hAnsi="Arial"/>
          <w:sz w:val="16"/>
          <w:szCs w:val="16"/>
          <w:color w:val="auto"/>
        </w:rPr>
      </w:pPr>
    </w:p>
    <w:p>
      <w:pPr>
        <w:ind w:right="20" w:firstLine="250"/>
        <w:spacing w:after="0" w:line="239" w:lineRule="auto"/>
        <w:tabs>
          <w:tab w:leader="none" w:pos="72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Pricing Prospectus under the caption “Use of Proceeds”;</w:t>
      </w:r>
    </w:p>
    <w:p>
      <w:pPr>
        <w:spacing w:after="0" w:line="89" w:lineRule="exact"/>
        <w:rPr>
          <w:rFonts w:ascii="Arial" w:cs="Arial" w:eastAsia="Arial" w:hAnsi="Arial"/>
          <w:sz w:val="18"/>
          <w:szCs w:val="18"/>
          <w:color w:val="auto"/>
        </w:rPr>
      </w:pPr>
    </w:p>
    <w:p>
      <w:pPr>
        <w:ind w:left="540" w:hanging="350"/>
        <w:spacing w:after="0"/>
        <w:tabs>
          <w:tab w:leader="none" w:pos="5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To use its best efforts to list for trading, subject to official notice of issuance, the Shares on The Nasdaq Stock Market (the “Exchange”);</w:t>
      </w:r>
    </w:p>
    <w:p>
      <w:pPr>
        <w:spacing w:after="0" w:line="114" w:lineRule="exact"/>
        <w:rPr>
          <w:rFonts w:ascii="Arial" w:cs="Arial" w:eastAsia="Arial" w:hAnsi="Arial"/>
          <w:sz w:val="16"/>
          <w:szCs w:val="16"/>
          <w:color w:val="auto"/>
        </w:rPr>
      </w:pPr>
    </w:p>
    <w:p>
      <w:pPr>
        <w:ind w:left="540" w:hanging="350"/>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10-Q or Form 10-K as may be required by Rule 463 under the Act;</w:t>
      </w:r>
    </w:p>
    <w:p>
      <w:pPr>
        <w:spacing w:after="0" w:line="91" w:lineRule="exact"/>
        <w:rPr>
          <w:rFonts w:ascii="Arial" w:cs="Arial" w:eastAsia="Arial" w:hAnsi="Arial"/>
          <w:sz w:val="18"/>
          <w:szCs w:val="18"/>
          <w:color w:val="auto"/>
        </w:rPr>
      </w:pPr>
    </w:p>
    <w:p>
      <w:pPr>
        <w:jc w:val="both"/>
        <w:ind w:firstLine="250"/>
        <w:spacing w:after="0" w:line="237" w:lineRule="auto"/>
        <w:tabs>
          <w:tab w:leader="none" w:pos="712"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pacing w:after="0" w:line="90" w:lineRule="exact"/>
        <w:rPr>
          <w:rFonts w:ascii="Arial" w:cs="Arial" w:eastAsia="Arial" w:hAnsi="Arial"/>
          <w:sz w:val="18"/>
          <w:szCs w:val="18"/>
          <w:color w:val="auto"/>
        </w:rPr>
      </w:pPr>
    </w:p>
    <w:p>
      <w:pPr>
        <w:jc w:val="both"/>
        <w:ind w:firstLine="293"/>
        <w:spacing w:after="0" w:line="237" w:lineRule="auto"/>
        <w:tabs>
          <w:tab w:leader="none" w:pos="75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 and</w:t>
      </w:r>
    </w:p>
    <w:p>
      <w:pPr>
        <w:spacing w:after="0" w:line="90" w:lineRule="exact"/>
        <w:rPr>
          <w:rFonts w:ascii="Arial" w:cs="Arial" w:eastAsia="Arial" w:hAnsi="Arial"/>
          <w:sz w:val="18"/>
          <w:szCs w:val="18"/>
          <w:color w:val="auto"/>
        </w:rPr>
      </w:pPr>
    </w:p>
    <w:p>
      <w:pPr>
        <w:ind w:right="20" w:firstLine="232"/>
        <w:spacing w:after="0" w:line="239" w:lineRule="auto"/>
        <w:tabs>
          <w:tab w:leader="none" w:pos="732" w:val="left"/>
        </w:tabs>
        <w:numPr>
          <w:ilvl w:val="3"/>
          <w:numId w:val="190"/>
        </w:numPr>
        <w:rPr>
          <w:rFonts w:ascii="Arial" w:cs="Arial" w:eastAsia="Arial" w:hAnsi="Arial"/>
          <w:sz w:val="18"/>
          <w:szCs w:val="18"/>
          <w:color w:val="auto"/>
        </w:rPr>
      </w:pPr>
      <w:r>
        <w:rPr>
          <w:rFonts w:ascii="Arial" w:cs="Arial" w:eastAsia="Arial" w:hAnsi="Arial"/>
          <w:sz w:val="18"/>
          <w:szCs w:val="18"/>
          <w:color w:val="auto"/>
        </w:rPr>
        <w:t>To promptly notify the Representatives if the Company ceases to be an Emerging Growth Company at any time prior to the later of (i) completion of the distribution of the Shares within the meaning of the Act and (ii) the last Time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60"/>
          </w:cols>
          <w:pgMar w:left="320" w:top="1379" w:right="319" w:bottom="1440" w:gutter="0" w:footer="0" w:header="0"/>
        </w:sectPr>
      </w:pPr>
    </w:p>
    <w:bookmarkStart w:id="418" w:name="page419"/>
    <w:bookmarkEnd w:id="418"/>
    <w:p>
      <w:pPr>
        <w:jc w:val="both"/>
        <w:ind w:firstLine="219"/>
        <w:spacing w:after="0" w:line="236" w:lineRule="auto"/>
        <w:tabs>
          <w:tab w:leader="none" w:pos="59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each Selling Stockholder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III(a) hereto;</w:t>
      </w:r>
    </w:p>
    <w:p>
      <w:pPr>
        <w:spacing w:after="0" w:line="92" w:lineRule="exact"/>
        <w:rPr>
          <w:rFonts w:ascii="Arial" w:cs="Arial" w:eastAsia="Arial" w:hAnsi="Arial"/>
          <w:sz w:val="18"/>
          <w:szCs w:val="18"/>
          <w:color w:val="auto"/>
        </w:rPr>
      </w:pPr>
    </w:p>
    <w:p>
      <w:pPr>
        <w:jc w:val="both"/>
        <w:ind w:firstLine="298"/>
        <w:spacing w:after="0" w:line="276" w:lineRule="auto"/>
        <w:tabs>
          <w:tab w:leader="none" w:pos="819" w:val="left"/>
        </w:tabs>
        <w:numPr>
          <w:ilvl w:val="1"/>
          <w:numId w:val="191"/>
        </w:numPr>
        <w:rPr>
          <w:rFonts w:ascii="Arial" w:cs="Arial" w:eastAsia="Arial" w:hAnsi="Arial"/>
          <w:sz w:val="16"/>
          <w:szCs w:val="16"/>
          <w:color w:val="auto"/>
        </w:rPr>
      </w:pPr>
      <w:r>
        <w:rPr>
          <w:rFonts w:ascii="Arial" w:cs="Arial" w:eastAsia="Arial" w:hAnsi="Arial"/>
          <w:sz w:val="16"/>
          <w:szCs w:val="16"/>
          <w:color w:val="auto"/>
        </w:rPr>
        <w:t>For so long as the Company is an “ineligible issuer” as defined in Rule 405 of the Act, it will not use or refer to any free writing prospectus, except as permitted pursuant to Rule 164(e)(2) of the Act and in accordance with Section 6(a) hereof, and it will not take any action that would result in an Underwriter or the Company being required to file with the Commission pursuant to Rule 433(d) under the Act a free writing prospectus prepared by or on behalf of the Underwriter that the Underwriter otherwise would not have been required to file thereunder;</w:t>
      </w:r>
    </w:p>
    <w:p>
      <w:pPr>
        <w:spacing w:after="0" w:line="62" w:lineRule="exact"/>
        <w:rPr>
          <w:sz w:val="20"/>
          <w:szCs w:val="20"/>
          <w:color w:val="auto"/>
        </w:rPr>
      </w:pPr>
    </w:p>
    <w:p>
      <w:pPr>
        <w:jc w:val="both"/>
        <w:ind w:firstLine="202"/>
        <w:spacing w:after="0" w:line="236" w:lineRule="auto"/>
        <w:tabs>
          <w:tab w:leader="none" w:pos="61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agrees that if at any time following the issuance or other distribution of an Issuer Free Writing Prospectus, Written Testing-the-Waters Communication or road show any event occurred or occurs as a result of which such Issuer Free Writing Prospectus, Written Testing-the-Waters Communication or road show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appropriate document which will correct such conflict, statement or omission; provided, however, that this paragraph shall not apply to any statements or omissions in an Issuer Free Writing Prospectus or Written Testing-the-Waters Communication made in reliance upon and in conformity with the Underwriter Information;</w:t>
      </w:r>
    </w:p>
    <w:p>
      <w:pPr>
        <w:spacing w:after="0" w:line="92" w:lineRule="exact"/>
        <w:rPr>
          <w:rFonts w:ascii="Arial" w:cs="Arial" w:eastAsia="Arial" w:hAnsi="Arial"/>
          <w:sz w:val="18"/>
          <w:szCs w:val="18"/>
          <w:color w:val="auto"/>
        </w:rPr>
      </w:pPr>
    </w:p>
    <w:p>
      <w:pPr>
        <w:jc w:val="both"/>
        <w:ind w:right="20" w:firstLine="210"/>
        <w:spacing w:after="0" w:line="236" w:lineRule="auto"/>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(a)(8), (a)(9), (a)(12) or (a)(13)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w:t>
      </w:r>
    </w:p>
    <w:p>
      <w:pPr>
        <w:spacing w:after="0" w:line="92" w:lineRule="exact"/>
        <w:rPr>
          <w:rFonts w:ascii="Arial" w:cs="Arial" w:eastAsia="Arial" w:hAnsi="Arial"/>
          <w:sz w:val="18"/>
          <w:szCs w:val="18"/>
          <w:color w:val="auto"/>
        </w:rPr>
      </w:pPr>
    </w:p>
    <w:p>
      <w:pPr>
        <w:jc w:val="both"/>
        <w:ind w:right="20" w:firstLine="276"/>
        <w:spacing w:after="0" w:line="238" w:lineRule="auto"/>
        <w:tabs>
          <w:tab w:leader="none" w:pos="775" w:val="left"/>
        </w:tabs>
        <w:numPr>
          <w:ilvl w:val="1"/>
          <w:numId w:val="192"/>
        </w:numPr>
        <w:rPr>
          <w:rFonts w:ascii="Arial" w:cs="Arial" w:eastAsia="Arial" w:hAnsi="Arial"/>
          <w:sz w:val="18"/>
          <w:szCs w:val="18"/>
          <w:color w:val="auto"/>
        </w:rPr>
      </w:pPr>
      <w:r>
        <w:rPr>
          <w:rFonts w:ascii="Arial" w:cs="Arial" w:eastAsia="Arial" w:hAnsi="Arial"/>
          <w:sz w:val="18"/>
          <w:szCs w:val="18"/>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(a)(8), (a)(9), (a)(12) or (a)(13)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60"/>
          </w:cols>
          <w:pgMar w:left="320" w:top="1378" w:right="319" w:bottom="1440" w:gutter="0" w:footer="0" w:header="0"/>
        </w:sectPr>
      </w:pPr>
    </w:p>
    <w:bookmarkStart w:id="419" w:name="page420"/>
    <w:bookmarkEnd w:id="419"/>
    <w:p>
      <w:pPr>
        <w:jc w:val="both"/>
        <w:ind w:firstLine="569"/>
        <w:spacing w:after="0" w:line="266" w:lineRule="auto"/>
        <w:tabs>
          <w:tab w:leader="none" w:pos="917"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(a) the Company will pay or cause to be paid the following: (i) the fees, disbursements and expenses of the Company’s counsel and accountants in connection with the registration of the Shares under the Act and all other expenses incurred in connection with the preparation, printing, reproduction and filing of the Registration Statement, any Preliminary Prospectus, any Written Testing-the-Waters Communication, any Issuer Free Writing Prospectus, any road show and the Prospectus and amendments and supplements thereto and the mailing and delivering of copies thereof to the Underwriters and dealers; (ii) the cost of printing or producing any Agreement among Underwriters, this Agreement, the Blue Sky Memorandum, if any, closing documents (including any compilations thereof) and any other documents in connection with the offering, purchase, sale and delivery of the Shares; (iii) all expenses incurred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 (iv) all fees and expenses in connection with listing the Shares on the Exchange; and (v) the filing fees incident to, and the reasonable and documented fees and disbursements of counsel for the Underwriters in connection with, any required review by FINRA of the terms of the sale of the Shares in an amount not to exceed $50,000; and (b) the Company will pay or cause to be paid: (i) the cost of preparing stock certificates; if applicable (ii) the cost and charges of any transfer agent or registrar, (iii) all other reasonable costs and expenses incident to the performance of its obligations hereunder which are not otherwise specifically provided for in this Section and (iv) any fees and disbursements of counsel for the Selling Stockholders. The Representatives agree to pay New York State stock transfer tax, and the Selling Stockholders agree to reimburse the Representatives for associated carrying costs if such tax payment is not rebated on the day of payment and for any portion of such tax payment not rebated. It is understood, however, that the Company shall bear, and the Selling Stockholders shall not be required to pay or to reimburse the Company for, the cost of any other matters not directly relating to the sale and purchase of the Shares pursuant to this Agreement, and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200" w:lineRule="exact"/>
        <w:rPr>
          <w:rFonts w:ascii="Arial" w:cs="Arial" w:eastAsia="Arial" w:hAnsi="Arial"/>
          <w:sz w:val="16"/>
          <w:szCs w:val="16"/>
          <w:color w:val="auto"/>
        </w:rPr>
      </w:pPr>
    </w:p>
    <w:p>
      <w:pPr>
        <w:spacing w:after="0" w:line="287" w:lineRule="exact"/>
        <w:rPr>
          <w:rFonts w:ascii="Arial" w:cs="Arial" w:eastAsia="Arial" w:hAnsi="Arial"/>
          <w:sz w:val="16"/>
          <w:szCs w:val="16"/>
          <w:color w:val="auto"/>
        </w:rPr>
      </w:pPr>
    </w:p>
    <w:p>
      <w:pPr>
        <w:jc w:val="both"/>
        <w:ind w:right="20" w:firstLine="569"/>
        <w:spacing w:after="0" w:line="276" w:lineRule="auto"/>
        <w:tabs>
          <w:tab w:leader="none" w:pos="968"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obligations of the Underwriters hereunder, as to the Shares to be delivered at each Time of Delivery, shall be subject, in their discretion, to the condition that all representations and warranties and other statements of the Company and the Selling Stockholders herein are, at and as of the Applicable Time and such Time of Delivery, true and correct, the condition that the Company and the Selling Stockholders shall have performed all of its and their respective obligations hereunder theretofore to be performed, and the following additional conditions:</w:t>
      </w:r>
    </w:p>
    <w:p>
      <w:pPr>
        <w:spacing w:after="0" w:line="61" w:lineRule="exact"/>
        <w:rPr>
          <w:rFonts w:ascii="Arial" w:cs="Arial" w:eastAsia="Arial" w:hAnsi="Arial"/>
          <w:sz w:val="16"/>
          <w:szCs w:val="16"/>
          <w:color w:val="auto"/>
        </w:rPr>
      </w:pPr>
    </w:p>
    <w:p>
      <w:pPr>
        <w:jc w:val="both"/>
        <w:ind w:firstLine="276"/>
        <w:spacing w:after="0" w:line="236" w:lineRule="auto"/>
        <w:tabs>
          <w:tab w:leader="none" w:pos="77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60"/>
          </w:cols>
          <w:pgMar w:left="320" w:top="1378" w:right="319" w:bottom="1440" w:gutter="0" w:footer="0" w:header="0"/>
        </w:sectPr>
      </w:pPr>
    </w:p>
    <w:bookmarkStart w:id="420" w:name="page421"/>
    <w:bookmarkEnd w:id="420"/>
    <w:p>
      <w:pPr>
        <w:jc w:val="both"/>
        <w:spacing w:after="0" w:line="238" w:lineRule="auto"/>
        <w:rPr>
          <w:sz w:val="20"/>
          <w:szCs w:val="20"/>
          <w:color w:val="auto"/>
        </w:rPr>
      </w:pPr>
      <w:r>
        <w:rPr>
          <w:rFonts w:ascii="Arial" w:cs="Arial" w:eastAsia="Arial" w:hAnsi="Arial"/>
          <w:sz w:val="18"/>
          <w:szCs w:val="18"/>
          <w:color w:val="auto"/>
        </w:rPr>
        <w:t>suspending or preventing the use of the Pricing Prospectus, Prospectus or any Issuer Free Writing Prospectus shall have been initiated or threatened by the Commission; and all requests for additional information on the part of the Commission shall have been complied with to the Representatives’ reasonable satisfaction;</w:t>
      </w:r>
    </w:p>
    <w:p>
      <w:pPr>
        <w:spacing w:after="0" w:line="89" w:lineRule="exact"/>
        <w:rPr>
          <w:sz w:val="20"/>
          <w:szCs w:val="20"/>
          <w:color w:val="auto"/>
        </w:rPr>
      </w:pPr>
    </w:p>
    <w:p>
      <w:pPr>
        <w:jc w:val="both"/>
        <w:ind w:firstLine="219"/>
        <w:spacing w:after="0" w:line="238" w:lineRule="auto"/>
        <w:tabs>
          <w:tab w:leader="none" w:pos="66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Davis Polk &amp; Wardwell LLP, counsel for the Underwriters, shall have furnished to the Representatives their written opinion and negative assurance letter, dated such Time of Delivery, in form and substance reasonably satisfactory to the Representatives, and such counsel shall have received such papers and information as they may reasonably request to enable them to pass upon such matters;</w:t>
      </w:r>
    </w:p>
    <w:p>
      <w:pPr>
        <w:spacing w:after="0" w:line="89" w:lineRule="exact"/>
        <w:rPr>
          <w:rFonts w:ascii="Arial" w:cs="Arial" w:eastAsia="Arial" w:hAnsi="Arial"/>
          <w:sz w:val="18"/>
          <w:szCs w:val="18"/>
          <w:color w:val="auto"/>
        </w:rPr>
      </w:pPr>
    </w:p>
    <w:p>
      <w:pPr>
        <w:jc w:val="both"/>
        <w:ind w:right="20" w:firstLine="199"/>
        <w:spacing w:after="0" w:line="237" w:lineRule="auto"/>
        <w:tabs>
          <w:tab w:leader="none" w:pos="61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 Cravath Swaine &amp; Moore LLP, counsel for the Company, shall have furnished to the Representatives their written opinion and negative assurance letter, dated such Time of Delivery, in form and substance reasonably satisfactory to the Representatives, and (ii) Wilmer Cutler Pickering Hale and Dorr LLP, regulatory counsel for the Company, shall have furnished to the Representatives their written opinion, dated such Time of Delivery, in form and substance reasonably satisfactory to the Representatives;</w:t>
      </w:r>
    </w:p>
    <w:p>
      <w:pPr>
        <w:spacing w:after="0" w:line="90" w:lineRule="exact"/>
        <w:rPr>
          <w:rFonts w:ascii="Arial" w:cs="Arial" w:eastAsia="Arial" w:hAnsi="Arial"/>
          <w:sz w:val="18"/>
          <w:szCs w:val="18"/>
          <w:color w:val="auto"/>
        </w:rPr>
      </w:pPr>
    </w:p>
    <w:p>
      <w:pPr>
        <w:jc w:val="both"/>
        <w:ind w:firstLine="303"/>
        <w:spacing w:after="0" w:line="238" w:lineRule="auto"/>
        <w:tabs>
          <w:tab w:leader="none" w:pos="826" w:val="left"/>
        </w:tabs>
        <w:numPr>
          <w:ilvl w:val="3"/>
          <w:numId w:val="196"/>
        </w:numPr>
        <w:rPr>
          <w:rFonts w:ascii="Arial" w:cs="Arial" w:eastAsia="Arial" w:hAnsi="Arial"/>
          <w:sz w:val="18"/>
          <w:szCs w:val="18"/>
          <w:color w:val="auto"/>
        </w:rPr>
      </w:pPr>
      <w:r>
        <w:rPr>
          <w:rFonts w:ascii="Arial" w:cs="Arial" w:eastAsia="Arial" w:hAnsi="Arial"/>
          <w:sz w:val="18"/>
          <w:szCs w:val="18"/>
          <w:color w:val="auto"/>
        </w:rPr>
        <w:t>The respective counsel for each of the Selling Stockholders, as indicated in Schedule II hereto, each shall have furnished to the Representatives their written opinion with respect to each of the Selling Stockholders for whom they are acting as counsel, dated the First Time of Delivery, in form and substance reasonably satisfactory to the Representatives;</w:t>
      </w:r>
    </w:p>
    <w:p>
      <w:pPr>
        <w:spacing w:after="0" w:line="89" w:lineRule="exact"/>
        <w:rPr>
          <w:rFonts w:ascii="Arial" w:cs="Arial" w:eastAsia="Arial" w:hAnsi="Arial"/>
          <w:sz w:val="18"/>
          <w:szCs w:val="18"/>
          <w:color w:val="auto"/>
        </w:rPr>
      </w:pPr>
    </w:p>
    <w:p>
      <w:pPr>
        <w:jc w:val="both"/>
        <w:ind w:right="20" w:firstLine="213"/>
        <w:spacing w:after="0" w:line="237" w:lineRule="auto"/>
        <w:tabs>
          <w:tab w:leader="none" w:pos="650" w:val="left"/>
        </w:tabs>
        <w:numPr>
          <w:ilvl w:val="2"/>
          <w:numId w:val="196"/>
        </w:numPr>
        <w:rPr>
          <w:rFonts w:ascii="Arial" w:cs="Arial" w:eastAsia="Arial" w:hAnsi="Arial"/>
          <w:sz w:val="18"/>
          <w:szCs w:val="18"/>
          <w:color w:val="auto"/>
        </w:rPr>
      </w:pPr>
      <w:r>
        <w:rPr>
          <w:rFonts w:ascii="Arial" w:cs="Arial" w:eastAsia="Arial" w:hAnsi="Arial"/>
          <w:sz w:val="18"/>
          <w:szCs w:val="18"/>
          <w:color w:val="auto"/>
        </w:rPr>
        <w:t>On the date of the Prospectus concurrently with the execution of this Agreement, at 9:30 a.m., New York City time, on the effective date of any post-effective amendment to the Registration Statement filed subsequent to the date of this Agreement and also at each Time of Delivery, Ernst &amp; Young LLP shall have furnished to the Representatives a letter or letters, dated the respective dates of delivery thereof, in form and substance reasonably satisfactory to the Representatives;</w:t>
      </w:r>
    </w:p>
    <w:p>
      <w:pPr>
        <w:spacing w:after="0" w:line="90" w:lineRule="exact"/>
        <w:rPr>
          <w:rFonts w:ascii="Arial" w:cs="Arial" w:eastAsia="Arial" w:hAnsi="Arial"/>
          <w:sz w:val="18"/>
          <w:szCs w:val="18"/>
          <w:color w:val="auto"/>
        </w:rPr>
      </w:pPr>
    </w:p>
    <w:p>
      <w:pPr>
        <w:jc w:val="both"/>
        <w:ind w:firstLine="195"/>
        <w:spacing w:after="0" w:line="237" w:lineRule="auto"/>
        <w:tabs>
          <w:tab w:leader="none" w:pos="56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On the date of the Prospectus concurrently with the execution of this Agreement, at 9:30 a.m., New York City time, on the effective date of any post-effective amendment to the Registration Statement filed subsequent to the date of this Agreement and also at each Time of Delivery, the Company shall have furnished to the Representatives a certificate or certificates, dated the respective dates of delivery thereof,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89" w:lineRule="exact"/>
        <w:rPr>
          <w:rFonts w:ascii="Arial" w:cs="Arial" w:eastAsia="Arial" w:hAnsi="Arial"/>
          <w:sz w:val="18"/>
          <w:szCs w:val="18"/>
          <w:color w:val="auto"/>
        </w:rPr>
      </w:pPr>
    </w:p>
    <w:p>
      <w:pPr>
        <w:jc w:val="both"/>
        <w:ind w:firstLine="195"/>
        <w:spacing w:after="0" w:line="236" w:lineRule="auto"/>
        <w:tabs>
          <w:tab w:leader="none" w:pos="61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(B) since the respective dates as of which information is given in the Pricing Prospectus there shall not have been any change in the capital stock (other than as a result of (1) the exercise of stock options or settlement of restricted stock units (including any “net “ or “cashless” exercises or settlements), or the award of stock options, restricted stock units, restricted stock or other awards in the ordinary course of business pursuant to the Company’s equity incentive plans described in the Pricing Prospectus and the Prospectus, (2) the repurchase of shares of Stock upon termination of the holder’s employment or service with the Company pursuant to agreements providing for an option to repurchase or a right of first refusal on behalf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60"/>
          </w:cols>
          <w:pgMar w:left="320" w:top="1378" w:right="319" w:bottom="1440" w:gutter="0" w:footer="0" w:header="0"/>
        </w:sectPr>
      </w:pPr>
    </w:p>
    <w:bookmarkStart w:id="421" w:name="page422"/>
    <w:bookmarkEnd w:id="421"/>
    <w:p>
      <w:pPr>
        <w:jc w:val="both"/>
        <w:spacing w:after="0" w:line="269" w:lineRule="auto"/>
        <w:rPr>
          <w:sz w:val="20"/>
          <w:szCs w:val="20"/>
          <w:color w:val="auto"/>
        </w:rPr>
      </w:pPr>
      <w:r>
        <w:rPr>
          <w:rFonts w:ascii="Arial" w:cs="Arial" w:eastAsia="Arial" w:hAnsi="Arial"/>
          <w:sz w:val="16"/>
          <w:szCs w:val="16"/>
          <w:color w:val="auto"/>
        </w:rPr>
        <w:t>Company or (3) the issuance, if any, of Stock upon exercise or conversion of Company securities as described in the Pricing Prospectus or Prospectus) or any increase in long-term debt of the Company or any of its subsidiaries or any change or effect in or affecting (x) the business, properties, general affairs, management, financial position, stockholders' equity or results of operations of the Company and its subsidiaries, taken as a whole, except as set forth or contemplated in the Pricing Prospectus and the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71" w:lineRule="exact"/>
        <w:rPr>
          <w:sz w:val="20"/>
          <w:szCs w:val="20"/>
          <w:color w:val="auto"/>
        </w:rPr>
      </w:pPr>
    </w:p>
    <w:p>
      <w:pPr>
        <w:ind w:left="600" w:hanging="410"/>
        <w:spacing w:after="0"/>
        <w:tabs>
          <w:tab w:leader="none" w:pos="6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[reserved]</w:t>
      </w:r>
    </w:p>
    <w:p>
      <w:pPr>
        <w:spacing w:after="0" w:line="91" w:lineRule="exact"/>
        <w:rPr>
          <w:rFonts w:ascii="Arial" w:cs="Arial" w:eastAsia="Arial" w:hAnsi="Arial"/>
          <w:sz w:val="18"/>
          <w:szCs w:val="18"/>
          <w:color w:val="auto"/>
        </w:rPr>
      </w:pPr>
    </w:p>
    <w:p>
      <w:pPr>
        <w:jc w:val="both"/>
        <w:ind w:firstLine="258"/>
        <w:spacing w:after="0" w:line="236" w:lineRule="auto"/>
        <w:tabs>
          <w:tab w:leader="none" w:pos="68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On or after the Applicable Time there shall not have occurred any of the following: (i) a suspension or material limitation in trading in securities generally on the Exchange or the New York Stock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92" w:lineRule="exact"/>
        <w:rPr>
          <w:rFonts w:ascii="Arial" w:cs="Arial" w:eastAsia="Arial" w:hAnsi="Arial"/>
          <w:sz w:val="18"/>
          <w:szCs w:val="18"/>
          <w:color w:val="auto"/>
        </w:rPr>
      </w:pPr>
    </w:p>
    <w:p>
      <w:pPr>
        <w:ind w:left="540" w:hanging="350"/>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Shares to be sold at such Time of Delivery shall have been duly listed, subject to official notice of issuance, on the Exchange;</w:t>
      </w:r>
    </w:p>
    <w:p>
      <w:pPr>
        <w:spacing w:after="0" w:line="91" w:lineRule="exact"/>
        <w:rPr>
          <w:rFonts w:ascii="Arial" w:cs="Arial" w:eastAsia="Arial" w:hAnsi="Arial"/>
          <w:sz w:val="18"/>
          <w:szCs w:val="18"/>
          <w:color w:val="auto"/>
        </w:rPr>
      </w:pPr>
    </w:p>
    <w:p>
      <w:pPr>
        <w:jc w:val="both"/>
        <w:ind w:right="20" w:firstLine="240"/>
        <w:spacing w:after="0" w:line="238" w:lineRule="auto"/>
        <w:tabs>
          <w:tab w:leader="none" w:pos="689"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Underwriters executed copies of an agreement from each officer, director, and stockholder of the Company listed on Schedule IV hereto, substantially to the effect set forth in Annex II hereto in form and substance satisfactory to the Representatives;</w:t>
      </w:r>
    </w:p>
    <w:p>
      <w:pPr>
        <w:spacing w:after="0" w:line="89" w:lineRule="exact"/>
        <w:rPr>
          <w:rFonts w:ascii="Arial" w:cs="Arial" w:eastAsia="Arial" w:hAnsi="Arial"/>
          <w:sz w:val="18"/>
          <w:szCs w:val="18"/>
          <w:color w:val="auto"/>
        </w:rPr>
      </w:pPr>
    </w:p>
    <w:p>
      <w:pPr>
        <w:ind w:right="20" w:firstLine="233"/>
        <w:spacing w:after="0" w:line="239" w:lineRule="auto"/>
        <w:tabs>
          <w:tab w:leader="none" w:pos="627"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 and</w:t>
      </w:r>
    </w:p>
    <w:p>
      <w:pPr>
        <w:spacing w:after="0" w:line="89" w:lineRule="exact"/>
        <w:rPr>
          <w:rFonts w:ascii="Arial" w:cs="Arial" w:eastAsia="Arial" w:hAnsi="Arial"/>
          <w:sz w:val="18"/>
          <w:szCs w:val="18"/>
          <w:color w:val="auto"/>
        </w:rPr>
      </w:pPr>
    </w:p>
    <w:p>
      <w:pPr>
        <w:jc w:val="both"/>
        <w:ind w:firstLine="270"/>
        <w:spacing w:after="0" w:line="236" w:lineRule="auto"/>
        <w:tabs>
          <w:tab w:leader="none" w:pos="809" w:val="left"/>
        </w:tabs>
        <w:numPr>
          <w:ilvl w:val="3"/>
          <w:numId w:val="199"/>
        </w:numPr>
        <w:rPr>
          <w:rFonts w:ascii="Arial" w:cs="Arial" w:eastAsia="Arial" w:hAnsi="Arial"/>
          <w:sz w:val="18"/>
          <w:szCs w:val="18"/>
          <w:color w:val="auto"/>
        </w:rPr>
      </w:pPr>
      <w:r>
        <w:rPr>
          <w:rFonts w:ascii="Arial" w:cs="Arial" w:eastAsia="Arial" w:hAnsi="Arial"/>
          <w:sz w:val="18"/>
          <w:szCs w:val="18"/>
          <w:color w:val="auto"/>
        </w:rPr>
        <w:t>The Company and the Selling Stockholders shall have furnished or caused to be furnished to the Representatives at such Time of Delivery certificates of officers of the Company and of the Selling Stockholders, respectively, satisfactory to the Representatives as to the accuracy of the representations and warranties of the Company and the Selling Stockholders, respectively, herein at and as of such Time of Delivery, as to the performance by the Company and the Selling Stockholders of all of their respective obligations hereunder to be performed at or prior to such Time of Delivery, as to such other matters as the Representatives may reasonably request, and the Company shall have furnished or caused to be furnished certificates as to the matters set forth in subsections (a) and (g) of this Section 8.</w:t>
      </w:r>
    </w:p>
    <w:p>
      <w:pPr>
        <w:spacing w:after="0" w:line="93" w:lineRule="exact"/>
        <w:rPr>
          <w:rFonts w:ascii="Arial" w:cs="Arial" w:eastAsia="Arial" w:hAnsi="Arial"/>
          <w:sz w:val="18"/>
          <w:szCs w:val="18"/>
          <w:color w:val="auto"/>
        </w:rPr>
      </w:pPr>
    </w:p>
    <w:p>
      <w:pPr>
        <w:ind w:right="20" w:firstLine="569"/>
        <w:spacing w:after="0" w:line="239" w:lineRule="auto"/>
        <w:tabs>
          <w:tab w:leader="none" w:pos="1021" w:val="left"/>
        </w:tabs>
        <w:numPr>
          <w:ilvl w:val="4"/>
          <w:numId w:val="199"/>
        </w:numPr>
        <w:rPr>
          <w:rFonts w:ascii="Arial" w:cs="Arial" w:eastAsia="Arial" w:hAnsi="Arial"/>
          <w:sz w:val="18"/>
          <w:szCs w:val="18"/>
          <w:color w:val="auto"/>
        </w:rPr>
      </w:pPr>
      <w:r>
        <w:rPr>
          <w:rFonts w:ascii="Arial" w:cs="Arial" w:eastAsia="Arial" w:hAnsi="Arial"/>
          <w:sz w:val="18"/>
          <w:szCs w:val="18"/>
          <w:color w:val="auto"/>
        </w:rPr>
        <w:t>(a) The Company will indemnify and hold harmless each Underwriter against any losses, claims, damages or liabilities, joint or several, to which such Underwriter may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60"/>
          </w:cols>
          <w:pgMar w:left="320" w:top="1379" w:right="319" w:bottom="1440" w:gutter="0" w:footer="0" w:header="0"/>
        </w:sectPr>
      </w:pPr>
    </w:p>
    <w:bookmarkStart w:id="422" w:name="page423"/>
    <w:bookmarkEnd w:id="422"/>
    <w:p>
      <w:pPr>
        <w:jc w:val="both"/>
        <w:spacing w:after="0" w:line="268" w:lineRule="auto"/>
        <w:rPr>
          <w:sz w:val="20"/>
          <w:szCs w:val="20"/>
          <w:color w:val="auto"/>
        </w:rPr>
      </w:pPr>
      <w:r>
        <w:rPr>
          <w:rFonts w:ascii="Arial" w:cs="Arial" w:eastAsia="Arial" w:hAnsi="Arial"/>
          <w:sz w:val="16"/>
          <w:szCs w:val="16"/>
          <w:color w:val="auto"/>
        </w:rPr>
        <w:t>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 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any road show or any Testing-the-Waters Communication, in reliance upon and in conformity with the Underwriter Information.</w:t>
      </w:r>
    </w:p>
    <w:p>
      <w:pPr>
        <w:spacing w:after="0" w:line="276" w:lineRule="exact"/>
        <w:rPr>
          <w:sz w:val="20"/>
          <w:szCs w:val="20"/>
          <w:color w:val="auto"/>
        </w:rPr>
      </w:pPr>
    </w:p>
    <w:p>
      <w:pPr>
        <w:jc w:val="both"/>
        <w:ind w:firstLine="569"/>
        <w:spacing w:after="0" w:line="267" w:lineRule="auto"/>
        <w:tabs>
          <w:tab w:leader="none" w:pos="111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Each of the Selling Stockholders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 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 show or any Testing-the-Waters Communication, in reliance upon and in conformity with the Selling Stockholder Information; and will reimburse each Underwriter for any legal or other expenses reasonably incurred by such Underwriter in connection with investigating or defending any such action or claim as such expenses are incurred; provided, however, that such Selling Stockholder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road show in reliance upon and in conformity with the Underwriter Information.</w:t>
      </w:r>
    </w:p>
    <w:p>
      <w:pPr>
        <w:spacing w:after="0" w:line="277" w:lineRule="exact"/>
        <w:rPr>
          <w:rFonts w:ascii="Arial" w:cs="Arial" w:eastAsia="Arial" w:hAnsi="Arial"/>
          <w:sz w:val="16"/>
          <w:szCs w:val="16"/>
          <w:color w:val="auto"/>
        </w:rPr>
      </w:pPr>
    </w:p>
    <w:p>
      <w:pPr>
        <w:jc w:val="both"/>
        <w:ind w:firstLine="569"/>
        <w:spacing w:after="0" w:line="236" w:lineRule="auto"/>
        <w:tabs>
          <w:tab w:leader="none" w:pos="83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Each Underwriter, severally and not jointly, will indemnify and hold harmless the Company and each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 show, or any Testing-the-Waters Communication, or arise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60"/>
          </w:cols>
          <w:pgMar w:left="320" w:top="1379" w:right="319" w:bottom="1440" w:gutter="0" w:footer="0" w:header="0"/>
        </w:sectPr>
      </w:pPr>
    </w:p>
    <w:bookmarkStart w:id="423" w:name="page424"/>
    <w:bookmarkEnd w:id="423"/>
    <w:p>
      <w:pPr>
        <w:jc w:val="both"/>
        <w:spacing w:after="0" w:line="236" w:lineRule="auto"/>
        <w:rPr>
          <w:sz w:val="20"/>
          <w:szCs w:val="20"/>
          <w:color w:val="auto"/>
        </w:rPr>
      </w:pPr>
      <w:r>
        <w:rPr>
          <w:rFonts w:ascii="Arial" w:cs="Arial" w:eastAsia="Arial" w:hAnsi="Arial"/>
          <w:sz w:val="18"/>
          <w:szCs w:val="18"/>
          <w:color w:val="auto"/>
        </w:rPr>
        <w:t>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 show, or any Testing-the-Waters Communication, in reliance upon and in conformity with the Underwriter Information; and will reimburse the Company and each Selling Stockholder for any legal or other expenses reasonably incurred by the Company or such Selling Stockholder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(i) the names of the Underwriters appearing on the front and back cover pages of the Prospectus, (ii) the names of the Underwriters set forth in the table of Underwriters in the first paragraph of text under the caption “Underwriting (Conflicts of Interest)”, (iii) the concession and reallowance figures appearing in the third paragraph under the caption “Underwriting (Conflicts of Interest)”, and (iv) the information concerning stabilization and the option to purchase additional shares in the eighteenth paragraph under the caption “Underwriting (Conflicts of Interest)”.</w:t>
      </w:r>
    </w:p>
    <w:p>
      <w:pPr>
        <w:spacing w:after="0" w:line="90" w:lineRule="exact"/>
        <w:rPr>
          <w:sz w:val="20"/>
          <w:szCs w:val="20"/>
          <w:color w:val="auto"/>
        </w:rPr>
      </w:pPr>
    </w:p>
    <w:p>
      <w:pPr>
        <w:jc w:val="both"/>
        <w:ind w:firstLine="569"/>
        <w:spacing w:after="0" w:line="267" w:lineRule="auto"/>
        <w:tabs>
          <w:tab w:leader="none" w:pos="98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(b) or (c)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It is understood that the indemnifying party or parties shall not, in connection with any one action or proceeding or separate but substantially similar actions or proceedings arising out of the same general allegations, be liable for the fees and expenses of more than one separate firm of attorneys at any time for all indemnified parties except to the extent that (i) local counsel or counsel with specialized expertise (in addition to any regular counsel) is required to effectively defend against any such action or proceeding; (ii) the indemnifying party and the indemnified party shall have mutually agreed in writing to the contrary; (iii) the indemnifying party has failed within a reasonable time to retain counsel reasonably satisfactory to the indemnified party; (iv)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60"/>
          </w:cols>
          <w:pgMar w:left="320" w:top="1378" w:right="319" w:bottom="1440" w:gutter="0" w:footer="0" w:header="0"/>
        </w:sectPr>
      </w:pPr>
    </w:p>
    <w:bookmarkStart w:id="424" w:name="page425"/>
    <w:bookmarkEnd w:id="424"/>
    <w:p>
      <w:pPr>
        <w:jc w:val="both"/>
        <w:spacing w:after="0" w:line="236" w:lineRule="auto"/>
        <w:rPr>
          <w:sz w:val="20"/>
          <w:szCs w:val="20"/>
          <w:color w:val="auto"/>
        </w:rPr>
      </w:pPr>
      <w:r>
        <w:rPr>
          <w:rFonts w:ascii="Arial" w:cs="Arial" w:eastAsia="Arial" w:hAnsi="Arial"/>
          <w:sz w:val="18"/>
          <w:szCs w:val="18"/>
          <w:color w:val="auto"/>
        </w:rPr>
        <w:t>indemnified party shall have reasonably concluded that there may be legal defenses available to it that are different from or in addition to those available to the indemnifying party; or (v) the named parties in any such proceeding (including any impleaded parties) include both the indemnifying party and the indemnified party and representation of both parties by the same counsel would be inappropriate due to actual or potential differing interests between them.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92" w:lineRule="exact"/>
        <w:rPr>
          <w:sz w:val="20"/>
          <w:szCs w:val="20"/>
          <w:color w:val="auto"/>
        </w:rPr>
      </w:pPr>
    </w:p>
    <w:p>
      <w:pPr>
        <w:jc w:val="both"/>
        <w:ind w:firstLine="569"/>
        <w:spacing w:after="0" w:line="235" w:lineRule="auto"/>
        <w:tabs>
          <w:tab w:leader="none" w:pos="8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the indemnification provided for in this Section 9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Stockholders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the Selling Stockholders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and the Selling Stockholders on the one hand and the Underwriters on the other shall be deemed to be in the same proportion as the total net proceeds from the offering (net of underwriting discounts and commissions but before deducting expenses) received by the Company and the Selling Stockholders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Selling Stockholders on the one hand (provided that, with respect to the Selling Stockholders, such determination shall be limited by reference to only the Selling Stockholder Information) or the Underwriters on the other and the parties' relative intent, knowledge, access to information and opportunity to correct or prevent such statement or omission. The Company, each of the Selling Stockholders and the Underwriters agree that it would not be just and equitable if contribution pursuant to this subsection (e) were determined by pro rata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no Underwriter shall be required to contribute any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60"/>
          </w:cols>
          <w:pgMar w:left="320" w:top="1378" w:right="319" w:bottom="1440" w:gutter="0" w:footer="0" w:header="0"/>
        </w:sectPr>
      </w:pPr>
    </w:p>
    <w:bookmarkStart w:id="425" w:name="page426"/>
    <w:bookmarkEnd w:id="425"/>
    <w:p>
      <w:pPr>
        <w:jc w:val="both"/>
        <w:ind w:right="20"/>
        <w:spacing w:after="0" w:line="236" w:lineRule="auto"/>
        <w:rPr>
          <w:sz w:val="20"/>
          <w:szCs w:val="20"/>
          <w:color w:val="auto"/>
        </w:rPr>
      </w:pPr>
      <w:r>
        <w:rPr>
          <w:rFonts w:ascii="Arial" w:cs="Arial" w:eastAsia="Arial" w:hAnsi="Arial"/>
          <w:sz w:val="18"/>
          <w:szCs w:val="18"/>
          <w:color w:val="auto"/>
        </w:rPr>
        <w:t>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 The liability of each Selling Stockholder under this Section 9(e) shall be limited to an amount equal to the aggregate public offering price (less underwriting discounts and commissions but before deducting expenses) of the Shares sold by such Selling Stockholder under this Agreement.</w:t>
      </w:r>
    </w:p>
    <w:p>
      <w:pPr>
        <w:spacing w:after="0" w:line="93" w:lineRule="exact"/>
        <w:rPr>
          <w:sz w:val="20"/>
          <w:szCs w:val="20"/>
          <w:color w:val="auto"/>
        </w:rPr>
      </w:pPr>
    </w:p>
    <w:p>
      <w:pPr>
        <w:jc w:val="both"/>
        <w:ind w:firstLine="569"/>
        <w:spacing w:after="0" w:line="236" w:lineRule="auto"/>
        <w:tabs>
          <w:tab w:leader="none" w:pos="102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obligations of the Company and the Selling Stockholders under this Section 9 shall be in addition to any liability which the Company and the Selling Stockholders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or any Selling Stockholder within the meaning of the Act.</w:t>
      </w:r>
    </w:p>
    <w:p>
      <w:pPr>
        <w:spacing w:after="0" w:line="93" w:lineRule="exact"/>
        <w:rPr>
          <w:sz w:val="20"/>
          <w:szCs w:val="20"/>
          <w:color w:val="auto"/>
        </w:rPr>
      </w:pPr>
    </w:p>
    <w:p>
      <w:pPr>
        <w:jc w:val="both"/>
        <w:ind w:firstLine="569"/>
        <w:spacing w:after="0" w:line="236" w:lineRule="auto"/>
        <w:tabs>
          <w:tab w:leader="none" w:pos="10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If any Underwriter shall default in its obligation to purchase the Shares that it has agreed to purchase hereunder at a Time of Delivery, the Representatives may in their discretion arrange for the Representatives or another party or other parties to purchase such Shares on the terms contained herein. If within thirty-six hours after such default by any Underwriter the Representatives do not arrange for the purchase of such Shares, then the Company and the Selling Stockholders shall be entitled to a further period of thirty-six hours within which to procure another party or other parties satisfactory to the Representatives to purchase such Shares on such terms. In the event that, within the respective prescribed periods, the Representatives notify the Company and the Selling Stockholders that the Representatives have so arranged for the purchase of such Shares, or the Company or a Selling Stockholder notifies the Representatives that it has so arranged for the purchase of such Shares, the Representatives or the Company or the Selling Stockholders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91" w:lineRule="exact"/>
        <w:rPr>
          <w:sz w:val="20"/>
          <w:szCs w:val="20"/>
          <w:color w:val="auto"/>
        </w:rPr>
      </w:pPr>
    </w:p>
    <w:p>
      <w:pPr>
        <w:jc w:val="both"/>
        <w:ind w:right="20" w:firstLine="569"/>
        <w:spacing w:after="0" w:line="276" w:lineRule="auto"/>
        <w:tabs>
          <w:tab w:leader="none" w:pos="111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the Representatives, the Company and the Selling Stockholders as provided in subsection (a) above, the aggregate number of such Shares which remains unpurchased does not exceed one-eleventh of the aggregate number of all the Shares to be purchased at such Time of Delivery, then the Company and the Selling Stockholders shall have the right to require each non-defaulting Underwriter to purchase the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60"/>
          </w:cols>
          <w:pgMar w:left="320" w:top="1378" w:right="319" w:bottom="1440" w:gutter="0" w:footer="0" w:header="0"/>
        </w:sectPr>
      </w:pPr>
    </w:p>
    <w:bookmarkStart w:id="426" w:name="page427"/>
    <w:bookmarkEnd w:id="426"/>
    <w:p>
      <w:pPr>
        <w:jc w:val="both"/>
        <w:ind w:right="20"/>
        <w:spacing w:after="0" w:line="237" w:lineRule="auto"/>
        <w:rPr>
          <w:sz w:val="20"/>
          <w:szCs w:val="20"/>
          <w:color w:val="auto"/>
        </w:rPr>
      </w:pPr>
      <w:r>
        <w:rPr>
          <w:rFonts w:ascii="Arial" w:cs="Arial" w:eastAsia="Arial" w:hAnsi="Arial"/>
          <w:sz w:val="18"/>
          <w:szCs w:val="18"/>
          <w:color w:val="auto"/>
        </w:rPr>
        <w:t>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91" w:lineRule="exact"/>
        <w:rPr>
          <w:sz w:val="20"/>
          <w:szCs w:val="20"/>
          <w:color w:val="auto"/>
        </w:rPr>
      </w:pPr>
    </w:p>
    <w:p>
      <w:pPr>
        <w:jc w:val="both"/>
        <w:ind w:firstLine="569"/>
        <w:spacing w:after="0" w:line="236" w:lineRule="auto"/>
        <w:tabs>
          <w:tab w:leader="none" w:pos="111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the Representatives, the Company and the Selling Stockholders as provided in subsection (a) above, the aggregate number of such Shares which remains unpurchased exceeds one-eleventh of the aggregate number of all of the Shares to be purchased at such Time of Delivery, or if the Company and the Selling Stockholders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Company to sell the Optional Shares) shall thereupon terminate, without liability on the part of any non-defaulting Underwriter, the Company or the Selling Stockholders, except for the expenses to be borne by the Company, the Selling Stockholders and the Underwriters as provided in Section 7 hereof and the indemnity and contribution agreements in Section 9 hereof; but nothing herein shall relieve a defaulting Underwriter from liability for its default.</w:t>
      </w:r>
    </w:p>
    <w:p>
      <w:pPr>
        <w:spacing w:after="0" w:line="92" w:lineRule="exact"/>
        <w:rPr>
          <w:sz w:val="20"/>
          <w:szCs w:val="20"/>
          <w:color w:val="auto"/>
        </w:rPr>
      </w:pPr>
    </w:p>
    <w:p>
      <w:pPr>
        <w:jc w:val="both"/>
        <w:ind w:firstLine="569"/>
        <w:spacing w:after="0" w:line="236" w:lineRule="auto"/>
        <w:tabs>
          <w:tab w:leader="none" w:pos="106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respective indemnities, rights of contribution, agreements, representations, warranties and other statements of the Company, the Selling Stockholders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 the Selling Stockholders, or any officer or director or controlling person of the Company, or any controlling person of any Selling Stockholder, and shall survive delivery of and payment for the Shares.</w:t>
      </w:r>
    </w:p>
    <w:p>
      <w:pPr>
        <w:spacing w:after="0" w:line="93" w:lineRule="exact"/>
        <w:rPr>
          <w:rFonts w:ascii="Arial" w:cs="Arial" w:eastAsia="Arial" w:hAnsi="Arial"/>
          <w:sz w:val="18"/>
          <w:szCs w:val="18"/>
          <w:color w:val="auto"/>
        </w:rPr>
      </w:pPr>
    </w:p>
    <w:p>
      <w:pPr>
        <w:jc w:val="both"/>
        <w:ind w:firstLine="569"/>
        <w:spacing w:after="0" w:line="236" w:lineRule="auto"/>
        <w:tabs>
          <w:tab w:leader="none" w:pos="10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Section 10 hereof, neither the Company nor the Selling Stockholders shall then be under any liability to any Underwriter except as provided in Sections 7 and 9 hereof; but, if for any other reason (other than those set forth in subsections (i), (iii), (iv) and (v) of Section 8(i) hereof) any Shares are not delivered by or on behalf of the Company and the Selling Stockholders as provided herein, or the Underwriters decline to purchase the Shares for any reason permitted under this Agreement, the Company will reimburse the Underwriters through the Representatives for all reasonable and documented out-of-pocket expenses approved in writing by the Representatives, including fees and disbursements of counsel, reasonably incurred by the Underwriters in making preparations for the purchase, sale and delivery of the Shares not so delivered, but the Company and the Selling Stockholders shall then be under no further liability to any Underwriter except as provided in Sections 7 and 9 hereof.</w:t>
      </w:r>
    </w:p>
    <w:p>
      <w:pPr>
        <w:spacing w:after="0" w:line="92" w:lineRule="exact"/>
        <w:rPr>
          <w:rFonts w:ascii="Arial" w:cs="Arial" w:eastAsia="Arial" w:hAnsi="Arial"/>
          <w:sz w:val="18"/>
          <w:szCs w:val="18"/>
          <w:color w:val="auto"/>
        </w:rPr>
      </w:pPr>
    </w:p>
    <w:p>
      <w:pPr>
        <w:jc w:val="both"/>
        <w:ind w:right="20" w:firstLine="569"/>
        <w:spacing w:after="0" w:line="273" w:lineRule="auto"/>
        <w:tabs>
          <w:tab w:leader="none" w:pos="101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 jointly or by Goldman Sachs &amp; Co. LLC and J.P. Morgan Securities LLC on behalf of the Representatives as the Representatives; and in all dealings with any Selling Stockholder hereunder, the Representatives and the Company shall be entitled to act and rely upon any statement, request, notice or agreement on behalf of such Selling Stockholder made or given by any or all of the Attorneys-in-Fact for such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60"/>
          </w:cols>
          <w:pgMar w:left="320" w:top="1378" w:right="319" w:bottom="1440" w:gutter="0" w:footer="0" w:header="0"/>
        </w:sectPr>
      </w:pPr>
    </w:p>
    <w:bookmarkStart w:id="427" w:name="page428"/>
    <w:bookmarkEnd w:id="427"/>
    <w:p>
      <w:pPr>
        <w:jc w:val="both"/>
        <w:ind w:firstLine="574"/>
        <w:spacing w:after="0" w:line="237"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91" w:lineRule="exact"/>
        <w:rPr>
          <w:sz w:val="20"/>
          <w:szCs w:val="20"/>
          <w:color w:val="auto"/>
        </w:rPr>
      </w:pPr>
    </w:p>
    <w:p>
      <w:pPr>
        <w:jc w:val="both"/>
        <w:ind w:firstLine="574"/>
        <w:spacing w:after="0" w:line="236" w:lineRule="auto"/>
        <w:rPr>
          <w:sz w:val="20"/>
          <w:szCs w:val="20"/>
          <w:color w:val="auto"/>
        </w:rPr>
      </w:pPr>
      <w:r>
        <w:rPr>
          <w:rFonts w:ascii="Arial" w:cs="Arial" w:eastAsia="Arial" w:hAnsi="Arial"/>
          <w:sz w:val="18"/>
          <w:szCs w:val="18"/>
          <w:color w:val="auto"/>
        </w:rPr>
        <w:t>All statements, requests, notices and agreements hereunder shall be in writing, and if to the Underwriters shall be delivered or sent by mail, telex or facsimile transmission to Goldman Sachs &amp; Co. LLC, 200 West Street, New York, New York 10282, Attention: Registration Department; and to J.P. Morgan Securities LLC, 383 Madison Avenue, New York, New York 10179, Attention: Equity Syndicate Desk (Fax: (212) 622-8358); if to any Selling Stockholder shall be delivered or sent by mail, telex or facsimile transmission to counsel for such Selling Stockholder at its address set forth in Schedule II hereto; if to the Company shall be delivered or sent by mail, email, telex or facsimile transmission to the address of the Company set forth on the cover of the Registration Statement, Attention: Corporate Secretary (corporatesecretary@robinhood.com); and if to any stockholder that has delivered a lock-up letter described in Section 8(k) hereof shall be delivered or sent by mail to his or her respective address provided in Schedule IV hereto or such other address as such stockholder provides in writing to the Company;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or the Selling Stockholders by the Representatives on request; provided further that notices under subsection 5(e) shall be in writing, and if to the Underwriters shall be delivered or sent by mail, telex or facsimile transmission to the Representatives at Goldman Sachs &amp; Co. LLC, 200 West Street, New York, New York 10282, Attention: Control Room; and to J.P. Morgan Securities LLC, 383 Madison Avenue, New York, New York 10179, Attention: Equity Syndicate Desk (Fax: (212) 622-8358). Any such statements, requests, notices or agreements shall take effect upon receipt thereof.</w:t>
      </w:r>
    </w:p>
    <w:p>
      <w:pPr>
        <w:spacing w:after="0" w:line="90" w:lineRule="exact"/>
        <w:rPr>
          <w:sz w:val="20"/>
          <w:szCs w:val="20"/>
          <w:color w:val="auto"/>
        </w:rPr>
      </w:pPr>
    </w:p>
    <w:p>
      <w:pPr>
        <w:jc w:val="both"/>
        <w:ind w:right="20" w:firstLine="569"/>
        <w:spacing w:after="0" w:line="273" w:lineRule="auto"/>
        <w:tabs>
          <w:tab w:leader="none" w:pos="1181"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This Agreement shall be binding upon, and inure solely to the benefit of, the Underwriters, the Company and the Selling Stockholders and, to the extent provided in Sections 9 and 11 hereof, the officers and directors of the Company and each person who controls the Company, any Selling Stockholder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64" w:lineRule="exact"/>
        <w:rPr>
          <w:rFonts w:ascii="Arial" w:cs="Arial" w:eastAsia="Arial" w:hAnsi="Arial"/>
          <w:sz w:val="16"/>
          <w:szCs w:val="16"/>
          <w:color w:val="auto"/>
        </w:rPr>
      </w:pPr>
    </w:p>
    <w:p>
      <w:pPr>
        <w:ind w:right="20" w:firstLine="569"/>
        <w:spacing w:after="0" w:line="239" w:lineRule="auto"/>
        <w:tabs>
          <w:tab w:leader="none" w:pos="118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89" w:lineRule="exact"/>
        <w:rPr>
          <w:rFonts w:ascii="Arial" w:cs="Arial" w:eastAsia="Arial" w:hAnsi="Arial"/>
          <w:sz w:val="18"/>
          <w:szCs w:val="18"/>
          <w:color w:val="auto"/>
        </w:rPr>
      </w:pPr>
    </w:p>
    <w:p>
      <w:pPr>
        <w:jc w:val="both"/>
        <w:ind w:firstLine="569"/>
        <w:spacing w:after="0" w:line="236" w:lineRule="auto"/>
        <w:tabs>
          <w:tab w:leader="none" w:pos="10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Company and the Selling Stockholders acknowledge and agree that (i) the purchase and sale of the Shares pursuant to this Agreement is an arm’s-length commercial transaction between the Company and the Selling Stockholders, on the one hand, and the several Underwriters, on the other, (ii) in connection therewith and with the process leading to such transaction each Underwriter is acting solely as a principal and not the agent or fiduciary of the Company or any Selling Stockholder, (iii) no Underwriter has assumed an advisory or fiduciary responsibility in favor of the Company or any Selling Stockholder with respect to the offering contemplated hereby or the process leading thereto (irrespective of whether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60"/>
          </w:cols>
          <w:pgMar w:left="320" w:top="1379" w:right="319" w:bottom="1440" w:gutter="0" w:footer="0" w:header="0"/>
        </w:sectPr>
      </w:pPr>
    </w:p>
    <w:bookmarkStart w:id="428" w:name="page429"/>
    <w:bookmarkEnd w:id="428"/>
    <w:p>
      <w:pPr>
        <w:jc w:val="both"/>
        <w:spacing w:after="0" w:line="236" w:lineRule="auto"/>
        <w:rPr>
          <w:sz w:val="20"/>
          <w:szCs w:val="20"/>
          <w:color w:val="auto"/>
        </w:rPr>
      </w:pPr>
      <w:r>
        <w:rPr>
          <w:rFonts w:ascii="Arial" w:cs="Arial" w:eastAsia="Arial" w:hAnsi="Arial"/>
          <w:sz w:val="18"/>
          <w:szCs w:val="18"/>
          <w:color w:val="auto"/>
        </w:rPr>
        <w:t>Underwriter has advised or is currently advising the Company or any Selling Stockholder on other matters) or any other obligation to the Company or any Selling Stockholder except the obligations expressly set forth in this Agreement, (iv) the Company and each Selling Stockholder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and each Selling Stockholder agrees that it will not claim that the Underwriters, or any of them, has rendered advisory services of any nature or respect, or owes a fiduciary or similar duty to the Company or any Selling Stockholder, in connection with such transaction or the process leading thereto.</w:t>
      </w:r>
    </w:p>
    <w:p>
      <w:pPr>
        <w:spacing w:after="0" w:line="93" w:lineRule="exact"/>
        <w:rPr>
          <w:sz w:val="20"/>
          <w:szCs w:val="20"/>
          <w:color w:val="auto"/>
        </w:rPr>
      </w:pPr>
    </w:p>
    <w:p>
      <w:pPr>
        <w:ind w:right="20" w:firstLine="569"/>
        <w:spacing w:after="0" w:line="239" w:lineRule="auto"/>
        <w:tabs>
          <w:tab w:leader="none" w:pos="106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the Selling Stockholders and the Underwriters, or any of them, with respect to the subject matter hereof.</w:t>
      </w:r>
    </w:p>
    <w:p>
      <w:pPr>
        <w:spacing w:after="0" w:line="67" w:lineRule="exact"/>
        <w:rPr>
          <w:rFonts w:ascii="Arial" w:cs="Arial" w:eastAsia="Arial" w:hAnsi="Arial"/>
          <w:sz w:val="18"/>
          <w:szCs w:val="18"/>
          <w:color w:val="auto"/>
        </w:rPr>
      </w:pPr>
    </w:p>
    <w:p>
      <w:pPr>
        <w:jc w:val="both"/>
        <w:ind w:firstLine="569"/>
        <w:spacing w:after="0"/>
        <w:tabs>
          <w:tab w:leader="none" w:pos="1028"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and each Selling Stockholder agree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and each Selling Stockholder agree to submit to the jurisdiction of, and to venue in, such courts.</w:t>
      </w:r>
    </w:p>
    <w:p>
      <w:pPr>
        <w:spacing w:after="0" w:line="90" w:lineRule="exact"/>
        <w:rPr>
          <w:rFonts w:ascii="Arial" w:cs="Arial" w:eastAsia="Arial" w:hAnsi="Arial"/>
          <w:sz w:val="18"/>
          <w:szCs w:val="18"/>
          <w:b w:val="1"/>
          <w:bCs w:val="1"/>
          <w:color w:val="auto"/>
        </w:rPr>
      </w:pPr>
    </w:p>
    <w:p>
      <w:pPr>
        <w:jc w:val="both"/>
        <w:ind w:firstLine="569"/>
        <w:spacing w:after="0" w:line="238" w:lineRule="auto"/>
        <w:tabs>
          <w:tab w:leader="none" w:pos="104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Company, each Selling Stockholder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89" w:lineRule="exact"/>
        <w:rPr>
          <w:rFonts w:ascii="Arial" w:cs="Arial" w:eastAsia="Arial" w:hAnsi="Arial"/>
          <w:sz w:val="18"/>
          <w:szCs w:val="18"/>
          <w:color w:val="auto"/>
        </w:rPr>
      </w:pPr>
    </w:p>
    <w:p>
      <w:pPr>
        <w:jc w:val="both"/>
        <w:ind w:right="20" w:firstLine="569"/>
        <w:spacing w:after="0" w:line="237" w:lineRule="auto"/>
        <w:tabs>
          <w:tab w:leader="none" w:pos="10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89" w:lineRule="exact"/>
        <w:rPr>
          <w:rFonts w:ascii="Arial" w:cs="Arial" w:eastAsia="Arial" w:hAnsi="Arial"/>
          <w:sz w:val="18"/>
          <w:szCs w:val="18"/>
          <w:color w:val="auto"/>
        </w:rPr>
      </w:pPr>
    </w:p>
    <w:p>
      <w:pPr>
        <w:jc w:val="both"/>
        <w:ind w:firstLine="569"/>
        <w:spacing w:after="0" w:line="236" w:lineRule="auto"/>
        <w:tabs>
          <w:tab w:leader="none" w:pos="112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and the Selling Stockholders are authorized to disclose to any persons the U.S. federal and state income tax treatment and tax structure of the potential transaction and all materials of any kind (including tax opinions and other tax analyses) provided to the Company and the Selling Stockholders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60"/>
          </w:cols>
          <w:pgMar w:left="320" w:top="1379" w:right="319" w:bottom="1440" w:gutter="0" w:footer="0" w:header="0"/>
        </w:sectPr>
      </w:pPr>
    </w:p>
    <w:bookmarkStart w:id="429" w:name="page430"/>
    <w:bookmarkEnd w:id="429"/>
    <w:p>
      <w:pPr>
        <w:ind w:left="860" w:hanging="291"/>
        <w:spacing w:after="0"/>
        <w:tabs>
          <w:tab w:leader="none" w:pos="860"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pacing w:after="0" w:line="14" w:lineRule="exact"/>
        <w:rPr>
          <w:sz w:val="20"/>
          <w:szCs w:val="20"/>
          <w:color w:val="auto"/>
        </w:rPr>
      </w:pPr>
    </w:p>
    <w:p>
      <w:pPr>
        <w:jc w:val="both"/>
        <w:ind w:right="20" w:firstLine="569"/>
        <w:spacing w:after="0" w:line="237" w:lineRule="auto"/>
        <w:tabs>
          <w:tab w:leader="none" w:pos="114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firstLine="569"/>
        <w:spacing w:after="0" w:line="246" w:lineRule="auto"/>
        <w:tabs>
          <w:tab w:leader="none" w:pos="84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Arial" w:cs="Arial" w:eastAsia="Arial" w:hAnsi="Arial"/>
          <w:sz w:val="18"/>
          <w:szCs w:val="18"/>
          <w:color w:val="auto"/>
        </w:rPr>
      </w:pPr>
    </w:p>
    <w:p>
      <w:pPr>
        <w:ind w:left="820" w:hanging="251"/>
        <w:spacing w:after="0"/>
        <w:tabs>
          <w:tab w:leader="none" w:pos="8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 used in this section: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“Covered Entity” means any of the following:</w:t>
      </w:r>
    </w:p>
    <w:p>
      <w:pPr>
        <w:spacing w:after="0" w:line="187" w:lineRule="exact"/>
        <w:rPr>
          <w:sz w:val="20"/>
          <w:szCs w:val="20"/>
          <w:color w:val="auto"/>
        </w:rPr>
      </w:pPr>
    </w:p>
    <w:p>
      <w:pPr>
        <w:ind w:left="780" w:hanging="211"/>
        <w:spacing w:after="0"/>
        <w:tabs>
          <w:tab w:leader="none" w:pos="7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87" w:lineRule="exact"/>
        <w:rPr>
          <w:rFonts w:ascii="Arial" w:cs="Arial" w:eastAsia="Arial" w:hAnsi="Arial"/>
          <w:sz w:val="18"/>
          <w:szCs w:val="18"/>
          <w:color w:val="auto"/>
        </w:rPr>
      </w:pPr>
    </w:p>
    <w:p>
      <w:pPr>
        <w:ind w:left="820" w:hanging="251"/>
        <w:spacing w:after="0"/>
        <w:tabs>
          <w:tab w:leader="none" w:pos="8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87" w:lineRule="exact"/>
        <w:rPr>
          <w:rFonts w:ascii="Arial" w:cs="Arial" w:eastAsia="Arial" w:hAnsi="Arial"/>
          <w:sz w:val="18"/>
          <w:szCs w:val="18"/>
          <w:color w:val="auto"/>
        </w:rPr>
      </w:pPr>
    </w:p>
    <w:p>
      <w:pPr>
        <w:ind w:left="860" w:hanging="291"/>
        <w:spacing w:after="0"/>
        <w:tabs>
          <w:tab w:leader="none" w:pos="8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87" w:lineRule="exact"/>
        <w:rPr>
          <w:sz w:val="20"/>
          <w:szCs w:val="20"/>
          <w:color w:val="auto"/>
        </w:rPr>
      </w:pPr>
    </w:p>
    <w:p>
      <w:pPr>
        <w:jc w:val="both"/>
        <w:ind w:right="20" w:firstLine="574"/>
        <w:spacing w:after="0" w:line="239"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85" w:lineRule="exact"/>
        <w:rPr>
          <w:sz w:val="20"/>
          <w:szCs w:val="20"/>
          <w:color w:val="auto"/>
        </w:rPr>
      </w:pPr>
    </w:p>
    <w:p>
      <w:pPr>
        <w:jc w:val="both"/>
        <w:ind w:right="20" w:firstLine="574"/>
        <w:spacing w:after="0" w:line="239"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5" w:lineRule="exact"/>
        <w:rPr>
          <w:sz w:val="20"/>
          <w:szCs w:val="20"/>
          <w:color w:val="auto"/>
        </w:rPr>
      </w:pPr>
    </w:p>
    <w:p>
      <w:pPr>
        <w:jc w:val="both"/>
        <w:ind w:right="20" w:firstLine="574"/>
        <w:spacing w:after="0" w:line="236" w:lineRule="auto"/>
        <w:rPr>
          <w:sz w:val="20"/>
          <w:szCs w:val="20"/>
          <w:color w:val="auto"/>
        </w:rPr>
      </w:pPr>
      <w:r>
        <w:rPr>
          <w:rFonts w:ascii="Arial" w:cs="Arial" w:eastAsia="Arial" w:hAnsi="Arial"/>
          <w:sz w:val="18"/>
          <w:szCs w:val="18"/>
          <w:color w:val="auto"/>
        </w:rPr>
        <w:t>If the foregoing is in accordance with the Representatives’ understanding, please sign and return to us counterparts hereof, and upon the acceptance hereof by the Representatives, on behalf of each of the Underwriters, this letter and such acceptance hereof shall constitute a binding agreement among each of the Underwriters, the Company and each of the Selling Stockholders. It is understood that the Representatives’ acceptance of this letter on behalf of each of the Underwriters is pursuant to the authority set forth in a form of Agreement among Underwriters, the form of which shall be submitted to the Company and the Selling Stockholders for examination, upon request, but without warranty on the Representatives’ part as to the authority of the signers thereof.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60"/>
          </w:cols>
          <w:pgMar w:left="320" w:top="1360" w:right="319" w:bottom="1440" w:gutter="0" w:footer="0" w:header="0"/>
        </w:sectPr>
      </w:pPr>
    </w:p>
    <w:bookmarkStart w:id="430" w:name="page431"/>
    <w:bookmarkEnd w:id="430"/>
    <w:p>
      <w:pPr>
        <w:jc w:val="both"/>
        <w:ind w:firstLine="574"/>
        <w:spacing w:after="0" w:line="238" w:lineRule="auto"/>
        <w:rPr>
          <w:sz w:val="20"/>
          <w:szCs w:val="20"/>
          <w:color w:val="auto"/>
        </w:rPr>
      </w:pPr>
      <w:r>
        <w:rPr>
          <w:rFonts w:ascii="Arial" w:cs="Arial" w:eastAsia="Arial" w:hAnsi="Arial"/>
          <w:sz w:val="18"/>
          <w:szCs w:val="18"/>
          <w:color w:val="auto"/>
        </w:rPr>
        <w:t>Any person executing and delivering this Agreement as Attorney-in-Fact for a Selling Stockholder represents by so doing that he has been duly appointed as Attorney-in-Fact by such Selling Stockholder pursuant to a validly existing and binding Power-of-Attorney that authorizes such Attorney-in-Fact to take such action.</w:t>
      </w:r>
    </w:p>
    <w:p>
      <w:pPr>
        <w:spacing w:after="0" w:line="31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Very truly yours,</w:t>
      </w:r>
    </w:p>
    <w:p>
      <w:pPr>
        <w:spacing w:after="0" w:line="28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ROBINHOOD MARKETS, INC.</w:t>
      </w:r>
    </w:p>
    <w:p>
      <w:pPr>
        <w:spacing w:after="0" w:line="44"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22225</wp:posOffset>
            </wp:positionV>
            <wp:extent cx="238252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2382520" cy="7620"/>
                    </a:xfrm>
                    <a:prstGeom prst="rect">
                      <a:avLst/>
                    </a:prstGeom>
                    <a:noFill/>
                  </pic:spPr>
                </pic:pic>
              </a:graphicData>
            </a:graphic>
          </wp:anchor>
        </w:drawing>
      </w:r>
    </w:p>
    <w:p>
      <w:pPr>
        <w:spacing w:after="0" w:line="36"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Title:</w:t>
      </w:r>
    </w:p>
    <w:p>
      <w:pPr>
        <w:spacing w:after="0" w:line="28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VLADIMIR TENEV</w:t>
      </w:r>
    </w:p>
    <w:p>
      <w:pPr>
        <w:spacing w:after="0" w:line="28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22225</wp:posOffset>
            </wp:positionV>
            <wp:extent cx="238252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2382520" cy="7620"/>
                    </a:xfrm>
                    <a:prstGeom prst="rect">
                      <a:avLst/>
                    </a:prstGeom>
                    <a:noFill/>
                  </pic:spPr>
                </pic:pic>
              </a:graphicData>
            </a:graphic>
          </wp:anchor>
        </w:drawing>
      </w:r>
    </w:p>
    <w:p>
      <w:pPr>
        <w:spacing w:after="0" w:line="36"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Title</w:t>
      </w:r>
    </w:p>
    <w:p>
      <w:pPr>
        <w:spacing w:after="0" w:line="44" w:lineRule="exact"/>
        <w:rPr>
          <w:sz w:val="20"/>
          <w:szCs w:val="20"/>
          <w:color w:val="auto"/>
        </w:rPr>
      </w:pPr>
    </w:p>
    <w:p>
      <w:pPr>
        <w:ind w:left="7520"/>
        <w:spacing w:after="0"/>
        <w:rPr>
          <w:sz w:val="20"/>
          <w:szCs w:val="20"/>
          <w:color w:val="auto"/>
        </w:rPr>
      </w:pPr>
      <w:r>
        <w:rPr>
          <w:rFonts w:ascii="Arial" w:cs="Arial" w:eastAsia="Arial" w:hAnsi="Arial"/>
          <w:sz w:val="16"/>
          <w:szCs w:val="16"/>
          <w:color w:val="auto"/>
        </w:rPr>
        <w:t>As Attorney-in-Fact acting on behalf of each of the</w:t>
      </w:r>
    </w:p>
    <w:p>
      <w:pPr>
        <w:spacing w:after="0" w:line="33"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Selling Stockholders named in Schedule II to this</w:t>
      </w:r>
    </w:p>
    <w:p>
      <w:pPr>
        <w:spacing w:after="0" w:line="1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as of the date hereof</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22225</wp:posOffset>
            </wp:positionV>
            <wp:extent cx="371030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3710305" cy="7620"/>
                    </a:xfrm>
                    <a:prstGeom prst="rect">
                      <a:avLst/>
                    </a:prstGeom>
                    <a:noFill/>
                  </pic:spPr>
                </pic:pic>
              </a:graphicData>
            </a:graphic>
          </wp:anchor>
        </w:drawing>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22225</wp:posOffset>
            </wp:positionV>
            <wp:extent cx="371030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3710305" cy="7620"/>
                    </a:xfrm>
                    <a:prstGeom prst="rect">
                      <a:avLst/>
                    </a:prstGeom>
                    <a:noFill/>
                  </pic:spPr>
                </pic:pic>
              </a:graphicData>
            </a:graphic>
          </wp:anchor>
        </w:drawing>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behalf of themselves and each of the other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379" w:right="339" w:bottom="1440" w:gutter="0" w:footer="0" w:header="0"/>
        </w:sectPr>
      </w:pPr>
    </w:p>
    <w:bookmarkStart w:id="431" w:name="page432"/>
    <w:bookmarkEnd w:id="431"/>
    <w:tbl>
      <w:tblPr>
        <w:tblLayout w:type="fixed"/>
        <w:tblInd w:w="2720" w:type="dxa"/>
        <w:tblCellMar>
          <w:top w:w="0" w:type="dxa"/>
          <w:left w:w="0" w:type="dxa"/>
          <w:bottom w:w="0" w:type="dxa"/>
          <w:right w:w="0" w:type="dxa"/>
        </w:tblCellMar>
      </w:tblPr>
      <w:tr>
        <w:trPr>
          <w:trHeight w:val="233"/>
        </w:trPr>
        <w:tc>
          <w:tcPr>
            <w:tcW w:w="980" w:type="dxa"/>
            <w:vAlign w:val="bottom"/>
          </w:tcPr>
          <w:p>
            <w:pPr>
              <w:spacing w:after="0"/>
              <w:rPr>
                <w:sz w:val="20"/>
                <w:szCs w:val="20"/>
                <w:color w:val="auto"/>
              </w:rPr>
            </w:pPr>
          </w:p>
        </w:tc>
        <w:tc>
          <w:tcPr>
            <w:tcW w:w="4900" w:type="dxa"/>
            <w:vAlign w:val="bottom"/>
            <w:gridSpan w:val="3"/>
          </w:tcPr>
          <w:p>
            <w:pPr>
              <w:ind w:left="1340"/>
              <w:spacing w:after="0"/>
              <w:rPr>
                <w:sz w:val="20"/>
                <w:szCs w:val="20"/>
                <w:color w:val="auto"/>
              </w:rPr>
            </w:pPr>
            <w:r>
              <w:rPr>
                <w:rFonts w:ascii="Arial" w:cs="Arial" w:eastAsia="Arial" w:hAnsi="Arial"/>
                <w:sz w:val="18"/>
                <w:szCs w:val="18"/>
                <w:b w:val="1"/>
                <w:bCs w:val="1"/>
                <w:color w:val="auto"/>
              </w:rPr>
              <w:t>SCHEDULE I</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3"/>
        </w:trPr>
        <w:tc>
          <w:tcPr>
            <w:tcW w:w="9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gridSpan w:val="3"/>
          </w:tcPr>
          <w:p>
            <w:pPr>
              <w:jc w:val="center"/>
              <w:ind w:left="112"/>
              <w:spacing w:after="0"/>
              <w:rPr>
                <w:sz w:val="20"/>
                <w:szCs w:val="20"/>
                <w:color w:val="auto"/>
              </w:rPr>
            </w:pPr>
            <w:r>
              <w:rPr>
                <w:rFonts w:ascii="Arial" w:cs="Arial" w:eastAsia="Arial" w:hAnsi="Arial"/>
                <w:sz w:val="18"/>
                <w:szCs w:val="18"/>
                <w:b w:val="1"/>
                <w:bCs w:val="1"/>
                <w:color w:val="auto"/>
                <w:w w:val="97"/>
              </w:rPr>
              <w:t>Number of Optional</w:t>
            </w:r>
          </w:p>
        </w:tc>
      </w:tr>
      <w:tr>
        <w:trPr>
          <w:trHeight w:val="203"/>
        </w:trPr>
        <w:tc>
          <w:tcPr>
            <w:tcW w:w="980" w:type="dxa"/>
            <w:vAlign w:val="bottom"/>
          </w:tcPr>
          <w:p>
            <w:pPr>
              <w:spacing w:after="0"/>
              <w:rPr>
                <w:sz w:val="17"/>
                <w:szCs w:val="17"/>
                <w:color w:val="auto"/>
              </w:rPr>
            </w:pPr>
          </w:p>
        </w:tc>
        <w:tc>
          <w:tcPr>
            <w:tcW w:w="4900" w:type="dxa"/>
            <w:vAlign w:val="bottom"/>
            <w:gridSpan w:val="3"/>
          </w:tcPr>
          <w:p>
            <w:pPr>
              <w:jc w:val="center"/>
              <w:ind w:left="2652"/>
              <w:spacing w:after="0" w:line="203" w:lineRule="exact"/>
              <w:rPr>
                <w:sz w:val="20"/>
                <w:szCs w:val="20"/>
                <w:color w:val="auto"/>
              </w:rPr>
            </w:pPr>
            <w:r>
              <w:rPr>
                <w:rFonts w:ascii="Arial" w:cs="Arial" w:eastAsia="Arial" w:hAnsi="Arial"/>
                <w:sz w:val="18"/>
                <w:szCs w:val="18"/>
                <w:b w:val="1"/>
                <w:bCs w:val="1"/>
                <w:color w:val="auto"/>
                <w:w w:val="96"/>
              </w:rPr>
              <w:t>Total Number of Firm</w:t>
            </w:r>
          </w:p>
        </w:tc>
        <w:tc>
          <w:tcPr>
            <w:tcW w:w="2360" w:type="dxa"/>
            <w:vAlign w:val="bottom"/>
            <w:gridSpan w:val="3"/>
          </w:tcPr>
          <w:p>
            <w:pPr>
              <w:jc w:val="center"/>
              <w:ind w:left="112"/>
              <w:spacing w:after="0" w:line="203" w:lineRule="exact"/>
              <w:rPr>
                <w:sz w:val="20"/>
                <w:szCs w:val="20"/>
                <w:color w:val="auto"/>
              </w:rPr>
            </w:pPr>
            <w:r>
              <w:rPr>
                <w:rFonts w:ascii="Arial" w:cs="Arial" w:eastAsia="Arial" w:hAnsi="Arial"/>
                <w:sz w:val="18"/>
                <w:szCs w:val="18"/>
                <w:b w:val="1"/>
                <w:bCs w:val="1"/>
                <w:color w:val="auto"/>
                <w:w w:val="97"/>
              </w:rPr>
              <w:t>Shares to be Purchased if</w:t>
            </w:r>
          </w:p>
        </w:tc>
      </w:tr>
      <w:tr>
        <w:trPr>
          <w:trHeight w:val="203"/>
        </w:trPr>
        <w:tc>
          <w:tcPr>
            <w:tcW w:w="980" w:type="dxa"/>
            <w:vAlign w:val="bottom"/>
          </w:tcPr>
          <w:p>
            <w:pPr>
              <w:spacing w:after="0"/>
              <w:rPr>
                <w:sz w:val="17"/>
                <w:szCs w:val="17"/>
                <w:color w:val="auto"/>
              </w:rPr>
            </w:pPr>
          </w:p>
        </w:tc>
        <w:tc>
          <w:tcPr>
            <w:tcW w:w="4900" w:type="dxa"/>
            <w:vAlign w:val="bottom"/>
            <w:gridSpan w:val="3"/>
          </w:tcPr>
          <w:p>
            <w:pPr>
              <w:jc w:val="center"/>
              <w:ind w:left="2652"/>
              <w:spacing w:after="0" w:line="203" w:lineRule="exact"/>
              <w:rPr>
                <w:sz w:val="20"/>
                <w:szCs w:val="20"/>
                <w:color w:val="auto"/>
              </w:rPr>
            </w:pPr>
            <w:r>
              <w:rPr>
                <w:rFonts w:ascii="Arial" w:cs="Arial" w:eastAsia="Arial" w:hAnsi="Arial"/>
                <w:sz w:val="18"/>
                <w:szCs w:val="18"/>
                <w:b w:val="1"/>
                <w:bCs w:val="1"/>
                <w:color w:val="auto"/>
                <w:w w:val="96"/>
              </w:rPr>
              <w:t>Shares to be</w:t>
            </w:r>
          </w:p>
        </w:tc>
        <w:tc>
          <w:tcPr>
            <w:tcW w:w="2360" w:type="dxa"/>
            <w:vAlign w:val="bottom"/>
            <w:gridSpan w:val="3"/>
          </w:tcPr>
          <w:p>
            <w:pPr>
              <w:jc w:val="center"/>
              <w:ind w:left="92"/>
              <w:spacing w:after="0" w:line="203" w:lineRule="exact"/>
              <w:rPr>
                <w:sz w:val="20"/>
                <w:szCs w:val="20"/>
                <w:color w:val="auto"/>
              </w:rPr>
            </w:pPr>
            <w:r>
              <w:rPr>
                <w:rFonts w:ascii="Arial" w:cs="Arial" w:eastAsia="Arial" w:hAnsi="Arial"/>
                <w:sz w:val="18"/>
                <w:szCs w:val="18"/>
                <w:b w:val="1"/>
                <w:bCs w:val="1"/>
                <w:color w:val="auto"/>
                <w:w w:val="97"/>
              </w:rPr>
              <w:t>Maximum Option</w:t>
            </w:r>
          </w:p>
        </w:tc>
      </w:tr>
      <w:tr>
        <w:trPr>
          <w:trHeight w:val="192"/>
        </w:trPr>
        <w:tc>
          <w:tcPr>
            <w:tcW w:w="980" w:type="dxa"/>
            <w:vAlign w:val="bottom"/>
          </w:tcPr>
          <w:p>
            <w:pPr>
              <w:spacing w:after="0" w:line="193" w:lineRule="exact"/>
              <w:rPr>
                <w:sz w:val="20"/>
                <w:szCs w:val="20"/>
                <w:color w:val="auto"/>
              </w:rPr>
            </w:pPr>
            <w:r>
              <w:rPr>
                <w:rFonts w:ascii="Arial" w:cs="Arial" w:eastAsia="Arial" w:hAnsi="Arial"/>
                <w:sz w:val="18"/>
                <w:szCs w:val="18"/>
                <w:b w:val="1"/>
                <w:bCs w:val="1"/>
                <w:color w:val="auto"/>
                <w:w w:val="94"/>
              </w:rPr>
              <w:t>Underwriter</w:t>
            </w:r>
          </w:p>
        </w:tc>
        <w:tc>
          <w:tcPr>
            <w:tcW w:w="4900" w:type="dxa"/>
            <w:vAlign w:val="bottom"/>
            <w:gridSpan w:val="3"/>
          </w:tcPr>
          <w:p>
            <w:pPr>
              <w:jc w:val="center"/>
              <w:ind w:left="2652"/>
              <w:spacing w:after="0" w:line="193" w:lineRule="exact"/>
              <w:rPr>
                <w:sz w:val="20"/>
                <w:szCs w:val="20"/>
                <w:color w:val="auto"/>
              </w:rPr>
            </w:pPr>
            <w:r>
              <w:rPr>
                <w:rFonts w:ascii="Arial" w:cs="Arial" w:eastAsia="Arial" w:hAnsi="Arial"/>
                <w:sz w:val="18"/>
                <w:szCs w:val="18"/>
                <w:b w:val="1"/>
                <w:bCs w:val="1"/>
                <w:color w:val="auto"/>
                <w:w w:val="95"/>
              </w:rPr>
              <w:t>Purchased</w:t>
            </w:r>
          </w:p>
        </w:tc>
        <w:tc>
          <w:tcPr>
            <w:tcW w:w="860" w:type="dxa"/>
            <w:vAlign w:val="bottom"/>
          </w:tcPr>
          <w:p>
            <w:pPr>
              <w:spacing w:after="0"/>
              <w:rPr>
                <w:sz w:val="16"/>
                <w:szCs w:val="16"/>
                <w:color w:val="auto"/>
              </w:rPr>
            </w:pPr>
          </w:p>
        </w:tc>
        <w:tc>
          <w:tcPr>
            <w:tcW w:w="1500" w:type="dxa"/>
            <w:vAlign w:val="bottom"/>
            <w:gridSpan w:val="2"/>
          </w:tcPr>
          <w:p>
            <w:pPr>
              <w:jc w:val="center"/>
              <w:ind w:right="660"/>
              <w:spacing w:after="0" w:line="193" w:lineRule="exact"/>
              <w:rPr>
                <w:sz w:val="20"/>
                <w:szCs w:val="20"/>
                <w:color w:val="auto"/>
              </w:rPr>
            </w:pPr>
            <w:r>
              <w:rPr>
                <w:rFonts w:ascii="Arial" w:cs="Arial" w:eastAsia="Arial" w:hAnsi="Arial"/>
                <w:sz w:val="18"/>
                <w:szCs w:val="18"/>
                <w:b w:val="1"/>
                <w:bCs w:val="1"/>
                <w:color w:val="auto"/>
                <w:w w:val="98"/>
              </w:rPr>
              <w:t>Exercised</w:t>
            </w:r>
          </w:p>
        </w:tc>
      </w:tr>
      <w:tr>
        <w:trPr>
          <w:trHeight w:val="20"/>
        </w:trPr>
        <w:tc>
          <w:tcPr>
            <w:tcW w:w="9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KeyBanc Capital Markets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Rosenblatt Securities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BTIG, LLC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Santander Investment Securities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Academy Securities,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Samuel A. Ramirez &amp; Company,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Siebert Williams Shank &amp; Co., LLC</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28575</wp:posOffset>
            </wp:positionV>
            <wp:extent cx="29972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2997200" cy="7620"/>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-130175</wp:posOffset>
            </wp:positionV>
            <wp:extent cx="299720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2997200" cy="7620"/>
                    </a:xfrm>
                    <a:prstGeom prst="rect">
                      <a:avLst/>
                    </a:prstGeom>
                    <a:noFill/>
                  </pic:spPr>
                </pic:pic>
              </a:graphicData>
            </a:graphic>
          </wp:anchor>
        </w:drawing>
      </w:r>
    </w:p>
    <w:p>
      <w:pPr>
        <w:sectPr>
          <w:pgSz w:w="11900" w:h="16838" w:orient="portrait"/>
          <w:cols w:equalWidth="0" w:num="1">
            <w:col w:w="10960"/>
          </w:cols>
          <w:pgMar w:left="380" w:top="1261" w:right="559" w:bottom="1440" w:gutter="0" w:footer="0" w:header="0"/>
        </w:sectPr>
      </w:pPr>
    </w:p>
    <w:bookmarkStart w:id="432" w:name="page433"/>
    <w:bookmarkEnd w:id="432"/>
    <w:p>
      <w:pPr>
        <w:jc w:val="center"/>
        <w:ind w:right="-3"/>
        <w:spacing w:after="0"/>
        <w:rPr>
          <w:sz w:val="20"/>
          <w:szCs w:val="20"/>
          <w:color w:val="auto"/>
        </w:rPr>
      </w:pPr>
      <w:r>
        <w:rPr>
          <w:rFonts w:ascii="Arial" w:cs="Arial" w:eastAsia="Arial" w:hAnsi="Arial"/>
          <w:sz w:val="18"/>
          <w:szCs w:val="18"/>
          <w:b w:val="1"/>
          <w:bCs w:val="1"/>
          <w:color w:val="auto"/>
        </w:rPr>
        <w:t>SCHEDULE II</w:t>
      </w:r>
    </w:p>
    <w:p>
      <w:pPr>
        <w:spacing w:after="0" w:line="48" w:lineRule="exact"/>
        <w:rPr>
          <w:sz w:val="20"/>
          <w:szCs w:val="20"/>
          <w:color w:val="auto"/>
        </w:rPr>
      </w:pPr>
    </w:p>
    <w:tbl>
      <w:tblPr>
        <w:tblLayout w:type="fixed"/>
        <w:tblInd w:w="64"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 Optional</w:t>
            </w: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w w:val="99"/>
              </w:rPr>
              <w:t>Shares to be</w:t>
            </w: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Total Number of</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w w:val="98"/>
              </w:rPr>
              <w:t>Sold if</w:t>
            </w: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Shares</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w w:val="98"/>
              </w:rPr>
              <w:t>Maximum Option</w:t>
            </w: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to be Sold</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rPr>
              <w:t>Exercised</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440" w:type="dxa"/>
            <w:vAlign w:val="bottom"/>
            <w:gridSpan w:val="3"/>
          </w:tcPr>
          <w:p>
            <w:pPr>
              <w:spacing w:after="0"/>
              <w:rPr>
                <w:sz w:val="20"/>
                <w:szCs w:val="20"/>
                <w:color w:val="auto"/>
              </w:rPr>
            </w:pPr>
            <w:r>
              <w:rPr>
                <w:rFonts w:ascii="Arial" w:cs="Arial" w:eastAsia="Arial" w:hAnsi="Arial"/>
                <w:sz w:val="18"/>
                <w:szCs w:val="18"/>
                <w:color w:val="auto"/>
              </w:rPr>
              <w:t>The Company.</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440" w:type="dxa"/>
            <w:vAlign w:val="bottom"/>
            <w:gridSpan w:val="3"/>
          </w:tcPr>
          <w:p>
            <w:pPr>
              <w:spacing w:after="0"/>
              <w:rPr>
                <w:sz w:val="20"/>
                <w:szCs w:val="20"/>
                <w:color w:val="auto"/>
              </w:rPr>
            </w:pPr>
            <w:r>
              <w:rPr>
                <w:rFonts w:ascii="Arial" w:cs="Arial" w:eastAsia="Arial" w:hAnsi="Arial"/>
                <w:sz w:val="18"/>
                <w:szCs w:val="18"/>
                <w:color w:val="auto"/>
              </w:rPr>
              <w:t>The Selling Stockholder(s):</w:t>
            </w:r>
          </w:p>
        </w:tc>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1"/>
        </w:trPr>
        <w:tc>
          <w:tcPr>
            <w:tcW w:w="6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8440" w:type="dxa"/>
            <w:vAlign w:val="bottom"/>
            <w:gridSpan w:val="3"/>
          </w:tcPr>
          <w:p>
            <w:pPr>
              <w:ind w:left="900"/>
              <w:spacing w:after="0"/>
              <w:rPr>
                <w:sz w:val="20"/>
                <w:szCs w:val="20"/>
                <w:color w:val="auto"/>
              </w:rPr>
            </w:pPr>
            <w:r>
              <w:rPr>
                <w:rFonts w:ascii="Arial" w:cs="Arial" w:eastAsia="Arial" w:hAnsi="Arial"/>
                <w:sz w:val="18"/>
                <w:szCs w:val="18"/>
                <w:color w:val="auto"/>
              </w:rPr>
              <w:t>Baiju Bhatt (a)</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1"/>
        </w:trPr>
        <w:tc>
          <w:tcPr>
            <w:tcW w:w="8440" w:type="dxa"/>
            <w:vAlign w:val="bottom"/>
            <w:gridSpan w:val="3"/>
          </w:tcPr>
          <w:p>
            <w:pPr>
              <w:ind w:left="900"/>
              <w:spacing w:after="0"/>
              <w:rPr>
                <w:sz w:val="20"/>
                <w:szCs w:val="20"/>
                <w:color w:val="auto"/>
              </w:rPr>
            </w:pPr>
            <w:r>
              <w:rPr>
                <w:rFonts w:ascii="Arial" w:cs="Arial" w:eastAsia="Arial" w:hAnsi="Arial"/>
                <w:sz w:val="18"/>
                <w:szCs w:val="18"/>
                <w:color w:val="auto"/>
              </w:rPr>
              <w:t>Jason Warnick (b)</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6240" w:type="dxa"/>
            <w:vAlign w:val="bottom"/>
          </w:tcPr>
          <w:p>
            <w:pPr>
              <w:ind w:left="900"/>
              <w:spacing w:after="0"/>
              <w:rPr>
                <w:sz w:val="20"/>
                <w:szCs w:val="20"/>
                <w:color w:val="auto"/>
              </w:rPr>
            </w:pPr>
            <w:r>
              <w:rPr>
                <w:rFonts w:ascii="Arial" w:cs="Arial" w:eastAsia="Arial" w:hAnsi="Arial"/>
                <w:sz w:val="18"/>
                <w:szCs w:val="18"/>
                <w:color w:val="auto"/>
              </w:rPr>
              <w:t>Vladimir Tenev (c)</w:t>
            </w:r>
          </w:p>
        </w:tc>
        <w:tc>
          <w:tcPr>
            <w:tcW w:w="21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1"/>
        </w:trPr>
        <w:tc>
          <w:tcPr>
            <w:tcW w:w="6240" w:type="dxa"/>
            <w:vAlign w:val="bottom"/>
          </w:tcPr>
          <w:p>
            <w:pPr>
              <w:ind w:left="5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both"/>
        <w:ind w:left="4" w:right="940" w:hanging="4"/>
        <w:spacing w:after="0" w:line="254" w:lineRule="auto"/>
        <w:tabs>
          <w:tab w:leader="none" w:pos="41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This Selling Stockholder is represented by Cravath, Swaine &amp; Moore LLP, 825 8th Ave, New York, NY 10019 [and Munger, Tolles &amp; Olson LLP, 350 South Grand Avenue, 50th Floor, Los Angeles, CA 90071] and has appointed Vladimir Tenev, Jason Warnick and Daniel Gallagher, and each of them, as the Attorneys-in-Fact for such Selling Stockholder.</w:t>
      </w:r>
    </w:p>
    <w:p>
      <w:pPr>
        <w:spacing w:after="0" w:line="85" w:lineRule="exact"/>
        <w:rPr>
          <w:rFonts w:ascii="Arial" w:cs="Arial" w:eastAsia="Arial" w:hAnsi="Arial"/>
          <w:sz w:val="16"/>
          <w:szCs w:val="16"/>
          <w:color w:val="auto"/>
        </w:rPr>
      </w:pPr>
    </w:p>
    <w:p>
      <w:pPr>
        <w:ind w:left="4" w:right="940" w:hanging="4"/>
        <w:spacing w:after="0" w:line="260" w:lineRule="auto"/>
        <w:tabs>
          <w:tab w:leader="none" w:pos="42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This Selling Stockholder is represented by Cravath, Swaine &amp; Moore LLP, 825 8th Ave, New York, NY 10019 and has appointed Vladimir Tenev, Jason Warnick and Daniel Gallagher, and each of them, as the Attorneys-in-Fact for such Selling Stockholder.</w:t>
      </w:r>
    </w:p>
    <w:p>
      <w:pPr>
        <w:spacing w:after="0" w:line="79" w:lineRule="exact"/>
        <w:rPr>
          <w:rFonts w:ascii="Arial" w:cs="Arial" w:eastAsia="Arial" w:hAnsi="Arial"/>
          <w:sz w:val="16"/>
          <w:szCs w:val="16"/>
          <w:color w:val="auto"/>
        </w:rPr>
      </w:pPr>
    </w:p>
    <w:p>
      <w:pPr>
        <w:ind w:left="4" w:right="940" w:hanging="4"/>
        <w:spacing w:after="0" w:line="260" w:lineRule="auto"/>
        <w:tabs>
          <w:tab w:leader="none" w:pos="42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This Selling Stockholder is represented by Cravath, Swaine &amp; Moore LLP, 825 8th Ave, New York, NY 10019 and has appointed Vladimir Tenev, Jason Warnick and Daniel Gallagher, and each of them, as the Attorneys-in-Fact for such Selling Stockholder.</w:t>
      </w:r>
    </w:p>
    <w:p>
      <w:pPr>
        <w:sectPr>
          <w:pgSz w:w="11900" w:h="16838" w:orient="portrait"/>
          <w:cols w:equalWidth="0" w:num="1">
            <w:col w:w="11264"/>
          </w:cols>
          <w:pgMar w:left="316" w:top="1309" w:right="319" w:bottom="1440" w:gutter="0" w:footer="0" w:header="0"/>
        </w:sectPr>
      </w:pPr>
    </w:p>
    <w:bookmarkStart w:id="433" w:name="page434"/>
    <w:bookmarkEnd w:id="433"/>
    <w:p>
      <w:pPr>
        <w:ind w:left="5044"/>
        <w:spacing w:after="0"/>
        <w:rPr>
          <w:sz w:val="20"/>
          <w:szCs w:val="20"/>
          <w:color w:val="auto"/>
        </w:rPr>
      </w:pPr>
      <w:r>
        <w:rPr>
          <w:rFonts w:ascii="Arial" w:cs="Arial" w:eastAsia="Arial" w:hAnsi="Arial"/>
          <w:sz w:val="18"/>
          <w:szCs w:val="18"/>
          <w:b w:val="1"/>
          <w:bCs w:val="1"/>
          <w:color w:val="auto"/>
        </w:rPr>
        <w:t>SCHEDULE III</w:t>
      </w:r>
    </w:p>
    <w:p>
      <w:pPr>
        <w:spacing w:after="0" w:line="200" w:lineRule="exact"/>
        <w:rPr>
          <w:sz w:val="20"/>
          <w:szCs w:val="20"/>
          <w:color w:val="auto"/>
        </w:rPr>
      </w:pPr>
    </w:p>
    <w:p>
      <w:pPr>
        <w:spacing w:after="0" w:line="224" w:lineRule="exact"/>
        <w:rPr>
          <w:sz w:val="20"/>
          <w:szCs w:val="20"/>
          <w:color w:val="auto"/>
        </w:rPr>
      </w:pPr>
    </w:p>
    <w:p>
      <w:pPr>
        <w:ind w:left="564" w:right="3459" w:hanging="564"/>
        <w:spacing w:after="0" w:line="346" w:lineRule="auto"/>
        <w:tabs>
          <w:tab w:leader="none" w:pos="44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 None</w:t>
      </w:r>
    </w:p>
    <w:p>
      <w:pPr>
        <w:ind w:left="564" w:right="2639" w:hanging="564"/>
        <w:spacing w:after="0" w:line="346" w:lineRule="auto"/>
        <w:tabs>
          <w:tab w:leader="none" w:pos="39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Information other than the Pricing Prospectus that comprise the Pricing Disclosure Package The initial public offering price per share for the Shares is $ .</w:t>
      </w:r>
    </w:p>
    <w:p>
      <w:pPr>
        <w:ind w:left="564"/>
        <w:spacing w:after="0"/>
        <w:rPr>
          <w:rFonts w:ascii="Arial" w:cs="Arial" w:eastAsia="Arial" w:hAnsi="Arial"/>
          <w:sz w:val="18"/>
          <w:szCs w:val="18"/>
          <w:color w:val="auto"/>
        </w:rPr>
      </w:pPr>
      <w:r>
        <w:rPr>
          <w:rFonts w:ascii="Arial" w:cs="Arial" w:eastAsia="Arial" w:hAnsi="Arial"/>
          <w:sz w:val="18"/>
          <w:szCs w:val="18"/>
          <w:color w:val="auto"/>
        </w:rPr>
        <w:t>The number of Shares sold by the Company purchased by the Underwriters is .</w:t>
      </w:r>
    </w:p>
    <w:p>
      <w:pPr>
        <w:spacing w:after="0" w:line="91" w:lineRule="exact"/>
        <w:rPr>
          <w:rFonts w:ascii="Arial" w:cs="Arial" w:eastAsia="Arial" w:hAnsi="Arial"/>
          <w:sz w:val="18"/>
          <w:szCs w:val="18"/>
          <w:color w:val="auto"/>
        </w:rPr>
      </w:pPr>
    </w:p>
    <w:p>
      <w:pPr>
        <w:ind w:left="564"/>
        <w:spacing w:after="0"/>
        <w:rPr>
          <w:rFonts w:ascii="Arial" w:cs="Arial" w:eastAsia="Arial" w:hAnsi="Arial"/>
          <w:sz w:val="18"/>
          <w:szCs w:val="18"/>
          <w:color w:val="auto"/>
        </w:rPr>
      </w:pPr>
      <w:r>
        <w:rPr>
          <w:rFonts w:ascii="Arial" w:cs="Arial" w:eastAsia="Arial" w:hAnsi="Arial"/>
          <w:sz w:val="16"/>
          <w:szCs w:val="16"/>
          <w:color w:val="auto"/>
        </w:rPr>
        <w:t>The number of Shares sold by the Selling Stockholders purchased by the Underwriters is .</w:t>
      </w:r>
    </w:p>
    <w:p>
      <w:pPr>
        <w:spacing w:after="0" w:line="114" w:lineRule="exact"/>
        <w:rPr>
          <w:rFonts w:ascii="Arial" w:cs="Arial" w:eastAsia="Arial" w:hAnsi="Arial"/>
          <w:sz w:val="18"/>
          <w:szCs w:val="18"/>
          <w:color w:val="auto"/>
        </w:rPr>
      </w:pPr>
    </w:p>
    <w:p>
      <w:pPr>
        <w:ind w:left="404" w:hanging="404"/>
        <w:spacing w:after="0"/>
        <w:tabs>
          <w:tab w:leader="none" w:pos="40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Written Testing-the-Waters Communications</w:t>
      </w:r>
    </w:p>
    <w:p>
      <w:pPr>
        <w:spacing w:after="0" w:line="9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144"/>
          </w:cols>
          <w:pgMar w:left="316" w:top="1357" w:right="1440" w:bottom="1440" w:gutter="0" w:footer="0" w:header="0"/>
        </w:sectPr>
      </w:pPr>
    </w:p>
    <w:bookmarkStart w:id="434" w:name="page435"/>
    <w:bookmarkEnd w:id="434"/>
    <w:p>
      <w:pPr>
        <w:jc w:val="right"/>
        <w:ind w:right="3919"/>
        <w:spacing w:after="0"/>
        <w:rPr>
          <w:sz w:val="20"/>
          <w:szCs w:val="20"/>
          <w:color w:val="auto"/>
        </w:rPr>
      </w:pPr>
      <w:r>
        <w:rPr>
          <w:rFonts w:ascii="Arial" w:cs="Arial" w:eastAsia="Arial" w:hAnsi="Arial"/>
          <w:sz w:val="18"/>
          <w:szCs w:val="18"/>
          <w:b w:val="1"/>
          <w:bCs w:val="1"/>
          <w:color w:val="auto"/>
        </w:rPr>
        <w:t>SCHEDULE IV</w:t>
      </w: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95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32955" cy="762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Executive Officers</w:t>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Vladimir Tenev</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Butterfly Management LLC</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Tenev 2017 Irrevocable Trust</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Surfboard Management LLC</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Baiju Bhatt</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Baiju Prafulkumar Bhatt Living Trust</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Baiju Prafulkumar Bhatt Grantor Retained Annuity Trust</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Baiju P. Bhatt 2021 GRAT</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Baiju P. Bhatt 2021 Family Trust</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Aparna Chennapragada</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Daniel Gallagher</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Gretchen Howard</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Christina Smedley</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Jason Warnick</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Jan Hammer</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Scott Sandell</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Paula Loop</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Jonathan Rubinstein</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Robert Zoellick</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Stockholders</w:t>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Apoletto Investments IV L.P.</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DST Global V Co-Invest L.P.</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DST Global V L.P.</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DST Global VI L.P.</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DST Global VII L.P.</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DST Investments XIX L.P.</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Index Ventures Growth III (Jersey) L.P.</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Index Ventures VI (Jersey) L.P.</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Index Ventures VI Parallel Entrepreneur Fund (Jersey) L.P.</w:t>
      </w:r>
    </w:p>
    <w:p>
      <w:pPr>
        <w:sectPr>
          <w:pgSz w:w="11900" w:h="16838" w:orient="portrait"/>
          <w:cols w:equalWidth="0" w:num="1">
            <w:col w:w="10139"/>
          </w:cols>
          <w:pgMar w:left="320" w:top="1356" w:right="1440" w:bottom="1440" w:gutter="0" w:footer="0" w:header="0"/>
        </w:sectPr>
      </w:pPr>
    </w:p>
    <w:bookmarkStart w:id="435" w:name="page436"/>
    <w:bookmarkEnd w:id="435"/>
    <w:p>
      <w:pPr>
        <w:spacing w:after="0"/>
        <w:rPr>
          <w:sz w:val="20"/>
          <w:szCs w:val="20"/>
          <w:color w:val="auto"/>
        </w:rPr>
      </w:pPr>
      <w:r>
        <w:rPr>
          <w:rFonts w:ascii="Arial" w:cs="Arial" w:eastAsia="Arial" w:hAnsi="Arial"/>
          <w:sz w:val="18"/>
          <w:szCs w:val="18"/>
          <w:color w:val="auto"/>
        </w:rPr>
        <w:t>Yucca (Jersey) SLP</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Index Ventures Growth V (Jersey) L.P.</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New Enterprise Associates 17, L.P.</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New Enterprise Associates 15, L.P.</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NEA Ventures 2015, L.P.</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Bullfrog Capital, L.P.,</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RH Ribbit Opportunity II, LLC</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RH-D Ribbit Opportunity II, LLC</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RH-E Ribbit Opportunity II, LLC</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RH-N Bullfrog Opportunity I, LLC</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Ribbit Capital II, L.P.</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Ribbit Capital III, L.P.</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Company’s Tranche I and Tranche II convertible notes</w:t>
      </w:r>
    </w:p>
    <w:p>
      <w:pPr>
        <w:sectPr>
          <w:pgSz w:w="11900" w:h="16838" w:orient="portrait"/>
          <w:cols w:equalWidth="0" w:num="1">
            <w:col w:w="9579"/>
          </w:cols>
          <w:pgMar w:left="880" w:top="1379" w:right="1440" w:bottom="1440" w:gutter="0" w:footer="0" w:header="0"/>
        </w:sectPr>
      </w:pPr>
    </w:p>
    <w:bookmarkStart w:id="436" w:name="page437"/>
    <w:bookmarkEnd w:id="436"/>
    <w:p>
      <w:pPr>
        <w:jc w:val="right"/>
        <w:spacing w:after="0"/>
        <w:rPr>
          <w:sz w:val="20"/>
          <w:szCs w:val="20"/>
          <w:color w:val="auto"/>
        </w:rPr>
      </w:pPr>
      <w:r>
        <w:rPr>
          <w:rFonts w:ascii="Arial" w:cs="Arial" w:eastAsia="Arial" w:hAnsi="Arial"/>
          <w:sz w:val="18"/>
          <w:szCs w:val="18"/>
          <w:b w:val="1"/>
          <w:bCs w:val="1"/>
          <w:color w:val="auto"/>
        </w:rPr>
        <w:t>ANNEX I</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Robinhood Markets, Inc.</w:t>
      </w:r>
    </w:p>
    <w:p>
      <w:pPr>
        <w:ind w:left="200"/>
        <w:spacing w:after="0"/>
        <w:rPr>
          <w:sz w:val="20"/>
          <w:szCs w:val="20"/>
          <w:color w:val="auto"/>
        </w:rPr>
      </w:pPr>
      <w:r>
        <w:rPr>
          <w:rFonts w:ascii="Arial" w:cs="Arial" w:eastAsia="Arial" w:hAnsi="Arial"/>
          <w:sz w:val="18"/>
          <w:szCs w:val="18"/>
          <w:color w:val="auto"/>
        </w:rPr>
        <w:t>, 2021</w:t>
      </w:r>
    </w:p>
    <w:p>
      <w:pPr>
        <w:spacing w:after="0" w:line="21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Robinhood Markets, Inc. (the “Company”) announced today that Goldman Sachs &amp; Co. LLC, the lead book-running manager in the recent public sale of shares of the Company’s Class A common stock, is releasing a lock-up restriction with respect to shares of the Company’s Class A common stock held by certain officers or directors of the Company. The release will take effect on , 2021, and the shares may be sold on or after such date.</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260"/>
          </w:cols>
          <w:pgMar w:left="320" w:top="1261" w:right="319" w:bottom="1440" w:gutter="0" w:footer="0" w:header="0"/>
        </w:sectPr>
      </w:pPr>
    </w:p>
    <w:bookmarkStart w:id="437" w:name="page438"/>
    <w:bookmarkEnd w:id="437"/>
    <w:p>
      <w:pPr>
        <w:jc w:val="right"/>
        <w:spacing w:after="0"/>
        <w:rPr>
          <w:sz w:val="20"/>
          <w:szCs w:val="20"/>
          <w:color w:val="auto"/>
        </w:rPr>
      </w:pPr>
      <w:r>
        <w:rPr>
          <w:rFonts w:ascii="Arial" w:cs="Arial" w:eastAsia="Arial" w:hAnsi="Arial"/>
          <w:sz w:val="18"/>
          <w:szCs w:val="18"/>
          <w:b w:val="1"/>
          <w:bCs w:val="1"/>
          <w:color w:val="auto"/>
        </w:rPr>
        <w:t>ANNEX II</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LOCK-UP AGREEMENT]</w:t>
      </w:r>
    </w:p>
    <w:p>
      <w:pPr>
        <w:spacing w:after="0" w:line="1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Robinhood Markets, Inc.</w:t>
      </w:r>
    </w:p>
    <w:p>
      <w:pPr>
        <w:spacing w:after="0" w:line="16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Lock-Up Agreement</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2021</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color w:val="auto"/>
        </w:rPr>
        <w:t>Goldman Sachs &amp; Co. LLC</w:t>
      </w:r>
    </w:p>
    <w:p>
      <w:pPr>
        <w:ind w:left="4"/>
        <w:spacing w:after="0" w:line="235" w:lineRule="auto"/>
        <w:rPr>
          <w:sz w:val="20"/>
          <w:szCs w:val="20"/>
          <w:color w:val="auto"/>
        </w:rPr>
      </w:pPr>
      <w:r>
        <w:rPr>
          <w:rFonts w:ascii="Arial" w:cs="Arial" w:eastAsia="Arial" w:hAnsi="Arial"/>
          <w:sz w:val="18"/>
          <w:szCs w:val="18"/>
          <w:color w:val="auto"/>
        </w:rPr>
        <w:t>J.P. Morgan Securities LLC</w:t>
      </w:r>
    </w:p>
    <w:p>
      <w:pPr>
        <w:ind w:left="184"/>
        <w:spacing w:after="0" w:line="236" w:lineRule="auto"/>
        <w:rPr>
          <w:sz w:val="20"/>
          <w:szCs w:val="20"/>
          <w:color w:val="auto"/>
        </w:rPr>
      </w:pPr>
      <w:r>
        <w:rPr>
          <w:rFonts w:ascii="Arial" w:cs="Arial" w:eastAsia="Arial" w:hAnsi="Arial"/>
          <w:sz w:val="18"/>
          <w:szCs w:val="18"/>
          <w:color w:val="auto"/>
        </w:rPr>
        <w:t>As representatives of the several Underwriters</w:t>
      </w:r>
    </w:p>
    <w:p>
      <w:pPr>
        <w:ind w:left="204"/>
        <w:spacing w:after="0"/>
        <w:rPr>
          <w:sz w:val="20"/>
          <w:szCs w:val="20"/>
          <w:color w:val="auto"/>
        </w:rPr>
      </w:pPr>
      <w:r>
        <w:rPr>
          <w:rFonts w:ascii="Arial" w:cs="Arial" w:eastAsia="Arial" w:hAnsi="Arial"/>
          <w:sz w:val="18"/>
          <w:szCs w:val="18"/>
          <w:color w:val="auto"/>
        </w:rPr>
        <w:t>named in Schedule I of the Underwriting Agreement</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Goldman Sachs &amp; Co. LLC</w:t>
      </w:r>
    </w:p>
    <w:p>
      <w:pPr>
        <w:ind w:left="4"/>
        <w:spacing w:after="0" w:line="235" w:lineRule="auto"/>
        <w:rPr>
          <w:sz w:val="20"/>
          <w:szCs w:val="20"/>
          <w:color w:val="auto"/>
        </w:rPr>
      </w:pPr>
      <w:r>
        <w:rPr>
          <w:rFonts w:ascii="Arial" w:cs="Arial" w:eastAsia="Arial" w:hAnsi="Arial"/>
          <w:sz w:val="18"/>
          <w:szCs w:val="18"/>
          <w:color w:val="auto"/>
        </w:rPr>
        <w:t>200 West Street</w:t>
      </w:r>
    </w:p>
    <w:p>
      <w:pPr>
        <w:ind w:left="4"/>
        <w:spacing w:after="0"/>
        <w:rPr>
          <w:sz w:val="20"/>
          <w:szCs w:val="20"/>
          <w:color w:val="auto"/>
        </w:rPr>
      </w:pPr>
      <w:r>
        <w:rPr>
          <w:rFonts w:ascii="Arial" w:cs="Arial" w:eastAsia="Arial" w:hAnsi="Arial"/>
          <w:sz w:val="18"/>
          <w:szCs w:val="18"/>
          <w:color w:val="auto"/>
        </w:rPr>
        <w:t>New York, New York 10282</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J.P. Morgan Securities LLC</w:t>
      </w:r>
    </w:p>
    <w:p>
      <w:pPr>
        <w:ind w:left="4"/>
        <w:spacing w:after="0" w:line="235" w:lineRule="auto"/>
        <w:rPr>
          <w:sz w:val="20"/>
          <w:szCs w:val="20"/>
          <w:color w:val="auto"/>
        </w:rPr>
      </w:pPr>
      <w:r>
        <w:rPr>
          <w:rFonts w:ascii="Arial" w:cs="Arial" w:eastAsia="Arial" w:hAnsi="Arial"/>
          <w:sz w:val="18"/>
          <w:szCs w:val="18"/>
          <w:color w:val="auto"/>
        </w:rPr>
        <w:t>383 Madison Avenue</w:t>
      </w:r>
    </w:p>
    <w:p>
      <w:pPr>
        <w:ind w:left="4"/>
        <w:spacing w:after="0"/>
        <w:rPr>
          <w:sz w:val="20"/>
          <w:szCs w:val="20"/>
          <w:color w:val="auto"/>
        </w:rPr>
      </w:pPr>
      <w:r>
        <w:rPr>
          <w:rFonts w:ascii="Arial" w:cs="Arial" w:eastAsia="Arial" w:hAnsi="Arial"/>
          <w:sz w:val="18"/>
          <w:szCs w:val="18"/>
          <w:color w:val="auto"/>
        </w:rPr>
        <w:t>New York, New York 10179</w:t>
      </w:r>
    </w:p>
    <w:p>
      <w:pPr>
        <w:spacing w:after="0" w:line="140" w:lineRule="exact"/>
        <w:rPr>
          <w:sz w:val="20"/>
          <w:szCs w:val="20"/>
          <w:color w:val="auto"/>
        </w:rPr>
      </w:pPr>
    </w:p>
    <w:p>
      <w:pPr>
        <w:ind w:left="20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Robinhood Markets, Inc. – Lock-Up Agreement</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8" w:lineRule="exact"/>
        <w:rPr>
          <w:sz w:val="20"/>
          <w:szCs w:val="20"/>
          <w:color w:val="auto"/>
        </w:rPr>
      </w:pPr>
    </w:p>
    <w:p>
      <w:pPr>
        <w:jc w:val="both"/>
        <w:ind w:left="4" w:firstLine="263"/>
        <w:spacing w:after="0" w:line="241" w:lineRule="auto"/>
        <w:rPr>
          <w:sz w:val="20"/>
          <w:szCs w:val="20"/>
          <w:color w:val="auto"/>
        </w:rPr>
      </w:pPr>
      <w:r>
        <w:rPr>
          <w:rFonts w:ascii="Arial" w:cs="Arial" w:eastAsia="Arial" w:hAnsi="Arial"/>
          <w:sz w:val="18"/>
          <w:szCs w:val="18"/>
          <w:color w:val="auto"/>
        </w:rPr>
        <w:t>The undersigned understands that you, 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propose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on behalf of the several Underwriters named in Schedule I to such agreement (collectively, the “</w:t>
      </w:r>
      <w:r>
        <w:rPr>
          <w:rFonts w:ascii="Arial" w:cs="Arial" w:eastAsia="Arial" w:hAnsi="Arial"/>
          <w:sz w:val="18"/>
          <w:szCs w:val="18"/>
          <w:b w:val="1"/>
          <w:bCs w:val="1"/>
          <w:color w:val="auto"/>
        </w:rPr>
        <w:t>Underwriters</w:t>
      </w:r>
      <w:r>
        <w:rPr>
          <w:rFonts w:ascii="Arial" w:cs="Arial" w:eastAsia="Arial" w:hAnsi="Arial"/>
          <w:sz w:val="18"/>
          <w:szCs w:val="18"/>
          <w:color w:val="auto"/>
        </w:rPr>
        <w:t>”), with Robinhood Markets,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Selling Stockholders (the “</w:t>
      </w:r>
      <w:r>
        <w:rPr>
          <w:rFonts w:ascii="Arial" w:cs="Arial" w:eastAsia="Arial" w:hAnsi="Arial"/>
          <w:sz w:val="18"/>
          <w:szCs w:val="18"/>
          <w:b w:val="1"/>
          <w:bCs w:val="1"/>
          <w:color w:val="auto"/>
        </w:rPr>
        <w:t>Selling Stockholders</w:t>
      </w:r>
      <w:r>
        <w:rPr>
          <w:rFonts w:ascii="Arial" w:cs="Arial" w:eastAsia="Arial" w:hAnsi="Arial"/>
          <w:sz w:val="18"/>
          <w:szCs w:val="18"/>
          <w:color w:val="auto"/>
        </w:rPr>
        <w:t>”) named in Schedule II to such agreement, providing for a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of the Class A Common Stock, par value $0.0001 per share, of the Company (the “</w:t>
      </w:r>
      <w:r>
        <w:rPr>
          <w:rFonts w:ascii="Arial" w:cs="Arial" w:eastAsia="Arial" w:hAnsi="Arial"/>
          <w:sz w:val="18"/>
          <w:szCs w:val="18"/>
          <w:b w:val="1"/>
          <w:bCs w:val="1"/>
          <w:color w:val="auto"/>
        </w:rPr>
        <w:t>Class A Common Stock</w:t>
      </w:r>
      <w:r>
        <w:rPr>
          <w:rFonts w:ascii="Arial" w:cs="Arial" w:eastAsia="Arial" w:hAnsi="Arial"/>
          <w:sz w:val="18"/>
          <w:szCs w:val="18"/>
          <w:color w:val="auto"/>
        </w:rPr>
        <w:t>”) pursuant to a Registration Statement on Form S-1 (the “</w:t>
      </w:r>
      <w:r>
        <w:rPr>
          <w:rFonts w:ascii="Arial" w:cs="Arial" w:eastAsia="Arial" w:hAnsi="Arial"/>
          <w:sz w:val="18"/>
          <w:szCs w:val="18"/>
          <w:b w:val="1"/>
          <w:bCs w:val="1"/>
          <w:color w:val="auto"/>
        </w:rPr>
        <w:t>Form S-1</w:t>
      </w:r>
      <w:r>
        <w:rPr>
          <w:rFonts w:ascii="Arial" w:cs="Arial" w:eastAsia="Arial" w:hAnsi="Arial"/>
          <w:sz w:val="18"/>
          <w:szCs w:val="18"/>
          <w:color w:val="auto"/>
        </w:rPr>
        <w:t>”) to be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137" w:lineRule="exact"/>
        <w:rPr>
          <w:sz w:val="20"/>
          <w:szCs w:val="20"/>
          <w:color w:val="auto"/>
        </w:rPr>
      </w:pPr>
    </w:p>
    <w:p>
      <w:pPr>
        <w:ind w:left="4" w:right="100" w:firstLine="195"/>
        <w:spacing w:after="0" w:line="231" w:lineRule="auto"/>
        <w:rPr>
          <w:sz w:val="20"/>
          <w:szCs w:val="20"/>
          <w:color w:val="auto"/>
        </w:rPr>
      </w:pPr>
      <w:r>
        <w:rPr>
          <w:rFonts w:ascii="Arial" w:cs="Arial" w:eastAsia="Arial" w:hAnsi="Arial"/>
          <w:sz w:val="18"/>
          <w:szCs w:val="18"/>
          <w:color w:val="auto"/>
        </w:rPr>
        <w:t>In consideration of the agreement by the Underwriters to offer and sell the shares of Class A Common Stock, and of other good and valuable consideration the receipt and sufficiency of which is hereby acknowledged, the undersigned agrees that, during the period beginning from the date of this letter (this “</w:t>
      </w:r>
      <w:r>
        <w:rPr>
          <w:rFonts w:ascii="Arial" w:cs="Arial" w:eastAsia="Arial" w:hAnsi="Arial"/>
          <w:sz w:val="18"/>
          <w:szCs w:val="18"/>
          <w:b w:val="1"/>
          <w:bCs w:val="1"/>
          <w:color w:val="auto"/>
        </w:rPr>
        <w:t>Lock-Up Agreement</w:t>
      </w:r>
      <w:r>
        <w:rPr>
          <w:rFonts w:ascii="Arial" w:cs="Arial" w:eastAsia="Arial" w:hAnsi="Arial"/>
          <w:sz w:val="18"/>
          <w:szCs w:val="18"/>
          <w:color w:val="auto"/>
        </w:rPr>
        <w:t>”) and continuing to but excluding the date that is [(a) in the case of shares of Class A Common Stock issued or issuable upon conversion of the Company’s Tranche I convertible notes (including any shares of Class A Common Stock into which such Tranche I convertible notes are converted prior to or in connection with the consummation of the Public Offering that are held by the undersigned and its affiliates) (the “</w:t>
      </w:r>
      <w:r>
        <w:rPr>
          <w:rFonts w:ascii="Arial" w:cs="Arial" w:eastAsia="Arial" w:hAnsi="Arial"/>
          <w:sz w:val="18"/>
          <w:szCs w:val="18"/>
          <w:b w:val="1"/>
          <w:bCs w:val="1"/>
          <w:color w:val="auto"/>
        </w:rPr>
        <w:t>Tranche I Convert Shares</w:t>
      </w:r>
      <w:r>
        <w:rPr>
          <w:rFonts w:ascii="Arial" w:cs="Arial" w:eastAsia="Arial" w:hAnsi="Arial"/>
          <w:sz w:val="18"/>
          <w:szCs w:val="18"/>
          <w:color w:val="auto"/>
        </w:rPr>
        <w:t>”), the earlier of (x) 28 days after the effective date of the resale registration statement on Form S-1 filed by the Company in respect of such shares and (y) the Lock-Up Outside Date (as defined below), and (b) in the case of all other shares,]</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the 181st day after the date of the final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used to sell the shares of Class A Common Stock in the Company’s initial public offering (the date of such Prospectus, the “</w:t>
      </w:r>
      <w:r>
        <w:rPr>
          <w:rFonts w:ascii="Arial" w:cs="Arial" w:eastAsia="Arial" w:hAnsi="Arial"/>
          <w:sz w:val="18"/>
          <w:szCs w:val="18"/>
          <w:b w:val="1"/>
          <w:bCs w:val="1"/>
          <w:color w:val="auto"/>
        </w:rPr>
        <w:t>Public Offering Date</w:t>
      </w:r>
      <w:r>
        <w:rPr>
          <w:rFonts w:ascii="Arial" w:cs="Arial" w:eastAsia="Arial" w:hAnsi="Arial"/>
          <w:sz w:val="18"/>
          <w:szCs w:val="18"/>
          <w:color w:val="auto"/>
        </w:rPr>
        <w:t>”) or such earlier date as may be agreed between the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51765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1517650" cy="7620"/>
                    </a:xfrm>
                    <a:prstGeom prst="rect">
                      <a:avLst/>
                    </a:prstGeom>
                    <a:noFill/>
                  </pic:spPr>
                </pic:pic>
              </a:graphicData>
            </a:graphic>
          </wp:anchor>
        </w:drawing>
      </w:r>
    </w:p>
    <w:p>
      <w:pPr>
        <w:spacing w:after="0" w:line="196" w:lineRule="exact"/>
        <w:rPr>
          <w:sz w:val="20"/>
          <w:szCs w:val="20"/>
          <w:color w:val="auto"/>
        </w:rPr>
      </w:pPr>
    </w:p>
    <w:p>
      <w:pPr>
        <w:ind w:left="64" w:hanging="64"/>
        <w:spacing w:after="0"/>
        <w:tabs>
          <w:tab w:leader="none" w:pos="64" w:val="left"/>
        </w:tabs>
        <w:numPr>
          <w:ilvl w:val="0"/>
          <w:numId w:val="215"/>
        </w:numPr>
        <w:rPr>
          <w:rFonts w:ascii="Arial" w:cs="Arial" w:eastAsia="Arial" w:hAnsi="Arial"/>
          <w:sz w:val="14"/>
          <w:szCs w:val="14"/>
          <w:color w:val="auto"/>
          <w:vertAlign w:val="superscript"/>
        </w:rPr>
      </w:pPr>
      <w:r>
        <w:rPr>
          <w:rFonts w:ascii="Arial" w:cs="Arial" w:eastAsia="Arial" w:hAnsi="Arial"/>
          <w:sz w:val="11"/>
          <w:szCs w:val="11"/>
          <w:color w:val="auto"/>
        </w:rPr>
        <w:t>To include if the undersigned is a holder of Tranche I convertible notes.</w:t>
      </w:r>
    </w:p>
    <w:p>
      <w:pPr>
        <w:sectPr>
          <w:pgSz w:w="11900" w:h="16838" w:orient="portrait"/>
          <w:cols w:equalWidth="0" w:num="1">
            <w:col w:w="11264"/>
          </w:cols>
          <w:pgMar w:left="316" w:top="1261" w:right="319" w:bottom="1440" w:gutter="0" w:footer="0" w:header="0"/>
        </w:sectPr>
      </w:pPr>
    </w:p>
    <w:bookmarkStart w:id="438" w:name="page439"/>
    <w:bookmarkEnd w:id="438"/>
    <w:p>
      <w:pPr>
        <w:ind w:right="20"/>
        <w:spacing w:after="0" w:line="234" w:lineRule="auto"/>
        <w:rPr>
          <w:sz w:val="20"/>
          <w:szCs w:val="20"/>
          <w:color w:val="auto"/>
        </w:rPr>
      </w:pPr>
      <w:r>
        <w:rPr>
          <w:rFonts w:ascii="Arial" w:cs="Arial" w:eastAsia="Arial" w:hAnsi="Arial"/>
          <w:sz w:val="18"/>
          <w:szCs w:val="18"/>
          <w:color w:val="auto"/>
        </w:rPr>
        <w:t>and the Company and disclosed in the Prospectus, subject to earlier termination as set forth in the paragraphs below ([such date, the “</w:t>
      </w:r>
      <w:r>
        <w:rPr>
          <w:rFonts w:ascii="Arial" w:cs="Arial" w:eastAsia="Arial" w:hAnsi="Arial"/>
          <w:sz w:val="18"/>
          <w:szCs w:val="18"/>
          <w:b w:val="1"/>
          <w:bCs w:val="1"/>
          <w:color w:val="auto"/>
        </w:rPr>
        <w:t>Lock-up</w:t>
      </w:r>
      <w:r>
        <w:rPr>
          <w:rFonts w:ascii="Arial" w:cs="Arial" w:eastAsia="Arial" w:hAnsi="Arial"/>
          <w:sz w:val="18"/>
          <w:szCs w:val="18"/>
          <w:color w:val="auto"/>
        </w:rPr>
        <w:t xml:space="preserve"> </w:t>
      </w:r>
      <w:r>
        <w:rPr>
          <w:rFonts w:ascii="Arial" w:cs="Arial" w:eastAsia="Arial" w:hAnsi="Arial"/>
          <w:sz w:val="18"/>
          <w:szCs w:val="18"/>
          <w:b w:val="1"/>
          <w:bCs w:val="1"/>
          <w:color w:val="auto"/>
        </w:rPr>
        <w:t>Outside Date</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22"/>
          <w:szCs w:val="22"/>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such period, the “</w:t>
      </w:r>
      <w:r>
        <w:rPr>
          <w:rFonts w:ascii="Arial" w:cs="Arial" w:eastAsia="Arial" w:hAnsi="Arial"/>
          <w:sz w:val="18"/>
          <w:szCs w:val="18"/>
          <w:b w:val="1"/>
          <w:bCs w:val="1"/>
          <w:color w:val="auto"/>
        </w:rPr>
        <w:t>Lock-Up Period</w:t>
      </w:r>
      <w:r>
        <w:rPr>
          <w:rFonts w:ascii="Arial" w:cs="Arial" w:eastAsia="Arial" w:hAnsi="Arial"/>
          <w:sz w:val="18"/>
          <w:szCs w:val="18"/>
          <w:color w:val="auto"/>
        </w:rPr>
        <w:t>”), the undersigned shall not, and shall not cause or direct any of its affiliates to, (1) offer,</w:t>
      </w:r>
      <w:r>
        <w:rPr>
          <w:rFonts w:ascii="Arial" w:cs="Arial" w:eastAsia="Arial" w:hAnsi="Arial"/>
          <w:sz w:val="18"/>
          <w:szCs w:val="18"/>
          <w:b w:val="1"/>
          <w:bCs w:val="1"/>
          <w:color w:val="auto"/>
        </w:rPr>
        <w:t xml:space="preserve"> </w:t>
      </w:r>
      <w:r>
        <w:rPr>
          <w:rFonts w:ascii="Arial" w:cs="Arial" w:eastAsia="Arial" w:hAnsi="Arial"/>
          <w:sz w:val="18"/>
          <w:szCs w:val="18"/>
          <w:color w:val="auto"/>
        </w:rPr>
        <w:t>sell, contract to sell, pledge, grant any option to purchase, lend or otherwise transfer or dispose of (directly or indirectly) any shares of Class A Common Stock or any options or warrants to purchase any shares of Class A Common Stock, or any securities convertible into, exchangeable for or that represent the right to receive shares of Class A Common Stock (including the Class B common stock of the Company (the “</w:t>
      </w:r>
      <w:r>
        <w:rPr>
          <w:rFonts w:ascii="Arial" w:cs="Arial" w:eastAsia="Arial" w:hAnsi="Arial"/>
          <w:sz w:val="18"/>
          <w:szCs w:val="18"/>
          <w:b w:val="1"/>
          <w:bCs w:val="1"/>
          <w:color w:val="auto"/>
        </w:rPr>
        <w:t>Class B</w:t>
      </w:r>
      <w:r>
        <w:rPr>
          <w:rFonts w:ascii="Arial" w:cs="Arial" w:eastAsia="Arial" w:hAnsi="Arial"/>
          <w:sz w:val="18"/>
          <w:szCs w:val="18"/>
          <w:color w:val="auto"/>
        </w:rPr>
        <w:t xml:space="preserve"> </w:t>
      </w:r>
      <w:r>
        <w:rPr>
          <w:rFonts w:ascii="Arial" w:cs="Arial" w:eastAsia="Arial" w:hAnsi="Arial"/>
          <w:sz w:val="18"/>
          <w:szCs w:val="18"/>
          <w:b w:val="1"/>
          <w:bCs w:val="1"/>
          <w:color w:val="auto"/>
        </w:rPr>
        <w:t>Common Stock</w:t>
      </w:r>
      <w:r>
        <w:rPr>
          <w:rFonts w:ascii="Arial" w:cs="Arial" w:eastAsia="Arial" w:hAnsi="Arial"/>
          <w:sz w:val="18"/>
          <w:szCs w:val="18"/>
          <w:color w:val="auto"/>
        </w:rPr>
        <w:t>” and together with the Class A Common Stock, the “</w:t>
      </w:r>
      <w:r>
        <w:rPr>
          <w:rFonts w:ascii="Arial" w:cs="Arial" w:eastAsia="Arial" w:hAnsi="Arial"/>
          <w:sz w:val="18"/>
          <w:szCs w:val="18"/>
          <w:b w:val="1"/>
          <w:bCs w:val="1"/>
          <w:color w:val="auto"/>
        </w:rPr>
        <w:t>Common Stock</w:t>
      </w:r>
      <w:r>
        <w:rPr>
          <w:rFonts w:ascii="Arial" w:cs="Arial" w:eastAsia="Arial" w:hAnsi="Arial"/>
          <w:sz w:val="18"/>
          <w:szCs w:val="18"/>
          <w:color w:val="auto"/>
        </w:rPr>
        <w:t>”)) (such options, warrants or other securities,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Derivative Instruments</w:t>
      </w:r>
      <w:r>
        <w:rPr>
          <w:rFonts w:ascii="Arial" w:cs="Arial" w:eastAsia="Arial" w:hAnsi="Arial"/>
          <w:sz w:val="18"/>
          <w:szCs w:val="18"/>
          <w:color w:val="auto"/>
        </w:rPr>
        <w:t>”), including without limitation any such shares or Derivative Instruments now owned or hereafter acquired by the undersigned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effect or which reasonably could be expected to lead to or result in a sale, loan, pledge or other disposition (whether by the undersigned or someone other than the undersigned), or transfer of any of the economic consequences of ownership, in whole or in part, directly or indirectly, of the Securities, whether any such transaction or arrangement (or instrument provided for thereunder) would be settled by delivery of Common Stock or other securities, in cash or otherwise (any such sale, loan, pledge or other disposition, or transfer of economic consequences, a “</w:t>
      </w:r>
      <w:r>
        <w:rPr>
          <w:rFonts w:ascii="Arial" w:cs="Arial" w:eastAsia="Arial" w:hAnsi="Arial"/>
          <w:sz w:val="18"/>
          <w:szCs w:val="18"/>
          <w:b w:val="1"/>
          <w:bCs w:val="1"/>
          <w:color w:val="auto"/>
        </w:rPr>
        <w:t>Transfer</w:t>
      </w:r>
      <w:r>
        <w:rPr>
          <w:rFonts w:ascii="Arial" w:cs="Arial" w:eastAsia="Arial" w:hAnsi="Arial"/>
          <w:sz w:val="18"/>
          <w:szCs w:val="18"/>
          <w:color w:val="auto"/>
        </w:rPr>
        <w:t>”), or (3) otherwise publicly announce any intention to engage in or cause any Transfer (except for Transfers permitted under this Lock-Up Agreement).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(other than Transfers that are expressly permitted by this Lock-Up Agreement). For the avoidance of doubt, if the undersigned is an officer or director of the Company, the undersigned agrees that the foregoing provisions shall be equally applicable to any issuer-directed or other shares of Class A Common Stock the undersigned may purchase in the Public Offering. If more than one natural person or entity is listed as a signatory to this Lock-Up Agreement, the term “</w:t>
      </w:r>
      <w:r>
        <w:rPr>
          <w:rFonts w:ascii="Arial" w:cs="Arial" w:eastAsia="Arial" w:hAnsi="Arial"/>
          <w:sz w:val="18"/>
          <w:szCs w:val="18"/>
          <w:b w:val="1"/>
          <w:bCs w:val="1"/>
          <w:color w:val="auto"/>
        </w:rPr>
        <w:t>undersigned</w:t>
      </w:r>
      <w:r>
        <w:rPr>
          <w:rFonts w:ascii="Arial" w:cs="Arial" w:eastAsia="Arial" w:hAnsi="Arial"/>
          <w:sz w:val="18"/>
          <w:szCs w:val="18"/>
          <w:color w:val="auto"/>
        </w:rPr>
        <w:t>” as used herein shall refer collectively to all such natural persons and entities, and the number and percentages of shares of Common Stock and Derivative Instruments, as the case may be, that are held by such natural persons and entities, shall be aggregated for purposes of determining the applicability of any of the restrictions set forth herein, release or waiver therefrom, or termination thereof, as applicable.</w:t>
      </w:r>
    </w:p>
    <w:p>
      <w:pPr>
        <w:spacing w:after="0" w:line="153" w:lineRule="exact"/>
        <w:rPr>
          <w:sz w:val="20"/>
          <w:szCs w:val="20"/>
          <w:color w:val="auto"/>
        </w:rPr>
      </w:pPr>
    </w:p>
    <w:p>
      <w:pPr>
        <w:jc w:val="both"/>
        <w:ind w:firstLine="205"/>
        <w:spacing w:after="0" w:line="245" w:lineRule="auto"/>
        <w:rPr>
          <w:sz w:val="20"/>
          <w:szCs w:val="20"/>
          <w:color w:val="auto"/>
        </w:rPr>
      </w:pPr>
      <w:r>
        <w:rPr>
          <w:rFonts w:ascii="Arial" w:cs="Arial" w:eastAsia="Arial" w:hAnsi="Arial"/>
          <w:sz w:val="18"/>
          <w:szCs w:val="18"/>
          <w:color w:val="auto"/>
        </w:rPr>
        <w:t>[Notwithstanding anything to the contrary in this Lock-Up Agreement, (a) nothing in this Lock-Up Agreement (including the restrictions set forth herein) shall apply to 50% of the Tranche I Convert Shares held by the undersigned and (b) with respect to the remaining 50% of the Tranche I Convert Shares held by the undersigned, nothing in this Lock-Up Agreement (including the restrictions set forth herein) shall prevent the undersigned from exercising their rights to request that the Company register any Tranche I Convert Shares under any registration statement(s) on Form S-1 as described in the Prospectus.]</w:t>
      </w:r>
      <w:r>
        <w:rPr>
          <w:rFonts w:ascii="Arial" w:cs="Arial" w:eastAsia="Arial" w:hAnsi="Arial"/>
          <w:sz w:val="22"/>
          <w:szCs w:val="22"/>
          <w:color w:val="auto"/>
          <w:vertAlign w:val="superscript"/>
        </w:rPr>
        <w:t>1</w:t>
      </w:r>
    </w:p>
    <w:p>
      <w:pPr>
        <w:spacing w:after="0" w:line="34" w:lineRule="exact"/>
        <w:rPr>
          <w:sz w:val="20"/>
          <w:szCs w:val="20"/>
          <w:color w:val="auto"/>
        </w:rPr>
      </w:pPr>
    </w:p>
    <w:p>
      <w:pPr>
        <w:jc w:val="both"/>
        <w:ind w:right="20" w:firstLine="574"/>
        <w:spacing w:after="0" w:line="250" w:lineRule="auto"/>
        <w:rPr>
          <w:sz w:val="20"/>
          <w:szCs w:val="20"/>
          <w:color w:val="auto"/>
        </w:rPr>
      </w:pPr>
      <w:r>
        <w:rPr>
          <w:rFonts w:ascii="Arial" w:cs="Arial" w:eastAsia="Arial" w:hAnsi="Arial"/>
          <w:sz w:val="18"/>
          <w:szCs w:val="18"/>
          <w:color w:val="auto"/>
        </w:rPr>
        <w:t>[Notwithstanding the foregoing, if the reported closing price of the Class A Common Stock on the Nasdaq Stock Market (the “</w:t>
      </w:r>
      <w:r>
        <w:rPr>
          <w:rFonts w:ascii="Arial" w:cs="Arial" w:eastAsia="Arial" w:hAnsi="Arial"/>
          <w:sz w:val="18"/>
          <w:szCs w:val="18"/>
          <w:b w:val="1"/>
          <w:bCs w:val="1"/>
          <w:color w:val="auto"/>
        </w:rPr>
        <w:t>Nasdaq</w:t>
      </w:r>
      <w:r>
        <w:rPr>
          <w:rFonts w:ascii="Arial" w:cs="Arial" w:eastAsia="Arial" w:hAnsi="Arial"/>
          <w:sz w:val="18"/>
          <w:szCs w:val="18"/>
          <w:color w:val="auto"/>
        </w:rPr>
        <w:t>”) is at least 33% greater than the initial public offering price per share set forth on the cover page of the Prospectus both (a) on the date that is the later of (i) the first full Trading Day immediately following the Company’s public release of</w:t>
      </w:r>
    </w:p>
    <w:p>
      <w:pPr>
        <w:sectPr>
          <w:pgSz w:w="11900" w:h="16838" w:orient="portrait"/>
          <w:cols w:equalWidth="0" w:num="1">
            <w:col w:w="11260"/>
          </w:cols>
          <w:pgMar w:left="320" w:top="1261" w:right="319" w:bottom="1440" w:gutter="0" w:footer="0" w:header="0"/>
        </w:sectPr>
      </w:pPr>
    </w:p>
    <w:bookmarkStart w:id="439" w:name="page440"/>
    <w:bookmarkEnd w:id="439"/>
    <w:p>
      <w:pPr>
        <w:jc w:val="both"/>
        <w:ind w:left="4"/>
        <w:spacing w:after="0" w:line="264" w:lineRule="auto"/>
        <w:rPr>
          <w:sz w:val="20"/>
          <w:szCs w:val="20"/>
          <w:color w:val="auto"/>
        </w:rPr>
      </w:pPr>
      <w:r>
        <w:rPr>
          <w:rFonts w:ascii="Arial" w:cs="Arial" w:eastAsia="Arial" w:hAnsi="Arial"/>
          <w:sz w:val="16"/>
          <w:szCs w:val="16"/>
          <w:color w:val="auto"/>
        </w:rPr>
        <w:t>quarterly financial results (which for this purpose does not include “flash” numbers or preliminary, partial earnings) for the first quarter following the most recent period for which financial statements are included in the Prospectus (the “</w:t>
      </w:r>
      <w:r>
        <w:rPr>
          <w:rFonts w:ascii="Arial" w:cs="Arial" w:eastAsia="Arial" w:hAnsi="Arial"/>
          <w:sz w:val="16"/>
          <w:szCs w:val="16"/>
          <w:b w:val="1"/>
          <w:bCs w:val="1"/>
          <w:color w:val="auto"/>
        </w:rPr>
        <w:t>First Earnings Release</w:t>
      </w:r>
      <w:r>
        <w:rPr>
          <w:rFonts w:ascii="Arial" w:cs="Arial" w:eastAsia="Arial" w:hAnsi="Arial"/>
          <w:sz w:val="16"/>
          <w:szCs w:val="16"/>
          <w:color w:val="auto"/>
        </w:rPr>
        <w:t>”) and (ii) the 90th day (or, if such 90th day is not a Trading Day, then the first Trading Day after such 90th day) after the date of the Prospectus (such later date, the “</w:t>
      </w:r>
      <w:r>
        <w:rPr>
          <w:rFonts w:ascii="Arial" w:cs="Arial" w:eastAsia="Arial" w:hAnsi="Arial"/>
          <w:sz w:val="16"/>
          <w:szCs w:val="16"/>
          <w:b w:val="1"/>
          <w:bCs w:val="1"/>
          <w:color w:val="auto"/>
        </w:rPr>
        <w:t>Pricing</w:t>
      </w:r>
      <w:r>
        <w:rPr>
          <w:rFonts w:ascii="Arial" w:cs="Arial" w:eastAsia="Arial" w:hAnsi="Arial"/>
          <w:sz w:val="16"/>
          <w:szCs w:val="16"/>
          <w:color w:val="auto"/>
        </w:rPr>
        <w:t xml:space="preserve"> </w:t>
      </w:r>
      <w:r>
        <w:rPr>
          <w:rFonts w:ascii="Arial" w:cs="Arial" w:eastAsia="Arial" w:hAnsi="Arial"/>
          <w:sz w:val="16"/>
          <w:szCs w:val="16"/>
          <w:b w:val="1"/>
          <w:bCs w:val="1"/>
          <w:color w:val="auto"/>
        </w:rPr>
        <w:t>Condition Measurement Date</w:t>
      </w:r>
      <w:r>
        <w:rPr>
          <w:rFonts w:ascii="Arial" w:cs="Arial" w:eastAsia="Arial" w:hAnsi="Arial"/>
          <w:sz w:val="16"/>
          <w:szCs w:val="16"/>
          <w:color w:val="auto"/>
        </w:rPr>
        <w:t>”) and (b) for at least 9 of the 14 consecutive Trading Days immediately preceding, but excluding, the Pricing</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Measurement Date, then the undersigned may Transfer up to 5% of the total number of shares of Common Stock comprising or underlying (as applicable) the outstanding Securities held, as of the Public Offering Date (but after giving effect to the sale of Class A Common Stock in the Public Offering by the Selling Stockholders), by the undersigned, with such 5% calculated after excluding any shares of Common Stock withheld by the Company for taxes upon the vesting and settlement of any IPO-Vesting Time-Based RSUs and IPO-Vesting Market-Based RSUs (in each case, as defined in the Prospectus), on or after the later of (A) the second Trading Day following the First Earnings Release and</w:t>
      </w:r>
    </w:p>
    <w:p>
      <w:pPr>
        <w:spacing w:after="0" w:line="7" w:lineRule="exact"/>
        <w:rPr>
          <w:sz w:val="20"/>
          <w:szCs w:val="20"/>
          <w:color w:val="auto"/>
        </w:rPr>
      </w:pPr>
    </w:p>
    <w:p>
      <w:pPr>
        <w:jc w:val="both"/>
        <w:ind w:left="4" w:hanging="4"/>
        <w:spacing w:after="0" w:line="248" w:lineRule="auto"/>
        <w:tabs>
          <w:tab w:leader="none" w:pos="28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the 91st day after the Public Offering Date; </w:t>
      </w:r>
      <w:r>
        <w:rPr>
          <w:rFonts w:ascii="Arial" w:cs="Arial" w:eastAsia="Arial" w:hAnsi="Arial"/>
          <w:sz w:val="18"/>
          <w:szCs w:val="18"/>
          <w:i w:val="1"/>
          <w:iCs w:val="1"/>
          <w:color w:val="auto"/>
        </w:rPr>
        <w:t>provided</w:t>
      </w:r>
      <w:r>
        <w:rPr>
          <w:rFonts w:ascii="Arial" w:cs="Arial" w:eastAsia="Arial" w:hAnsi="Arial"/>
          <w:sz w:val="18"/>
          <w:szCs w:val="18"/>
          <w:color w:val="auto"/>
        </w:rPr>
        <w:t>, that (x) the Company shall announce any impending release pursuant to this paragraph by press release through a major news service at least two business days before effectiveness of such release and (y) any such release shall only be effective two business days after the publication date of such press release (such later date, as extended by the foregoing proviso, the “</w:t>
      </w:r>
      <w:r>
        <w:rPr>
          <w:rFonts w:ascii="Arial" w:cs="Arial" w:eastAsia="Arial" w:hAnsi="Arial"/>
          <w:sz w:val="18"/>
          <w:szCs w:val="18"/>
          <w:b w:val="1"/>
          <w:bCs w:val="1"/>
          <w:color w:val="auto"/>
        </w:rPr>
        <w:t>First Earnings-Related Release Date</w:t>
      </w:r>
      <w:r>
        <w:rPr>
          <w:rFonts w:ascii="Arial" w:cs="Arial" w:eastAsia="Arial" w:hAnsi="Arial"/>
          <w:sz w:val="18"/>
          <w:szCs w:val="18"/>
          <w:color w:val="auto"/>
        </w:rPr>
        <w:t>”).]</w:t>
      </w:r>
      <w:r>
        <w:rPr>
          <w:rFonts w:ascii="Arial" w:cs="Arial" w:eastAsia="Arial" w:hAnsi="Arial"/>
          <w:sz w:val="22"/>
          <w:szCs w:val="22"/>
          <w:color w:val="auto"/>
          <w:vertAlign w:val="superscript"/>
        </w:rPr>
        <w:t>2</w:t>
      </w:r>
    </w:p>
    <w:p>
      <w:pPr>
        <w:spacing w:after="0" w:line="31"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7"/>
          <w:szCs w:val="17"/>
          <w:color w:val="auto"/>
        </w:rPr>
        <w:t>[Notwithstanding the foregoing, (a) if the reported closing price of the Class A Common Stock on the Nasdaq Stock Market (the “</w:t>
      </w:r>
      <w:r>
        <w:rPr>
          <w:rFonts w:ascii="Arial" w:cs="Arial" w:eastAsia="Arial" w:hAnsi="Arial"/>
          <w:sz w:val="17"/>
          <w:szCs w:val="17"/>
          <w:b w:val="1"/>
          <w:bCs w:val="1"/>
          <w:color w:val="auto"/>
        </w:rPr>
        <w:t>Nasdaq</w:t>
      </w:r>
      <w:r>
        <w:rPr>
          <w:rFonts w:ascii="Arial" w:cs="Arial" w:eastAsia="Arial" w:hAnsi="Arial"/>
          <w:sz w:val="17"/>
          <w:szCs w:val="17"/>
          <w:color w:val="auto"/>
        </w:rPr>
        <w:t>”) is at least 33%, but less than 50%, greater than the initial public offering price per share set forth on the cover page of the Prospectus (the “</w:t>
      </w:r>
      <w:r>
        <w:rPr>
          <w:rFonts w:ascii="Arial" w:cs="Arial" w:eastAsia="Arial" w:hAnsi="Arial"/>
          <w:sz w:val="17"/>
          <w:szCs w:val="17"/>
          <w:b w:val="1"/>
          <w:bCs w:val="1"/>
          <w:color w:val="auto"/>
        </w:rPr>
        <w:t>Public Offering Price</w:t>
      </w:r>
      <w:r>
        <w:rPr>
          <w:rFonts w:ascii="Arial" w:cs="Arial" w:eastAsia="Arial" w:hAnsi="Arial"/>
          <w:sz w:val="17"/>
          <w:szCs w:val="17"/>
          <w:color w:val="auto"/>
        </w:rPr>
        <w:t>”) both (i) on the date that is the later of (A) the first full Trading Day immediately following the Company’s public release of quarterly financial results (which for this purpose does not include “flash” numbers or preliminary, partial earnings) for the first quarter following the most recent period for which financial statements are included in the Prospectus (the “</w:t>
      </w:r>
      <w:r>
        <w:rPr>
          <w:rFonts w:ascii="Arial" w:cs="Arial" w:eastAsia="Arial" w:hAnsi="Arial"/>
          <w:sz w:val="17"/>
          <w:szCs w:val="17"/>
          <w:b w:val="1"/>
          <w:bCs w:val="1"/>
          <w:color w:val="auto"/>
        </w:rPr>
        <w:t>First Earnings Release</w:t>
      </w:r>
      <w:r>
        <w:rPr>
          <w:rFonts w:ascii="Arial" w:cs="Arial" w:eastAsia="Arial" w:hAnsi="Arial"/>
          <w:sz w:val="17"/>
          <w:szCs w:val="17"/>
          <w:color w:val="auto"/>
        </w:rPr>
        <w:t>”) and (B) the 90th day (or, if such 90th day is not a Trading Day, then the first Trading Day after such 90th day) after the date of the Prospectus (such later date, the “</w:t>
      </w:r>
      <w:r>
        <w:rPr>
          <w:rFonts w:ascii="Arial" w:cs="Arial" w:eastAsia="Arial" w:hAnsi="Arial"/>
          <w:sz w:val="17"/>
          <w:szCs w:val="17"/>
          <w:b w:val="1"/>
          <w:bCs w:val="1"/>
          <w:color w:val="auto"/>
        </w:rPr>
        <w:t>Pricing</w:t>
      </w:r>
      <w:r>
        <w:rPr>
          <w:rFonts w:ascii="Arial" w:cs="Arial" w:eastAsia="Arial" w:hAnsi="Arial"/>
          <w:sz w:val="17"/>
          <w:szCs w:val="17"/>
          <w:color w:val="auto"/>
        </w:rPr>
        <w:t xml:space="preserve"> </w:t>
      </w:r>
      <w:r>
        <w:rPr>
          <w:rFonts w:ascii="Arial" w:cs="Arial" w:eastAsia="Arial" w:hAnsi="Arial"/>
          <w:sz w:val="17"/>
          <w:szCs w:val="17"/>
          <w:b w:val="1"/>
          <w:bCs w:val="1"/>
          <w:color w:val="auto"/>
        </w:rPr>
        <w:t>Condition Measurement Date</w:t>
      </w:r>
      <w:r>
        <w:rPr>
          <w:rFonts w:ascii="Arial" w:cs="Arial" w:eastAsia="Arial" w:hAnsi="Arial"/>
          <w:sz w:val="17"/>
          <w:szCs w:val="17"/>
          <w:color w:val="auto"/>
        </w:rPr>
        <w:t>”) and (ii) for at least 9 of the 14 consecutive Trading Days immediately preceding, but excluding, the Pricing</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Measurement Date, then the undersigned may sell up to 10% of the shares of Common Stock comprising or underlying (as applicable) the Securities (provided that, for purposes of this 10% calculation and the 20% calculation below, “Securities” shall not include the Company’s Tranche I convertible notes, Tranche II convertible notes or warrants or shares of Common Stock issued or issuable upon conversion or exercise thereof) held, as of the Public Offering Date, by the undersigned (the “</w:t>
      </w:r>
      <w:r>
        <w:rPr>
          <w:rFonts w:ascii="Arial" w:cs="Arial" w:eastAsia="Arial" w:hAnsi="Arial"/>
          <w:sz w:val="17"/>
          <w:szCs w:val="17"/>
          <w:b w:val="1"/>
          <w:bCs w:val="1"/>
          <w:color w:val="auto"/>
        </w:rPr>
        <w:t>Outstanding Share Ownership</w:t>
      </w:r>
      <w:r>
        <w:rPr>
          <w:rFonts w:ascii="Arial" w:cs="Arial" w:eastAsia="Arial" w:hAnsi="Arial"/>
          <w:sz w:val="17"/>
          <w:szCs w:val="17"/>
          <w:color w:val="auto"/>
        </w:rPr>
        <w:t>”), on or after the later of (1) the commencement of trading on the full second Trading Day following the First Earnings Release and (2) the 91st day after the Public Offering Date (such later date, the “</w:t>
      </w:r>
      <w:r>
        <w:rPr>
          <w:rFonts w:ascii="Arial" w:cs="Arial" w:eastAsia="Arial" w:hAnsi="Arial"/>
          <w:sz w:val="17"/>
          <w:szCs w:val="17"/>
          <w:b w:val="1"/>
          <w:bCs w:val="1"/>
          <w:color w:val="auto"/>
        </w:rPr>
        <w:t>First Earnings-Related Release Date</w:t>
      </w:r>
      <w:r>
        <w:rPr>
          <w:rFonts w:ascii="Arial" w:cs="Arial" w:eastAsia="Arial" w:hAnsi="Arial"/>
          <w:sz w:val="17"/>
          <w:szCs w:val="17"/>
          <w:color w:val="auto"/>
        </w:rPr>
        <w:t>”); or (b) if the reported closing price of the Class A Common Stock on the Nasdaq is at least 50% greater than the Public Offering Price both (i) on the Pricing Condition Measurement Date and (ii) for at least 9 of the 14 consecutive Trading Days immediately preceding, but excluding, the Pricing Condition Measurement Date, then the undersigned may Transfer up to 20% of the Outstanding Share Ownership, on or after the First Earnings-Related Release Date.]</w:t>
      </w:r>
      <w:r>
        <w:rPr>
          <w:rFonts w:ascii="Arial" w:cs="Arial" w:eastAsia="Arial" w:hAnsi="Arial"/>
          <w:sz w:val="21"/>
          <w:szCs w:val="21"/>
          <w:color w:val="auto"/>
          <w:vertAlign w:val="superscript"/>
        </w:rPr>
        <w:t>3</w:t>
      </w:r>
    </w:p>
    <w:p>
      <w:pPr>
        <w:spacing w:after="0" w:line="57" w:lineRule="exact"/>
        <w:rPr>
          <w:sz w:val="20"/>
          <w:szCs w:val="20"/>
          <w:color w:val="auto"/>
        </w:rPr>
      </w:pPr>
    </w:p>
    <w:p>
      <w:pPr>
        <w:jc w:val="both"/>
        <w:ind w:left="4" w:right="20" w:firstLine="574"/>
        <w:spacing w:after="0" w:line="239" w:lineRule="auto"/>
        <w:rPr>
          <w:sz w:val="20"/>
          <w:szCs w:val="20"/>
          <w:color w:val="auto"/>
        </w:rPr>
      </w:pPr>
      <w:r>
        <w:rPr>
          <w:rFonts w:ascii="Arial" w:cs="Arial" w:eastAsia="Arial" w:hAnsi="Arial"/>
          <w:sz w:val="18"/>
          <w:szCs w:val="18"/>
          <w:color w:val="auto"/>
        </w:rPr>
        <w:t>[Notwithstanding the foregoing, the undersigned may Transfer (a) up to 15% of the total number of shares of Common Stock comprising or underlying (as applicable) the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151765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1517650" cy="7620"/>
                    </a:xfrm>
                    <a:prstGeom prst="rect">
                      <a:avLst/>
                    </a:prstGeom>
                    <a:noFill/>
                  </pic:spPr>
                </pic:pic>
              </a:graphicData>
            </a:graphic>
          </wp:anchor>
        </w:drawing>
      </w:r>
    </w:p>
    <w:p>
      <w:pPr>
        <w:spacing w:after="0" w:line="193" w:lineRule="exact"/>
        <w:rPr>
          <w:sz w:val="20"/>
          <w:szCs w:val="20"/>
          <w:color w:val="auto"/>
        </w:rPr>
      </w:pPr>
    </w:p>
    <w:p>
      <w:pPr>
        <w:ind w:left="64" w:hanging="64"/>
        <w:spacing w:after="0"/>
        <w:tabs>
          <w:tab w:leader="none" w:pos="64" w:val="left"/>
        </w:tabs>
        <w:numPr>
          <w:ilvl w:val="0"/>
          <w:numId w:val="217"/>
        </w:numPr>
        <w:rPr>
          <w:rFonts w:ascii="Arial" w:cs="Arial" w:eastAsia="Arial" w:hAnsi="Arial"/>
          <w:sz w:val="14"/>
          <w:szCs w:val="14"/>
          <w:color w:val="auto"/>
          <w:vertAlign w:val="superscript"/>
        </w:rPr>
      </w:pPr>
      <w:r>
        <w:rPr>
          <w:rFonts w:ascii="Arial" w:cs="Arial" w:eastAsia="Arial" w:hAnsi="Arial"/>
          <w:sz w:val="11"/>
          <w:szCs w:val="11"/>
          <w:color w:val="auto"/>
        </w:rPr>
        <w:t>To include if the undersigned is a founder or the CFO.</w:t>
      </w:r>
    </w:p>
    <w:p>
      <w:pPr>
        <w:ind w:left="64" w:hanging="64"/>
        <w:spacing w:after="0" w:line="198" w:lineRule="auto"/>
        <w:tabs>
          <w:tab w:leader="none" w:pos="64" w:val="left"/>
        </w:tabs>
        <w:numPr>
          <w:ilvl w:val="0"/>
          <w:numId w:val="218"/>
        </w:numPr>
        <w:rPr>
          <w:rFonts w:ascii="Arial" w:cs="Arial" w:eastAsia="Arial" w:hAnsi="Arial"/>
          <w:sz w:val="14"/>
          <w:szCs w:val="14"/>
          <w:color w:val="auto"/>
          <w:vertAlign w:val="superscript"/>
        </w:rPr>
      </w:pPr>
      <w:r>
        <w:rPr>
          <w:rFonts w:ascii="Arial" w:cs="Arial" w:eastAsia="Arial" w:hAnsi="Arial"/>
          <w:sz w:val="11"/>
          <w:szCs w:val="11"/>
          <w:color w:val="auto"/>
        </w:rPr>
        <w:t>To include if undersigned is party to the IRA or a holder of common stock outstanding prior to the IPO and not otherwise covered by the early release provisions contained herein.</w:t>
      </w:r>
    </w:p>
    <w:p>
      <w:pPr>
        <w:sectPr>
          <w:pgSz w:w="11900" w:h="16838" w:orient="portrait"/>
          <w:cols w:equalWidth="0" w:num="1">
            <w:col w:w="11264"/>
          </w:cols>
          <w:pgMar w:left="316" w:top="1282" w:right="319" w:bottom="1440" w:gutter="0" w:footer="0" w:header="0"/>
        </w:sectPr>
      </w:pPr>
    </w:p>
    <w:bookmarkStart w:id="440" w:name="page441"/>
    <w:bookmarkEnd w:id="440"/>
    <w:p>
      <w:pPr>
        <w:jc w:val="both"/>
        <w:ind w:left="4"/>
        <w:spacing w:after="0" w:line="251" w:lineRule="auto"/>
        <w:rPr>
          <w:sz w:val="20"/>
          <w:szCs w:val="20"/>
          <w:color w:val="auto"/>
        </w:rPr>
      </w:pPr>
      <w:r>
        <w:rPr>
          <w:rFonts w:ascii="Arial" w:cs="Arial" w:eastAsia="Arial" w:hAnsi="Arial"/>
          <w:sz w:val="18"/>
          <w:szCs w:val="18"/>
          <w:color w:val="auto"/>
        </w:rPr>
        <w:t>Securities held by the undersigned as of the Public Offering Date (the “</w:t>
      </w:r>
      <w:r>
        <w:rPr>
          <w:rFonts w:ascii="Arial" w:cs="Arial" w:eastAsia="Arial" w:hAnsi="Arial"/>
          <w:sz w:val="18"/>
          <w:szCs w:val="18"/>
          <w:b w:val="1"/>
          <w:bCs w:val="1"/>
          <w:color w:val="auto"/>
        </w:rPr>
        <w:t>Outstanding Share Ownership</w:t>
      </w:r>
      <w:r>
        <w:rPr>
          <w:rFonts w:ascii="Arial" w:cs="Arial" w:eastAsia="Arial" w:hAnsi="Arial"/>
          <w:sz w:val="18"/>
          <w:szCs w:val="18"/>
          <w:color w:val="auto"/>
        </w:rPr>
        <w:t>”), with such 15% calculated after excluding any shares of Common Stock withheld by the Company for taxes upon the vesting and settlement of any IPO-Vesting Time-Based RSUs and IPO-Vesting Market-Based RSUs (in each case, as defined in the Prospectus), on or after the first full Trading Day on which the Class A Common Stock is traded on the Nasdaq Stock Market (the “</w:t>
      </w:r>
      <w:r>
        <w:rPr>
          <w:rFonts w:ascii="Arial" w:cs="Arial" w:eastAsia="Arial" w:hAnsi="Arial"/>
          <w:sz w:val="18"/>
          <w:szCs w:val="18"/>
          <w:b w:val="1"/>
          <w:bCs w:val="1"/>
          <w:color w:val="auto"/>
        </w:rPr>
        <w:t>Nasdaq</w:t>
      </w:r>
      <w:r>
        <w:rPr>
          <w:rFonts w:ascii="Arial" w:cs="Arial" w:eastAsia="Arial" w:hAnsi="Arial"/>
          <w:sz w:val="18"/>
          <w:szCs w:val="18"/>
          <w:color w:val="auto"/>
        </w:rPr>
        <w:t>”) and (b) an additional 15% of the Outstanding Share Ownership on or after the 91st day after the Public Offering Date.]</w:t>
      </w:r>
      <w:r>
        <w:rPr>
          <w:rFonts w:ascii="Arial" w:cs="Arial" w:eastAsia="Arial" w:hAnsi="Arial"/>
          <w:sz w:val="22"/>
          <w:szCs w:val="22"/>
          <w:color w:val="auto"/>
          <w:vertAlign w:val="superscript"/>
        </w:rPr>
        <w:t>4</w:t>
      </w:r>
    </w:p>
    <w:p>
      <w:pPr>
        <w:spacing w:after="0" w:line="51" w:lineRule="exact"/>
        <w:rPr>
          <w:sz w:val="20"/>
          <w:szCs w:val="20"/>
          <w:color w:val="auto"/>
        </w:rPr>
      </w:pPr>
    </w:p>
    <w:p>
      <w:pPr>
        <w:jc w:val="both"/>
        <w:ind w:left="4" w:firstLine="574"/>
        <w:spacing w:after="0" w:line="237" w:lineRule="auto"/>
        <w:rPr>
          <w:sz w:val="20"/>
          <w:szCs w:val="20"/>
          <w:color w:val="auto"/>
        </w:rPr>
      </w:pPr>
      <w:r>
        <w:rPr>
          <w:rFonts w:ascii="Arial" w:cs="Arial" w:eastAsia="Arial" w:hAnsi="Arial"/>
          <w:sz w:val="18"/>
          <w:szCs w:val="18"/>
          <w:color w:val="auto"/>
        </w:rPr>
        <w:t>If the undersigned is not a natural person, the undersigned represents and warrants that no single natural person, entity or “group” (within the meaning of Section 13(d)(3) of the Exchange Act (as defined below)),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38" w:lineRule="exact"/>
        <w:rPr>
          <w:sz w:val="20"/>
          <w:szCs w:val="20"/>
          <w:color w:val="auto"/>
        </w:rPr>
      </w:pPr>
    </w:p>
    <w:p>
      <w:pPr>
        <w:jc w:val="both"/>
        <w:ind w:left="4" w:firstLine="202"/>
        <w:spacing w:after="0" w:line="269" w:lineRule="auto"/>
        <w:rPr>
          <w:sz w:val="20"/>
          <w:szCs w:val="20"/>
          <w:color w:val="auto"/>
        </w:rPr>
      </w:pPr>
      <w:r>
        <w:rPr>
          <w:rFonts w:ascii="Arial" w:cs="Arial" w:eastAsia="Arial" w:hAnsi="Arial"/>
          <w:sz w:val="16"/>
          <w:szCs w:val="16"/>
          <w:color w:val="auto"/>
        </w:rPr>
        <w:t>If the undersigned is an officer or director of the Company, (a) the Representatives agree that, at least three business days before the effective date of any release or waiver of the foregoing restrictions in connection with a transfer of shares of Common Stock in accordance with clause (xv) below, the Representatives will notify the Company of the impending release or waiver, and (b)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(i) the release or waiver is effected solely to permit a transfer not for consideration and (ii) the transferee has agreed in writing to be bound by the same terms described in this Lock-Up Agreement to the extent and for the duration that such terms remain in effect at the time of the transfer.</w:t>
      </w:r>
    </w:p>
    <w:p>
      <w:pPr>
        <w:spacing w:after="0" w:line="119" w:lineRule="exact"/>
        <w:rPr>
          <w:sz w:val="20"/>
          <w:szCs w:val="20"/>
          <w:color w:val="auto"/>
        </w:rPr>
      </w:pPr>
    </w:p>
    <w:p>
      <w:pPr>
        <w:jc w:val="both"/>
        <w:ind w:left="4" w:firstLine="218"/>
        <w:spacing w:after="0" w:line="236" w:lineRule="auto"/>
        <w:rPr>
          <w:sz w:val="20"/>
          <w:szCs w:val="20"/>
          <w:color w:val="auto"/>
        </w:rPr>
      </w:pPr>
      <w:r>
        <w:rPr>
          <w:rFonts w:ascii="Arial" w:cs="Arial" w:eastAsia="Arial" w:hAnsi="Arial"/>
          <w:sz w:val="18"/>
          <w:szCs w:val="18"/>
          <w:color w:val="auto"/>
        </w:rPr>
        <w:t>[If, during the Lock-Up Period, any of the lock-up restrictions set forth above for shares of Common Stock are discretionarily released, waived or terminated by the Representatives in accordance with clause (xv) below with respect to any of the securities of any Holder (as defined below), executive officer of the Company, director of the Company or beneficial owner, as of the date set forth on the cover page of the Prospectus, of more than 1% of the outstanding shares of Common Stock on an as-converted, fully diluted basis (it being agreed that, for purposes of determining record or beneficial ownership of a stockholder on such basis (a “</w:t>
      </w:r>
      <w:r>
        <w:rPr>
          <w:rFonts w:ascii="Arial" w:cs="Arial" w:eastAsia="Arial" w:hAnsi="Arial"/>
          <w:sz w:val="18"/>
          <w:szCs w:val="18"/>
          <w:b w:val="1"/>
          <w:bCs w:val="1"/>
          <w:color w:val="auto"/>
        </w:rPr>
        <w:t>fully diluted basis</w:t>
      </w:r>
      <w:r>
        <w:rPr>
          <w:rFonts w:ascii="Arial" w:cs="Arial" w:eastAsia="Arial" w:hAnsi="Arial"/>
          <w:sz w:val="18"/>
          <w:szCs w:val="18"/>
          <w:color w:val="auto"/>
        </w:rPr>
        <w:t>”), all shares of Common Stock or securities convertible into or exercisable or exchangeable for shares of Common Stock (but excluding the Company’s convertible notes and warrants and shares issued or issuable upon conversion of exercise thereof) held by investment funds affiliated with such stockholder shall be aggregated) (a “</w:t>
      </w:r>
      <w:r>
        <w:rPr>
          <w:rFonts w:ascii="Arial" w:cs="Arial" w:eastAsia="Arial" w:hAnsi="Arial"/>
          <w:sz w:val="18"/>
          <w:szCs w:val="18"/>
          <w:b w:val="1"/>
          <w:bCs w:val="1"/>
          <w:color w:val="auto"/>
        </w:rPr>
        <w:t>1% Holder</w:t>
      </w:r>
      <w:r>
        <w:rPr>
          <w:rFonts w:ascii="Arial" w:cs="Arial" w:eastAsia="Arial" w:hAnsi="Arial"/>
          <w:sz w:val="18"/>
          <w:szCs w:val="18"/>
          <w:color w:val="auto"/>
        </w:rPr>
        <w:t>”) in connection with a transfer or other disposition of Common Stock, the Representatives will be deemed to have also released, waived or terminated, as applicable, for the undersigned, on the same terms, the prohibitions set forth in this Lock-Up Agreement that would otherwise have applied to the undersigned with respect to the same percentage of the undersigned’s shares of Common Stock as the percentage of the number of shares of Common Stock subject to such release, waiver or termination bears to the total number of shares held by the executive officer, director, or 1% Holder, as applicable, receiving the release, waiver or termination. The provisions of this paragraph will not apply (1) to releases, waivers or terminations granted to any individual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151765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1517650" cy="7620"/>
                    </a:xfrm>
                    <a:prstGeom prst="rect">
                      <a:avLst/>
                    </a:prstGeom>
                    <a:noFill/>
                  </pic:spPr>
                </pic:pic>
              </a:graphicData>
            </a:graphic>
          </wp:anchor>
        </w:drawing>
      </w:r>
    </w:p>
    <w:p>
      <w:pPr>
        <w:spacing w:after="0" w:line="196" w:lineRule="exact"/>
        <w:rPr>
          <w:sz w:val="20"/>
          <w:szCs w:val="20"/>
          <w:color w:val="auto"/>
        </w:rPr>
      </w:pPr>
    </w:p>
    <w:p>
      <w:pPr>
        <w:ind w:left="64" w:hanging="64"/>
        <w:spacing w:after="0"/>
        <w:tabs>
          <w:tab w:leader="none" w:pos="64" w:val="left"/>
        </w:tabs>
        <w:numPr>
          <w:ilvl w:val="0"/>
          <w:numId w:val="219"/>
        </w:numPr>
        <w:rPr>
          <w:rFonts w:ascii="Arial" w:cs="Arial" w:eastAsia="Arial" w:hAnsi="Arial"/>
          <w:sz w:val="14"/>
          <w:szCs w:val="14"/>
          <w:color w:val="auto"/>
          <w:vertAlign w:val="superscript"/>
        </w:rPr>
      </w:pPr>
      <w:r>
        <w:rPr>
          <w:rFonts w:ascii="Arial" w:cs="Arial" w:eastAsia="Arial" w:hAnsi="Arial"/>
          <w:sz w:val="11"/>
          <w:szCs w:val="11"/>
          <w:color w:val="auto"/>
        </w:rPr>
        <w:t>To include if the undersigned is a director, officer, current or former employee or current or former consultant or transferee of any of the foregoing (other than the founders and the CFO).</w:t>
      </w:r>
    </w:p>
    <w:p>
      <w:pPr>
        <w:sectPr>
          <w:pgSz w:w="11900" w:h="16838" w:orient="portrait"/>
          <w:cols w:equalWidth="0" w:num="1">
            <w:col w:w="11264"/>
          </w:cols>
          <w:pgMar w:left="316" w:top="1261" w:right="319" w:bottom="1440" w:gutter="0" w:footer="0" w:header="0"/>
        </w:sectPr>
      </w:pPr>
    </w:p>
    <w:bookmarkStart w:id="441" w:name="page442"/>
    <w:bookmarkEnd w:id="441"/>
    <w:p>
      <w:pPr>
        <w:jc w:val="both"/>
        <w:ind w:left="4" w:right="20"/>
        <w:spacing w:after="0" w:line="264" w:lineRule="auto"/>
        <w:rPr>
          <w:sz w:val="20"/>
          <w:szCs w:val="20"/>
          <w:color w:val="auto"/>
        </w:rPr>
      </w:pPr>
      <w:r>
        <w:rPr>
          <w:rFonts w:ascii="Arial" w:cs="Arial" w:eastAsia="Arial" w:hAnsi="Arial"/>
          <w:sz w:val="16"/>
          <w:szCs w:val="16"/>
          <w:color w:val="auto"/>
        </w:rPr>
        <w:t>by the Representatives in an amount less than or equal to shares of Common Stock representing 1% of the shares of Common Stock outstanding as of the date of release, waiver or termination (calculated on a fully diluted basis); (2) if the release, waiver or termination is effected solely to permit a transfer not for consideration and the transferee has agreed in writing to be bound by the same terms described in this Lock-Up Agreement to the extent and for the duration that such terms remain in effect at the time of such transfer; (3) if the Representatives determine that a holder of Common Stock should be granted an early release, waiver or termination due to circumstances of an emergency or hardship; or</w:t>
      </w:r>
    </w:p>
    <w:p>
      <w:pPr>
        <w:spacing w:after="0" w:line="4" w:lineRule="exact"/>
        <w:rPr>
          <w:sz w:val="20"/>
          <w:szCs w:val="20"/>
          <w:color w:val="auto"/>
        </w:rPr>
      </w:pPr>
    </w:p>
    <w:p>
      <w:pPr>
        <w:jc w:val="both"/>
        <w:ind w:left="4" w:hanging="4"/>
        <w:spacing w:after="0"/>
        <w:tabs>
          <w:tab w:leader="none" w:pos="29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if the release, waiver or termination is granted in connection with a follow-on public offering of Common Stock pursuant to a registration statement on Form S-1 under the Securities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the case of this clause (4) that the undersigned has (A) the right to and has been given the opportunity to participate in such follow-on public offering under the Amended and Restated Investors’ Rights Agreement by and among the Company and the other parties thereto, dated August 13, 2020 (the “</w:t>
      </w:r>
      <w:r>
        <w:rPr>
          <w:rFonts w:ascii="Arial" w:cs="Arial" w:eastAsia="Arial" w:hAnsi="Arial"/>
          <w:sz w:val="18"/>
          <w:szCs w:val="18"/>
          <w:b w:val="1"/>
          <w:bCs w:val="1"/>
          <w:color w:val="auto"/>
        </w:rPr>
        <w:t>IRA</w:t>
      </w:r>
      <w:r>
        <w:rPr>
          <w:rFonts w:ascii="Arial" w:cs="Arial" w:eastAsia="Arial" w:hAnsi="Arial"/>
          <w:sz w:val="18"/>
          <w:szCs w:val="18"/>
          <w:color w:val="auto"/>
        </w:rPr>
        <w:t>”) or other agreement between the undersigned and the Company and (B) declined to so participate. For purposes of this paragraph, “</w:t>
      </w:r>
      <w:r>
        <w:rPr>
          <w:rFonts w:ascii="Arial" w:cs="Arial" w:eastAsia="Arial" w:hAnsi="Arial"/>
          <w:sz w:val="18"/>
          <w:szCs w:val="18"/>
          <w:b w:val="1"/>
          <w:bCs w:val="1"/>
          <w:color w:val="auto"/>
        </w:rPr>
        <w:t>Holder</w:t>
      </w:r>
      <w:r>
        <w:rPr>
          <w:rFonts w:ascii="Arial" w:cs="Arial" w:eastAsia="Arial" w:hAnsi="Arial"/>
          <w:sz w:val="18"/>
          <w:szCs w:val="18"/>
          <w:color w:val="auto"/>
        </w:rPr>
        <w:t xml:space="preserve">” shall have the meaning ascribed to it in the IRA. In the event of any release, termination or waiver pursuant to this paragraph, the Representatives shall use commercially reasonable efforts to provide prompt notice of such release, termination or waiver to the Company;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to provide such notice shall not give rise to any claim or liability against the Representatives. Notwithstanding the foregoing, the provisions of this paragraph shall not apply to release any shares issued upon conversion or exercise of the Company’s convertible notes or warrants.]</w:t>
      </w:r>
      <w:r>
        <w:rPr>
          <w:rFonts w:ascii="Arial" w:cs="Arial" w:eastAsia="Arial" w:hAnsi="Arial"/>
          <w:sz w:val="22"/>
          <w:szCs w:val="22"/>
          <w:color w:val="auto"/>
          <w:vertAlign w:val="superscript"/>
        </w:rPr>
        <w:t>3</w:t>
      </w:r>
    </w:p>
    <w:p>
      <w:pPr>
        <w:spacing w:after="0" w:line="63" w:lineRule="exact"/>
        <w:rPr>
          <w:sz w:val="20"/>
          <w:szCs w:val="20"/>
          <w:color w:val="auto"/>
        </w:rPr>
      </w:pPr>
    </w:p>
    <w:p>
      <w:pPr>
        <w:ind w:left="4" w:firstLine="226"/>
        <w:spacing w:after="0" w:line="239" w:lineRule="auto"/>
        <w:rPr>
          <w:sz w:val="20"/>
          <w:szCs w:val="20"/>
          <w:color w:val="auto"/>
        </w:rPr>
      </w:pPr>
      <w:r>
        <w:rPr>
          <w:rFonts w:ascii="Arial" w:cs="Arial" w:eastAsia="Arial" w:hAnsi="Arial"/>
          <w:sz w:val="18"/>
          <w:szCs w:val="18"/>
          <w:color w:val="auto"/>
        </w:rPr>
        <w:t>Notwithstanding the foregoing, in addition to, and not by way of limitation of, any Transfers by the undersigned that are permitted pursuant to the preceding paragraphs, the undersigned may Transfer the Securities:</w:t>
      </w:r>
    </w:p>
    <w:p>
      <w:pPr>
        <w:spacing w:after="0" w:line="161" w:lineRule="exact"/>
        <w:rPr>
          <w:sz w:val="20"/>
          <w:szCs w:val="20"/>
          <w:color w:val="auto"/>
        </w:rPr>
      </w:pPr>
    </w:p>
    <w:p>
      <w:pPr>
        <w:jc w:val="both"/>
        <w:ind w:left="984" w:hanging="411"/>
        <w:spacing w:after="0" w:line="224" w:lineRule="auto"/>
        <w:tabs>
          <w:tab w:leader="none" w:pos="98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connection with (A) any sales of Class A Common Stock by the undersigned to the Underwriters pursuant to the Underwriting Agreement and (B) Transfers of any Securities acquired either from the underwriters in the Public Offering or in the public market following the Public Offering; provided in the case of this clause (B) that no filing under Section 16(a)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reporting such Transfer of the undersigned’s shares of Class A Common Stock, or other public filing, report or announcement by or on behalf of the undersigned reporting a reduction in beneficial ownership of such shares of Class A Common Stock, shall be voluntarily made during the Lock-Up Period; and if the undersigned is required to file a report under the Exchange Act during the Lock-Up Period, the undersigned shall include a statement in such report to the effect that the securities transferred above were acquired in the Public Offering or in open market transactions after the completion of the Public Offering;</w:t>
      </w:r>
    </w:p>
    <w:p>
      <w:pPr>
        <w:spacing w:after="0" w:line="119" w:lineRule="exact"/>
        <w:rPr>
          <w:rFonts w:ascii="Arial" w:cs="Arial" w:eastAsia="Arial" w:hAnsi="Arial"/>
          <w:sz w:val="18"/>
          <w:szCs w:val="18"/>
          <w:color w:val="auto"/>
        </w:rPr>
      </w:pPr>
    </w:p>
    <w:p>
      <w:pPr>
        <w:jc w:val="both"/>
        <w:ind w:left="984" w:hanging="411"/>
        <w:spacing w:after="0" w:line="228" w:lineRule="auto"/>
        <w:tabs>
          <w:tab w:leader="none" w:pos="98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as charitable contributions or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estate planning; provided that the donee or donees thereof agree to be bound in writing by the restrictions set forth herein; provided further that any such Transfer shall not involve a disposition for value; provided further that no filing under Section 16(a) of the Exchange Act reporting such Transfer of the undersigned’s shares of Class A Common Stock, or other public filing, report or announcement by or on behalf of the undersigned reporting a reduction in beneficial ownership of such shares of Class A Common Stock, shall be required or shall be voluntarily made during the Lock-Up Period;</w:t>
      </w:r>
    </w:p>
    <w:p>
      <w:pPr>
        <w:sectPr>
          <w:pgSz w:w="11900" w:h="16838" w:orient="portrait"/>
          <w:cols w:equalWidth="0" w:num="1">
            <w:col w:w="11264"/>
          </w:cols>
          <w:pgMar w:left="316" w:top="1283" w:right="319" w:bottom="1440" w:gutter="0" w:footer="0" w:header="0"/>
        </w:sectPr>
      </w:pPr>
    </w:p>
    <w:bookmarkStart w:id="442" w:name="page443"/>
    <w:bookmarkEnd w:id="442"/>
    <w:p>
      <w:pPr>
        <w:spacing w:after="0" w:line="11" w:lineRule="exact"/>
        <w:rPr>
          <w:sz w:val="20"/>
          <w:szCs w:val="20"/>
          <w:color w:val="auto"/>
        </w:rPr>
      </w:pPr>
    </w:p>
    <w:p>
      <w:pPr>
        <w:jc w:val="both"/>
        <w:ind w:left="411" w:hanging="411"/>
        <w:spacing w:after="0" w:line="224" w:lineRule="auto"/>
        <w:tabs>
          <w:tab w:leader="none" w:pos="40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any immediate family member (as defined below) of the undersigned or to any trust, partnership, limited liability company or any other entity for the direct or indirect benefit of the undersigned or an immediate family member of the undersigned, or, if the undersigned is a trust, to a trustor or beneficiary of the trust (including such beneficiary’s estate) of the undersigned; provided that the transferee agrees to be bound in writing by the restrictions set forth herein; provided further that any such Transfer shall not involve a disposition for value; provided further that no filing under Section 16(a) of the Exchange Act reporting such Transfer of the undersigned’s shares of Class A Common Stock, or other public filing, report or announcement by or on behalf of the undersigned reporting a reduction in beneficial ownership of such shares of Class A Common Stock, shall be required or shall be voluntarily made during the Lock-Up Period;</w:t>
      </w:r>
    </w:p>
    <w:p>
      <w:pPr>
        <w:spacing w:after="0" w:line="139" w:lineRule="exact"/>
        <w:rPr>
          <w:rFonts w:ascii="Arial" w:cs="Arial" w:eastAsia="Arial" w:hAnsi="Arial"/>
          <w:sz w:val="18"/>
          <w:szCs w:val="18"/>
          <w:color w:val="auto"/>
        </w:rPr>
      </w:pPr>
    </w:p>
    <w:p>
      <w:pPr>
        <w:ind w:left="411" w:right="20" w:hanging="411"/>
        <w:spacing w:after="0" w:line="232" w:lineRule="auto"/>
        <w:tabs>
          <w:tab w:leader="none" w:pos="38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upon death or by will, testamentary document or intestate succession; provided that the transferee agrees to be bound in writing by the restrictions set forth herein; provided further that any such Transfer shall not involve a disposition for value;</w:t>
      </w:r>
    </w:p>
    <w:p>
      <w:pPr>
        <w:spacing w:after="0" w:line="149" w:lineRule="exact"/>
        <w:rPr>
          <w:rFonts w:ascii="Arial" w:cs="Arial" w:eastAsia="Arial" w:hAnsi="Arial"/>
          <w:sz w:val="18"/>
          <w:szCs w:val="18"/>
          <w:color w:val="auto"/>
        </w:rPr>
      </w:pPr>
    </w:p>
    <w:p>
      <w:pPr>
        <w:jc w:val="both"/>
        <w:ind w:left="411" w:hanging="411"/>
        <w:spacing w:after="0" w:line="223" w:lineRule="auto"/>
        <w:tabs>
          <w:tab w:leader="none" w:pos="39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connection with any sale in an open market transaction (including, without limitation, through the establishment or amendment of trading plans pursuant to Rule 10b5-1 under the Exchange Act and any sales pursuant to such trading plans), or any Transfer of the undersigned’s shares of Common Stock, in each case to generate such amount of net proceeds from any such sales or Transfers in an aggregate amount up to the total amount of taxes or estimated taxes (as applicable), including any income, employment, or social tax withholding and remittance obligations of the undersigned that become due as a result of the vesting and/or settlement of Company equity awards; provided that any filing under Section 16(a) of the Exchange Act, or any other public filing or disclosure of such Transfer by or on behalf of the undersigned, shall clearly indicate in the footnotes thereto the nature and conditions of such Transfer, provided further that any such shares of Common Stock not transferred under the conditions set forth in this paragraph (v) and received upon such vesting or settlement shall be subject to the terms of this Lock-Up Agreement, and provided further that such Company equity awards were granted under the Company’s equity incentive plans, which plans are disclosed in the Prospectus;</w:t>
      </w:r>
    </w:p>
    <w:p>
      <w:pPr>
        <w:spacing w:after="0" w:line="154" w:lineRule="exact"/>
        <w:rPr>
          <w:rFonts w:ascii="Arial" w:cs="Arial" w:eastAsia="Arial" w:hAnsi="Arial"/>
          <w:sz w:val="18"/>
          <w:szCs w:val="18"/>
          <w:color w:val="auto"/>
        </w:rPr>
      </w:pPr>
    </w:p>
    <w:p>
      <w:pPr>
        <w:jc w:val="both"/>
        <w:ind w:left="411" w:hanging="411"/>
        <w:spacing w:after="0" w:line="253" w:lineRule="auto"/>
        <w:tabs>
          <w:tab w:leader="none" w:pos="40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if the undersigned is a partnership, limited liability company, corporation, trust or other business entity (a) to another corporation, partnership, limited liability company, trust or other business entity that is an affiliate (within the meaning set forth in Rule 405 as promulgated by the SEC under the Securities Act of 1933, as amended, and including the subsidiaries of the undersigned) of the undersigned, (b)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(c) as part of a distribution, transfer or disposition by the undersigned to its stockholders, limited partners, general partners, limited liability company members or other equityholders or to the estate of any such stockholders, limited partners, general partners, limited liability company members or equityholders; provided that in each case of clauses (a) through (c) it shall be a condition to such Transfer that the transferee or distributee agrees to be bound in writing by the restrictions set forth herein; provided further in</w:t>
      </w:r>
    </w:p>
    <w:p>
      <w:pPr>
        <w:sectPr>
          <w:pgSz w:w="11900" w:h="16838" w:orient="portrait"/>
          <w:cols w:equalWidth="0" w:num="1">
            <w:col w:w="10691"/>
          </w:cols>
          <w:pgMar w:left="889" w:top="1440" w:right="319" w:bottom="1440" w:gutter="0" w:footer="0" w:header="0"/>
        </w:sectPr>
      </w:pPr>
    </w:p>
    <w:bookmarkStart w:id="443" w:name="page444"/>
    <w:bookmarkEnd w:id="443"/>
    <w:p>
      <w:pPr>
        <w:spacing w:after="0" w:line="11" w:lineRule="exact"/>
        <w:rPr>
          <w:sz w:val="20"/>
          <w:szCs w:val="20"/>
          <w:color w:val="auto"/>
        </w:rPr>
      </w:pPr>
    </w:p>
    <w:p>
      <w:pPr>
        <w:jc w:val="both"/>
        <w:ind w:left="411"/>
        <w:spacing w:after="0" w:line="227" w:lineRule="auto"/>
        <w:rPr>
          <w:sz w:val="20"/>
          <w:szCs w:val="20"/>
          <w:color w:val="auto"/>
        </w:rPr>
      </w:pPr>
      <w:r>
        <w:rPr>
          <w:rFonts w:ascii="Arial" w:cs="Arial" w:eastAsia="Arial" w:hAnsi="Arial"/>
          <w:sz w:val="18"/>
          <w:szCs w:val="18"/>
          <w:color w:val="auto"/>
        </w:rPr>
        <w:t>each case of clauses (a) through (c) that no filing under Section 16(a) of the Exchange Act reporting such Transfer of the undersigned’s shares of Class A Common Stock, or other public filing, report or announcement by or on behalf of the undersigned reporting a reduction in beneficial ownership of such shares of Class A Common Stock, shall be required or shall be voluntarily made during the Lock-Up Period;</w:t>
      </w:r>
    </w:p>
    <w:p>
      <w:pPr>
        <w:spacing w:after="0" w:line="137" w:lineRule="exact"/>
        <w:rPr>
          <w:sz w:val="20"/>
          <w:szCs w:val="20"/>
          <w:color w:val="auto"/>
        </w:rPr>
      </w:pPr>
    </w:p>
    <w:p>
      <w:pPr>
        <w:jc w:val="both"/>
        <w:ind w:left="411" w:hanging="411"/>
        <w:spacing w:after="0" w:line="252" w:lineRule="auto"/>
        <w:tabs>
          <w:tab w:leader="none" w:pos="403"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in connection with (a) the surrender by the undersigned to the Company of stock options in connection with the exercise of such stock options or restricted stock units or other equity awards in connection with the vesting and settlement of such restricted stock units or other equity awards granted under the Company’s equity incentive plans that are described in the Prospectus, including the receipt by the undersigned from the Company of Class A Common Stock in connection with such exercise or settlement, or (b) the disposition of shares of Class A Common Stock to the Company, or the withholding of shares of Class A Common Stock by the Company, in connection with the exercise of stock options, including “net” or “cashless” exercises, or the vesting and settlement of restricted stock units or other rights to purchase shares of Class A Common Stock, for the payment of the exercise price, tax withholdings, or remittance payments due as a result of the exercise of any such stock options or vesting or settlement of such restricted stock units or other rights to purchase shares of Class A Common Stock, in all such cases, (x) pursuant to Company equity awards granted under the Company’s equity incentive plans that are described in the Prospectus, and (y) any shares of Class A Common Stock received upon such exercise, vesting or settlement, in each case, that are not transferred to, or withheld by, the Company to cover such exercise price or any such tax obligations or remittance payments shall be subject to the terms of this Lock-Up Agreement; provided that any filing under Section 16(a) of the Exchange Act, or any other public filing or disclosure of such Transfer by or on behalf of the undersigned, shall clearly indicate in the footnotes thereto the nature and conditions of such Transfer;</w:t>
      </w:r>
    </w:p>
    <w:p>
      <w:pPr>
        <w:spacing w:after="0" w:line="332" w:lineRule="exact"/>
        <w:rPr>
          <w:rFonts w:ascii="Arial" w:cs="Arial" w:eastAsia="Arial" w:hAnsi="Arial"/>
          <w:sz w:val="16"/>
          <w:szCs w:val="16"/>
          <w:color w:val="auto"/>
        </w:rPr>
      </w:pPr>
    </w:p>
    <w:p>
      <w:pPr>
        <w:jc w:val="both"/>
        <w:ind w:left="411" w:right="20" w:hanging="411"/>
        <w:spacing w:after="0" w:line="226" w:lineRule="auto"/>
        <w:tabs>
          <w:tab w:leader="none" w:pos="40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the Company, in connection with the repurchase of shares of Common Stock issued under the Company’s equity incentive plans that are described in the Prospectus or pursuant to the agreements pursuant to which such shares were issued as disclosed in the Prospectus, in each case, upon termination of the undersigned’s relationship with the Company; provided that any filing under Section 16(a) of the Exchange Act, or any other public filing or disclosure of such Transfer by or on behalf of the undersigned, shall clearly indicate in the footnotes thereto the nature and conditions of such Transfer;</w:t>
      </w:r>
    </w:p>
    <w:p>
      <w:pPr>
        <w:spacing w:after="0" w:line="148" w:lineRule="exact"/>
        <w:rPr>
          <w:rFonts w:ascii="Arial" w:cs="Arial" w:eastAsia="Arial" w:hAnsi="Arial"/>
          <w:sz w:val="18"/>
          <w:szCs w:val="18"/>
          <w:color w:val="auto"/>
        </w:rPr>
      </w:pPr>
    </w:p>
    <w:p>
      <w:pPr>
        <w:jc w:val="both"/>
        <w:ind w:left="411" w:hanging="411"/>
        <w:spacing w:after="0" w:line="224" w:lineRule="auto"/>
        <w:tabs>
          <w:tab w:leader="none" w:pos="4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by operation of law pursuant to a qualified domestic order or in connection with a divorce settlement; provided that the transferee agrees to be bound in writing by the restrictions set forth herein; provided further that unless required by law no filing under Section 16(a) of the Exchange Act reporting such Transfer of the undersigned’s shares of Class A Common Stock, or other public filing, report or announcement by or on behalf of the undersigned reporting a reduction in beneficial ownership of such shares of Class A Common Stock, shall be voluntarily made during the Lock-Up Period (and except that if the undersigned is a reporting person and the Transfer in question is an exempt divorce transfer, his or her next filing under Section 16(a) after such exempt divorce transfer may contain a footnote explaining the discrepancy in the opening balance);</w:t>
      </w:r>
    </w:p>
    <w:p>
      <w:pPr>
        <w:sectPr>
          <w:pgSz w:w="11900" w:h="16838" w:orient="portrait"/>
          <w:cols w:equalWidth="0" w:num="1">
            <w:col w:w="10691"/>
          </w:cols>
          <w:pgMar w:left="889" w:top="1440" w:right="319" w:bottom="1440" w:gutter="0" w:footer="0" w:header="0"/>
        </w:sectPr>
      </w:pPr>
    </w:p>
    <w:bookmarkStart w:id="444" w:name="page445"/>
    <w:bookmarkEnd w:id="444"/>
    <w:p>
      <w:pPr>
        <w:spacing w:after="0" w:line="11" w:lineRule="exact"/>
        <w:rPr>
          <w:sz w:val="20"/>
          <w:szCs w:val="20"/>
          <w:color w:val="auto"/>
        </w:rPr>
      </w:pPr>
    </w:p>
    <w:p>
      <w:pPr>
        <w:jc w:val="both"/>
        <w:ind w:left="411" w:hanging="411"/>
        <w:spacing w:after="0" w:line="226" w:lineRule="auto"/>
        <w:tabs>
          <w:tab w:leader="none" w:pos="40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the Company in connection with the conversion or reclassification of the outstanding preferred stock or warrants to acquire preferred stock of the Company into shares of Class A Common Stock or warrants to acquire shares of Class A Common Stock prior to or in connection with the consummation of the Public Offering, or the conversion of any shares of any class of the Company’s common stock into shares of Class A Common Stock, provided that any such shares of Class A Common Stock or warrants received upon such conversion shall be subject to the terms of this Lock-Up Agreement;</w:t>
      </w:r>
    </w:p>
    <w:p>
      <w:pPr>
        <w:spacing w:after="0" w:line="136" w:lineRule="exact"/>
        <w:rPr>
          <w:rFonts w:ascii="Arial" w:cs="Arial" w:eastAsia="Arial" w:hAnsi="Arial"/>
          <w:sz w:val="18"/>
          <w:szCs w:val="18"/>
          <w:color w:val="auto"/>
        </w:rPr>
      </w:pPr>
    </w:p>
    <w:p>
      <w:pPr>
        <w:jc w:val="both"/>
        <w:ind w:left="411" w:right="20" w:hanging="411"/>
        <w:spacing w:after="0" w:line="227" w:lineRule="auto"/>
        <w:tabs>
          <w:tab w:leader="none" w:pos="4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the Company in connection with the exercise of warrants to purchase shares of Class A Common Stock of the Company that are outstanding as of the date of the Prospectus into shares of Class A Common Stock prior to, after or in connection with the consummation of the Public Offering; provided that any such shares of Class A Common Stock received upon such exercise shall be subject to the terms of this Lock-Up Agreement;</w:t>
      </w:r>
    </w:p>
    <w:p>
      <w:pPr>
        <w:spacing w:after="0" w:line="149" w:lineRule="exact"/>
        <w:rPr>
          <w:rFonts w:ascii="Arial" w:cs="Arial" w:eastAsia="Arial" w:hAnsi="Arial"/>
          <w:sz w:val="18"/>
          <w:szCs w:val="18"/>
          <w:color w:val="auto"/>
        </w:rPr>
      </w:pPr>
    </w:p>
    <w:p>
      <w:pPr>
        <w:jc w:val="both"/>
        <w:ind w:left="411" w:right="20" w:hanging="411"/>
        <w:spacing w:after="0" w:line="227" w:lineRule="auto"/>
        <w:tabs>
          <w:tab w:leader="none" w:pos="40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the Company in connection with the conversion of the Company’s Tranche I convertible notes or Tranche II convertible notes that are outstanding as of the date of the Prospectus into shares of Class A Common Stock in connection with the consummation of the Public Offering; provided that any such shares of Class A Common Stock received upon such conversion shall be subject to the terms of this Lock-Up Agreement (except as otherwise provided herein);</w:t>
      </w:r>
    </w:p>
    <w:p>
      <w:pPr>
        <w:spacing w:after="0" w:line="149" w:lineRule="exact"/>
        <w:rPr>
          <w:rFonts w:ascii="Arial" w:cs="Arial" w:eastAsia="Arial" w:hAnsi="Arial"/>
          <w:sz w:val="18"/>
          <w:szCs w:val="18"/>
          <w:color w:val="auto"/>
        </w:rPr>
      </w:pPr>
    </w:p>
    <w:p>
      <w:pPr>
        <w:jc w:val="both"/>
        <w:ind w:left="411" w:hanging="411"/>
        <w:spacing w:after="0" w:line="224" w:lineRule="auto"/>
        <w:tabs>
          <w:tab w:leader="none" w:pos="40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the Company in connection with any other exchange, conversion or reclassification (or other means by which shares of any class or series can become another class or series) of any class or series of capital stock of the Company for any other class or series of shares of capital stock of the Company as described and as contemplated in the Prospectus, including pursuant to the certain exchange agreements to be entered into between the Company and the founders of the Company to facilitate the Class B Exchange (as defined in the Prospectus), or as required pursuant to the Company’s amended and restated certificate of incorporation (the “</w:t>
      </w:r>
      <w:r>
        <w:rPr>
          <w:rFonts w:ascii="Arial" w:cs="Arial" w:eastAsia="Arial" w:hAnsi="Arial"/>
          <w:sz w:val="18"/>
          <w:szCs w:val="18"/>
          <w:b w:val="1"/>
          <w:bCs w:val="1"/>
          <w:color w:val="auto"/>
        </w:rPr>
        <w:t>Charter</w:t>
      </w:r>
      <w:r>
        <w:rPr>
          <w:rFonts w:ascii="Arial" w:cs="Arial" w:eastAsia="Arial" w:hAnsi="Arial"/>
          <w:sz w:val="18"/>
          <w:szCs w:val="18"/>
          <w:color w:val="auto"/>
        </w:rPr>
        <w:t>”) to be in effect immediately prior to the completion of the Public Offering (including as a result of any automatic conversion of shares of Class B Common Stock to shares of Class A Common Stock pursuant to the provisions of the Charter); provided that any such shares of capital stock of the Company received upon such exchange, conversion or reclassification shall be subject to terms of this Lock-Up Agreement;</w:t>
      </w:r>
    </w:p>
    <w:p>
      <w:pPr>
        <w:spacing w:after="0" w:line="137" w:lineRule="exact"/>
        <w:rPr>
          <w:rFonts w:ascii="Arial" w:cs="Arial" w:eastAsia="Arial" w:hAnsi="Arial"/>
          <w:sz w:val="18"/>
          <w:szCs w:val="18"/>
          <w:color w:val="auto"/>
        </w:rPr>
      </w:pPr>
    </w:p>
    <w:p>
      <w:pPr>
        <w:jc w:val="both"/>
        <w:ind w:left="411" w:right="20" w:hanging="411"/>
        <w:spacing w:after="0" w:line="225" w:lineRule="auto"/>
        <w:tabs>
          <w:tab w:leader="none" w:pos="39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pursuant to a bona fide third-party tender offer, merger, consolidation or other similar transaction made to all holders of the Company’s capital stock and approved by the board of directors of the Company, and the result of which is that any “person” (as defined in Section 13(d)(3) of the Exchange Act), or group of persons, becomes the beneficial owner (as defined in Rules 13d-3 and 13d-5 under the Exchange Act) of at least 50% of total voting power of the voting stock of the Company or the surviving entity (a “</w:t>
      </w:r>
      <w:r>
        <w:rPr>
          <w:rFonts w:ascii="Arial" w:cs="Arial" w:eastAsia="Arial" w:hAnsi="Arial"/>
          <w:sz w:val="18"/>
          <w:szCs w:val="18"/>
          <w:b w:val="1"/>
          <w:bCs w:val="1"/>
          <w:color w:val="auto"/>
        </w:rPr>
        <w:t>Change of Control Transaction</w:t>
      </w:r>
      <w:r>
        <w:rPr>
          <w:rFonts w:ascii="Arial" w:cs="Arial" w:eastAsia="Arial" w:hAnsi="Arial"/>
          <w:sz w:val="18"/>
          <w:szCs w:val="18"/>
          <w:color w:val="auto"/>
        </w:rPr>
        <w:t>”); provided that in the event that the Change of Control Transaction is not completed, the undersigned’s shares shall remain subject to the provisions of this Lock-Up Agreement; [and]</w:t>
      </w:r>
    </w:p>
    <w:p>
      <w:pPr>
        <w:spacing w:after="0" w:line="150" w:lineRule="exact"/>
        <w:rPr>
          <w:rFonts w:ascii="Arial" w:cs="Arial" w:eastAsia="Arial" w:hAnsi="Arial"/>
          <w:sz w:val="18"/>
          <w:szCs w:val="18"/>
          <w:color w:val="auto"/>
        </w:rPr>
      </w:pPr>
    </w:p>
    <w:p>
      <w:pPr>
        <w:ind w:left="371" w:hanging="371"/>
        <w:spacing w:after="0"/>
        <w:tabs>
          <w:tab w:leader="none" w:pos="37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with the prior written consent of the Representatives on behalf of the Underwriters[; and</w:t>
      </w:r>
    </w:p>
    <w:p>
      <w:pPr>
        <w:sectPr>
          <w:pgSz w:w="11900" w:h="16838" w:orient="portrait"/>
          <w:cols w:equalWidth="0" w:num="1">
            <w:col w:w="10691"/>
          </w:cols>
          <w:pgMar w:left="889" w:top="1440" w:right="319" w:bottom="1440" w:gutter="0" w:footer="0" w:header="0"/>
        </w:sectPr>
      </w:pPr>
    </w:p>
    <w:bookmarkStart w:id="445" w:name="page446"/>
    <w:bookmarkEnd w:id="445"/>
    <w:p>
      <w:pPr>
        <w:spacing w:after="0" w:line="11" w:lineRule="exact"/>
        <w:rPr>
          <w:sz w:val="20"/>
          <w:szCs w:val="20"/>
          <w:color w:val="auto"/>
        </w:rPr>
      </w:pPr>
    </w:p>
    <w:p>
      <w:pPr>
        <w:jc w:val="both"/>
        <w:ind w:left="984" w:right="20" w:hanging="411"/>
        <w:spacing w:after="0" w:line="231" w:lineRule="auto"/>
        <w:tabs>
          <w:tab w:leader="none" w:pos="97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any third-party pledgee in a bona fide transaction as collateral to secure obligations pursuant to a lending or similar financing arrangement effect on the date hereof between such third party (or its affiliates or designees) and the undersigned and/or its affiliates; provided that the transferee agrees to be bound by this Lock-Up Agreement, and provided that that no filing under Section 16(a) of the Exchange Act reporting such Transfer of the undersigned’s shares of Class A Common Stock, or other public filing, report or announcement by or on behalf of the undersigned reporting a reduction in beneficial ownership of such shares of Class A Common Stock, shall be required or shall be voluntarily made during the Lock-Up Period]</w:t>
      </w:r>
      <w:r>
        <w:rPr>
          <w:rFonts w:ascii="Arial" w:cs="Arial" w:eastAsia="Arial" w:hAnsi="Arial"/>
          <w:sz w:val="22"/>
          <w:szCs w:val="22"/>
          <w:color w:val="auto"/>
          <w:vertAlign w:val="superscript"/>
        </w:rPr>
        <w:t>5</w:t>
      </w:r>
      <w:r>
        <w:rPr>
          <w:rFonts w:ascii="Arial" w:cs="Arial" w:eastAsia="Arial" w:hAnsi="Arial"/>
          <w:sz w:val="18"/>
          <w:szCs w:val="18"/>
          <w:color w:val="auto"/>
        </w:rPr>
        <w:t>.</w:t>
      </w:r>
    </w:p>
    <w:p>
      <w:pPr>
        <w:spacing w:after="0" w:line="29" w:lineRule="exact"/>
        <w:rPr>
          <w:sz w:val="20"/>
          <w:szCs w:val="20"/>
          <w:color w:val="auto"/>
        </w:rPr>
      </w:pPr>
    </w:p>
    <w:p>
      <w:pPr>
        <w:jc w:val="both"/>
        <w:ind w:left="4" w:right="20" w:firstLine="338"/>
        <w:spacing w:after="0"/>
        <w:rPr>
          <w:sz w:val="20"/>
          <w:szCs w:val="20"/>
          <w:color w:val="auto"/>
        </w:rPr>
      </w:pPr>
      <w:r>
        <w:rPr>
          <w:rFonts w:ascii="Arial" w:cs="Arial" w:eastAsia="Arial" w:hAnsi="Arial"/>
          <w:sz w:val="18"/>
          <w:szCs w:val="18"/>
          <w:color w:val="auto"/>
        </w:rPr>
        <w:t>For purposes of this Lock-Up Agreement, (a) “</w:t>
      </w:r>
      <w:r>
        <w:rPr>
          <w:rFonts w:ascii="Arial" w:cs="Arial" w:eastAsia="Arial" w:hAnsi="Arial"/>
          <w:sz w:val="18"/>
          <w:szCs w:val="18"/>
          <w:b w:val="1"/>
          <w:bCs w:val="1"/>
          <w:color w:val="auto"/>
        </w:rPr>
        <w:t>immediate family member</w:t>
      </w:r>
      <w:r>
        <w:rPr>
          <w:rFonts w:ascii="Arial" w:cs="Arial" w:eastAsia="Arial" w:hAnsi="Arial"/>
          <w:sz w:val="18"/>
          <w:szCs w:val="18"/>
          <w:color w:val="auto"/>
        </w:rPr>
        <w:t>” shall mean any person with which the undersigned has a relationship by blood, marriage or adoption, not more remote than first cousin and (b) a “</w:t>
      </w:r>
      <w:r>
        <w:rPr>
          <w:rFonts w:ascii="Arial" w:cs="Arial" w:eastAsia="Arial" w:hAnsi="Arial"/>
          <w:sz w:val="18"/>
          <w:szCs w:val="18"/>
          <w:b w:val="1"/>
          <w:bCs w:val="1"/>
          <w:color w:val="auto"/>
        </w:rPr>
        <w:t>Trading Day</w:t>
      </w:r>
      <w:r>
        <w:rPr>
          <w:rFonts w:ascii="Arial" w:cs="Arial" w:eastAsia="Arial" w:hAnsi="Arial"/>
          <w:sz w:val="18"/>
          <w:szCs w:val="18"/>
          <w:color w:val="auto"/>
        </w:rPr>
        <w:t>” is a day on which the Nasdaq is open for the buying and selling of securities. The undersigned now has, and, except as contemplated by clauses (i) through (xv) above or elsewhere in this Lock-Up Agreement, for the duration of this Lock-Up Agreement will have, good and marketable title to the undersigned’s Securities, free and clear of all liens, encumbrances, and claims whatsoever. The undersigned also agrees and consents to the entry of stop transfer instructions with the Company’s transfer agent and registrar against the transfer of the undersigned’s Securities except in compliance with the restrictions of this Lock-Up Agreement.</w:t>
      </w:r>
    </w:p>
    <w:p>
      <w:pPr>
        <w:spacing w:after="0" w:line="139" w:lineRule="exact"/>
        <w:rPr>
          <w:sz w:val="20"/>
          <w:szCs w:val="20"/>
          <w:color w:val="auto"/>
        </w:rPr>
      </w:pPr>
    </w:p>
    <w:p>
      <w:pPr>
        <w:jc w:val="both"/>
        <w:ind w:left="4" w:firstLine="249"/>
        <w:spacing w:after="0" w:line="236" w:lineRule="auto"/>
        <w:rPr>
          <w:sz w:val="20"/>
          <w:szCs w:val="20"/>
          <w:color w:val="auto"/>
        </w:rPr>
      </w:pPr>
      <w:r>
        <w:rPr>
          <w:rFonts w:ascii="Arial" w:cs="Arial" w:eastAsia="Arial" w:hAnsi="Arial"/>
          <w:sz w:val="18"/>
          <w:szCs w:val="18"/>
          <w:color w:val="auto"/>
        </w:rPr>
        <w:t>Notwithstanding anything to the contrary contained herein, this Lock-Up Agreement will automatically terminate and the undersigned will be released from all obligations hereunder upon the earliest to occur, if any, of the following events: (i) the Company advises the Representatives in writing prior to execution of the Underwriting Agreement that it has determined not to proceed with the Public Offering, (ii) the Company files an application with the SEC to withdraw the Form S-1, (iii) the Underwriting Agreement is executed but is terminated (other than the provisions thereof which survive termination) prior to payment for and delivery of the Class A Common Stock to be sold thereunder or (iv) December 31, 2021, in the event that the Underwriting Agreement has not been executed by such date.</w:t>
      </w:r>
    </w:p>
    <w:p>
      <w:pPr>
        <w:spacing w:after="0" w:line="141" w:lineRule="exact"/>
        <w:rPr>
          <w:sz w:val="20"/>
          <w:szCs w:val="20"/>
          <w:color w:val="auto"/>
        </w:rPr>
      </w:pPr>
    </w:p>
    <w:p>
      <w:pPr>
        <w:jc w:val="both"/>
        <w:ind w:left="4" w:firstLine="279"/>
        <w:spacing w:after="0" w:line="236" w:lineRule="auto"/>
        <w:rPr>
          <w:sz w:val="20"/>
          <w:szCs w:val="20"/>
          <w:color w:val="auto"/>
        </w:rPr>
      </w:pPr>
      <w:r>
        <w:rPr>
          <w:rFonts w:ascii="Arial" w:cs="Arial" w:eastAsia="Arial" w:hAnsi="Arial"/>
          <w:sz w:val="18"/>
          <w:szCs w:val="18"/>
          <w:color w:val="auto"/>
        </w:rPr>
        <w:t>The undersigned hereby consents to receipt of this Lock-Up Agreement in electronic form and understands and agrees that this Lock-Up Agreement may be signed electronically. In the event that any signature is delivered by facsimile transmission, electronic mail or otherwise by electronic transmission evidencing an intent to sign this Lock-Up Agreement,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w:t>
      </w:r>
    </w:p>
    <w:p>
      <w:pPr>
        <w:spacing w:after="0" w:line="141" w:lineRule="exact"/>
        <w:rPr>
          <w:sz w:val="20"/>
          <w:szCs w:val="20"/>
          <w:color w:val="auto"/>
        </w:rPr>
      </w:pPr>
    </w:p>
    <w:p>
      <w:pPr>
        <w:jc w:val="both"/>
        <w:ind w:left="4" w:right="20" w:firstLine="200"/>
        <w:spacing w:after="0" w:line="237" w:lineRule="auto"/>
        <w:rPr>
          <w:sz w:val="20"/>
          <w:szCs w:val="20"/>
          <w:color w:val="auto"/>
        </w:rPr>
      </w:pPr>
      <w:r>
        <w:rPr>
          <w:rFonts w:ascii="Arial" w:cs="Arial" w:eastAsia="Arial" w:hAnsi="Arial"/>
          <w:sz w:val="18"/>
          <w:szCs w:val="18"/>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w:t>
      </w:r>
    </w:p>
    <w:p>
      <w:pPr>
        <w:spacing w:after="0" w:line="138" w:lineRule="exact"/>
        <w:rPr>
          <w:sz w:val="20"/>
          <w:szCs w:val="20"/>
          <w:color w:val="auto"/>
        </w:rPr>
      </w:pPr>
    </w:p>
    <w:p>
      <w:pPr>
        <w:jc w:val="both"/>
        <w:ind w:left="4" w:right="20" w:firstLine="328"/>
        <w:spacing w:after="0" w:line="239" w:lineRule="auto"/>
        <w:rPr>
          <w:sz w:val="20"/>
          <w:szCs w:val="20"/>
          <w:color w:val="auto"/>
        </w:rPr>
      </w:pPr>
      <w:r>
        <w:rPr>
          <w:rFonts w:ascii="Arial" w:cs="Arial" w:eastAsia="Arial" w:hAnsi="Arial"/>
          <w:sz w:val="18"/>
          <w:szCs w:val="18"/>
          <w:color w:val="auto"/>
        </w:rPr>
        <w:t>The undersigned understands that the Company and the Underwriters are relying upon this Lock-Up Agreement in proceeding toward consummation of the Public Offering.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151765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1517650" cy="7620"/>
                    </a:xfrm>
                    <a:prstGeom prst="rect">
                      <a:avLst/>
                    </a:prstGeom>
                    <a:noFill/>
                  </pic:spPr>
                </pic:pic>
              </a:graphicData>
            </a:graphic>
          </wp:anchor>
        </w:drawing>
      </w:r>
    </w:p>
    <w:p>
      <w:pPr>
        <w:spacing w:after="0" w:line="195" w:lineRule="exact"/>
        <w:rPr>
          <w:sz w:val="20"/>
          <w:szCs w:val="20"/>
          <w:color w:val="auto"/>
        </w:rPr>
      </w:pPr>
    </w:p>
    <w:p>
      <w:pPr>
        <w:ind w:left="64" w:hanging="64"/>
        <w:spacing w:after="0"/>
        <w:tabs>
          <w:tab w:leader="none" w:pos="64" w:val="left"/>
        </w:tabs>
        <w:numPr>
          <w:ilvl w:val="0"/>
          <w:numId w:val="226"/>
        </w:numPr>
        <w:rPr>
          <w:rFonts w:ascii="Arial" w:cs="Arial" w:eastAsia="Arial" w:hAnsi="Arial"/>
          <w:sz w:val="14"/>
          <w:szCs w:val="14"/>
          <w:color w:val="auto"/>
          <w:vertAlign w:val="superscript"/>
        </w:rPr>
      </w:pPr>
      <w:r>
        <w:rPr>
          <w:rFonts w:ascii="Arial" w:cs="Arial" w:eastAsia="Arial" w:hAnsi="Arial"/>
          <w:sz w:val="11"/>
          <w:szCs w:val="11"/>
          <w:color w:val="auto"/>
        </w:rPr>
        <w:t>To Include if the undersigned has an existing lending or similar financing arrangement.</w:t>
      </w:r>
    </w:p>
    <w:p>
      <w:pPr>
        <w:sectPr>
          <w:pgSz w:w="11900" w:h="16838" w:orient="portrait"/>
          <w:cols w:equalWidth="0" w:num="1">
            <w:col w:w="11264"/>
          </w:cols>
          <w:pgMar w:left="316" w:top="1440" w:right="319" w:bottom="1440" w:gutter="0" w:footer="0" w:header="0"/>
        </w:sectPr>
      </w:pPr>
    </w:p>
    <w:bookmarkStart w:id="446" w:name="page447"/>
    <w:bookmarkEnd w:id="446"/>
    <w:p>
      <w:pPr>
        <w:spacing w:after="0" w:line="239" w:lineRule="auto"/>
        <w:rPr>
          <w:sz w:val="20"/>
          <w:szCs w:val="20"/>
          <w:color w:val="auto"/>
        </w:rPr>
      </w:pPr>
      <w:r>
        <w:rPr>
          <w:rFonts w:ascii="Arial" w:cs="Arial" w:eastAsia="Arial" w:hAnsi="Arial"/>
          <w:sz w:val="18"/>
          <w:szCs w:val="18"/>
          <w:color w:val="auto"/>
        </w:rPr>
        <w:t>undersigned further understands that this Lock-Up Agreement is irrevocable and shall be binding upon the undersigned’s heirs, legal representatives, successors, and assigns.</w:t>
      </w:r>
    </w:p>
    <w:p>
      <w:pPr>
        <w:spacing w:after="0" w:line="137" w:lineRule="exact"/>
        <w:rPr>
          <w:sz w:val="20"/>
          <w:szCs w:val="20"/>
          <w:color w:val="auto"/>
        </w:rPr>
      </w:pPr>
    </w:p>
    <w:p>
      <w:pPr>
        <w:ind w:firstLine="222"/>
        <w:spacing w:after="0" w:line="239" w:lineRule="auto"/>
        <w:rPr>
          <w:sz w:val="20"/>
          <w:szCs w:val="20"/>
          <w:color w:val="auto"/>
        </w:rPr>
      </w:pPr>
      <w:r>
        <w:rPr>
          <w:rFonts w:ascii="Arial" w:cs="Arial" w:eastAsia="Arial" w:hAnsi="Arial"/>
          <w:sz w:val="18"/>
          <w:szCs w:val="18"/>
          <w:color w:val="auto"/>
        </w:rPr>
        <w:t>This Lock-Up Agreement and any claim, controversy or dispute arising under or related to this Lock-Up Agreement shall be governed by and construed in accordance with the laws of the State of New York.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240"/>
          </w:cols>
          <w:pgMar w:left="320" w:top="1283" w:right="339" w:bottom="1440" w:gutter="0" w:footer="0" w:header="0"/>
        </w:sectPr>
      </w:pPr>
    </w:p>
    <w:bookmarkStart w:id="447" w:name="page448"/>
    <w:bookmarkEnd w:id="447"/>
    <w:tbl>
      <w:tblPr>
        <w:tblLayout w:type="fixed"/>
        <w:tblInd w:w="0" w:type="dxa"/>
        <w:tblCellMar>
          <w:top w:w="0" w:type="dxa"/>
          <w:left w:w="0" w:type="dxa"/>
          <w:bottom w:w="0" w:type="dxa"/>
          <w:right w:w="0" w:type="dxa"/>
        </w:tblCellMar>
      </w:tblPr>
      <w:tr>
        <w:trPr>
          <w:trHeight w:val="211"/>
        </w:trPr>
        <w:tc>
          <w:tcPr>
            <w:tcW w:w="5340" w:type="dxa"/>
            <w:vAlign w:val="bottom"/>
            <w:gridSpan w:val="2"/>
          </w:tcPr>
          <w:p>
            <w:pPr>
              <w:spacing w:after="0"/>
              <w:rPr>
                <w:sz w:val="20"/>
                <w:szCs w:val="20"/>
                <w:color w:val="auto"/>
              </w:rPr>
            </w:pPr>
            <w:r>
              <w:rPr>
                <w:rFonts w:ascii="Arial" w:cs="Arial" w:eastAsia="Arial" w:hAnsi="Arial"/>
                <w:sz w:val="18"/>
                <w:szCs w:val="18"/>
                <w:color w:val="auto"/>
              </w:rPr>
              <w:t>Very truly yours,</w:t>
            </w: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442"/>
        </w:trPr>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IF A NATURAL PERSON:</w:t>
            </w:r>
          </w:p>
        </w:tc>
        <w:tc>
          <w:tcPr>
            <w:tcW w:w="62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auto"/>
              </w:rPr>
              <w:t>IF AN ENTITY:</w:t>
            </w:r>
          </w:p>
        </w:tc>
      </w:tr>
      <w:tr>
        <w:trPr>
          <w:trHeight w:val="502"/>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31"/>
        </w:trPr>
        <w:tc>
          <w:tcPr>
            <w:tcW w:w="1160" w:type="dxa"/>
            <w:vAlign w:val="bottom"/>
          </w:tcPr>
          <w:p>
            <w:pPr>
              <w:spacing w:after="0"/>
              <w:rPr>
                <w:sz w:val="20"/>
                <w:szCs w:val="20"/>
                <w:color w:val="auto"/>
              </w:rPr>
            </w:pPr>
          </w:p>
        </w:tc>
        <w:tc>
          <w:tcPr>
            <w:tcW w:w="418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(duly authorized signature)</w:t>
            </w:r>
          </w:p>
        </w:tc>
        <w:tc>
          <w:tcPr>
            <w:tcW w:w="620" w:type="dxa"/>
            <w:vAlign w:val="bottom"/>
          </w:tcPr>
          <w:p>
            <w:pPr>
              <w:spacing w:after="0"/>
              <w:rPr>
                <w:sz w:val="20"/>
                <w:szCs w:val="20"/>
                <w:color w:val="auto"/>
              </w:rPr>
            </w:pPr>
          </w:p>
        </w:tc>
        <w:tc>
          <w:tcPr>
            <w:tcW w:w="53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(please print complete name of entity)</w:t>
            </w:r>
          </w:p>
        </w:tc>
      </w:tr>
      <w:tr>
        <w:trPr>
          <w:trHeight w:val="502"/>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62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By:</w:t>
            </w:r>
          </w:p>
        </w:tc>
      </w:tr>
      <w:tr>
        <w:trPr>
          <w:trHeight w:val="231"/>
        </w:trPr>
        <w:tc>
          <w:tcPr>
            <w:tcW w:w="1160" w:type="dxa"/>
            <w:vAlign w:val="bottom"/>
          </w:tcPr>
          <w:p>
            <w:pPr>
              <w:spacing w:after="0"/>
              <w:rPr>
                <w:sz w:val="20"/>
                <w:szCs w:val="20"/>
                <w:color w:val="auto"/>
              </w:rPr>
            </w:pPr>
          </w:p>
        </w:tc>
        <w:tc>
          <w:tcPr>
            <w:tcW w:w="418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(please print full name)</w:t>
            </w: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4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(duly authorized signature)</w:t>
            </w:r>
          </w:p>
        </w:tc>
      </w:tr>
      <w:tr>
        <w:trPr>
          <w:trHeight w:val="502"/>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Name:</w:t>
            </w:r>
          </w:p>
        </w:tc>
      </w:tr>
      <w:tr>
        <w:trPr>
          <w:trHeight w:val="231"/>
        </w:trPr>
        <w:tc>
          <w:tcPr>
            <w:tcW w:w="11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4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(please print full name)</w:t>
            </w:r>
          </w:p>
        </w:tc>
      </w:tr>
      <w:tr>
        <w:trPr>
          <w:trHeight w:val="502"/>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Title:</w:t>
            </w:r>
          </w:p>
        </w:tc>
      </w:tr>
      <w:tr>
        <w:trPr>
          <w:trHeight w:val="231"/>
        </w:trPr>
        <w:tc>
          <w:tcPr>
            <w:tcW w:w="11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4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(please print full title)</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60" w:type="dxa"/>
            <w:vAlign w:val="bottom"/>
          </w:tcPr>
          <w:p>
            <w:pPr>
              <w:ind w:left="20"/>
              <w:spacing w:after="0"/>
              <w:rPr>
                <w:sz w:val="20"/>
                <w:szCs w:val="20"/>
                <w:color w:val="auto"/>
              </w:rPr>
            </w:pPr>
            <w:r>
              <w:rPr>
                <w:rFonts w:ascii="Arial" w:cs="Arial" w:eastAsia="Arial" w:hAnsi="Arial"/>
                <w:sz w:val="18"/>
                <w:szCs w:val="18"/>
                <w:color w:val="auto"/>
              </w:rPr>
              <w:t>Address:</w:t>
            </w:r>
          </w:p>
        </w:tc>
        <w:tc>
          <w:tcPr>
            <w:tcW w:w="4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Address:</w:t>
            </w:r>
          </w:p>
        </w:tc>
      </w:tr>
      <w:tr>
        <w:trPr>
          <w:trHeight w:val="163"/>
        </w:trPr>
        <w:tc>
          <w:tcPr>
            <w:tcW w:w="116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300" w:type="dxa"/>
            <w:vAlign w:val="bottom"/>
            <w:tcBorders>
              <w:bottom w:val="single" w:sz="8" w:color="auto"/>
            </w:tcBorders>
            <w:gridSpan w:val="2"/>
          </w:tcPr>
          <w:p>
            <w:pPr>
              <w:spacing w:after="0"/>
              <w:rPr>
                <w:sz w:val="14"/>
                <w:szCs w:val="14"/>
                <w:color w:val="auto"/>
              </w:rPr>
            </w:pPr>
          </w:p>
        </w:tc>
      </w:tr>
      <w:tr>
        <w:trPr>
          <w:trHeight w:val="219"/>
        </w:trPr>
        <w:tc>
          <w:tcPr>
            <w:tcW w:w="116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r>
      <w:tr>
        <w:trPr>
          <w:trHeight w:val="402"/>
        </w:trPr>
        <w:tc>
          <w:tcPr>
            <w:tcW w:w="1160" w:type="dxa"/>
            <w:vAlign w:val="bottom"/>
          </w:tcPr>
          <w:p>
            <w:pPr>
              <w:ind w:left="20"/>
              <w:spacing w:after="0"/>
              <w:rPr>
                <w:sz w:val="20"/>
                <w:szCs w:val="20"/>
                <w:color w:val="auto"/>
              </w:rPr>
            </w:pPr>
            <w:r>
              <w:rPr>
                <w:rFonts w:ascii="Arial" w:cs="Arial" w:eastAsia="Arial" w:hAnsi="Arial"/>
                <w:sz w:val="18"/>
                <w:szCs w:val="18"/>
                <w:color w:val="auto"/>
              </w:rPr>
              <w:t>E-mail:</w:t>
            </w:r>
          </w:p>
        </w:tc>
        <w:tc>
          <w:tcPr>
            <w:tcW w:w="41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E-mail:</w:t>
            </w:r>
          </w:p>
        </w:tc>
        <w:tc>
          <w:tcPr>
            <w:tcW w:w="4140" w:type="dxa"/>
            <w:vAlign w:val="bottom"/>
            <w:tcBorders>
              <w:bottom w:val="single" w:sz="8" w:color="auto"/>
            </w:tcBorders>
          </w:tcPr>
          <w:p>
            <w:pPr>
              <w:spacing w:after="0"/>
              <w:rPr>
                <w:sz w:val="24"/>
                <w:szCs w:val="24"/>
                <w:color w:val="auto"/>
              </w:rPr>
            </w:pPr>
          </w:p>
        </w:tc>
      </w:tr>
      <w:tr>
        <w:trPr>
          <w:trHeight w:val="590"/>
        </w:trPr>
        <w:tc>
          <w:tcPr>
            <w:tcW w:w="1160" w:type="dxa"/>
            <w:vAlign w:val="bottom"/>
          </w:tcPr>
          <w:p>
            <w:pPr>
              <w:spacing w:after="0"/>
              <w:rPr>
                <w:sz w:val="24"/>
                <w:szCs w:val="24"/>
                <w:color w:val="auto"/>
              </w:rPr>
            </w:pPr>
          </w:p>
        </w:tc>
        <w:tc>
          <w:tcPr>
            <w:tcW w:w="10100" w:type="dxa"/>
            <w:vAlign w:val="bottom"/>
            <w:gridSpan w:val="4"/>
          </w:tcPr>
          <w:p>
            <w:pPr>
              <w:ind w:left="1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Robinhood Markets, Inc. Lock-Up Agreement</w:t>
            </w:r>
            <w:r>
              <w:rPr>
                <w:rFonts w:ascii="Arial" w:cs="Arial" w:eastAsia="Arial" w:hAnsi="Arial"/>
                <w:sz w:val="18"/>
                <w:szCs w:val="18"/>
                <w:color w:val="auto"/>
              </w:rPr>
              <w:t>]</w:t>
            </w:r>
          </w:p>
        </w:tc>
      </w:tr>
    </w:tbl>
    <w:p>
      <w:pPr>
        <w:sectPr>
          <w:pgSz w:w="11900" w:h="16838" w:orient="portrait"/>
          <w:cols w:equalWidth="0" w:num="1">
            <w:col w:w="11260"/>
          </w:cols>
          <w:pgMar w:left="320" w:top="1283" w:right="319" w:bottom="1440" w:gutter="0" w:footer="0" w:header="0"/>
        </w:sectPr>
      </w:pPr>
    </w:p>
    <w:bookmarkStart w:id="448" w:name="page449"/>
    <w:bookmarkEnd w:id="448"/>
    <w:p>
      <w:pPr>
        <w:ind w:left="938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265430</wp:posOffset>
            </wp:positionV>
            <wp:extent cx="7203440" cy="47955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203440" cy="4795520"/>
                    </a:xfrm>
                    <a:prstGeom prst="rect">
                      <a:avLst/>
                    </a:prstGeom>
                    <a:noFill/>
                  </pic:spPr>
                </pic:pic>
              </a:graphicData>
            </a:graphic>
          </wp:anchor>
        </w:drawing>
      </w:r>
    </w:p>
    <w:p>
      <w:pPr>
        <w:sectPr>
          <w:pgSz w:w="11900" w:h="16838" w:orient="portrait"/>
          <w:cols w:equalWidth="0" w:num="1">
            <w:col w:w="10140"/>
          </w:cols>
          <w:pgMar w:left="1440" w:top="122" w:right="319" w:bottom="1440" w:gutter="0" w:footer="0" w:header="0"/>
        </w:sectPr>
      </w:pPr>
    </w:p>
    <w:bookmarkStart w:id="449" w:name="page450"/>
    <w:bookmarkEnd w:id="4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1118870</wp:posOffset>
            </wp:positionH>
            <wp:positionV relativeFrom="page">
              <wp:posOffset>452755</wp:posOffset>
            </wp:positionV>
            <wp:extent cx="5311775" cy="6912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5311775" cy="691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0" w:name="page451"/>
    <w:bookmarkEnd w:id="450"/>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136525</wp:posOffset>
            </wp:positionV>
            <wp:extent cx="5311775" cy="20110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5311775" cy="2011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July 19, 2021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Robinhood Markets,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Registration Statement on Form S-1</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have acted as counsel for Robinhood Markets,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registration statement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on Form S-1, as amended (Registration No. 333-257602)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with the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with respect to the registration of shares of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par value $0.0001 per share, of the Company, some of which are to be offered and sold by the Company and some of which are to be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offered and sold by the selling stockholders identified in the Registration Statement (the “</w:t>
      </w:r>
      <w:r>
        <w:rPr>
          <w:rFonts w:ascii="Arial" w:cs="Arial" w:eastAsia="Arial" w:hAnsi="Arial"/>
          <w:sz w:val="17"/>
          <w:szCs w:val="17"/>
          <w:u w:val="single" w:color="auto"/>
          <w:color w:val="auto"/>
        </w:rPr>
        <w:t>Selling Stockholders</w:t>
      </w:r>
      <w:r>
        <w:rPr>
          <w:rFonts w:ascii="Arial" w:cs="Arial" w:eastAsia="Arial" w:hAnsi="Arial"/>
          <w:sz w:val="17"/>
          <w:szCs w:val="17"/>
          <w:color w:val="auto"/>
        </w:rPr>
        <w:t>”) (collectively, the “</w:t>
      </w:r>
      <w:r>
        <w:rPr>
          <w:rFonts w:ascii="Arial" w:cs="Arial" w:eastAsia="Arial" w:hAnsi="Arial"/>
          <w:sz w:val="17"/>
          <w:szCs w:val="17"/>
          <w:u w:val="single" w:color="auto"/>
          <w:color w:val="auto"/>
        </w:rPr>
        <w:t>Shares</w:t>
      </w:r>
      <w:r>
        <w:rPr>
          <w:rFonts w:ascii="Arial" w:cs="Arial" w:eastAsia="Arial" w:hAnsi="Arial"/>
          <w:sz w:val="17"/>
          <w:szCs w:val="17"/>
          <w:color w:val="auto"/>
        </w:rPr>
        <w:t>”) and, 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over-allotment option is exercised, the offer and sale by the Company of additional shares (the “</w:t>
      </w:r>
      <w:r>
        <w:rPr>
          <w:rFonts w:ascii="Arial" w:cs="Arial" w:eastAsia="Arial" w:hAnsi="Arial"/>
          <w:sz w:val="17"/>
          <w:szCs w:val="17"/>
          <w:u w:val="single" w:color="auto"/>
          <w:color w:val="auto"/>
        </w:rPr>
        <w:t>Additional Shares</w:t>
      </w:r>
      <w:r>
        <w:rPr>
          <w:rFonts w:ascii="Arial" w:cs="Arial" w:eastAsia="Arial" w:hAnsi="Arial"/>
          <w:sz w:val="17"/>
          <w:szCs w:val="17"/>
          <w:color w:val="auto"/>
        </w:rPr>
        <w:t>”) to the underwriters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Underwriters</w:t>
      </w:r>
      <w:r>
        <w:rPr>
          <w:rFonts w:ascii="Arial" w:cs="Arial" w:eastAsia="Arial" w:hAnsi="Arial"/>
          <w:sz w:val="17"/>
          <w:szCs w:val="17"/>
          <w:color w:val="auto"/>
        </w:rPr>
        <w:t>”) pursuant to the terms of the underwriting agreement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to be executed by the Company, the Selling</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Stockholders, and Goldman Sachs &amp; Co. LLC and J.P. Morgan Securities LLC, as Representatives of the Underwriters.</w:t>
      </w:r>
    </w:p>
    <w:p>
      <w:pPr>
        <w:spacing w:after="0" w:line="208" w:lineRule="exact"/>
        <w:rPr>
          <w:sz w:val="20"/>
          <w:szCs w:val="20"/>
          <w:color w:val="auto"/>
        </w:rPr>
      </w:pPr>
    </w:p>
    <w:p>
      <w:pPr>
        <w:ind w:right="220" w:firstLine="191"/>
        <w:spacing w:after="0" w:line="258" w:lineRule="auto"/>
        <w:rPr>
          <w:sz w:val="20"/>
          <w:szCs w:val="20"/>
          <w:color w:val="auto"/>
        </w:rPr>
      </w:pPr>
      <w:r>
        <w:rPr>
          <w:rFonts w:ascii="Arial" w:cs="Arial" w:eastAsia="Arial" w:hAnsi="Arial"/>
          <w:sz w:val="19"/>
          <w:szCs w:val="19"/>
          <w:color w:val="auto"/>
        </w:rPr>
        <w:t>In that connection, we have examined originals, or copies certified or otherwise identified to our satisfaction, of such documents, corporate records and other instruments as we have deemed necessary or appropriate for the purposes of this opinion, including, without limitation: (a) the Amended and Restated Certificate of Incorporation of the Company, as amended; (b) the Amended and Restated By-laws of the Company, as amended; and (c) certain resolutions adopted by the Board of Directors of the Company.</w:t>
      </w:r>
    </w:p>
    <w:p>
      <w:pPr>
        <w:sectPr>
          <w:pgSz w:w="11900" w:h="16838" w:orient="portrait"/>
          <w:cols w:equalWidth="0" w:num="1">
            <w:col w:w="11260"/>
          </w:cols>
          <w:pgMar w:left="320" w:top="122" w:right="319" w:bottom="1440" w:gutter="0" w:footer="0" w:header="0"/>
        </w:sectPr>
      </w:pPr>
    </w:p>
    <w:bookmarkStart w:id="451" w:name="page452"/>
    <w:bookmarkEnd w:id="451"/>
    <w:p>
      <w:pPr>
        <w:ind w:right="280" w:firstLine="191"/>
        <w:spacing w:after="0" w:line="297" w:lineRule="auto"/>
        <w:rPr>
          <w:sz w:val="20"/>
          <w:szCs w:val="20"/>
          <w:color w:val="auto"/>
        </w:rPr>
      </w:pPr>
      <w:r>
        <w:rPr>
          <w:rFonts w:ascii="Arial" w:cs="Arial" w:eastAsia="Arial" w:hAnsi="Arial"/>
          <w:sz w:val="17"/>
          <w:szCs w:val="17"/>
          <w:color w:val="auto"/>
        </w:rPr>
        <w:t>In rendering our opinion,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spacing w:after="0" w:line="156" w:lineRule="exact"/>
        <w:rPr>
          <w:sz w:val="20"/>
          <w:szCs w:val="20"/>
          <w:color w:val="auto"/>
        </w:rPr>
      </w:pPr>
    </w:p>
    <w:p>
      <w:pPr>
        <w:jc w:val="both"/>
        <w:ind w:right="380" w:firstLine="191"/>
        <w:spacing w:after="0" w:line="262" w:lineRule="auto"/>
        <w:rPr>
          <w:sz w:val="20"/>
          <w:szCs w:val="20"/>
          <w:color w:val="auto"/>
        </w:rPr>
      </w:pPr>
      <w:r>
        <w:rPr>
          <w:rFonts w:ascii="Arial" w:cs="Arial" w:eastAsia="Arial" w:hAnsi="Arial"/>
          <w:sz w:val="19"/>
          <w:szCs w:val="19"/>
          <w:color w:val="auto"/>
        </w:rPr>
        <w:t>Based on the foregoing and in reliance thereon, we are of the opinion that the Shares and the Additional Shares have been duly and validly authorized and, when issued and delivered by the Company and paid for by the Underwriters pursuant to the Underwriting Agreement, will be validly issued, fully paid and non-assessable.</w:t>
      </w:r>
    </w:p>
    <w:p>
      <w:pPr>
        <w:spacing w:after="0" w:line="181" w:lineRule="exact"/>
        <w:rPr>
          <w:sz w:val="20"/>
          <w:szCs w:val="20"/>
          <w:color w:val="auto"/>
        </w:rPr>
      </w:pPr>
    </w:p>
    <w:p>
      <w:pPr>
        <w:ind w:firstLine="188"/>
        <w:spacing w:after="0" w:line="258" w:lineRule="auto"/>
        <w:rPr>
          <w:sz w:val="20"/>
          <w:szCs w:val="20"/>
          <w:color w:val="auto"/>
        </w:rPr>
      </w:pPr>
      <w:r>
        <w:rPr>
          <w:rFonts w:ascii="Arial" w:cs="Arial" w:eastAsia="Arial" w:hAnsi="Arial"/>
          <w:sz w:val="19"/>
          <w:szCs w:val="19"/>
          <w:color w:val="auto"/>
        </w:rPr>
        <w:t>We are admitted to practice in the State of New York, and we express no opinion as to matters governed by any laws other than the laws of the State of New York, the General Corporation Law of the State of Delaware and the Federal laws of the United States of America. The reference and limitation to “Delaware General Corporation Law” includes the statutory provisions and all applicable provisions of the Delaware Constitution and reported judicial decisions interpreting these laws.</w:t>
      </w:r>
    </w:p>
    <w:p>
      <w:pPr>
        <w:spacing w:after="0" w:line="184" w:lineRule="exact"/>
        <w:rPr>
          <w:sz w:val="20"/>
          <w:szCs w:val="20"/>
          <w:color w:val="auto"/>
        </w:rPr>
      </w:pPr>
    </w:p>
    <w:p>
      <w:pPr>
        <w:ind w:right="20" w:firstLine="188"/>
        <w:spacing w:after="0" w:line="307" w:lineRule="auto"/>
        <w:rPr>
          <w:sz w:val="20"/>
          <w:szCs w:val="20"/>
          <w:color w:val="auto"/>
        </w:rPr>
      </w:pPr>
      <w:r>
        <w:rPr>
          <w:rFonts w:ascii="Arial" w:cs="Arial" w:eastAsia="Arial" w:hAnsi="Arial"/>
          <w:sz w:val="17"/>
          <w:szCs w:val="17"/>
          <w:color w:val="auto"/>
        </w:rPr>
        <w:t>We hereby consent to the filing of this opinion with the Commission as Exhibit 5.1 to the Registration Statement. We also consent to the reference to our firm under the caption “Legal matters” in the Registration Statement. In giving this consent, we do not thereby admit that we are included in the category of persons whose consent is required under Section 7 of the Securities Act or the rules and regulations of the Commission.</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Very truly yours,</w:t>
      </w:r>
    </w:p>
    <w:p>
      <w:pPr>
        <w:spacing w:after="0" w:line="200" w:lineRule="exact"/>
        <w:rPr>
          <w:sz w:val="20"/>
          <w:szCs w:val="20"/>
          <w:color w:val="auto"/>
        </w:rPr>
      </w:pPr>
    </w:p>
    <w:p>
      <w:pPr>
        <w:spacing w:after="0" w:line="334"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/s/ Cravath, Swaine &amp; Moore LLP</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9"/>
          <w:szCs w:val="19"/>
          <w:color w:val="auto"/>
        </w:rPr>
        <w:t>Robinhood Markets, Inc.</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9"/>
          <w:szCs w:val="19"/>
          <w:color w:val="auto"/>
        </w:rPr>
        <w:t>85 Willow Road</w:t>
      </w:r>
    </w:p>
    <w:p>
      <w:pPr>
        <w:spacing w:after="0" w:line="56" w:lineRule="exact"/>
        <w:rPr>
          <w:sz w:val="20"/>
          <w:szCs w:val="20"/>
          <w:color w:val="auto"/>
        </w:rPr>
      </w:pPr>
    </w:p>
    <w:p>
      <w:pPr>
        <w:ind w:left="580"/>
        <w:spacing w:after="0"/>
        <w:rPr>
          <w:sz w:val="20"/>
          <w:szCs w:val="20"/>
          <w:color w:val="auto"/>
        </w:rPr>
      </w:pPr>
      <w:r>
        <w:rPr>
          <w:rFonts w:ascii="Arial" w:cs="Arial" w:eastAsia="Arial" w:hAnsi="Arial"/>
          <w:sz w:val="19"/>
          <w:szCs w:val="19"/>
          <w:color w:val="auto"/>
        </w:rPr>
        <w:t>Menlo Park, California 94025</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9"/>
          <w:szCs w:val="19"/>
          <w:color w:val="auto"/>
        </w:rPr>
        <w:t>O</w:t>
      </w:r>
    </w:p>
    <w:p>
      <w:pPr>
        <w:sectPr>
          <w:pgSz w:w="11900" w:h="16838" w:orient="portrait"/>
          <w:cols w:equalWidth="0" w:num="1">
            <w:col w:w="11260"/>
          </w:cols>
          <w:pgMar w:left="320" w:top="1279" w:right="319" w:bottom="1440" w:gutter="0" w:footer="0" w:header="0"/>
        </w:sectPr>
      </w:pPr>
    </w:p>
    <w:bookmarkStart w:id="452" w:name="page453"/>
    <w:bookmarkEnd w:id="452"/>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40" w:type="dxa"/>
            <w:vAlign w:val="bottom"/>
            <w:gridSpan w:val="4"/>
          </w:tcPr>
          <w:p>
            <w:pPr>
              <w:ind w:left="40"/>
              <w:spacing w:after="0"/>
              <w:rPr>
                <w:sz w:val="20"/>
                <w:szCs w:val="20"/>
                <w:color w:val="auto"/>
              </w:rPr>
            </w:pPr>
            <w:r>
              <w:rPr>
                <w:rFonts w:ascii="Arial" w:cs="Arial" w:eastAsia="Arial" w:hAnsi="Arial"/>
                <w:sz w:val="18"/>
                <w:szCs w:val="18"/>
                <w:b w:val="1"/>
                <w:bCs w:val="1"/>
                <w:color w:val="auto"/>
              </w:rPr>
              <w:t>INDEMNIFICATION AGREEMENT</w:t>
            </w:r>
          </w:p>
        </w:tc>
        <w:tc>
          <w:tcPr>
            <w:tcW w:w="3040" w:type="dxa"/>
            <w:vAlign w:val="bottom"/>
          </w:tcPr>
          <w:p>
            <w:pPr>
              <w:spacing w:after="0"/>
              <w:rPr>
                <w:sz w:val="19"/>
                <w:szCs w:val="19"/>
                <w:color w:val="auto"/>
              </w:rPr>
            </w:pPr>
          </w:p>
        </w:tc>
      </w:tr>
      <w:tr>
        <w:trPr>
          <w:trHeight w:val="306"/>
        </w:trPr>
        <w:tc>
          <w:tcPr>
            <w:tcW w:w="8200" w:type="dxa"/>
            <w:vAlign w:val="bottom"/>
            <w:gridSpan w:val="8"/>
          </w:tcPr>
          <w:p>
            <w:pPr>
              <w:jc w:val="center"/>
              <w:ind w:left="692"/>
              <w:spacing w:after="0"/>
              <w:rPr>
                <w:sz w:val="20"/>
                <w:szCs w:val="20"/>
                <w:color w:val="auto"/>
              </w:rPr>
            </w:pPr>
            <w:r>
              <w:rPr>
                <w:rFonts w:ascii="Arial" w:cs="Arial" w:eastAsia="Arial" w:hAnsi="Arial"/>
                <w:sz w:val="18"/>
                <w:szCs w:val="18"/>
                <w:color w:val="auto"/>
                <w:w w:val="91"/>
              </w:rPr>
              <w:t>THIS INDEMNIFICATION AGREEMENT (the “Agreement”) is made and entered into as of [</w:t>
            </w:r>
          </w:p>
        </w:tc>
        <w:tc>
          <w:tcPr>
            <w:tcW w:w="3040" w:type="dxa"/>
            <w:vAlign w:val="bottom"/>
          </w:tcPr>
          <w:p>
            <w:pPr>
              <w:ind w:left="360"/>
              <w:spacing w:after="0"/>
              <w:rPr>
                <w:sz w:val="20"/>
                <w:szCs w:val="20"/>
                <w:color w:val="auto"/>
              </w:rPr>
            </w:pPr>
            <w:r>
              <w:rPr>
                <w:rFonts w:ascii="Arial" w:cs="Arial" w:eastAsia="Arial" w:hAnsi="Arial"/>
                <w:sz w:val="18"/>
                <w:szCs w:val="18"/>
                <w:color w:val="auto"/>
                <w:w w:val="87"/>
              </w:rPr>
              <w:t>], between Robinhood Markets, Inc., a</w:t>
            </w: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83"/>
        </w:trPr>
        <w:tc>
          <w:tcPr>
            <w:tcW w:w="3560" w:type="dxa"/>
            <w:vAlign w:val="bottom"/>
            <w:gridSpan w:val="3"/>
          </w:tcPr>
          <w:p>
            <w:pPr>
              <w:spacing w:after="0" w:line="183" w:lineRule="exact"/>
              <w:rPr>
                <w:sz w:val="20"/>
                <w:szCs w:val="20"/>
                <w:color w:val="auto"/>
              </w:rPr>
            </w:pPr>
            <w:r>
              <w:rPr>
                <w:rFonts w:ascii="Arial" w:cs="Arial" w:eastAsia="Arial" w:hAnsi="Arial"/>
                <w:sz w:val="18"/>
                <w:szCs w:val="18"/>
                <w:color w:val="auto"/>
                <w:w w:val="99"/>
              </w:rPr>
              <w:t>Delaware corporation (the “Company”), and [</w:t>
            </w:r>
          </w:p>
        </w:tc>
        <w:tc>
          <w:tcPr>
            <w:tcW w:w="4640" w:type="dxa"/>
            <w:vAlign w:val="bottom"/>
            <w:gridSpan w:val="5"/>
          </w:tcPr>
          <w:p>
            <w:pPr>
              <w:jc w:val="center"/>
              <w:ind w:right="2720"/>
              <w:spacing w:after="0" w:line="183" w:lineRule="exact"/>
              <w:rPr>
                <w:sz w:val="20"/>
                <w:szCs w:val="20"/>
                <w:color w:val="auto"/>
              </w:rPr>
            </w:pPr>
            <w:r>
              <w:rPr>
                <w:rFonts w:ascii="Arial" w:cs="Arial" w:eastAsia="Arial" w:hAnsi="Arial"/>
                <w:sz w:val="18"/>
                <w:szCs w:val="18"/>
                <w:color w:val="auto"/>
                <w:w w:val="93"/>
              </w:rPr>
              <w:t>] (“Indemnitee”).</w:t>
            </w:r>
          </w:p>
        </w:tc>
        <w:tc>
          <w:tcPr>
            <w:tcW w:w="3040" w:type="dxa"/>
            <w:vAlign w:val="bottom"/>
          </w:tcPr>
          <w:p>
            <w:pPr>
              <w:spacing w:after="0"/>
              <w:rPr>
                <w:sz w:val="15"/>
                <w:szCs w:val="15"/>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20" w:firstLine="1147"/>
        <w:spacing w:after="0" w:line="289" w:lineRule="auto"/>
        <w:rPr>
          <w:sz w:val="20"/>
          <w:szCs w:val="20"/>
          <w:color w:val="auto"/>
        </w:rPr>
      </w:pPr>
      <w:r>
        <w:rPr>
          <w:rFonts w:ascii="Arial" w:cs="Arial" w:eastAsia="Arial" w:hAnsi="Arial"/>
          <w:sz w:val="16"/>
          <w:szCs w:val="16"/>
          <w:color w:val="auto"/>
        </w:rPr>
        <w:t>WHEREAS, the Amended and Restated Certificate of Incorporation of the Company (as amended from time to time, the “</w:t>
      </w:r>
      <w:r>
        <w:rPr>
          <w:rFonts w:ascii="Arial" w:cs="Arial" w:eastAsia="Arial" w:hAnsi="Arial"/>
          <w:sz w:val="16"/>
          <w:szCs w:val="16"/>
          <w:u w:val="single" w:color="auto"/>
          <w:color w:val="auto"/>
        </w:rPr>
        <w:t>Certificate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Incorporation</w:t>
      </w:r>
      <w:r>
        <w:rPr>
          <w:rFonts w:ascii="Arial" w:cs="Arial" w:eastAsia="Arial" w:hAnsi="Arial"/>
          <w:sz w:val="16"/>
          <w:szCs w:val="16"/>
          <w:color w:val="auto"/>
        </w:rPr>
        <w:t>”) and the Amended and Restated Bylaws of the Company (as amended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provide for indemnification of and the payment of expenses to a director or officer of the Company to the maximum extent permitted by applicable law;</w:t>
      </w:r>
    </w:p>
    <w:p>
      <w:pPr>
        <w:spacing w:after="0" w:line="88" w:lineRule="exact"/>
        <w:rPr>
          <w:sz w:val="20"/>
          <w:szCs w:val="20"/>
          <w:color w:val="auto"/>
        </w:rPr>
      </w:pPr>
    </w:p>
    <w:p>
      <w:pPr>
        <w:jc w:val="both"/>
        <w:ind w:right="20" w:firstLine="1147"/>
        <w:spacing w:after="0" w:line="244" w:lineRule="auto"/>
        <w:rPr>
          <w:sz w:val="20"/>
          <w:szCs w:val="20"/>
          <w:color w:val="auto"/>
        </w:rPr>
      </w:pPr>
      <w:r>
        <w:rPr>
          <w:rFonts w:ascii="Arial" w:cs="Arial" w:eastAsia="Arial" w:hAnsi="Arial"/>
          <w:sz w:val="18"/>
          <w:szCs w:val="18"/>
          <w:color w:val="auto"/>
        </w:rPr>
        <w:t>WHEREAS, the Certificate of Incorporation and the Bylaws specifically provide that the rights to indemnification and the payment of expenses are not exclusive to any other right to which any person may be entitled under the Certificate of Incorporation, the Bylaws or any other statute or agreement, pursuant to any vote of stockholders or disinterested directors, or otherwise;</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WHEREAS, it is essential to the Company that it be able to retain and attract as directors and officers the most capable persons available;</w:t>
      </w:r>
    </w:p>
    <w:p>
      <w:pPr>
        <w:spacing w:after="0" w:line="163" w:lineRule="exact"/>
        <w:rPr>
          <w:sz w:val="20"/>
          <w:szCs w:val="20"/>
          <w:color w:val="auto"/>
        </w:rPr>
      </w:pPr>
    </w:p>
    <w:p>
      <w:pPr>
        <w:jc w:val="both"/>
        <w:ind w:right="20" w:firstLine="1147"/>
        <w:spacing w:after="0" w:line="253" w:lineRule="auto"/>
        <w:rPr>
          <w:sz w:val="20"/>
          <w:szCs w:val="20"/>
          <w:color w:val="auto"/>
        </w:rPr>
      </w:pPr>
      <w:r>
        <w:rPr>
          <w:rFonts w:ascii="Arial" w:cs="Arial" w:eastAsia="Arial" w:hAnsi="Arial"/>
          <w:sz w:val="18"/>
          <w:szCs w:val="18"/>
          <w:color w:val="auto"/>
        </w:rPr>
        <w:t>WHEREAS, corporate litigation subjects directors and officers to litigation risks and expenses, and the limitations on the availability of directors’ and officers’ liability insurance may make it difficult to attract and retain such persons;</w:t>
      </w:r>
    </w:p>
    <w:p>
      <w:pPr>
        <w:spacing w:after="0" w:line="113" w:lineRule="exact"/>
        <w:rPr>
          <w:sz w:val="20"/>
          <w:szCs w:val="20"/>
          <w:color w:val="auto"/>
        </w:rPr>
      </w:pPr>
    </w:p>
    <w:p>
      <w:pPr>
        <w:jc w:val="both"/>
        <w:ind w:right="20" w:firstLine="1147"/>
        <w:spacing w:after="0" w:line="239" w:lineRule="auto"/>
        <w:rPr>
          <w:sz w:val="20"/>
          <w:szCs w:val="20"/>
          <w:color w:val="auto"/>
        </w:rPr>
      </w:pPr>
      <w:r>
        <w:rPr>
          <w:rFonts w:ascii="Arial" w:cs="Arial" w:eastAsia="Arial" w:hAnsi="Arial"/>
          <w:sz w:val="18"/>
          <w:szCs w:val="18"/>
          <w:color w:val="auto"/>
        </w:rPr>
        <w:t>WHEREAS, the Company desires to provide Indemnitee with specific contractual assurance of Indemnitee’s rights to indemnification against litigation risks and expenses (regardless, among other things, of any amendment to or revocation of the Certificate of Incorporation, the Bylaws and any other organizational documents of the Company, each as amended from time to time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or any change in the ownership of the Company or the composition of its Board of Directors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which indemnification is intended to be greater than that which is afforded by the Organizational Documents; and</w:t>
      </w:r>
    </w:p>
    <w:p>
      <w:pPr>
        <w:spacing w:after="0" w:line="129" w:lineRule="exact"/>
        <w:rPr>
          <w:sz w:val="20"/>
          <w:szCs w:val="20"/>
          <w:color w:val="auto"/>
        </w:rPr>
      </w:pPr>
    </w:p>
    <w:p>
      <w:pPr>
        <w:jc w:val="both"/>
        <w:ind w:right="20" w:firstLine="1147"/>
        <w:spacing w:after="0" w:line="253" w:lineRule="auto"/>
        <w:rPr>
          <w:sz w:val="20"/>
          <w:szCs w:val="20"/>
          <w:color w:val="auto"/>
        </w:rPr>
      </w:pPr>
      <w:r>
        <w:rPr>
          <w:rFonts w:ascii="Arial" w:cs="Arial" w:eastAsia="Arial" w:hAnsi="Arial"/>
          <w:sz w:val="18"/>
          <w:szCs w:val="18"/>
          <w:color w:val="auto"/>
        </w:rPr>
        <w:t>WHEREAS, in order to induce Indemnitee to serve as a director or officer of the Company, the Company has determined and agreed to enter into this Agreement with Indemnitee.</w:t>
      </w:r>
    </w:p>
    <w:p>
      <w:pPr>
        <w:spacing w:after="0" w:line="11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NOW, THEREFORE, in consideration of Indemnitee’s service as a director or officer of the Company, the parties hereto agree as follows:</w:t>
      </w:r>
    </w:p>
    <w:p>
      <w:pPr>
        <w:spacing w:after="0" w:line="163" w:lineRule="exact"/>
        <w:rPr>
          <w:sz w:val="20"/>
          <w:szCs w:val="20"/>
          <w:color w:val="auto"/>
        </w:rPr>
      </w:pPr>
    </w:p>
    <w:p>
      <w:pPr>
        <w:ind w:left="1160" w:hanging="304"/>
        <w:spacing w:after="0"/>
        <w:tabs>
          <w:tab w:leader="none" w:pos="116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39" w:lineRule="exact"/>
        <w:rPr>
          <w:rFonts w:ascii="Arial" w:cs="Arial" w:eastAsia="Arial" w:hAnsi="Arial"/>
          <w:sz w:val="18"/>
          <w:szCs w:val="18"/>
          <w:color w:val="auto"/>
        </w:rPr>
      </w:pPr>
    </w:p>
    <w:p>
      <w:pPr>
        <w:ind w:right="60" w:firstLine="1143"/>
        <w:spacing w:after="0" w:line="272" w:lineRule="auto"/>
        <w:tabs>
          <w:tab w:leader="none" w:pos="1507"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 and 14(d) of the Securities Exchange Act of 1934, as amended (“</w:t>
      </w:r>
      <w:r>
        <w:rPr>
          <w:rFonts w:ascii="Arial" w:cs="Arial" w:eastAsia="Arial" w:hAnsi="Arial"/>
          <w:sz w:val="16"/>
          <w:szCs w:val="16"/>
          <w:u w:val="single" w:color="auto"/>
          <w:color w:val="auto"/>
        </w:rPr>
        <w:t>Exchange Act</w:t>
      </w:r>
      <w:r>
        <w:rPr>
          <w:rFonts w:ascii="Arial" w:cs="Arial" w:eastAsia="Arial" w:hAnsi="Arial"/>
          <w:sz w:val="16"/>
          <w:szCs w:val="16"/>
          <w:color w:val="auto"/>
        </w:rPr>
        <w:t>”),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20% or more of the total voting power represented by the Company’s then outstanding Voting Securities, (ii) during any period of two (2) consecutive years, (A) individuals who at the beginning of such period constitute the Board of Directors and (B) any new director whose appointment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w:t>
      </w:r>
    </w:p>
    <w:p>
      <w:pPr>
        <w:sectPr>
          <w:pgSz w:w="11900" w:h="16838" w:orient="portrait"/>
          <w:cols w:equalWidth="0" w:num="1">
            <w:col w:w="11260"/>
          </w:cols>
          <w:pgMar w:left="320" w:top="122" w:right="319" w:bottom="1440" w:gutter="0" w:footer="0" w:header="0"/>
        </w:sectPr>
      </w:pPr>
    </w:p>
    <w:bookmarkStart w:id="453" w:name="page454"/>
    <w:bookmarkEnd w:id="453"/>
    <w:p>
      <w:pPr>
        <w:spacing w:after="0" w:line="272" w:lineRule="auto"/>
        <w:rPr>
          <w:sz w:val="20"/>
          <w:szCs w:val="20"/>
          <w:color w:val="auto"/>
        </w:rPr>
      </w:pPr>
      <w:r>
        <w:rPr>
          <w:rFonts w:ascii="Arial" w:cs="Arial" w:eastAsia="Arial" w:hAnsi="Arial"/>
          <w:sz w:val="16"/>
          <w:szCs w:val="16"/>
          <w:color w:val="auto"/>
        </w:rPr>
        <w:t>(other than, in the case of this clause (B), individuals that are initially elected or nominated as a director of the Company as a result of an actual or threatened election contest with respect to directors or as a result of any other actual or threatened solicitation of proxies by or on behalf of any person other than the Board of Directors), cease for any reason to constitute a majority of the Board of Directors, or (iii) the stockholders of the Company approve a merger or consolidation of the Company with any other entity, other than a merger or consolidation which would result in the Voting Securities of the Company outstanding immediately prior thereto continuing to represent (either by remaining outstanding or by being converted into Voting Securities of the surviving entity) at least 50%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spacing w:after="0" w:line="100" w:lineRule="exact"/>
        <w:rPr>
          <w:sz w:val="20"/>
          <w:szCs w:val="20"/>
          <w:color w:val="auto"/>
        </w:rPr>
      </w:pPr>
    </w:p>
    <w:p>
      <w:pPr>
        <w:jc w:val="both"/>
        <w:ind w:right="140" w:firstLine="1143"/>
        <w:spacing w:after="0" w:line="244" w:lineRule="auto"/>
        <w:tabs>
          <w:tab w:leader="none" w:pos="152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Status</w:t>
      </w:r>
      <w:r>
        <w:rPr>
          <w:rFonts w:ascii="Arial" w:cs="Arial" w:eastAsia="Arial" w:hAnsi="Arial"/>
          <w:sz w:val="18"/>
          <w:szCs w:val="18"/>
          <w:color w:val="auto"/>
        </w:rPr>
        <w:t>” describes the status of a person who is serving or has served at any time (i) as a director or officer of the Company or of any Subsidiary, including as a member of any committee of the Board of Directors, or (ii) any other corporation, partnership, joint venture, trust, employee benefit plan or other enterprise, in any capacity at the request of the Company.</w:t>
      </w:r>
    </w:p>
    <w:p>
      <w:pPr>
        <w:spacing w:after="0" w:line="121" w:lineRule="exact"/>
        <w:rPr>
          <w:rFonts w:ascii="Arial" w:cs="Arial" w:eastAsia="Arial" w:hAnsi="Arial"/>
          <w:sz w:val="18"/>
          <w:szCs w:val="18"/>
          <w:color w:val="auto"/>
        </w:rPr>
      </w:pPr>
    </w:p>
    <w:p>
      <w:pPr>
        <w:ind w:right="60" w:firstLine="1143"/>
        <w:spacing w:after="0" w:line="253" w:lineRule="auto"/>
        <w:tabs>
          <w:tab w:leader="none" w:pos="151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shall mean the possession, directly or indirectly, of the power to direct or cause the direction of the management and policies of such Person, whether through the ownership of voting securities, by contract or otherwise.</w:t>
      </w:r>
    </w:p>
    <w:p>
      <w:pPr>
        <w:spacing w:after="0" w:line="113" w:lineRule="exact"/>
        <w:rPr>
          <w:rFonts w:ascii="Arial" w:cs="Arial" w:eastAsia="Arial" w:hAnsi="Arial"/>
          <w:sz w:val="18"/>
          <w:szCs w:val="18"/>
          <w:color w:val="auto"/>
        </w:rPr>
      </w:pPr>
    </w:p>
    <w:p>
      <w:pPr>
        <w:ind w:right="480" w:firstLine="1143"/>
        <w:spacing w:after="0" w:line="253" w:lineRule="auto"/>
        <w:tabs>
          <w:tab w:leader="none" w:pos="152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shall mean a director of the Company who is not and was not a party to the Proceeding in respect of which indemnification is sought by Indemnitee.</w:t>
      </w:r>
    </w:p>
    <w:p>
      <w:pPr>
        <w:spacing w:after="0" w:line="113" w:lineRule="exact"/>
        <w:rPr>
          <w:rFonts w:ascii="Arial" w:cs="Arial" w:eastAsia="Arial" w:hAnsi="Arial"/>
          <w:sz w:val="18"/>
          <w:szCs w:val="18"/>
          <w:color w:val="auto"/>
        </w:rPr>
      </w:pPr>
    </w:p>
    <w:p>
      <w:pPr>
        <w:ind w:firstLine="1143"/>
        <w:spacing w:after="0" w:line="273" w:lineRule="auto"/>
        <w:tabs>
          <w:tab w:leader="none" w:pos="151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shall mean all direct and indirect fees, costs and expenses reasonably and actually incurred in connection with any Proceeding (as defined below), including, without limitation, all reasonable attorneys’ fees, disbursements and retainers, fees and disbursements of expert witnesses, private investigators and professional advisors (including, without limitation, accountants and investment bankers), court costs, arbitration costs and fees, transcript costs, costs of investigation, witness fees, fees and expenses of experts, travel expenses, duplicating, printing and binding costs, telephone and fax transmission charges, postage, delivery services, secretarial services and other disbursements and expenses, and shall also specifically include, without limitation, all reasonable attorneys’ fees and all other expenses actually incurred by or on behalf of Indemnitee in connection with preparing and submitting any requests or statements for indemnification, advancement, contribution or any other right provided by this Agreement.</w:t>
      </w:r>
    </w:p>
    <w:p>
      <w:pPr>
        <w:spacing w:after="0" w:line="100" w:lineRule="exact"/>
        <w:rPr>
          <w:rFonts w:ascii="Arial" w:cs="Arial" w:eastAsia="Arial" w:hAnsi="Arial"/>
          <w:sz w:val="16"/>
          <w:szCs w:val="16"/>
          <w:color w:val="auto"/>
        </w:rPr>
      </w:pPr>
    </w:p>
    <w:p>
      <w:pPr>
        <w:ind w:right="60" w:firstLine="1143"/>
        <w:spacing w:after="0" w:line="274" w:lineRule="auto"/>
        <w:tabs>
          <w:tab w:leader="none" w:pos="149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means a law firm, or a member of a law firm, that is experienced in matters of corporation law and neither presently is, nor in the past five (5)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01" w:lineRule="exact"/>
        <w:rPr>
          <w:rFonts w:ascii="Arial" w:cs="Arial" w:eastAsia="Arial" w:hAnsi="Arial"/>
          <w:sz w:val="16"/>
          <w:szCs w:val="16"/>
          <w:color w:val="auto"/>
        </w:rPr>
      </w:pPr>
    </w:p>
    <w:p>
      <w:pPr>
        <w:jc w:val="both"/>
        <w:ind w:right="560" w:firstLine="1143"/>
        <w:spacing w:after="0" w:line="351" w:lineRule="auto"/>
        <w:tabs>
          <w:tab w:leader="none" w:pos="1527" w:val="left"/>
        </w:tabs>
        <w:numPr>
          <w:ilvl w:val="0"/>
          <w:numId w:val="2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Liabilities</w:t>
      </w:r>
      <w:r>
        <w:rPr>
          <w:rFonts w:ascii="Arial" w:cs="Arial" w:eastAsia="Arial" w:hAnsi="Arial"/>
          <w:sz w:val="15"/>
          <w:szCs w:val="15"/>
          <w:color w:val="auto"/>
        </w:rPr>
        <w:t>” shall mean judgments, damages, deficiencies, liabilities, losses, penalties, excise taxes, fines, awards assessments and amounts paid in settlement, including any interest and any federal, state, local or foreign taxes imposed as a result of the actual or deemed receipt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23F3F"/>
        </w:rPr>
        <w:t>2</w:t>
      </w:r>
    </w:p>
    <w:p>
      <w:pPr>
        <w:sectPr>
          <w:pgSz w:w="11900" w:h="16838" w:orient="portrait"/>
          <w:cols w:equalWidth="0" w:num="1">
            <w:col w:w="11220"/>
          </w:cols>
          <w:pgMar w:left="320" w:top="1271" w:right="359" w:bottom="1440" w:gutter="0" w:footer="0" w:header="0"/>
        </w:sectPr>
      </w:pPr>
    </w:p>
    <w:bookmarkStart w:id="454" w:name="page455"/>
    <w:bookmarkEnd w:id="454"/>
    <w:p>
      <w:pPr>
        <w:ind w:left="4"/>
        <w:spacing w:after="0"/>
        <w:rPr>
          <w:sz w:val="20"/>
          <w:szCs w:val="20"/>
          <w:color w:val="auto"/>
        </w:rPr>
      </w:pPr>
      <w:r>
        <w:rPr>
          <w:rFonts w:ascii="Arial" w:cs="Arial" w:eastAsia="Arial" w:hAnsi="Arial"/>
          <w:sz w:val="16"/>
          <w:szCs w:val="16"/>
          <w:color w:val="auto"/>
        </w:rPr>
        <w:t>payment under this Agreement or otherwise in respect of indemnification pursuant to this Agreement (and any such taxes attributable thereto).</w:t>
      </w:r>
    </w:p>
    <w:p>
      <w:pPr>
        <w:spacing w:after="0" w:line="163" w:lineRule="exact"/>
        <w:rPr>
          <w:sz w:val="20"/>
          <w:szCs w:val="20"/>
          <w:color w:val="auto"/>
        </w:rPr>
      </w:pPr>
    </w:p>
    <w:p>
      <w:pPr>
        <w:ind w:left="4" w:right="40" w:firstLine="1143"/>
        <w:spacing w:after="0" w:line="289" w:lineRule="auto"/>
        <w:tabs>
          <w:tab w:leader="none" w:pos="1531" w:val="left"/>
        </w:tabs>
        <w:numPr>
          <w:ilvl w:val="2"/>
          <w:numId w:val="2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any individual, partnership, corporation, limited liability company, unincorporated organization or association, trust (including the trustees thereof in their capacity as such) or other entity (including any governmental entity), whether organized under the laws of (or, in the case of individuals, resident in) the United States (or any political subdivision thereof) or any foreign jurisdiction.</w:t>
      </w:r>
    </w:p>
    <w:p>
      <w:pPr>
        <w:spacing w:after="0" w:line="88" w:lineRule="exact"/>
        <w:rPr>
          <w:rFonts w:ascii="Arial" w:cs="Arial" w:eastAsia="Arial" w:hAnsi="Arial"/>
          <w:sz w:val="16"/>
          <w:szCs w:val="16"/>
          <w:color w:val="auto"/>
        </w:rPr>
      </w:pPr>
    </w:p>
    <w:p>
      <w:pPr>
        <w:ind w:left="4" w:right="360" w:firstLine="1143"/>
        <w:spacing w:after="0" w:line="239" w:lineRule="auto"/>
        <w:tabs>
          <w:tab w:leader="none" w:pos="1492" w:val="left"/>
        </w:tabs>
        <w:numPr>
          <w:ilvl w:val="2"/>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shall mean any threatened, pending or completed claim, action, suit, arbitration, alternate dispute resolution process, investigation, inquiry, administrative hearing, appeal, or any other proceeding (including without limitation, stockholder claims, actions, demands, suits, proceedings, investigations and arbitrations), whether civil, criminal, administrative, arbitrative, investigative or otherwise, whether formal or informal and whether pending on, before or after the date of this Agreement, including a proceeding initiated by Indemnitee pursuant to Section 7 hereof to enforce Indemnitee’s rights hereunder.</w:t>
      </w:r>
    </w:p>
    <w:p>
      <w:pPr>
        <w:spacing w:after="0" w:line="128" w:lineRule="exact"/>
        <w:rPr>
          <w:rFonts w:ascii="Arial" w:cs="Arial" w:eastAsia="Arial" w:hAnsi="Arial"/>
          <w:sz w:val="18"/>
          <w:szCs w:val="18"/>
          <w:color w:val="auto"/>
        </w:rPr>
      </w:pPr>
    </w:p>
    <w:p>
      <w:pPr>
        <w:ind w:left="4" w:right="40" w:firstLine="1143"/>
        <w:spacing w:after="0" w:line="274" w:lineRule="auto"/>
        <w:tabs>
          <w:tab w:leader="none" w:pos="1492" w:val="left"/>
        </w:tabs>
        <w:numPr>
          <w:ilvl w:val="2"/>
          <w:numId w:val="2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any corporation, partnership, limited liability company, joint venture, trust or other Person of which the Company owns (either directly or through or together with another Subsidiary of the Company) either (i) a general partner, managing member or other similar interest or</w:t>
      </w:r>
    </w:p>
    <w:p>
      <w:pPr>
        <w:jc w:val="both"/>
        <w:ind w:left="4" w:right="340" w:hanging="4"/>
        <w:spacing w:after="0" w:line="237" w:lineRule="auto"/>
        <w:tabs>
          <w:tab w:leader="none" w:pos="26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more than 50% of the voting power of the voting capital equity interests of such corporation, partnership, limited liability company, joint venture or other Person, or (B) more than 50% of the outstanding voting capital stock or other voting equity interests of such corporation, partnership, limited liability company, joint venture or other Person.</w:t>
      </w:r>
    </w:p>
    <w:p>
      <w:pPr>
        <w:spacing w:after="0" w:line="125" w:lineRule="exact"/>
        <w:rPr>
          <w:rFonts w:ascii="Arial" w:cs="Arial" w:eastAsia="Arial" w:hAnsi="Arial"/>
          <w:sz w:val="18"/>
          <w:szCs w:val="18"/>
          <w:color w:val="auto"/>
        </w:rPr>
      </w:pPr>
    </w:p>
    <w:p>
      <w:pPr>
        <w:ind w:left="1524" w:hanging="377"/>
        <w:spacing w:after="0"/>
        <w:tabs>
          <w:tab w:leader="none" w:pos="1524" w:val="left"/>
        </w:tabs>
        <w:numPr>
          <w:ilvl w:val="2"/>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shall mean any securities which vote generally in the election of directors.</w:t>
      </w:r>
    </w:p>
    <w:p>
      <w:pPr>
        <w:spacing w:after="0" w:line="139" w:lineRule="exact"/>
        <w:rPr>
          <w:rFonts w:ascii="Arial" w:cs="Arial" w:eastAsia="Arial" w:hAnsi="Arial"/>
          <w:sz w:val="18"/>
          <w:szCs w:val="18"/>
          <w:color w:val="auto"/>
        </w:rPr>
      </w:pPr>
    </w:p>
    <w:p>
      <w:pPr>
        <w:ind w:left="1164" w:hanging="304"/>
        <w:spacing w:after="0"/>
        <w:tabs>
          <w:tab w:leader="none" w:pos="1164"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Agreement to Indemnify</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4" w:firstLine="1143"/>
        <w:spacing w:after="0" w:line="270" w:lineRule="auto"/>
        <w:tabs>
          <w:tab w:leader="none" w:pos="1521" w:val="left"/>
        </w:tabs>
        <w:numPr>
          <w:ilvl w:val="2"/>
          <w:numId w:val="231"/>
        </w:numPr>
        <w:rPr>
          <w:rFonts w:ascii="Arial" w:cs="Arial" w:eastAsia="Arial" w:hAnsi="Arial"/>
          <w:sz w:val="16"/>
          <w:szCs w:val="16"/>
          <w:color w:val="auto"/>
        </w:rPr>
      </w:pPr>
      <w:r>
        <w:rPr>
          <w:rFonts w:ascii="Arial" w:cs="Arial" w:eastAsia="Arial" w:hAnsi="Arial"/>
          <w:sz w:val="16"/>
          <w:szCs w:val="16"/>
          <w:u w:val="single" w:color="auto"/>
          <w:color w:val="auto"/>
        </w:rPr>
        <w:t>Proceedings Other Than Proceedings by or in the Right of the Company</w:t>
      </w:r>
      <w:r>
        <w:rPr>
          <w:rFonts w:ascii="Arial" w:cs="Arial" w:eastAsia="Arial" w:hAnsi="Arial"/>
          <w:sz w:val="16"/>
          <w:szCs w:val="16"/>
          <w:color w:val="auto"/>
        </w:rPr>
        <w:t>. Indemnitee shall be entitled to the rights of indemnification provided in this Section 2(a) if, by reason of Indemnitee’s Company Status, Indemnitee is, or is threatened to be made, a party to or participant in any Proceeding other than a Proceeding by or in the right of the Company (which is the subject of Section 2(b) hereof) or a Proceeding instituted by Indemnitee pursuant to Section 7 hereof to enforce Indemnitee’s rights under this Agreement (including Indemnitee’s right to be reimbursed in certain Expenses related thereto, which is the subject of Section 7(d) hereof). Pursuant to this Section 2(a), Indemnitee shall be indemnified by the Company, to the fullest extent permitted by applicable law, against all Expenses and Liabilities incurred or paid by Indemnitee in connection with such Proceeding if Indemnitee acted in good faith and in a manner he or she reasonably believed to be in or not opposed to the best interests of the Company and, with respect to any criminal action or proceeding, had no reasonable cause to believe that his or her conduct was unlawful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a change in applicable law permits the Company to provide greater indemnification than would be afforded currently under the Organizational Documents and this Section 2(a), Indemnitee shall enjoy by this Section 2(a) the greater benefits so afforded by such change).</w:t>
      </w:r>
    </w:p>
    <w:p>
      <w:pPr>
        <w:spacing w:after="0" w:line="105" w:lineRule="exact"/>
        <w:rPr>
          <w:rFonts w:ascii="Arial" w:cs="Arial" w:eastAsia="Arial" w:hAnsi="Arial"/>
          <w:sz w:val="16"/>
          <w:szCs w:val="16"/>
          <w:color w:val="auto"/>
        </w:rPr>
      </w:pPr>
    </w:p>
    <w:p>
      <w:pPr>
        <w:ind w:left="4" w:right="100" w:firstLine="1143"/>
        <w:spacing w:after="0" w:line="241" w:lineRule="auto"/>
        <w:tabs>
          <w:tab w:leader="none" w:pos="1531" w:val="left"/>
        </w:tabs>
        <w:numPr>
          <w:ilvl w:val="2"/>
          <w:numId w:val="231"/>
        </w:numPr>
        <w:rPr>
          <w:rFonts w:ascii="Arial" w:cs="Arial" w:eastAsia="Arial" w:hAnsi="Arial"/>
          <w:sz w:val="18"/>
          <w:szCs w:val="18"/>
          <w:color w:val="auto"/>
        </w:rPr>
      </w:pPr>
      <w:r>
        <w:rPr>
          <w:rFonts w:ascii="Arial" w:cs="Arial" w:eastAsia="Arial" w:hAnsi="Arial"/>
          <w:sz w:val="18"/>
          <w:szCs w:val="18"/>
          <w:u w:val="single" w:color="auto"/>
          <w:color w:val="auto"/>
        </w:rPr>
        <w:t>Proceedings by or in the Right of the Company</w:t>
      </w:r>
      <w:r>
        <w:rPr>
          <w:rFonts w:ascii="Arial" w:cs="Arial" w:eastAsia="Arial" w:hAnsi="Arial"/>
          <w:sz w:val="18"/>
          <w:szCs w:val="18"/>
          <w:color w:val="auto"/>
        </w:rPr>
        <w:t>. Indemnitee shall be entitled to the rights of indemnification provided in this Section 2(b) if, by reason of Indemnitee’s Company Status, Indemnitee is, or is threatened to be made, a party to or participant in any Proceeding brought by or in the right of the Company. Pursuant to this Section 2(b), Indemnitee shall be indemnified by the Company, to the fullest extent permitted by applicable law, against all Expenses and Liabilities incurred or paid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423F3F"/>
        </w:rPr>
        <w:t>3</w:t>
      </w:r>
    </w:p>
    <w:p>
      <w:pPr>
        <w:sectPr>
          <w:pgSz w:w="11900" w:h="16838" w:orient="portrait"/>
          <w:cols w:equalWidth="0" w:num="1">
            <w:col w:w="11224"/>
          </w:cols>
          <w:pgMar w:left="316" w:top="1271" w:right="359" w:bottom="1440" w:gutter="0" w:footer="0" w:header="0"/>
        </w:sectPr>
      </w:pPr>
    </w:p>
    <w:bookmarkStart w:id="455" w:name="page456"/>
    <w:bookmarkEnd w:id="455"/>
    <w:p>
      <w:pPr>
        <w:spacing w:after="0" w:line="271" w:lineRule="auto"/>
        <w:rPr>
          <w:sz w:val="20"/>
          <w:szCs w:val="20"/>
          <w:color w:val="auto"/>
        </w:rPr>
      </w:pPr>
      <w:r>
        <w:rPr>
          <w:rFonts w:ascii="Arial" w:cs="Arial" w:eastAsia="Arial" w:hAnsi="Arial"/>
          <w:sz w:val="16"/>
          <w:szCs w:val="16"/>
          <w:color w:val="auto"/>
        </w:rPr>
        <w:t>Indemnitee in connection with such Proceeding if Indemnitee acted in good faith and in a manner he or she reasonably believed to be in or not opposed to the best interests of the Company and, with respect to any criminal action or proceeding, had no reasonable cause to believe that his or her conduct was unlawful. Notwithstanding the foregoing, no indemnification for Liabilities and Expenses shall be made under this Section 2(b) in respect of any claim, issue or matter in a Proceeding as to which Indemnitee shall have been adjudged by a court of competent jurisdiction to be liable to the Company, unless and only to the extent that the Delaware Court of Chancery or the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 Notwithstanding the foregoing, to the extent that a change in applicable law permits the Company to provide greater indemnification than would be afforded currently under the Organizational Documents and this Section 2(b), Indemnitee shall enjoy by this Section 2(b) the greater benefits so afforded by such change.</w:t>
      </w:r>
    </w:p>
    <w:p>
      <w:pPr>
        <w:spacing w:after="0" w:line="102" w:lineRule="exact"/>
        <w:rPr>
          <w:sz w:val="20"/>
          <w:szCs w:val="20"/>
          <w:color w:val="auto"/>
        </w:rPr>
      </w:pPr>
    </w:p>
    <w:p>
      <w:pPr>
        <w:ind w:right="180" w:firstLine="1143"/>
        <w:spacing w:after="0" w:line="292" w:lineRule="auto"/>
        <w:tabs>
          <w:tab w:leader="none" w:pos="1517" w:val="left"/>
        </w:tabs>
        <w:numPr>
          <w:ilvl w:val="1"/>
          <w:numId w:val="232"/>
        </w:numPr>
        <w:rPr>
          <w:rFonts w:ascii="Arial" w:cs="Arial" w:eastAsia="Arial" w:hAnsi="Arial"/>
          <w:sz w:val="15"/>
          <w:szCs w:val="15"/>
          <w:color w:val="auto"/>
        </w:rPr>
      </w:pPr>
      <w:r>
        <w:rPr>
          <w:rFonts w:ascii="Arial" w:cs="Arial" w:eastAsia="Arial" w:hAnsi="Arial"/>
          <w:sz w:val="15"/>
          <w:szCs w:val="15"/>
          <w:u w:val="single" w:color="auto"/>
          <w:color w:val="auto"/>
        </w:rPr>
        <w:t>Indemnification for Expenses and Liabilities of a Party Who is Wholly or Partly Successful</w:t>
      </w:r>
      <w:r>
        <w:rPr>
          <w:rFonts w:ascii="Arial" w:cs="Arial" w:eastAsia="Arial" w:hAnsi="Arial"/>
          <w:sz w:val="15"/>
          <w:szCs w:val="15"/>
          <w:color w:val="auto"/>
        </w:rPr>
        <w:t>. Notwithstanding any other provision of this Agreement to the contrary, including in circumstances where indemnification is not available under Section 2(a) or 2(b) hereof, as the case may be, and to the extent that Indemnitee is, by reason of Indemnitee’s Company Status, a party to and is successful, on the merits or otherwise, in any Proceeding, Indemnitee shall be indemnified to the fullest extent permitted by applicable law against all Expenses and Liabilities incurred or paid by Indemnitee in connection therewith. If Indemnitee is not wholly successful in such Proceeding but is successful, on the merits or otherwise, as to one or more but less than all claims, issues or matters in such Proceeding, the Company shall indemnify Indemnitee against all Expenses and Liabilities incurred or paid by Indemnitee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89" w:lineRule="exact"/>
        <w:rPr>
          <w:rFonts w:ascii="Arial" w:cs="Arial" w:eastAsia="Arial" w:hAnsi="Arial"/>
          <w:sz w:val="15"/>
          <w:szCs w:val="15"/>
          <w:color w:val="auto"/>
        </w:rPr>
      </w:pPr>
    </w:p>
    <w:p>
      <w:pPr>
        <w:ind w:left="1160" w:hanging="304"/>
        <w:spacing w:after="0"/>
        <w:tabs>
          <w:tab w:leader="none" w:pos="116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Contribution in the Event of Joint Liability</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right="120" w:firstLine="1143"/>
        <w:spacing w:after="0" w:line="239" w:lineRule="auto"/>
        <w:tabs>
          <w:tab w:leader="none" w:pos="1514" w:val="left"/>
        </w:tabs>
        <w:numPr>
          <w:ilvl w:val="1"/>
          <w:numId w:val="233"/>
        </w:numPr>
        <w:rPr>
          <w:rFonts w:ascii="Arial" w:cs="Arial" w:eastAsia="Arial" w:hAnsi="Arial"/>
          <w:sz w:val="18"/>
          <w:szCs w:val="18"/>
          <w:color w:val="auto"/>
        </w:rPr>
      </w:pPr>
      <w:r>
        <w:rPr>
          <w:rFonts w:ascii="Arial" w:cs="Arial" w:eastAsia="Arial" w:hAnsi="Arial"/>
          <w:sz w:val="18"/>
          <w:szCs w:val="18"/>
          <w:color w:val="auto"/>
        </w:rPr>
        <w:t>Whether or not the indemnification provided in Sections 2 or 4 hereof is available to Indemnitee, in respect of any threatened, pending or completed Proceeding in which the Company is jointly liable with Indemnitee (or would be if joined in such Proceeding), the Company shall pay, in the first instance, the entire amount of any judgment or settlement of such Proceeding without requiring Indemnitee to contribute to such payment. The right of the Company to enter into any settlement of any Proceeding in which the Company is jointly liable with Indemnitee (or would be if joined in such Proceeding) is subject to the requirements of Section 6(k) hereof.</w:t>
      </w:r>
    </w:p>
    <w:p>
      <w:pPr>
        <w:spacing w:after="0" w:line="128" w:lineRule="exact"/>
        <w:rPr>
          <w:rFonts w:ascii="Arial" w:cs="Arial" w:eastAsia="Arial" w:hAnsi="Arial"/>
          <w:sz w:val="18"/>
          <w:szCs w:val="18"/>
          <w:color w:val="auto"/>
        </w:rPr>
      </w:pPr>
    </w:p>
    <w:p>
      <w:pPr>
        <w:ind w:right="80" w:firstLine="1143"/>
        <w:spacing w:after="0" w:line="271" w:lineRule="auto"/>
        <w:tabs>
          <w:tab w:leader="none" w:pos="1523" w:val="left"/>
        </w:tabs>
        <w:numPr>
          <w:ilvl w:val="1"/>
          <w:numId w:val="233"/>
        </w:numPr>
        <w:rPr>
          <w:rFonts w:ascii="Arial" w:cs="Arial" w:eastAsia="Arial" w:hAnsi="Arial"/>
          <w:sz w:val="16"/>
          <w:szCs w:val="16"/>
          <w:color w:val="auto"/>
        </w:rPr>
      </w:pPr>
      <w:r>
        <w:rPr>
          <w:rFonts w:ascii="Arial" w:cs="Arial" w:eastAsia="Arial" w:hAnsi="Arial"/>
          <w:sz w:val="16"/>
          <w:szCs w:val="16"/>
          <w:color w:val="auto"/>
        </w:rPr>
        <w:t xml:space="preserve">Without diminishing or impairing the obligations of the Company set forth in the preceding subparagraph, if, for any reason, Indemnitee shall elect or be required to pay all or any portion of any judgment or settlement in, or otherwise incurs any Expenses or Liabilities in connection with, any threatened, pending or completed Proceeding in which the Company is jointly liable with Indemnitee (or would be if joined in such Proceeding), the Company shall contribute to the amount of Expenses and Liabilities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from which such Proceeding arose;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423F3F"/>
        </w:rPr>
        <w:t>4</w:t>
      </w:r>
    </w:p>
    <w:p>
      <w:pPr>
        <w:sectPr>
          <w:pgSz w:w="11900" w:h="16838" w:orient="portrait"/>
          <w:cols w:equalWidth="0" w:num="1">
            <w:col w:w="11240"/>
          </w:cols>
          <w:pgMar w:left="320" w:top="1271" w:right="339" w:bottom="1440" w:gutter="0" w:footer="0" w:header="0"/>
        </w:sectPr>
      </w:pPr>
    </w:p>
    <w:bookmarkStart w:id="456" w:name="page457"/>
    <w:bookmarkEnd w:id="456"/>
    <w:p>
      <w:pPr>
        <w:spacing w:after="0" w:line="239" w:lineRule="auto"/>
        <w:rPr>
          <w:sz w:val="20"/>
          <w:szCs w:val="20"/>
          <w:color w:val="auto"/>
        </w:rPr>
      </w:pPr>
      <w:r>
        <w:rPr>
          <w:rFonts w:ascii="Arial" w:cs="Arial" w:eastAsia="Arial" w:hAnsi="Arial"/>
          <w:sz w:val="18"/>
          <w:szCs w:val="18"/>
          <w:color w:val="auto"/>
        </w:rPr>
        <w:t>with the events that resulted in such Expenses or Liabilities, as well as any other equitable considerations which the law may require to be considered. The relative fault of the Company and all officers, directors or employees of the Company other than 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29" w:lineRule="exact"/>
        <w:rPr>
          <w:sz w:val="20"/>
          <w:szCs w:val="20"/>
          <w:color w:val="auto"/>
        </w:rPr>
      </w:pPr>
    </w:p>
    <w:p>
      <w:pPr>
        <w:ind w:right="480" w:firstLine="1143"/>
        <w:spacing w:after="0" w:line="244" w:lineRule="auto"/>
        <w:tabs>
          <w:tab w:leader="none" w:pos="1514"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Company hereby agrees to indemnify and hold Indemnitee harmless, to the fullest extent permitted by applicable law, from any claims of contribution which may be brought by officers, directors or employees of the Company other than Indemnitee who may be jointly liable with Indemnitee.</w:t>
      </w:r>
    </w:p>
    <w:p>
      <w:pPr>
        <w:spacing w:after="0" w:line="121" w:lineRule="exact"/>
        <w:rPr>
          <w:rFonts w:ascii="Arial" w:cs="Arial" w:eastAsia="Arial" w:hAnsi="Arial"/>
          <w:sz w:val="18"/>
          <w:szCs w:val="18"/>
          <w:color w:val="auto"/>
        </w:rPr>
      </w:pPr>
    </w:p>
    <w:p>
      <w:pPr>
        <w:jc w:val="both"/>
        <w:ind w:firstLine="856"/>
        <w:spacing w:after="0" w:line="241" w:lineRule="auto"/>
        <w:tabs>
          <w:tab w:leader="none" w:pos="1167"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of a Witness or in Response to a Subpoena</w:t>
      </w:r>
      <w:r>
        <w:rPr>
          <w:rFonts w:ascii="Arial" w:cs="Arial" w:eastAsia="Arial" w:hAnsi="Arial"/>
          <w:sz w:val="18"/>
          <w:szCs w:val="18"/>
          <w:color w:val="auto"/>
        </w:rPr>
        <w:t>. Notwithstanding any other provision of this Agreement, to the extent that Indemnitee is, by reason of Indemnitee’s Company Status, a witness in any Proceeding to which Indemnitee is not a party, or receives a subpoena or similar order in any Proceeding to which Indemnitee is not a party, Indemnitee shall be indemnified against all Expenses or Liabilities paid or incurred by Indemnitee in connection therewith and in the manner set forth in this Agreement.</w:t>
      </w:r>
    </w:p>
    <w:p>
      <w:pPr>
        <w:spacing w:after="0" w:line="124" w:lineRule="exact"/>
        <w:rPr>
          <w:rFonts w:ascii="Arial" w:cs="Arial" w:eastAsia="Arial" w:hAnsi="Arial"/>
          <w:sz w:val="18"/>
          <w:szCs w:val="18"/>
          <w:color w:val="auto"/>
        </w:rPr>
      </w:pPr>
    </w:p>
    <w:p>
      <w:pPr>
        <w:ind w:firstLine="856"/>
        <w:spacing w:after="0" w:line="270" w:lineRule="auto"/>
        <w:tabs>
          <w:tab w:leader="none" w:pos="1167"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Advancement of Expenses</w:t>
      </w:r>
      <w:r>
        <w:rPr>
          <w:rFonts w:ascii="Arial" w:cs="Arial" w:eastAsia="Arial" w:hAnsi="Arial"/>
          <w:sz w:val="16"/>
          <w:szCs w:val="16"/>
          <w:color w:val="auto"/>
        </w:rPr>
        <w:t>. Notwithstanding any other provision of this Agreement, the Company shall advance all Expenses incurred by or on behalf of Indemnitee in connection with any Proceeding by reason of Indemnitee’s Company Status within thirty (30) days after the receipt by the Company of a statement or statements from Indemnitee requesting such advance or advances from time to time, whether prior to or after final disposition of such Proceeding, without regard to Indemnitee’s ultimate entitlement to indemnification, and such advancement of Expenses shall continue until such time (if any) as there is a final non-appealable judicial determination by a court of competent jurisdiction that Indemnitee is not entitled to indemnification against such Expenses. Such statement or statements shall reasonably evidence the Expenses incurred by Indemnitee and shall include or be preceded or accompanied by a written undertaking by or on behalf of Indemnitee to repay such Expenses, or the applicable portion thereof, if it shall ultimately be determined by a court of competent jurisdiction pursuant to a final non-appealable judicial determination that Indemnitee is not entitled to be indemnified against such Expenses. Any advances and undertakings to repay pursuant to this Section 5 shall be unsecured and interest free and made without regard to Indemnitee’s financial ability to repay such Expenses.</w:t>
      </w:r>
    </w:p>
    <w:p>
      <w:pPr>
        <w:spacing w:after="0" w:line="105" w:lineRule="exact"/>
        <w:rPr>
          <w:rFonts w:ascii="Arial" w:cs="Arial" w:eastAsia="Arial" w:hAnsi="Arial"/>
          <w:sz w:val="16"/>
          <w:szCs w:val="16"/>
          <w:color w:val="auto"/>
        </w:rPr>
      </w:pPr>
    </w:p>
    <w:p>
      <w:pPr>
        <w:ind w:right="200" w:firstLine="856"/>
        <w:spacing w:after="0" w:line="277" w:lineRule="auto"/>
        <w:tabs>
          <w:tab w:leader="none" w:pos="1167"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Procedures and Presumptions for Determination of Entitlement to Indemnification</w:t>
      </w:r>
      <w:r>
        <w:rPr>
          <w:rFonts w:ascii="Arial" w:cs="Arial" w:eastAsia="Arial" w:hAnsi="Arial"/>
          <w:sz w:val="16"/>
          <w:szCs w:val="16"/>
          <w:color w:val="auto"/>
        </w:rPr>
        <w:t>. It is the intent of this Agreement to secure for Indemnitee rights of indemnity that are at least as favorable as may be permitted under the Organizational Documents, applicable law and public policy of the State of Delaware, in each case as may hereafter be changed, to the extent such change permits the Company to provide greater indemnification than is afforded currently under this Agreement. Accordingly, the parties agree that the following procedures and presumptions shall apply in the event of any question as to whether Indemnitee is entitled to indemnification under this Agreement:</w:t>
      </w:r>
    </w:p>
    <w:p>
      <w:pPr>
        <w:spacing w:after="0" w:line="97" w:lineRule="exact"/>
        <w:rPr>
          <w:rFonts w:ascii="Arial" w:cs="Arial" w:eastAsia="Arial" w:hAnsi="Arial"/>
          <w:sz w:val="16"/>
          <w:szCs w:val="16"/>
          <w:color w:val="auto"/>
        </w:rPr>
      </w:pPr>
    </w:p>
    <w:p>
      <w:pPr>
        <w:jc w:val="both"/>
        <w:ind w:right="140" w:firstLine="1143"/>
        <w:spacing w:after="0" w:line="244" w:lineRule="auto"/>
        <w:tabs>
          <w:tab w:leader="none" w:pos="151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To obtain indemnification (including, but not limited to, contribution by the Company) under this Agreement, Indemnitee shall submit to the Company a written request, including therein or therewith such documentation and information as is reasonably requested by the Company and reasonably available to Indemnitee.</w:t>
      </w:r>
    </w:p>
    <w:p>
      <w:pPr>
        <w:spacing w:after="0" w:line="121" w:lineRule="exact"/>
        <w:rPr>
          <w:rFonts w:ascii="Arial" w:cs="Arial" w:eastAsia="Arial" w:hAnsi="Arial"/>
          <w:sz w:val="18"/>
          <w:szCs w:val="18"/>
          <w:color w:val="auto"/>
        </w:rPr>
      </w:pPr>
    </w:p>
    <w:p>
      <w:pPr>
        <w:ind w:right="380" w:firstLine="1143"/>
        <w:spacing w:after="0" w:line="253" w:lineRule="auto"/>
        <w:tabs>
          <w:tab w:leader="none" w:pos="152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Upon written request by Indemnitee for indemnification pursuant to Section 6(a) hereof, a determination with respect to Indemnitee’s entitlement thereto, if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423F3F"/>
        </w:rPr>
        <w:t>5</w:t>
      </w:r>
    </w:p>
    <w:p>
      <w:pPr>
        <w:sectPr>
          <w:pgSz w:w="11900" w:h="16838" w:orient="portrait"/>
          <w:cols w:equalWidth="0" w:num="1">
            <w:col w:w="11240"/>
          </w:cols>
          <w:pgMar w:left="320" w:top="1271" w:right="339" w:bottom="1440" w:gutter="0" w:footer="0" w:header="0"/>
        </w:sectPr>
      </w:pPr>
    </w:p>
    <w:bookmarkStart w:id="457" w:name="page458"/>
    <w:bookmarkEnd w:id="457"/>
    <w:p>
      <w:pPr>
        <w:ind w:left="4"/>
        <w:spacing w:after="0" w:line="273" w:lineRule="auto"/>
        <w:rPr>
          <w:sz w:val="20"/>
          <w:szCs w:val="20"/>
          <w:color w:val="auto"/>
        </w:rPr>
      </w:pPr>
      <w:r>
        <w:rPr>
          <w:rFonts w:ascii="Arial" w:cs="Arial" w:eastAsia="Arial" w:hAnsi="Arial"/>
          <w:sz w:val="16"/>
          <w:szCs w:val="16"/>
          <w:color w:val="auto"/>
        </w:rPr>
        <w:t>shall be made in the specific case by one of the following methods: (i) if a Change in Control shall not have occurred, (A) by a majority vote of the Disinterested Directors (or by a committee of Disinterested Directors designated by a majority vote of the Disinterested Directors), even though less than a quorum or (B) if there are no Disinterested Directors or if the Disinterested Directors so direct, by Independent Counsel in a written opinion to the Disinterested Directors, a copy of which shall be delivered to Indemnitee, or (ii) if a Change in Control shall have occurred, (A) by Independent Counsel in a written opinion to the Disinterested Directors, a copy of which shall be delivered to Indemnitee, or (B) if Indemnitee so directs and the Disinterested Directors so accept, by a majority vote of Disinterested Directors (or by a committee of Disinterested Directors designated by a majority vote of the Disinterested Directors), even though less than a quorum (the party making such determination, the “</w:t>
      </w:r>
      <w:r>
        <w:rPr>
          <w:rFonts w:ascii="Arial" w:cs="Arial" w:eastAsia="Arial" w:hAnsi="Arial"/>
          <w:sz w:val="16"/>
          <w:szCs w:val="16"/>
          <w:u w:val="single" w:color="auto"/>
          <w:color w:val="auto"/>
        </w:rPr>
        <w:t>Determining Party</w:t>
      </w:r>
      <w:r>
        <w:rPr>
          <w:rFonts w:ascii="Arial" w:cs="Arial" w:eastAsia="Arial" w:hAnsi="Arial"/>
          <w:sz w:val="16"/>
          <w:szCs w:val="16"/>
          <w:color w:val="auto"/>
        </w:rPr>
        <w:t>”).</w:t>
      </w:r>
    </w:p>
    <w:p>
      <w:pPr>
        <w:spacing w:after="0" w:line="100" w:lineRule="exact"/>
        <w:rPr>
          <w:sz w:val="20"/>
          <w:szCs w:val="20"/>
          <w:color w:val="auto"/>
        </w:rPr>
      </w:pPr>
    </w:p>
    <w:p>
      <w:pPr>
        <w:ind w:left="4" w:firstLine="1143"/>
        <w:spacing w:after="0" w:line="284" w:lineRule="auto"/>
        <w:tabs>
          <w:tab w:leader="none" w:pos="1521" w:val="left"/>
        </w:tabs>
        <w:numPr>
          <w:ilvl w:val="1"/>
          <w:numId w:val="236"/>
        </w:numPr>
        <w:rPr>
          <w:rFonts w:ascii="Arial" w:cs="Arial" w:eastAsia="Arial" w:hAnsi="Arial"/>
          <w:sz w:val="15"/>
          <w:szCs w:val="15"/>
          <w:color w:val="auto"/>
        </w:rPr>
      </w:pPr>
      <w:r>
        <w:rPr>
          <w:rFonts w:ascii="Arial" w:cs="Arial" w:eastAsia="Arial" w:hAnsi="Arial"/>
          <w:sz w:val="15"/>
          <w:szCs w:val="15"/>
          <w:color w:val="auto"/>
        </w:rPr>
        <w:t xml:space="preserve">If the determination of entitlement to indemnification is to be made by Independent Counsel pursuant to Section 6(b) hereof, Independent Counsel shall be selected as provided in this Section 6(c) and the selecting party shall promptly provide written notice of such selection to the other party hereto. If a Change in Control shall not have occurred, Independent Counsel shall be selected by the Disinterested Directors. If a Change in Control shall have occurred, Independent Counsel shall be selected by Indemnitee. In either event, within ten (10) days after receipt of written notice from the applicable selecting party of the selection of Independent Counsel, the other party may deliver to the selecting party a written objection to such selection;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objection may be asserted only on the ground that Independent Counsel so selected does not meet the requirements of “Independent Counsel” as defined in Section 1(f) hereof, and the objection shall set forth with particularity the factual basis of such assertion. Absent a proper and timely objection, the person so selected shall act as Independent Counsel. If a written objection is made, (i) Independent Counsel selected may not serve as Independent Counsel unless and until such objection is withdrawn or a court of competent jurisdiction has determined that such objection is without merit and (ii) the selecting party may select a new Independent Counsel and the other party shall have an additional ten (10) days after receipt of written notice of such selection to object. If, within twenty</w:t>
      </w:r>
    </w:p>
    <w:p>
      <w:pPr>
        <w:spacing w:after="0" w:line="4" w:lineRule="exact"/>
        <w:rPr>
          <w:rFonts w:ascii="Arial" w:cs="Arial" w:eastAsia="Arial" w:hAnsi="Arial"/>
          <w:sz w:val="15"/>
          <w:szCs w:val="15"/>
          <w:color w:val="auto"/>
        </w:rPr>
      </w:pPr>
    </w:p>
    <w:p>
      <w:pPr>
        <w:ind w:left="4" w:hanging="4"/>
        <w:spacing w:after="0" w:line="269" w:lineRule="auto"/>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days after submission by Indemnitee of a written request for indemnification pursuant to Section 6(a) hereof, no Independent Counsel shall have been selected and not objected to, either the Company or Indemnitee may petition the Delaware Court of Chancery for resolution of any objection which shall have been made to the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6(b) hereof. The Company agrees to pay the reasonable fees and expenses of Independent Counsel incurred by such Independent Counsel in connection with its acting pursuant to Section 6(b) hereof, and the Company shall pay all reasonable fees and expenses incident to the procedures of this Section 6(c), regardless of the manner in which such Independent Counsel was selected or appointed and regardless of whether Indemnitee is ultimately determined to be entitled to indemnification hereunder.</w:t>
      </w:r>
    </w:p>
    <w:p>
      <w:pPr>
        <w:spacing w:after="0" w:line="104" w:lineRule="exact"/>
        <w:rPr>
          <w:rFonts w:ascii="Arial" w:cs="Arial" w:eastAsia="Arial" w:hAnsi="Arial"/>
          <w:sz w:val="16"/>
          <w:szCs w:val="16"/>
          <w:color w:val="auto"/>
        </w:rPr>
      </w:pPr>
    </w:p>
    <w:p>
      <w:pPr>
        <w:ind w:left="4" w:right="100" w:firstLine="1143"/>
        <w:spacing w:after="0" w:line="289" w:lineRule="auto"/>
        <w:tabs>
          <w:tab w:leader="none" w:pos="1531" w:val="left"/>
        </w:tabs>
        <w:numPr>
          <w:ilvl w:val="1"/>
          <w:numId w:val="237"/>
        </w:numPr>
        <w:rPr>
          <w:rFonts w:ascii="Arial" w:cs="Arial" w:eastAsia="Arial" w:hAnsi="Arial"/>
          <w:sz w:val="16"/>
          <w:szCs w:val="16"/>
          <w:color w:val="auto"/>
        </w:rPr>
      </w:pPr>
      <w:r>
        <w:rPr>
          <w:rFonts w:ascii="Arial" w:cs="Arial" w:eastAsia="Arial" w:hAnsi="Arial"/>
          <w:sz w:val="16"/>
          <w:szCs w:val="16"/>
          <w:color w:val="auto"/>
        </w:rPr>
        <w:t>In making a determination with respect to entitlement to indemnification hereunder, the Determining Party shall presume that Indemnitee is entitled to indemnification under this Agreement if Indemnitee has submitted a request for indemnification in accordance with Section 6(a) hereof. Anyone seeking to overcome this presumption shall have the burden of proof and the burden of persuasion, by clear and convincing evidence.</w:t>
      </w:r>
    </w:p>
    <w:p>
      <w:pPr>
        <w:spacing w:after="0" w:line="88" w:lineRule="exact"/>
        <w:rPr>
          <w:rFonts w:ascii="Arial" w:cs="Arial" w:eastAsia="Arial" w:hAnsi="Arial"/>
          <w:sz w:val="16"/>
          <w:szCs w:val="16"/>
          <w:color w:val="auto"/>
        </w:rPr>
      </w:pPr>
    </w:p>
    <w:p>
      <w:pPr>
        <w:ind w:left="4" w:firstLine="1143"/>
        <w:spacing w:after="0" w:line="244" w:lineRule="auto"/>
        <w:tabs>
          <w:tab w:leader="none" w:pos="1521"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Indemnitee shall be deemed to have acted in good faith and in a manner Indemnitee reasonably believed to be in or not opposed to the best interests of the Company, or with respect to any criminal action or proceeding, to not have had a reasonable cause to believe such Indemnitee’s conduct was unlawful for purposes of indemnification under this Agreement if Indemnitee’s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423F3F"/>
        </w:rPr>
        <w:t>6</w:t>
      </w:r>
    </w:p>
    <w:p>
      <w:pPr>
        <w:sectPr>
          <w:pgSz w:w="11900" w:h="16838" w:orient="portrait"/>
          <w:cols w:equalWidth="0" w:num="1">
            <w:col w:w="11244"/>
          </w:cols>
          <w:pgMar w:left="316" w:top="1271" w:right="339" w:bottom="1440" w:gutter="0" w:footer="0" w:header="0"/>
        </w:sectPr>
      </w:pPr>
    </w:p>
    <w:bookmarkStart w:id="458" w:name="page459"/>
    <w:bookmarkEnd w:id="458"/>
    <w:p>
      <w:pPr>
        <w:ind w:right="20"/>
        <w:spacing w:after="0" w:line="272" w:lineRule="auto"/>
        <w:rPr>
          <w:sz w:val="20"/>
          <w:szCs w:val="20"/>
          <w:color w:val="auto"/>
        </w:rPr>
      </w:pPr>
      <w:r>
        <w:rPr>
          <w:rFonts w:ascii="Arial" w:cs="Arial" w:eastAsia="Arial" w:hAnsi="Arial"/>
          <w:sz w:val="16"/>
          <w:szCs w:val="16"/>
          <w:color w:val="auto"/>
        </w:rPr>
        <w:t>actions are based on the records or books of account of the Company, including financial statements, or on information supplied to Indemnitee by the directors, officers, agents or employees of the Company in the course of their duties, or on the advice of legal counsel for the Company or on information or records given or reports made to the Company by an independent certified public accountant or by an appraiser or other expert selected by the Company. In addition, the knowledge or actions, or failure to act, of any director, officer, agent or employee of the Company shall not be imputed to Indemnitee for purposes of determining the right to indemnification under this Agreement. Whether or not the foregoing provisions of this Section 6(e) are satisfied, it shall in any event be presumed that Indemnitee has at all times acted in good faith and in a manner Indemnitee reasonably believed to be in or not opposed to the best interests of the Company, or with respect to any criminal action or proceeding, Indemnitee did not have a reasonable cause to believe such Indemnitee’s conduct was unlawful. Anyone seeking to overcome this presumption shall have the burden of proof and the burden of persuasion, by clear and convincing evidence.</w:t>
      </w:r>
    </w:p>
    <w:p>
      <w:pPr>
        <w:spacing w:after="0" w:line="100" w:lineRule="exact"/>
        <w:rPr>
          <w:sz w:val="20"/>
          <w:szCs w:val="20"/>
          <w:color w:val="auto"/>
        </w:rPr>
      </w:pPr>
    </w:p>
    <w:p>
      <w:pPr>
        <w:ind w:firstLine="1143"/>
        <w:spacing w:after="0" w:line="274" w:lineRule="auto"/>
        <w:tabs>
          <w:tab w:leader="none" w:pos="149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If the Determining Party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sixty (60)-day period may be extended for a reasonable time, not to exceed an additional thirty (30) days, if the Determining Party in good faith requires such additional time for the obtaining or evaluating documentation and/or information relating thereto.</w:t>
      </w:r>
    </w:p>
    <w:p>
      <w:pPr>
        <w:spacing w:after="0" w:line="101" w:lineRule="exact"/>
        <w:rPr>
          <w:rFonts w:ascii="Arial" w:cs="Arial" w:eastAsia="Arial" w:hAnsi="Arial"/>
          <w:sz w:val="16"/>
          <w:szCs w:val="16"/>
          <w:color w:val="auto"/>
        </w:rPr>
      </w:pPr>
    </w:p>
    <w:p>
      <w:pPr>
        <w:ind w:right="140" w:firstLine="1143"/>
        <w:spacing w:after="0" w:line="274" w:lineRule="auto"/>
        <w:tabs>
          <w:tab w:leader="none" w:pos="152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Indemnitee shall cooperate with the Determining Party, including providing to the Determining Party upon reasonable advance request any documentation or information which is not privileged or otherwise protected from disclosure and which is reasonably available to Indemnitee and reasonably necessary to such determination. Any Independent Counsel or member of the Board of Directors shall act reasonably and in good faith in making a determination of the Indemnitee’s entitlement to indemnification under this Agreement. Any costs or expenses (including attorneys’ fees and disbursements) incurred by Indemnitee in so cooperating with the Determining Party shall be borne by the Company (irrespective of the determination as to Indemnitee’s entitlement to indemnification) and the Company hereby indemnifies and agrees to hold Indemnitee harmless therefrom.</w:t>
      </w:r>
    </w:p>
    <w:p>
      <w:pPr>
        <w:spacing w:after="0" w:line="101" w:lineRule="exact"/>
        <w:rPr>
          <w:rFonts w:ascii="Arial" w:cs="Arial" w:eastAsia="Arial" w:hAnsi="Arial"/>
          <w:sz w:val="16"/>
          <w:szCs w:val="16"/>
          <w:color w:val="auto"/>
        </w:rPr>
      </w:pPr>
    </w:p>
    <w:p>
      <w:pPr>
        <w:ind w:right="620" w:firstLine="1143"/>
        <w:spacing w:after="0" w:line="253" w:lineRule="auto"/>
        <w:tabs>
          <w:tab w:leader="none" w:pos="157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addition, Indemnitee shall reasonably cooperate with the Company in connection with the Proceeding, including providing the Company with such information as may be reasonably appropriate.</w:t>
      </w:r>
    </w:p>
    <w:p>
      <w:pPr>
        <w:spacing w:after="0" w:line="113" w:lineRule="exact"/>
        <w:rPr>
          <w:rFonts w:ascii="Arial" w:cs="Arial" w:eastAsia="Arial" w:hAnsi="Arial"/>
          <w:sz w:val="18"/>
          <w:szCs w:val="18"/>
          <w:color w:val="auto"/>
        </w:rPr>
      </w:pPr>
    </w:p>
    <w:p>
      <w:pPr>
        <w:ind w:firstLine="1143"/>
        <w:spacing w:after="0" w:line="277" w:lineRule="auto"/>
        <w:tabs>
          <w:tab w:leader="none" w:pos="148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Company acknowledges that a settlement or other disposition short of final judgment shall be successful for purposes of Section 2(c) hereof if it permits a party to avoid expense, delay, distraction, disruption and uncertainty. In the event that a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97" w:lineRule="exact"/>
        <w:rPr>
          <w:rFonts w:ascii="Arial" w:cs="Arial" w:eastAsia="Arial" w:hAnsi="Arial"/>
          <w:sz w:val="16"/>
          <w:szCs w:val="16"/>
          <w:color w:val="auto"/>
        </w:rPr>
      </w:pPr>
    </w:p>
    <w:p>
      <w:pPr>
        <w:ind w:right="80" w:firstLine="1143"/>
        <w:spacing w:after="0" w:line="244" w:lineRule="auto"/>
        <w:tabs>
          <w:tab w:leader="none" w:pos="148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w:t>
      </w:r>
      <w:r>
        <w:rPr>
          <w:rFonts w:ascii="Arial" w:cs="Arial" w:eastAsia="Arial" w:hAnsi="Arial"/>
          <w:sz w:val="18"/>
          <w:szCs w:val="18"/>
          <w:i w:val="1"/>
          <w:iCs w:val="1"/>
          <w:color w:val="auto"/>
        </w:rPr>
        <w:t xml:space="preserve">nolo contendere </w:t>
      </w:r>
      <w:r>
        <w:rPr>
          <w:rFonts w:ascii="Arial" w:cs="Arial" w:eastAsia="Arial" w:hAnsi="Arial"/>
          <w:sz w:val="18"/>
          <w:szCs w:val="18"/>
          <w:color w:val="auto"/>
        </w:rPr>
        <w:t>or its equivalent, shall not (except as otherwise expressly provided in this Agreement) of itself adversely affect the right of Indemnitee to</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indemnification or create a presumption that Indemnitee did not act in good faith and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423F3F"/>
        </w:rPr>
        <w:t>7</w:t>
      </w:r>
    </w:p>
    <w:p>
      <w:pPr>
        <w:sectPr>
          <w:pgSz w:w="11900" w:h="16838" w:orient="portrait"/>
          <w:cols w:equalWidth="0" w:num="1">
            <w:col w:w="11240"/>
          </w:cols>
          <w:pgMar w:left="320" w:top="1272" w:right="339" w:bottom="1440" w:gutter="0" w:footer="0" w:header="0"/>
        </w:sectPr>
      </w:pPr>
    </w:p>
    <w:bookmarkStart w:id="459" w:name="page460"/>
    <w:bookmarkEnd w:id="459"/>
    <w:p>
      <w:pPr>
        <w:ind w:right="140"/>
        <w:spacing w:after="0" w:line="253" w:lineRule="auto"/>
        <w:rPr>
          <w:sz w:val="20"/>
          <w:szCs w:val="20"/>
          <w:color w:val="auto"/>
        </w:rPr>
      </w:pPr>
      <w:r>
        <w:rPr>
          <w:rFonts w:ascii="Arial" w:cs="Arial" w:eastAsia="Arial" w:hAnsi="Arial"/>
          <w:sz w:val="18"/>
          <w:szCs w:val="18"/>
          <w:color w:val="auto"/>
        </w:rPr>
        <w:t>manner which he reasonably believed to be in or not opposed to the best interests of the Company or, with respect to any criminal Proceeding, that Indemnitee had reasonable cause to believe that Indemnitee’s conduct was unlawful.</w:t>
      </w:r>
    </w:p>
    <w:p>
      <w:pPr>
        <w:spacing w:after="0" w:line="113" w:lineRule="exact"/>
        <w:rPr>
          <w:sz w:val="20"/>
          <w:szCs w:val="20"/>
          <w:color w:val="auto"/>
        </w:rPr>
      </w:pPr>
    </w:p>
    <w:p>
      <w:pPr>
        <w:ind w:right="60" w:firstLine="1143"/>
        <w:spacing w:after="0" w:line="271" w:lineRule="auto"/>
        <w:tabs>
          <w:tab w:leader="none" w:pos="1527" w:val="left"/>
        </w:tabs>
        <w:numPr>
          <w:ilvl w:val="1"/>
          <w:numId w:val="239"/>
        </w:numPr>
        <w:rPr>
          <w:rFonts w:ascii="Arial" w:cs="Arial" w:eastAsia="Arial" w:hAnsi="Arial"/>
          <w:sz w:val="16"/>
          <w:szCs w:val="16"/>
          <w:color w:val="auto"/>
        </w:rPr>
      </w:pPr>
      <w:r>
        <w:rPr>
          <w:rFonts w:ascii="Arial" w:cs="Arial" w:eastAsia="Arial" w:hAnsi="Arial"/>
          <w:sz w:val="16"/>
          <w:szCs w:val="16"/>
          <w:color w:val="auto"/>
        </w:rPr>
        <w:t>Indemnitee shall have the sole right and obligation to control the defense or conduct of any claim or Proceeding with respect to Indemnitee, except that Indemnitee shall not make any admission or effect any settlement with respect to any such Proceeding without the Company’s prior written consent (not to be unreasonably withheld, conditioned or delayed). The Company shall not, without the prior written consent of Indemnitee (not to be unreasonably withheld, conditioned or delayed), enter into any settlement of any Proceeding in which the Indemnitee is or could reasonably become a party or which potentially or actually imposes any Expenses, Liabilities, exposure or burden on Indemnitee unless (i) such settlement solely involves the payment of money or performance of any obligation by persons other than Indemnitee and includes an unconditional, full release of Indemnitee by all relevant parties from all liability on any matters that are the subject of such Proceeding and an acknowledgment that Indemnitee denies all wrongdoing in connection with such matters and (ii) the Company has fully indemnified the Indemnitee with respect to, and held Indemnitee harmless from and against, all Expenses and Liabilities incurred by Indemnitee or on behalf of Indemnitee in connection with such Proceeding.</w:t>
      </w:r>
    </w:p>
    <w:p>
      <w:pPr>
        <w:spacing w:after="0" w:line="101" w:lineRule="exact"/>
        <w:rPr>
          <w:rFonts w:ascii="Arial" w:cs="Arial" w:eastAsia="Arial" w:hAnsi="Arial"/>
          <w:sz w:val="16"/>
          <w:szCs w:val="16"/>
          <w:color w:val="auto"/>
        </w:rPr>
      </w:pPr>
    </w:p>
    <w:p>
      <w:pPr>
        <w:ind w:left="1160" w:hanging="304"/>
        <w:spacing w:after="0"/>
        <w:tabs>
          <w:tab w:leader="none" w:pos="116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right="20" w:firstLine="1143"/>
        <w:spacing w:after="0" w:line="272" w:lineRule="auto"/>
        <w:tabs>
          <w:tab w:leader="none" w:pos="1517" w:val="left"/>
        </w:tabs>
        <w:numPr>
          <w:ilvl w:val="1"/>
          <w:numId w:val="240"/>
        </w:numPr>
        <w:rPr>
          <w:rFonts w:ascii="Arial" w:cs="Arial" w:eastAsia="Arial" w:hAnsi="Arial"/>
          <w:sz w:val="16"/>
          <w:szCs w:val="16"/>
          <w:color w:val="auto"/>
        </w:rPr>
      </w:pPr>
      <w:r>
        <w:rPr>
          <w:rFonts w:ascii="Arial" w:cs="Arial" w:eastAsia="Arial" w:hAnsi="Arial"/>
          <w:sz w:val="16"/>
          <w:szCs w:val="16"/>
          <w:color w:val="auto"/>
        </w:rPr>
        <w:t>In the event that (i) a determination is made pursuant to Section 6 hereof that Indemnitee is not entitled to indemnification under this Agreement, (ii) advancement of Expenses is not timely made pursuant to Section 5 or Section 7(d) hereof, (iii) no determination of entitlement to indemnification shall have been timely made pursuant to Section 6(b) hereof after receipt by the Company of the request for indemnification, or (iv) payment of indemnification is not made within fifteen (15) business days after a determination has been made that Indemnitee is entitled to indemnification or such determination is deemed to have been made pursuant to Section 6 hereof, Indemnitee shall be entitled to an adjudication in the Delaware Court of Chancery of Indemnitee’s entitlement to such indemnification or advancement, as applicable. Indemnitee shall commence a proceeding seeking such adjudication within one hundred eighty (180) days following the date on which Indemnitee first has the right to commence such proceeding pursuant to this Section 7(a). The Company shall not oppose Indemnitee’s right to seek any such adjudication.</w:t>
      </w:r>
    </w:p>
    <w:p>
      <w:pPr>
        <w:spacing w:after="0" w:line="100" w:lineRule="exact"/>
        <w:rPr>
          <w:rFonts w:ascii="Arial" w:cs="Arial" w:eastAsia="Arial" w:hAnsi="Arial"/>
          <w:sz w:val="16"/>
          <w:szCs w:val="16"/>
          <w:color w:val="auto"/>
        </w:rPr>
      </w:pPr>
    </w:p>
    <w:p>
      <w:pPr>
        <w:ind w:right="160" w:firstLine="1143"/>
        <w:spacing w:after="0" w:line="244" w:lineRule="auto"/>
        <w:tabs>
          <w:tab w:leader="none" w:pos="1527"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Section 6(b) hereof that Indemnitee is not entitled to indemnification, any judicial proceeding commenced pursuant to this Section 7 shall be conducted in all respects as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trial, on the merits and Indemnitee shall not be prejudiced by reason of that adverse determination under Section 6(b) hereof.</w:t>
      </w:r>
    </w:p>
    <w:p>
      <w:pPr>
        <w:spacing w:after="0" w:line="121" w:lineRule="exact"/>
        <w:rPr>
          <w:rFonts w:ascii="Arial" w:cs="Arial" w:eastAsia="Arial" w:hAnsi="Arial"/>
          <w:sz w:val="18"/>
          <w:szCs w:val="18"/>
          <w:color w:val="auto"/>
        </w:rPr>
      </w:pPr>
    </w:p>
    <w:p>
      <w:pPr>
        <w:ind w:right="20" w:firstLine="1143"/>
        <w:spacing w:after="0" w:line="281" w:lineRule="auto"/>
        <w:tabs>
          <w:tab w:leader="none" w:pos="1517" w:val="left"/>
        </w:tabs>
        <w:numPr>
          <w:ilvl w:val="1"/>
          <w:numId w:val="240"/>
        </w:numPr>
        <w:rPr>
          <w:rFonts w:ascii="Arial" w:cs="Arial" w:eastAsia="Arial" w:hAnsi="Arial"/>
          <w:sz w:val="16"/>
          <w:szCs w:val="16"/>
          <w:color w:val="auto"/>
        </w:rPr>
      </w:pPr>
      <w:r>
        <w:rPr>
          <w:rFonts w:ascii="Arial" w:cs="Arial" w:eastAsia="Arial" w:hAnsi="Arial"/>
          <w:sz w:val="16"/>
          <w:szCs w:val="16"/>
          <w:color w:val="auto"/>
        </w:rPr>
        <w:t>If a determination shall have been made or deemed to have been made pursuant to Section 6 hereof that Indemnitee is entitled to indemnification, the Company shall be bound by such determination in any judicial proceeding commenced pursuant to this Section 7,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94" w:lineRule="exact"/>
        <w:rPr>
          <w:rFonts w:ascii="Arial" w:cs="Arial" w:eastAsia="Arial" w:hAnsi="Arial"/>
          <w:sz w:val="16"/>
          <w:szCs w:val="16"/>
          <w:color w:val="auto"/>
        </w:rPr>
      </w:pPr>
    </w:p>
    <w:p>
      <w:pPr>
        <w:ind w:firstLine="1143"/>
        <w:spacing w:after="0" w:line="241" w:lineRule="auto"/>
        <w:tabs>
          <w:tab w:leader="none" w:pos="1527" w:val="left"/>
        </w:tabs>
        <w:numPr>
          <w:ilvl w:val="1"/>
          <w:numId w:val="240"/>
        </w:numPr>
        <w:rPr>
          <w:rFonts w:ascii="Arial" w:cs="Arial" w:eastAsia="Arial" w:hAnsi="Arial"/>
          <w:sz w:val="18"/>
          <w:szCs w:val="18"/>
          <w:color w:val="auto"/>
        </w:rPr>
      </w:pPr>
      <w:r>
        <w:rPr>
          <w:rFonts w:ascii="Arial" w:cs="Arial" w:eastAsia="Arial" w:hAnsi="Arial"/>
          <w:sz w:val="18"/>
          <w:szCs w:val="18"/>
          <w:color w:val="auto"/>
        </w:rPr>
        <w:t>In the event that Indemnitee, pursuant to this Section 7, seeks a judicial adjudication of Indemnitee’s rights under, or to recover damages for breach of, this Agreement, or to recover under any directors’ and officers’ liability insurance policies maintained by the Company, the Company shall pay on Indemnitee’s behalf, in advance, any and all Expenses paid or incurred by him in such judicial adjudication, regardless of whether Indemnitee ultimately is determined to be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423F3F"/>
        </w:rPr>
        <w:t>8</w:t>
      </w:r>
    </w:p>
    <w:p>
      <w:pPr>
        <w:sectPr>
          <w:pgSz w:w="11900" w:h="16838" w:orient="portrait"/>
          <w:cols w:equalWidth="0" w:num="1">
            <w:col w:w="11240"/>
          </w:cols>
          <w:pgMar w:left="320" w:top="1272" w:right="339" w:bottom="1440" w:gutter="0" w:footer="0" w:header="0"/>
        </w:sectPr>
      </w:pPr>
    </w:p>
    <w:bookmarkStart w:id="460" w:name="page461"/>
    <w:bookmarkEnd w:id="460"/>
    <w:p>
      <w:pPr>
        <w:spacing w:after="0" w:line="244" w:lineRule="auto"/>
        <w:rPr>
          <w:sz w:val="20"/>
          <w:szCs w:val="20"/>
          <w:color w:val="auto"/>
        </w:rPr>
      </w:pPr>
      <w:r>
        <w:rPr>
          <w:rFonts w:ascii="Arial" w:cs="Arial" w:eastAsia="Arial" w:hAnsi="Arial"/>
          <w:sz w:val="18"/>
          <w:szCs w:val="18"/>
          <w:color w:val="auto"/>
        </w:rPr>
        <w:t>such indemnification, advancement of expenses or insurance recovery. The Company shall, within thirty (30) days after receipt by the Company of a written request therefor from Indemnitee, advance such Expenses to Indemnitee pursuant to comparable procedures as those set forth in Section 5 hereof with respect to advancement of Expenses therein.</w:t>
      </w:r>
    </w:p>
    <w:p>
      <w:pPr>
        <w:spacing w:after="0" w:line="122" w:lineRule="exact"/>
        <w:rPr>
          <w:sz w:val="20"/>
          <w:szCs w:val="20"/>
          <w:color w:val="auto"/>
        </w:rPr>
      </w:pPr>
    </w:p>
    <w:p>
      <w:pPr>
        <w:jc w:val="both"/>
        <w:ind w:right="120" w:firstLine="1143"/>
        <w:spacing w:after="0" w:line="244" w:lineRule="auto"/>
        <w:tabs>
          <w:tab w:leader="none" w:pos="1514"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commenced pursuant to this Section 7 that the procedures and presumptions of this Agreement are not valid, binding and enforceable and shall stipulate in any such court that the Company is bound by all the provisions of this Agreement.</w:t>
      </w:r>
    </w:p>
    <w:p>
      <w:pPr>
        <w:spacing w:after="0" w:line="121" w:lineRule="exact"/>
        <w:rPr>
          <w:rFonts w:ascii="Arial" w:cs="Arial" w:eastAsia="Arial" w:hAnsi="Arial"/>
          <w:sz w:val="18"/>
          <w:szCs w:val="18"/>
          <w:color w:val="auto"/>
        </w:rPr>
      </w:pPr>
    </w:p>
    <w:p>
      <w:pPr>
        <w:ind w:right="200" w:firstLine="1143"/>
        <w:spacing w:after="0" w:line="253" w:lineRule="auto"/>
        <w:tabs>
          <w:tab w:leader="none" w:pos="1497" w:val="left"/>
        </w:tabs>
        <w:numPr>
          <w:ilvl w:val="1"/>
          <w:numId w:val="241"/>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 with respect to which indemnification is sought.</w:t>
      </w:r>
    </w:p>
    <w:p>
      <w:pPr>
        <w:spacing w:after="0" w:line="113" w:lineRule="exact"/>
        <w:rPr>
          <w:rFonts w:ascii="Arial" w:cs="Arial" w:eastAsia="Arial" w:hAnsi="Arial"/>
          <w:sz w:val="18"/>
          <w:szCs w:val="18"/>
          <w:color w:val="auto"/>
        </w:rPr>
      </w:pPr>
    </w:p>
    <w:p>
      <w:pPr>
        <w:ind w:left="1160" w:hanging="304"/>
        <w:spacing w:after="0"/>
        <w:tabs>
          <w:tab w:leader="none" w:pos="116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Subrogation, Primacy of Indemnification</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right="80" w:firstLine="1143"/>
        <w:spacing w:after="0" w:line="270" w:lineRule="auto"/>
        <w:tabs>
          <w:tab w:leader="none" w:pos="1514"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The rights of indemnification (including, but not limited to, the advancement of Expenses and contribution by the Company) as provided by this Agreement shall not be deemed exclusive of any other rights to which Indemnitee may at any time be entitled under applicable law, the Organizational Documents, a vote of stockholders or a resolution of directors, or otherwise. The Company shall not adopt any amendment or alteration to, or repeal of, the Organizational Documents the effect of which would be to deny, diminish or encumber the Indemnitee’s rights to identification pursuant to this Agreement, the Organizational Documents or applicable law prior to such amendment, alteration or repeal. To the extent that a change in applicable law, whether by statute or judicial decision, permits greater indemnification than would be afforded currently under the Organizational Documents and this Agreement,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05" w:lineRule="exact"/>
        <w:rPr>
          <w:rFonts w:ascii="Arial" w:cs="Arial" w:eastAsia="Arial" w:hAnsi="Arial"/>
          <w:sz w:val="16"/>
          <w:szCs w:val="16"/>
          <w:color w:val="auto"/>
        </w:rPr>
      </w:pPr>
    </w:p>
    <w:p>
      <w:pPr>
        <w:jc w:val="both"/>
        <w:ind w:right="100" w:firstLine="1143"/>
        <w:spacing w:after="0" w:line="277" w:lineRule="auto"/>
        <w:tabs>
          <w:tab w:leader="none" w:pos="1523"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employees, agents or fiduciaries of the Company or of any other corporation, partnership, joint venture, trust, employee benefit plan or other enterprise which such person serves at the request of the Company, Indemnitee shall be covered by such policy or policies in accordance with its or their terms to the maximum extent of the coverage available for any such director, manager, officer, employee or agent under such policy or policies. Notwithstanding the foregoing, the Company shall have no obligation to obtain or maintain such insurance.</w:t>
      </w:r>
    </w:p>
    <w:p>
      <w:pPr>
        <w:spacing w:after="0" w:line="97" w:lineRule="exact"/>
        <w:rPr>
          <w:rFonts w:ascii="Arial" w:cs="Arial" w:eastAsia="Arial" w:hAnsi="Arial"/>
          <w:sz w:val="16"/>
          <w:szCs w:val="16"/>
          <w:color w:val="auto"/>
        </w:rPr>
      </w:pPr>
    </w:p>
    <w:p>
      <w:pPr>
        <w:ind w:right="80" w:firstLine="1143"/>
        <w:spacing w:after="0" w:line="244" w:lineRule="auto"/>
        <w:tabs>
          <w:tab w:leader="none" w:pos="151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documents required and take all action necessary to secure such rights, including execution of such documents as are necessary to enable the Company to bring suit to enforce such rights.</w:t>
      </w:r>
    </w:p>
    <w:p>
      <w:pPr>
        <w:spacing w:after="0" w:line="121" w:lineRule="exact"/>
        <w:rPr>
          <w:rFonts w:ascii="Arial" w:cs="Arial" w:eastAsia="Arial" w:hAnsi="Arial"/>
          <w:sz w:val="18"/>
          <w:szCs w:val="18"/>
          <w:color w:val="auto"/>
        </w:rPr>
      </w:pPr>
    </w:p>
    <w:p>
      <w:pPr>
        <w:ind w:right="140" w:firstLine="1143"/>
        <w:spacing w:after="0" w:line="314" w:lineRule="auto"/>
        <w:tabs>
          <w:tab w:leader="none" w:pos="1523"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23F3F"/>
        </w:rPr>
        <w:t>9</w:t>
      </w:r>
    </w:p>
    <w:p>
      <w:pPr>
        <w:sectPr>
          <w:pgSz w:w="11900" w:h="16838" w:orient="portrait"/>
          <w:cols w:equalWidth="0" w:num="1">
            <w:col w:w="11240"/>
          </w:cols>
          <w:pgMar w:left="320" w:top="1271" w:right="339" w:bottom="1440" w:gutter="0" w:footer="0" w:header="0"/>
        </w:sectPr>
      </w:pPr>
    </w:p>
    <w:bookmarkStart w:id="461" w:name="page462"/>
    <w:bookmarkEnd w:id="461"/>
    <w:p>
      <w:pPr>
        <w:ind w:left="-20" w:firstLine="856"/>
        <w:spacing w:after="0" w:line="277" w:lineRule="auto"/>
        <w:tabs>
          <w:tab w:leader="none" w:pos="1147"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Duration of Agreement</w:t>
      </w:r>
      <w:r>
        <w:rPr>
          <w:rFonts w:ascii="Arial" w:cs="Arial" w:eastAsia="Arial" w:hAnsi="Arial"/>
          <w:sz w:val="16"/>
          <w:szCs w:val="16"/>
          <w:color w:val="auto"/>
        </w:rPr>
        <w:t>. Due to the uncertain application of any statutes of limitations that may govern any Proceeding, this Agreement shall be of indefinite duration.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 This Agreement shall continue in effect regardless of whether Indemnitee continues to serve as a director or officer of or in any other capacity for, the Company or any other Person at the Company’s request.</w:t>
      </w:r>
    </w:p>
    <w:p>
      <w:pPr>
        <w:spacing w:after="0" w:line="97" w:lineRule="exact"/>
        <w:rPr>
          <w:rFonts w:ascii="Arial" w:cs="Arial" w:eastAsia="Arial" w:hAnsi="Arial"/>
          <w:sz w:val="16"/>
          <w:szCs w:val="16"/>
          <w:color w:val="auto"/>
        </w:rPr>
      </w:pPr>
    </w:p>
    <w:p>
      <w:pPr>
        <w:ind w:left="-20" w:firstLine="856"/>
        <w:spacing w:after="0" w:line="241" w:lineRule="auto"/>
        <w:tabs>
          <w:tab w:leader="none" w:pos="1234"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To the extent requested by the Indemnitee and approved by the Disinterested Directors, the Company 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 (not to be unreasonably withheld, conditioned or delayed).</w:t>
      </w:r>
    </w:p>
    <w:p>
      <w:pPr>
        <w:spacing w:after="0" w:line="124" w:lineRule="exact"/>
        <w:rPr>
          <w:rFonts w:ascii="Arial" w:cs="Arial" w:eastAsia="Arial" w:hAnsi="Arial"/>
          <w:sz w:val="18"/>
          <w:szCs w:val="18"/>
          <w:color w:val="auto"/>
        </w:rPr>
      </w:pPr>
    </w:p>
    <w:p>
      <w:pPr>
        <w:ind w:left="1220" w:hanging="384"/>
        <w:spacing w:after="0"/>
        <w:tabs>
          <w:tab w:leader="none" w:pos="122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jc w:val="both"/>
        <w:ind w:left="-20" w:right="100" w:firstLine="1143"/>
        <w:spacing w:after="0" w:line="244" w:lineRule="auto"/>
        <w:tabs>
          <w:tab w:leader="none" w:pos="1494"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spacing w:after="0" w:line="121" w:lineRule="exact"/>
        <w:rPr>
          <w:rFonts w:ascii="Arial" w:cs="Arial" w:eastAsia="Arial" w:hAnsi="Arial"/>
          <w:sz w:val="18"/>
          <w:szCs w:val="18"/>
          <w:color w:val="auto"/>
        </w:rPr>
      </w:pPr>
    </w:p>
    <w:p>
      <w:pPr>
        <w:ind w:left="-20" w:right="260" w:firstLine="1143"/>
        <w:spacing w:after="0" w:line="314" w:lineRule="auto"/>
        <w:tabs>
          <w:tab w:leader="none" w:pos="1503"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68" w:lineRule="exact"/>
        <w:rPr>
          <w:rFonts w:ascii="Arial" w:cs="Arial" w:eastAsia="Arial" w:hAnsi="Arial"/>
          <w:sz w:val="16"/>
          <w:szCs w:val="16"/>
          <w:color w:val="auto"/>
        </w:rPr>
      </w:pPr>
    </w:p>
    <w:p>
      <w:pPr>
        <w:ind w:left="-20" w:right="80" w:firstLine="856"/>
        <w:spacing w:after="0" w:line="274" w:lineRule="auto"/>
        <w:tabs>
          <w:tab w:leader="none" w:pos="1234"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by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by this Agreement be consummated as originally contemplated to the fullest extent possible.</w:t>
      </w:r>
    </w:p>
    <w:p>
      <w:pPr>
        <w:spacing w:after="0" w:line="101" w:lineRule="exact"/>
        <w:rPr>
          <w:rFonts w:ascii="Arial" w:cs="Arial" w:eastAsia="Arial" w:hAnsi="Arial"/>
          <w:sz w:val="16"/>
          <w:szCs w:val="16"/>
          <w:color w:val="auto"/>
        </w:rPr>
      </w:pPr>
    </w:p>
    <w:p>
      <w:pPr>
        <w:ind w:left="-20" w:right="200" w:firstLine="856"/>
        <w:spacing w:after="0" w:line="281" w:lineRule="auto"/>
        <w:tabs>
          <w:tab w:leader="none" w:pos="1234"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Modification and Waiver</w:t>
      </w:r>
      <w:r>
        <w:rPr>
          <w:rFonts w:ascii="Arial" w:cs="Arial" w:eastAsia="Arial" w:hAnsi="Arial"/>
          <w:sz w:val="16"/>
          <w:szCs w:val="16"/>
          <w:color w:val="auto"/>
        </w:rPr>
        <w:t>. Except as provided by Section 2, Section 6 and Section 8(a) hereof with respect to changes in applicable law that broaden the rights of Indemnitee to be indemnified by the Company,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94" w:lineRule="exact"/>
        <w:rPr>
          <w:rFonts w:ascii="Arial" w:cs="Arial" w:eastAsia="Arial" w:hAnsi="Arial"/>
          <w:sz w:val="16"/>
          <w:szCs w:val="16"/>
          <w:color w:val="auto"/>
        </w:rPr>
      </w:pPr>
    </w:p>
    <w:p>
      <w:pPr>
        <w:ind w:left="-20" w:right="120" w:firstLine="856"/>
        <w:spacing w:after="0" w:line="281" w:lineRule="auto"/>
        <w:tabs>
          <w:tab w:leader="none" w:pos="1234"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Notice By Indemnitee</w:t>
      </w:r>
      <w:r>
        <w:rPr>
          <w:rFonts w:ascii="Arial" w:cs="Arial" w:eastAsia="Arial" w:hAnsi="Arial"/>
          <w:sz w:val="16"/>
          <w:szCs w:val="16"/>
          <w:color w:val="auto"/>
        </w:rPr>
        <w:t>. Indemnitee agrees to promptly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the Indemnitee under this Agreement or otherwise except to the extent the Company is materially prejudiced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423F3F"/>
        </w:rPr>
        <w:t>10</w:t>
      </w:r>
    </w:p>
    <w:p>
      <w:pPr>
        <w:sectPr>
          <w:pgSz w:w="11900" w:h="16838" w:orient="portrait"/>
          <w:cols w:equalWidth="0" w:num="1">
            <w:col w:w="11200"/>
          </w:cols>
          <w:pgMar w:left="340" w:top="1271" w:right="359" w:bottom="1440" w:gutter="0" w:footer="0" w:header="0"/>
        </w:sectPr>
      </w:pPr>
    </w:p>
    <w:bookmarkStart w:id="462" w:name="page463"/>
    <w:bookmarkEnd w:id="462"/>
    <w:p>
      <w:pPr>
        <w:ind w:right="80" w:firstLine="856"/>
        <w:spacing w:after="0" w:line="289" w:lineRule="auto"/>
        <w:tabs>
          <w:tab w:leader="none" w:pos="1254"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hereunder shall be in writing and shall be deemed to have been duly given if (a) delivered by hand and receipted for by the party to whom said notice or other communication shall have been directed, or (b) mailed by certified or registered mail with postage prepaid, on the second business day after the date on which it is so mailed:</w:t>
      </w:r>
    </w:p>
    <w:p>
      <w:pPr>
        <w:spacing w:after="0" w:line="88" w:lineRule="exact"/>
        <w:rPr>
          <w:rFonts w:ascii="Arial" w:cs="Arial" w:eastAsia="Arial" w:hAnsi="Arial"/>
          <w:sz w:val="16"/>
          <w:szCs w:val="16"/>
          <w:color w:val="auto"/>
        </w:rPr>
      </w:pPr>
    </w:p>
    <w:p>
      <w:pPr>
        <w:ind w:left="1440" w:hanging="297"/>
        <w:spacing w:after="0"/>
        <w:tabs>
          <w:tab w:leader="none" w:pos="14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If to Indemnitee, to the address set forth below Indemnitee’s signature hereto.</w:t>
      </w:r>
    </w:p>
    <w:p>
      <w:pPr>
        <w:spacing w:after="0" w:line="139" w:lineRule="exact"/>
        <w:rPr>
          <w:rFonts w:ascii="Arial" w:cs="Arial" w:eastAsia="Arial" w:hAnsi="Arial"/>
          <w:sz w:val="18"/>
          <w:szCs w:val="18"/>
          <w:color w:val="auto"/>
        </w:rPr>
      </w:pPr>
    </w:p>
    <w:p>
      <w:pPr>
        <w:ind w:left="1440" w:hanging="297"/>
        <w:spacing w:after="0"/>
        <w:tabs>
          <w:tab w:leader="none" w:pos="14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4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Robinhood Markets, Inc.</w:t>
      </w:r>
    </w:p>
    <w:p>
      <w:pPr>
        <w:spacing w:after="0" w:line="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85 Willow Road</w:t>
      </w:r>
    </w:p>
    <w:p>
      <w:pPr>
        <w:ind w:left="1720"/>
        <w:spacing w:after="0" w:line="235" w:lineRule="auto"/>
        <w:rPr>
          <w:sz w:val="20"/>
          <w:szCs w:val="20"/>
          <w:color w:val="auto"/>
        </w:rPr>
      </w:pPr>
      <w:r>
        <w:rPr>
          <w:rFonts w:ascii="Arial" w:cs="Arial" w:eastAsia="Arial" w:hAnsi="Arial"/>
          <w:sz w:val="18"/>
          <w:szCs w:val="18"/>
          <w:color w:val="auto"/>
        </w:rPr>
        <w:t>Menlo Park, California 94025</w:t>
      </w:r>
    </w:p>
    <w:p>
      <w:pPr>
        <w:ind w:left="1720"/>
        <w:spacing w:after="0"/>
        <w:rPr>
          <w:sz w:val="20"/>
          <w:szCs w:val="20"/>
          <w:color w:val="auto"/>
        </w:rPr>
      </w:pPr>
      <w:r>
        <w:rPr>
          <w:rFonts w:ascii="Arial" w:cs="Arial" w:eastAsia="Arial" w:hAnsi="Arial"/>
          <w:sz w:val="18"/>
          <w:szCs w:val="18"/>
          <w:color w:val="auto"/>
        </w:rPr>
        <w:t>Attention: Office of the Corporate Secretary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may have been furnished to Indemnitee by the Company or to the Company by Indemnitee, as the case may be.</w:t>
      </w:r>
    </w:p>
    <w:p>
      <w:pPr>
        <w:spacing w:after="0" w:line="140" w:lineRule="exact"/>
        <w:rPr>
          <w:sz w:val="20"/>
          <w:szCs w:val="20"/>
          <w:color w:val="auto"/>
        </w:rPr>
      </w:pPr>
    </w:p>
    <w:p>
      <w:pPr>
        <w:ind w:right="320" w:firstLine="856"/>
        <w:spacing w:after="0" w:line="241" w:lineRule="auto"/>
        <w:tabs>
          <w:tab w:leader="none" w:pos="1254"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and delivered (including by facsimile or .PDF transmission) in two or more counterparts, each of which when executed and delivered shall be deemed to be an original but all of which taken together shall constitute one and the same agreement. Only one such counterpart signed by the party against whom enforceability is sought needs to be produced to evidence the existence of this Agreement.</w:t>
      </w:r>
    </w:p>
    <w:p>
      <w:pPr>
        <w:spacing w:after="0" w:line="124" w:lineRule="exact"/>
        <w:rPr>
          <w:rFonts w:ascii="Arial" w:cs="Arial" w:eastAsia="Arial" w:hAnsi="Arial"/>
          <w:sz w:val="18"/>
          <w:szCs w:val="18"/>
          <w:color w:val="auto"/>
        </w:rPr>
      </w:pPr>
    </w:p>
    <w:p>
      <w:pPr>
        <w:ind w:right="200" w:firstLine="856"/>
        <w:spacing w:after="0" w:line="253" w:lineRule="auto"/>
        <w:tabs>
          <w:tab w:leader="none" w:pos="1254"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13" w:lineRule="exact"/>
        <w:rPr>
          <w:rFonts w:ascii="Arial" w:cs="Arial" w:eastAsia="Arial" w:hAnsi="Arial"/>
          <w:sz w:val="18"/>
          <w:szCs w:val="18"/>
          <w:color w:val="auto"/>
        </w:rPr>
      </w:pPr>
    </w:p>
    <w:p>
      <w:pPr>
        <w:ind w:firstLine="856"/>
        <w:spacing w:after="0" w:line="238" w:lineRule="auto"/>
        <w:tabs>
          <w:tab w:leader="none" w:pos="1254"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Governing Law and Consent to Jurisdiction</w:t>
      </w:r>
      <w:r>
        <w:rPr>
          <w:rFonts w:ascii="Arial" w:cs="Arial" w:eastAsia="Arial" w:hAnsi="Arial"/>
          <w:sz w:val="18"/>
          <w:szCs w:val="18"/>
          <w:color w:val="auto"/>
        </w:rPr>
        <w:t>. This Agreement shall be governed by, and construed in accordance with, the laws of the State of Delaware applicable to contracts executed in and to be performed in that state and without regard to any applicable conflicts of law. The Company and Indemnitee hereby irrevocably and unconditionally (a) agree that any action or proceeding arising out of or in connection with this Agreement shall be brought only in the Delaware Court of Chancery, and not in any other state or federal court in the United States of America or any court in any other country, (b) consent to submit to the exclusive jurisdiction of the Delaware Court of Chancery for purposes of any action or proceeding arising out of or in connection with this Agreement, (c) waive any objection to the laying of venue of any such action or proceeding in the Delaware Court of Chancery, and (d) waive, and agree not to plead or to make, any claim that any such action or proceeding brought in the Delaware Court of Chancery has been brought in an improper or inconvenient forum.</w:t>
      </w:r>
    </w:p>
    <w:p>
      <w:pPr>
        <w:spacing w:after="0" w:line="126" w:lineRule="exact"/>
        <w:rPr>
          <w:rFonts w:ascii="Arial" w:cs="Arial" w:eastAsia="Arial" w:hAnsi="Arial"/>
          <w:sz w:val="18"/>
          <w:szCs w:val="18"/>
          <w:color w:val="auto"/>
        </w:rPr>
      </w:pPr>
    </w:p>
    <w:p>
      <w:pPr>
        <w:ind w:right="140" w:firstLine="856"/>
        <w:spacing w:after="0" w:line="244" w:lineRule="auto"/>
        <w:tabs>
          <w:tab w:leader="none" w:pos="1254"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In the event an ambiguity or question of intent or interpretation with respect to any term or provision of this Agreement arises, the language in all parts of this Agreement shall in all cases be construed as mutually chosen by the parties to express their mutual intent, and no rule of strict construction shall be applied against any party.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23F3F"/>
        </w:rPr>
        <w:t>11</w:t>
      </w:r>
    </w:p>
    <w:p>
      <w:pPr>
        <w:sectPr>
          <w:pgSz w:w="11900" w:h="16838" w:orient="portrait"/>
          <w:cols w:equalWidth="0" w:num="1">
            <w:col w:w="11240"/>
          </w:cols>
          <w:pgMar w:left="320" w:top="1271" w:right="339" w:bottom="1440" w:gutter="0" w:footer="0" w:header="0"/>
        </w:sectPr>
      </w:pPr>
    </w:p>
    <w:bookmarkStart w:id="463" w:name="page464"/>
    <w:bookmarkEnd w:id="463"/>
    <w:p>
      <w:pPr>
        <w:ind w:left="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on and as of the day and year first above written.</w:t>
      </w:r>
    </w:p>
    <w:p>
      <w:pPr>
        <w:sectPr>
          <w:pgSz w:w="11900" w:h="16838" w:orient="portrait"/>
          <w:cols w:equalWidth="0" w:num="1">
            <w:col w:w="9019"/>
          </w:cols>
          <w:pgMar w:left="1440" w:top="1266" w:right="1440" w:bottom="1440" w:gutter="0" w:footer="0" w:header="0"/>
        </w:sectPr>
      </w:pP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ROBINHOOD MARKETS, INC.</w:t>
      </w:r>
    </w:p>
    <w:p>
      <w:pPr>
        <w:spacing w:after="0" w:line="27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6985</wp:posOffset>
            </wp:positionV>
            <wp:extent cx="229171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2291715" cy="762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24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6985</wp:posOffset>
            </wp:positionV>
            <wp:extent cx="229171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2291715" cy="762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10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 of Indemnitee:</w:t>
      </w:r>
    </w:p>
    <w:p>
      <w:pPr>
        <w:spacing w:after="0" w:line="247" w:lineRule="exact"/>
        <w:rPr>
          <w:sz w:val="20"/>
          <w:szCs w:val="20"/>
          <w:color w:val="auto"/>
        </w:rPr>
      </w:pPr>
    </w:p>
    <w:p>
      <w:pPr>
        <w:ind w:left="5280" w:hanging="760"/>
        <w:spacing w:after="0"/>
        <w:tabs>
          <w:tab w:leader="none" w:pos="52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sz w:val="20"/>
          <w:szCs w:val="20"/>
          <w:color w:val="auto"/>
        </w:rPr>
      </w:pPr>
    </w:p>
    <w:p>
      <w:pPr>
        <w:ind w:left="5280" w:hanging="760"/>
        <w:spacing w:after="0"/>
        <w:tabs>
          <w:tab w:leader="none" w:pos="52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p>
    <w:p>
      <w:pPr>
        <w:spacing w:after="0" w:line="8" w:lineRule="exact"/>
        <w:rPr>
          <w:rFonts w:ascii="Arial" w:cs="Arial" w:eastAsia="Arial" w:hAnsi="Arial"/>
          <w:sz w:val="18"/>
          <w:szCs w:val="18"/>
          <w:color w:val="auto"/>
        </w:rPr>
      </w:pPr>
    </w:p>
    <w:p>
      <w:pPr>
        <w:ind w:left="5280" w:hanging="760"/>
        <w:spacing w:after="0"/>
        <w:tabs>
          <w:tab w:leader="none" w:pos="52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423F3F"/>
        </w:rPr>
        <w:t>[</w:t>
      </w:r>
      <w:r>
        <w:rPr>
          <w:rFonts w:ascii="Arial" w:cs="Arial" w:eastAsia="Arial" w:hAnsi="Arial"/>
          <w:sz w:val="14"/>
          <w:szCs w:val="14"/>
          <w:i w:val="1"/>
          <w:iCs w:val="1"/>
          <w:color w:val="423F3F"/>
        </w:rPr>
        <w:t>Signature</w:t>
      </w:r>
      <w:r>
        <w:rPr>
          <w:rFonts w:ascii="Arial" w:cs="Arial" w:eastAsia="Arial" w:hAnsi="Arial"/>
          <w:sz w:val="14"/>
          <w:szCs w:val="14"/>
          <w:color w:val="423F3F"/>
        </w:rPr>
        <w:t xml:space="preserve"> </w:t>
      </w:r>
      <w:r>
        <w:rPr>
          <w:rFonts w:ascii="Arial" w:cs="Arial" w:eastAsia="Arial" w:hAnsi="Arial"/>
          <w:sz w:val="14"/>
          <w:szCs w:val="14"/>
          <w:i w:val="1"/>
          <w:iCs w:val="1"/>
          <w:color w:val="312F2F"/>
        </w:rPr>
        <w:t>Pag</w:t>
      </w:r>
      <w:r>
        <w:rPr>
          <w:rFonts w:ascii="Arial" w:cs="Arial" w:eastAsia="Arial" w:hAnsi="Arial"/>
          <w:sz w:val="14"/>
          <w:szCs w:val="14"/>
          <w:i w:val="1"/>
          <w:iCs w:val="1"/>
          <w:color w:val="555353"/>
        </w:rPr>
        <w:t>e</w:t>
      </w:r>
      <w:r>
        <w:rPr>
          <w:rFonts w:ascii="Arial" w:cs="Arial" w:eastAsia="Arial" w:hAnsi="Arial"/>
          <w:sz w:val="14"/>
          <w:szCs w:val="14"/>
          <w:color w:val="423F3F"/>
        </w:rPr>
        <w:t xml:space="preserve"> </w:t>
      </w:r>
      <w:r>
        <w:rPr>
          <w:rFonts w:ascii="Arial" w:cs="Arial" w:eastAsia="Arial" w:hAnsi="Arial"/>
          <w:sz w:val="14"/>
          <w:szCs w:val="14"/>
          <w:i w:val="1"/>
          <w:iCs w:val="1"/>
          <w:color w:val="312F2F"/>
        </w:rPr>
        <w:t>t</w:t>
      </w:r>
      <w:r>
        <w:rPr>
          <w:rFonts w:ascii="Arial" w:cs="Arial" w:eastAsia="Arial" w:hAnsi="Arial"/>
          <w:sz w:val="14"/>
          <w:szCs w:val="14"/>
          <w:i w:val="1"/>
          <w:iCs w:val="1"/>
          <w:color w:val="555353"/>
        </w:rPr>
        <w:t>o</w:t>
      </w:r>
      <w:r>
        <w:rPr>
          <w:rFonts w:ascii="Arial" w:cs="Arial" w:eastAsia="Arial" w:hAnsi="Arial"/>
          <w:sz w:val="14"/>
          <w:szCs w:val="14"/>
          <w:color w:val="423F3F"/>
        </w:rPr>
        <w:t xml:space="preserve"> </w:t>
      </w:r>
      <w:r>
        <w:rPr>
          <w:rFonts w:ascii="Arial" w:cs="Arial" w:eastAsia="Arial" w:hAnsi="Arial"/>
          <w:sz w:val="14"/>
          <w:szCs w:val="14"/>
          <w:i w:val="1"/>
          <w:iCs w:val="1"/>
          <w:color w:val="312F2F"/>
        </w:rPr>
        <w:t>Indemnifi</w:t>
      </w:r>
      <w:r>
        <w:rPr>
          <w:rFonts w:ascii="Arial" w:cs="Arial" w:eastAsia="Arial" w:hAnsi="Arial"/>
          <w:sz w:val="14"/>
          <w:szCs w:val="14"/>
          <w:i w:val="1"/>
          <w:iCs w:val="1"/>
          <w:color w:val="555353"/>
        </w:rPr>
        <w:t>c</w:t>
      </w:r>
      <w:r>
        <w:rPr>
          <w:rFonts w:ascii="Arial" w:cs="Arial" w:eastAsia="Arial" w:hAnsi="Arial"/>
          <w:sz w:val="14"/>
          <w:szCs w:val="14"/>
          <w:i w:val="1"/>
          <w:iCs w:val="1"/>
          <w:color w:val="312F2F"/>
        </w:rPr>
        <w:t>ation Agreem</w:t>
      </w:r>
      <w:r>
        <w:rPr>
          <w:rFonts w:ascii="Arial" w:cs="Arial" w:eastAsia="Arial" w:hAnsi="Arial"/>
          <w:sz w:val="14"/>
          <w:szCs w:val="14"/>
          <w:i w:val="1"/>
          <w:iCs w:val="1"/>
          <w:color w:val="555353"/>
        </w:rPr>
        <w:t>ent</w:t>
      </w:r>
      <w:r>
        <w:rPr>
          <w:rFonts w:ascii="Arial" w:cs="Arial" w:eastAsia="Arial" w:hAnsi="Arial"/>
          <w:sz w:val="14"/>
          <w:szCs w:val="14"/>
          <w:color w:val="312F2F"/>
        </w:rPr>
        <w:t>]</w:t>
      </w:r>
    </w:p>
    <w:p>
      <w:pPr>
        <w:sectPr>
          <w:pgSz w:w="11900" w:h="16838" w:orient="portrait"/>
          <w:cols w:equalWidth="0" w:num="1">
            <w:col w:w="9019"/>
          </w:cols>
          <w:pgMar w:left="1440" w:top="1266" w:right="1440" w:bottom="1440" w:gutter="0" w:footer="0" w:header="0"/>
          <w:type w:val="continuous"/>
        </w:sectPr>
      </w:pPr>
    </w:p>
    <w:bookmarkStart w:id="464" w:name="page465"/>
    <w:bookmarkEnd w:id="464"/>
    <w:p>
      <w:pPr>
        <w:ind w:left="10420"/>
        <w:spacing w:after="0"/>
        <w:rPr>
          <w:sz w:val="20"/>
          <w:szCs w:val="20"/>
          <w:color w:val="auto"/>
        </w:rPr>
      </w:pPr>
      <w:r>
        <w:rPr>
          <w:rFonts w:ascii="Arial" w:cs="Arial" w:eastAsia="Arial" w:hAnsi="Arial"/>
          <w:sz w:val="15"/>
          <w:szCs w:val="15"/>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AND RESTATED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INDEMNIFICATION AGREEMENT</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AMENDED AND RESTATED INDEMNIFICATION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July , 2021</w:t>
      </w:r>
    </w:p>
    <w:p>
      <w:pPr>
        <w:spacing w:after="0" w:line="35" w:lineRule="exact"/>
        <w:rPr>
          <w:sz w:val="20"/>
          <w:szCs w:val="20"/>
          <w:color w:val="auto"/>
        </w:rPr>
      </w:pPr>
    </w:p>
    <w:p>
      <w:pPr>
        <w:spacing w:after="0"/>
        <w:tabs>
          <w:tab w:leader="none" w:pos="7180" w:val="left"/>
        </w:tabs>
        <w:rPr>
          <w:sz w:val="20"/>
          <w:szCs w:val="20"/>
          <w:color w:val="auto"/>
        </w:rPr>
      </w:pPr>
      <w:r>
        <w:rPr>
          <w:rFonts w:ascii="Arial" w:cs="Arial" w:eastAsia="Arial" w:hAnsi="Arial"/>
          <w:sz w:val="19"/>
          <w:szCs w:val="19"/>
          <w:color w:val="auto"/>
        </w:rPr>
        <w:t>between Robinhood Markets,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w:t>
      </w:r>
      <w:r>
        <w:rPr>
          <w:sz w:val="20"/>
          <w:szCs w:val="20"/>
          <w:color w:val="auto"/>
        </w:rPr>
        <w:tab/>
      </w:r>
      <w:r>
        <w:rPr>
          <w:rFonts w:ascii="Arial" w:cs="Arial" w:eastAsia="Arial" w:hAnsi="Arial"/>
          <w:sz w:val="18"/>
          <w:szCs w:val="18"/>
          <w:color w:val="auto"/>
        </w:rPr>
        <w:t>]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37"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9"/>
          <w:szCs w:val="19"/>
          <w:color w:val="auto"/>
        </w:rPr>
        <w:t>WHEREAS, highly competent persons have become more reluctant to serve corporations as directors and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09" w:lineRule="exact"/>
        <w:rPr>
          <w:sz w:val="20"/>
          <w:szCs w:val="20"/>
          <w:color w:val="auto"/>
        </w:rPr>
      </w:pPr>
    </w:p>
    <w:p>
      <w:pPr>
        <w:jc w:val="both"/>
        <w:ind w:firstLine="574"/>
        <w:spacing w:after="0" w:line="266"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in order to attract and retain qualified individuals, the Company will use commercially reasonable efforts to maintain on an ongoing basis, at its sole expense, liability insurance to protect, from certain liabilities, persons serving on the Board and the board of directors of the Company’s subsidiaries.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with higher retentions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and Certificate of Incorporation of the Company require indemnification of the officers and directors of the Company. Indemnitee may also be entitled to indemnification pursuant to the General Corporation Law of the State of Delaware (“</w:t>
      </w:r>
      <w:r>
        <w:rPr>
          <w:rFonts w:ascii="Arial" w:cs="Arial" w:eastAsia="Arial" w:hAnsi="Arial"/>
          <w:sz w:val="18"/>
          <w:szCs w:val="18"/>
          <w:u w:val="single" w:color="auto"/>
          <w:color w:val="auto"/>
        </w:rPr>
        <w:t>DGCL</w:t>
      </w:r>
      <w:r>
        <w:rPr>
          <w:rFonts w:ascii="Arial" w:cs="Arial" w:eastAsia="Arial" w:hAnsi="Arial"/>
          <w:sz w:val="18"/>
          <w:szCs w:val="18"/>
          <w:color w:val="auto"/>
        </w:rPr>
        <w:t>”). The By-laws and Certificate of Incorporation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1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9"/>
          <w:szCs w:val="19"/>
          <w:color w:val="auto"/>
        </w:rPr>
        <w:t>WHEREAS, the uncertainties relating to such insurance and to indemnification have increased the difficulty of attracting and retaining such persons;</w:t>
      </w:r>
    </w:p>
    <w:p>
      <w:pPr>
        <w:spacing w:after="0" w:line="9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9"/>
          <w:szCs w:val="19"/>
          <w:color w:val="auto"/>
        </w:rPr>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109"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9"/>
          <w:szCs w:val="19"/>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0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9"/>
          <w:szCs w:val="19"/>
          <w:color w:val="auto"/>
        </w:rPr>
        <w:t>WHEREAS, this Agreement is a supplement to and in furtherance of the By-laws and Certificate of Incorporation of the Company and any resolutions adopted pursuant thereto, and</w:t>
      </w:r>
    </w:p>
    <w:p>
      <w:pPr>
        <w:sectPr>
          <w:pgSz w:w="11900" w:h="16838" w:orient="portrait"/>
          <w:cols w:equalWidth="0" w:num="1">
            <w:col w:w="11260"/>
          </w:cols>
          <w:pgMar w:left="320" w:top="123" w:right="319" w:bottom="1440" w:gutter="0" w:footer="0" w:header="0"/>
        </w:sectPr>
      </w:pPr>
    </w:p>
    <w:bookmarkStart w:id="465" w:name="page466"/>
    <w:bookmarkEnd w:id="465"/>
    <w:p>
      <w:pPr>
        <w:spacing w:after="0"/>
        <w:rPr>
          <w:sz w:val="20"/>
          <w:szCs w:val="20"/>
          <w:color w:val="auto"/>
        </w:rPr>
      </w:pPr>
      <w:r>
        <w:rPr>
          <w:rFonts w:ascii="Arial" w:cs="Arial" w:eastAsia="Arial" w:hAnsi="Arial"/>
          <w:sz w:val="19"/>
          <w:szCs w:val="19"/>
          <w:color w:val="auto"/>
        </w:rPr>
        <w:t>shall not be deemed a substitute therefor, nor to diminish or abrogate any rights of Indemnitee thereunder;</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9"/>
          <w:szCs w:val="19"/>
          <w:color w:val="auto"/>
        </w:rPr>
        <w:t>WHEREAS, Indemnitee does not regard the protection available under the Company’s By-laws and Certificate of Incorporation and insurance as adequate in the present circumstances, and may not be willing to serve as a director without adequate protection, and the Company desires Indemnitee to serve in such capacity. Indemnitee is willing to serve, continue to serve and to take on additional service for or on behalf of the Company on the condition that he be so indemnified as set forth herein;</w:t>
      </w:r>
    </w:p>
    <w:p>
      <w:pPr>
        <w:spacing w:after="0" w:line="11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9"/>
          <w:szCs w:val="19"/>
          <w:color w:val="auto"/>
        </w:rPr>
        <w:t>WHEREAS, the Company and Indemnitee previously entered into that certain Indemnification Agreement dated as of June 16, 2016 (the “</w:t>
      </w:r>
      <w:r>
        <w:rPr>
          <w:rFonts w:ascii="Arial" w:cs="Arial" w:eastAsia="Arial" w:hAnsi="Arial"/>
          <w:sz w:val="19"/>
          <w:szCs w:val="19"/>
          <w:u w:val="single" w:color="auto"/>
          <w:color w:val="auto"/>
        </w:rPr>
        <w:t>Prior Agreement</w:t>
      </w:r>
      <w:r>
        <w:rPr>
          <w:rFonts w:ascii="Arial" w:cs="Arial" w:eastAsia="Arial" w:hAnsi="Arial"/>
          <w:sz w:val="19"/>
          <w:szCs w:val="19"/>
          <w:color w:val="auto"/>
        </w:rPr>
        <w:t>”);</w:t>
      </w:r>
    </w:p>
    <w:p>
      <w:pPr>
        <w:spacing w:after="0" w:line="9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9"/>
          <w:szCs w:val="19"/>
          <w:color w:val="auto"/>
        </w:rPr>
        <w:t>WHEREAS, this Agreement amends and restates in its entirety the Prior Agreement and shall in all respects be deemed to be effective as of the date that Indemnitee first became an indemnified party pursuant to the Prior Agreement;</w:t>
      </w:r>
    </w:p>
    <w:p>
      <w:pPr>
        <w:spacing w:after="0" w:line="97"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9"/>
          <w:szCs w:val="19"/>
          <w:color w:val="auto"/>
        </w:rPr>
        <w:t>WHEREAS, Indemnitee is a representative of or affiliated with New Enterprise Associates 15, L.P. (“</w:t>
      </w:r>
      <w:r>
        <w:rPr>
          <w:rFonts w:ascii="Arial" w:cs="Arial" w:eastAsia="Arial" w:hAnsi="Arial"/>
          <w:sz w:val="19"/>
          <w:szCs w:val="19"/>
          <w:u w:val="single" w:color="auto"/>
          <w:color w:val="auto"/>
        </w:rPr>
        <w:t>NEA</w:t>
      </w:r>
      <w:r>
        <w:rPr>
          <w:rFonts w:ascii="Arial" w:cs="Arial" w:eastAsia="Arial" w:hAnsi="Arial"/>
          <w:sz w:val="19"/>
          <w:szCs w:val="19"/>
          <w:color w:val="auto"/>
        </w:rPr>
        <w:t>”) (together with any affiliated venture capital funds and the general partners, managing members or other control persons and/or any affiliated management companies, the “</w:t>
      </w:r>
      <w:r>
        <w:rPr>
          <w:rFonts w:ascii="Arial" w:cs="Arial" w:eastAsia="Arial" w:hAnsi="Arial"/>
          <w:sz w:val="19"/>
          <w:szCs w:val="19"/>
          <w:u w:val="single" w:color="auto"/>
          <w:color w:val="auto"/>
        </w:rPr>
        <w:t>VC</w:t>
      </w:r>
      <w:r>
        <w:rPr>
          <w:rFonts w:ascii="Arial" w:cs="Arial" w:eastAsia="Arial" w:hAnsi="Arial"/>
          <w:sz w:val="19"/>
          <w:szCs w:val="19"/>
          <w:color w:val="auto"/>
        </w:rPr>
        <w:t xml:space="preserve"> </w:t>
      </w:r>
      <w:r>
        <w:rPr>
          <w:rFonts w:ascii="Arial" w:cs="Arial" w:eastAsia="Arial" w:hAnsi="Arial"/>
          <w:sz w:val="19"/>
          <w:szCs w:val="19"/>
          <w:u w:val="single" w:color="auto"/>
          <w:color w:val="auto"/>
        </w:rPr>
        <w:t>Funds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VC Fund</w:t>
      </w:r>
      <w:r>
        <w:rPr>
          <w:rFonts w:ascii="Arial" w:cs="Arial" w:eastAsia="Arial" w:hAnsi="Arial"/>
          <w:sz w:val="19"/>
          <w:szCs w:val="19"/>
          <w:color w:val="auto"/>
        </w:rPr>
        <w:t>”); and</w:t>
      </w:r>
    </w:p>
    <w:p>
      <w:pPr>
        <w:spacing w:after="0" w:line="109"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9"/>
          <w:szCs w:val="19"/>
          <w:color w:val="auto"/>
        </w:rPr>
        <w:t>WHEREAS, Indemnitee has certain rights to indemnification and/or insurance provided by NEA, which Indemnitee and NEA intend to be secondary to the primary obligation of the Company to indemnify Indemnitee as provided herein, with the Company’s acknowledgement and agreement to the foregoing being a material condition to Indemnitee’s willingness to serve on the Board.</w:t>
      </w:r>
    </w:p>
    <w:p>
      <w:pPr>
        <w:spacing w:after="0" w:line="10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9"/>
          <w:szCs w:val="19"/>
          <w:color w:val="auto"/>
        </w:rPr>
        <w:t>NOW, THEREFORE, in consideration of Indemnitee’s agreement to serve as a director from and after the date hereof, the parties hereto agree as follows:</w:t>
      </w:r>
    </w:p>
    <w:p>
      <w:pPr>
        <w:spacing w:after="0" w:line="97" w:lineRule="exact"/>
        <w:rPr>
          <w:sz w:val="20"/>
          <w:szCs w:val="20"/>
          <w:color w:val="auto"/>
        </w:rPr>
      </w:pPr>
    </w:p>
    <w:p>
      <w:pPr>
        <w:jc w:val="both"/>
        <w:ind w:right="20" w:firstLine="1143"/>
        <w:spacing w:after="0" w:line="262" w:lineRule="auto"/>
        <w:tabs>
          <w:tab w:leader="none" w:pos="1613"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Indemnity of Indemnitee</w:t>
      </w:r>
      <w:r>
        <w:rPr>
          <w:rFonts w:ascii="Arial" w:cs="Arial" w:eastAsia="Arial" w:hAnsi="Arial"/>
          <w:sz w:val="19"/>
          <w:szCs w:val="19"/>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108" w:lineRule="exact"/>
        <w:rPr>
          <w:rFonts w:ascii="Arial" w:cs="Arial" w:eastAsia="Arial" w:hAnsi="Arial"/>
          <w:sz w:val="19"/>
          <w:szCs w:val="19"/>
          <w:color w:val="auto"/>
        </w:rPr>
      </w:pPr>
    </w:p>
    <w:p>
      <w:pPr>
        <w:jc w:val="both"/>
        <w:ind w:firstLine="1716"/>
        <w:spacing w:after="0" w:line="253" w:lineRule="auto"/>
        <w:tabs>
          <w:tab w:leader="none" w:pos="2160" w:val="left"/>
        </w:tabs>
        <w:numPr>
          <w:ilvl w:val="1"/>
          <w:numId w:val="248"/>
        </w:numPr>
        <w:rPr>
          <w:rFonts w:ascii="Arial" w:cs="Arial" w:eastAsia="Arial" w:hAnsi="Arial"/>
          <w:sz w:val="19"/>
          <w:szCs w:val="19"/>
          <w:color w:val="auto"/>
        </w:rPr>
      </w:pPr>
      <w:r>
        <w:rPr>
          <w:rFonts w:ascii="Arial" w:cs="Arial" w:eastAsia="Arial" w:hAnsi="Arial"/>
          <w:sz w:val="19"/>
          <w:szCs w:val="19"/>
          <w:u w:val="single" w:color="auto"/>
          <w:color w:val="auto"/>
        </w:rPr>
        <w:t>Proceedings Other Than Proceedings by or in the Right of the Company</w:t>
      </w:r>
      <w:r>
        <w:rPr>
          <w:rFonts w:ascii="Arial" w:cs="Arial" w:eastAsia="Arial" w:hAnsi="Arial"/>
          <w:sz w:val="19"/>
          <w:szCs w:val="19"/>
          <w:color w:val="auto"/>
        </w:rPr>
        <w:t xml:space="preserve">. Indemnitee shall be entitled to the rights of indemnification provided in this </w:t>
      </w:r>
      <w:r>
        <w:rPr>
          <w:rFonts w:ascii="Arial" w:cs="Arial" w:eastAsia="Arial" w:hAnsi="Arial"/>
          <w:sz w:val="19"/>
          <w:szCs w:val="19"/>
          <w:u w:val="single" w:color="auto"/>
          <w:color w:val="auto"/>
        </w:rPr>
        <w:t>Section l(a)</w:t>
      </w:r>
      <w:r>
        <w:rPr>
          <w:rFonts w:ascii="Arial" w:cs="Arial" w:eastAsia="Arial" w:hAnsi="Arial"/>
          <w:sz w:val="19"/>
          <w:szCs w:val="19"/>
          <w:color w:val="auto"/>
        </w:rPr>
        <w:t xml:space="preserve"> if, by reason of such person’s Corporate Status (as hereinafter defined), the Indemnitee is, or is threatened to be made, a party to or participant in any Proceeding (as hereinafter defined) other than a Proceeding by or in the right of the Company. Pursuant to this </w:t>
      </w:r>
      <w:r>
        <w:rPr>
          <w:rFonts w:ascii="Arial" w:cs="Arial" w:eastAsia="Arial" w:hAnsi="Arial"/>
          <w:sz w:val="19"/>
          <w:szCs w:val="19"/>
          <w:u w:val="single" w:color="auto"/>
          <w:color w:val="auto"/>
        </w:rPr>
        <w:t>Section 1(a)</w:t>
      </w:r>
      <w:r>
        <w:rPr>
          <w:rFonts w:ascii="Arial" w:cs="Arial" w:eastAsia="Arial" w:hAnsi="Arial"/>
          <w:sz w:val="19"/>
          <w:szCs w:val="19"/>
          <w:color w:val="auto"/>
        </w:rPr>
        <w:t>, Indemnitee shall be indemnified against all Expenses (as hereinafter defined), judgments, penalties, fines and amounts paid in settlement actually and reasonably incurred by such person, or on such person’s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ectPr>
          <w:pgSz w:w="11900" w:h="16838" w:orient="portrait"/>
          <w:cols w:equalWidth="0" w:num="1">
            <w:col w:w="11260"/>
          </w:cols>
          <w:pgMar w:left="320" w:top="1279" w:right="319" w:bottom="1440" w:gutter="0" w:footer="0" w:header="0"/>
        </w:sectPr>
      </w:pPr>
    </w:p>
    <w:bookmarkStart w:id="466" w:name="page467"/>
    <w:bookmarkEnd w:id="466"/>
    <w:p>
      <w:pPr>
        <w:jc w:val="both"/>
        <w:ind w:left="-1120" w:firstLine="1716"/>
        <w:spacing w:after="0" w:line="269" w:lineRule="auto"/>
        <w:tabs>
          <w:tab w:leader="none" w:pos="1039"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Proceedings by or in the Right of the Company</w:t>
      </w:r>
      <w:r>
        <w:rPr>
          <w:rFonts w:ascii="Arial" w:cs="Arial" w:eastAsia="Arial" w:hAnsi="Arial"/>
          <w:sz w:val="18"/>
          <w:szCs w:val="18"/>
          <w:color w:val="auto"/>
        </w:rPr>
        <w:t xml:space="preserve">. Indemnitee shall be entitled to the rights of indemnification provided in this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if, by reason of such person’s Corporate Status, the Indemnitee is, or is threatened to be made, a party to or participant in any Proceeding brought by or in the right of the Company. Pursuant to this </w:t>
      </w:r>
      <w:r>
        <w:rPr>
          <w:rFonts w:ascii="Arial" w:cs="Arial" w:eastAsia="Arial" w:hAnsi="Arial"/>
          <w:sz w:val="18"/>
          <w:szCs w:val="18"/>
          <w:u w:val="single" w:color="auto"/>
          <w:color w:val="auto"/>
        </w:rPr>
        <w:t>Section 1(b)</w:t>
      </w:r>
      <w:r>
        <w:rPr>
          <w:rFonts w:ascii="Arial" w:cs="Arial" w:eastAsia="Arial" w:hAnsi="Arial"/>
          <w:sz w:val="18"/>
          <w:szCs w:val="18"/>
          <w:color w:val="auto"/>
        </w:rPr>
        <w:t>,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103" w:lineRule="exact"/>
        <w:rPr>
          <w:rFonts w:ascii="Arial" w:cs="Arial" w:eastAsia="Arial" w:hAnsi="Arial"/>
          <w:sz w:val="18"/>
          <w:szCs w:val="18"/>
          <w:color w:val="auto"/>
        </w:rPr>
      </w:pPr>
    </w:p>
    <w:p>
      <w:pPr>
        <w:jc w:val="both"/>
        <w:ind w:left="-1120" w:right="20" w:firstLine="1716"/>
        <w:spacing w:after="0" w:line="286" w:lineRule="auto"/>
        <w:tabs>
          <w:tab w:leader="none" w:pos="1028" w:val="left"/>
        </w:tabs>
        <w:numPr>
          <w:ilvl w:val="1"/>
          <w:numId w:val="249"/>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 of this Agreement, to the extent that Indemnitee is, by reason of his Corporate Status, a party to and is successful, on the merits or otherwise, in any Proceeding, he shall be indemnified to the maximum extent permitted by law, as such may be amended from time to time,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For purposes of this Section 1(c) and without limitation, the termination of any claim, issue or matter in such a Proceeding by dismissal, with or without prejudice, shall be deemed to be a successful result as to such claim, issue or matter.</w:t>
      </w:r>
    </w:p>
    <w:p>
      <w:pPr>
        <w:spacing w:after="0" w:line="96" w:lineRule="exact"/>
        <w:rPr>
          <w:rFonts w:ascii="Arial" w:cs="Arial" w:eastAsia="Arial" w:hAnsi="Arial"/>
          <w:sz w:val="17"/>
          <w:szCs w:val="17"/>
          <w:color w:val="auto"/>
        </w:rPr>
      </w:pPr>
    </w:p>
    <w:p>
      <w:pPr>
        <w:jc w:val="both"/>
        <w:ind w:left="-1120" w:firstLine="1716"/>
        <w:spacing w:after="0" w:line="288" w:lineRule="auto"/>
        <w:tabs>
          <w:tab w:leader="none" w:pos="1087" w:val="left"/>
        </w:tabs>
        <w:numPr>
          <w:ilvl w:val="1"/>
          <w:numId w:val="249"/>
        </w:numPr>
        <w:rPr>
          <w:rFonts w:ascii="Arial" w:cs="Arial" w:eastAsia="Arial" w:hAnsi="Arial"/>
          <w:sz w:val="17"/>
          <w:szCs w:val="17"/>
          <w:color w:val="auto"/>
        </w:rPr>
      </w:pPr>
      <w:r>
        <w:rPr>
          <w:rFonts w:ascii="Arial" w:cs="Arial" w:eastAsia="Arial" w:hAnsi="Arial"/>
          <w:sz w:val="17"/>
          <w:szCs w:val="17"/>
          <w:u w:val="single" w:color="auto"/>
          <w:color w:val="auto"/>
        </w:rPr>
        <w:t>Indemnification of Appointing Stockholder</w:t>
      </w:r>
      <w:r>
        <w:rPr>
          <w:rFonts w:ascii="Arial" w:cs="Arial" w:eastAsia="Arial" w:hAnsi="Arial"/>
          <w:sz w:val="17"/>
          <w:szCs w:val="17"/>
          <w:color w:val="auto"/>
        </w:rPr>
        <w:t>. Recognizing that Indemnitee is or was affiliated with one or more VC Funds that has invested in the Company (an “</w:t>
      </w:r>
      <w:r>
        <w:rPr>
          <w:rFonts w:ascii="Arial" w:cs="Arial" w:eastAsia="Arial" w:hAnsi="Arial"/>
          <w:sz w:val="17"/>
          <w:szCs w:val="17"/>
          <w:u w:val="single" w:color="auto"/>
          <w:color w:val="auto"/>
        </w:rPr>
        <w:t>Appointing Stockholder</w:t>
      </w:r>
      <w:r>
        <w:rPr>
          <w:rFonts w:ascii="Arial" w:cs="Arial" w:eastAsia="Arial" w:hAnsi="Arial"/>
          <w:sz w:val="17"/>
          <w:szCs w:val="17"/>
          <w:color w:val="auto"/>
        </w:rPr>
        <w:t>”), the Company hereby agrees that if (i) the Appointing Stockholder is, or is threatened to be made, a party to or a participant in any Proceeding, and (ii) the Appointing Stockholder’s involvement in the Proceeding results from any claim based on or related to the Indemnitee’s service to the Company as a director or other fiduciary of the Company, the Appointing Stockholder will be entitled to indemnification hereunder for Expenses to the same extent as Indemnitee (and for the avoidance of doubt, only if Indemnitee also is or would have been so entitled to indemnification), and the terms of this Agreement as they relate to procedures for indemnification of Indemnitee and advancement of Expenses shall apply to any such indemnification of Appointing Stockholder.</w:t>
      </w:r>
    </w:p>
    <w:p>
      <w:pPr>
        <w:spacing w:after="0" w:line="90" w:lineRule="exact"/>
        <w:rPr>
          <w:rFonts w:ascii="Arial" w:cs="Arial" w:eastAsia="Arial" w:hAnsi="Arial"/>
          <w:sz w:val="17"/>
          <w:szCs w:val="17"/>
          <w:color w:val="auto"/>
        </w:rPr>
      </w:pPr>
    </w:p>
    <w:p>
      <w:pPr>
        <w:jc w:val="both"/>
        <w:ind w:left="-1120" w:firstLine="1143"/>
        <w:spacing w:after="0" w:line="254" w:lineRule="auto"/>
        <w:tabs>
          <w:tab w:leader="none" w:pos="374" w:val="left"/>
        </w:tabs>
        <w:numPr>
          <w:ilvl w:val="0"/>
          <w:numId w:val="250"/>
        </w:numPr>
        <w:rPr>
          <w:rFonts w:ascii="Arial" w:cs="Arial" w:eastAsia="Arial" w:hAnsi="Arial"/>
          <w:sz w:val="19"/>
          <w:szCs w:val="19"/>
          <w:color w:val="auto"/>
        </w:rPr>
      </w:pPr>
      <w:r>
        <w:rPr>
          <w:rFonts w:ascii="Arial" w:cs="Arial" w:eastAsia="Arial" w:hAnsi="Arial"/>
          <w:sz w:val="19"/>
          <w:szCs w:val="19"/>
          <w:u w:val="single" w:color="auto"/>
          <w:color w:val="auto"/>
        </w:rPr>
        <w:t>Additional Indemnity</w:t>
      </w:r>
      <w:r>
        <w:rPr>
          <w:rFonts w:ascii="Arial" w:cs="Arial" w:eastAsia="Arial" w:hAnsi="Arial"/>
          <w:sz w:val="19"/>
          <w:szCs w:val="19"/>
          <w:color w:val="auto"/>
        </w:rPr>
        <w:t xml:space="preserve">. In addition to, and without regard to any limitations on, the indemnification provided for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of this Agreement, the Company shall and hereby does indemnify and hold harmless Indemnitee against all Expenses, judgments, penalties, fines and amounts paid in settlement actually and reasonably incurred by him or on his behalf if, by reason of his Corporate Status, 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w:t>
      </w:r>
    </w:p>
    <w:p>
      <w:pPr>
        <w:sectPr>
          <w:pgSz w:w="11900" w:h="16838" w:orient="portrait"/>
          <w:cols w:equalWidth="0" w:num="1">
            <w:col w:w="10140"/>
          </w:cols>
          <w:pgMar w:left="1440" w:top="1279" w:right="319" w:bottom="1440" w:gutter="0" w:footer="0" w:header="0"/>
        </w:sectPr>
      </w:pPr>
    </w:p>
    <w:bookmarkStart w:id="467" w:name="page468"/>
    <w:bookmarkEnd w:id="467"/>
    <w:p>
      <w:pPr>
        <w:ind w:right="20"/>
        <w:spacing w:after="0" w:line="275" w:lineRule="auto"/>
        <w:rPr>
          <w:sz w:val="20"/>
          <w:szCs w:val="20"/>
          <w:color w:val="auto"/>
        </w:rPr>
      </w:pPr>
      <w:r>
        <w:rPr>
          <w:rFonts w:ascii="Arial" w:cs="Arial" w:eastAsia="Arial" w:hAnsi="Arial"/>
          <w:sz w:val="19"/>
          <w:szCs w:val="19"/>
          <w:color w:val="auto"/>
        </w:rPr>
        <w:t xml:space="preserve">Agreement shall be that the Company shall not be obligated to make any payment to Indemnitee that is finally determined (under the procedures, and subject to the presumptions, set forth in </w:t>
      </w:r>
      <w:r>
        <w:rPr>
          <w:rFonts w:ascii="Arial" w:cs="Arial" w:eastAsia="Arial" w:hAnsi="Arial"/>
          <w:sz w:val="19"/>
          <w:szCs w:val="19"/>
          <w:u w:val="single" w:color="auto"/>
          <w:color w:val="auto"/>
        </w:rPr>
        <w:t>Sections 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w:t>
      </w:r>
      <w:r>
        <w:rPr>
          <w:rFonts w:ascii="Arial" w:cs="Arial" w:eastAsia="Arial" w:hAnsi="Arial"/>
          <w:sz w:val="19"/>
          <w:szCs w:val="19"/>
          <w:color w:val="auto"/>
        </w:rPr>
        <w:t xml:space="preserve"> hereof) to be unlawful.</w:t>
      </w:r>
    </w:p>
    <w:p>
      <w:pPr>
        <w:spacing w:after="0" w:line="97" w:lineRule="exact"/>
        <w:rPr>
          <w:sz w:val="20"/>
          <w:szCs w:val="20"/>
          <w:color w:val="auto"/>
        </w:rPr>
      </w:pPr>
    </w:p>
    <w:p>
      <w:pPr>
        <w:ind w:left="1480" w:hanging="337"/>
        <w:spacing w:after="0"/>
        <w:tabs>
          <w:tab w:leader="none" w:pos="1480" w:val="left"/>
        </w:tabs>
        <w:numPr>
          <w:ilvl w:val="0"/>
          <w:numId w:val="251"/>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firstLine="1716"/>
        <w:spacing w:after="0" w:line="266" w:lineRule="auto"/>
        <w:tabs>
          <w:tab w:leader="none" w:pos="221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 xml:space="preserve">Whether or not the indemnification provided in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hereof is available, in respect of any threatened, pending or completed Proceeding in which the Company is jointly liable with Indemnitee (or would be if joined in such Proceeding), the Company shall pay, in the first instance, the entire amount of any judgment or settlement of such Proceeding without requiring Indemnitee to contribute to such payment and the Company hereby waives and relinquishes any right of contribution it may have against Indemnitee. The Company shall not, without the prior written consent of Indemnitee (not to be unreasonably, withheld, conditioned or delayed), enter into any settlement of any Proceeding in which the Company is jointly liable with Indemnitee (or would be if joined in such Proceeding), in which the Indemnitee is or could reasonably become a party, or which potentially or actually imposes any Expenses, liabilities, exposure or burden on Indemnitee unless (i) such settlement solely involves the payment of money or performance of any obligation by persons other than Indemnitee and includes an unconditional, full release of Indemnitee by all relevant parties from all liability on any matters that are the subject of such Proceeding and an acknowledgment that Indemnitee denies all wrongdoing in connection with such matters and (ii) the Company has fully indemnified the Indemnitee with respect to, and held Indemnitee harmless from and against, all Expenses and liabilities incurred by Indemnitee or on behalf of Indemnitee in connection with such Proceeding.</w:t>
      </w:r>
    </w:p>
    <w:p>
      <w:pPr>
        <w:spacing w:after="0" w:line="115" w:lineRule="exact"/>
        <w:rPr>
          <w:rFonts w:ascii="Arial" w:cs="Arial" w:eastAsia="Arial" w:hAnsi="Arial"/>
          <w:sz w:val="18"/>
          <w:szCs w:val="18"/>
          <w:color w:val="auto"/>
        </w:rPr>
      </w:pPr>
    </w:p>
    <w:p>
      <w:pPr>
        <w:jc w:val="both"/>
        <w:ind w:firstLine="1716"/>
        <w:spacing w:after="0" w:line="266" w:lineRule="auto"/>
        <w:tabs>
          <w:tab w:leader="none" w:pos="216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Without diminishing or impairing the obligations of the Company set forth in the preceding subparagraph, if, for any reason, Indemnitee shall elect or be required to pay all or any portion of any judgment or settlement in any threatened, pending or completed Proceeding in which the Company is jointly liable with Indemnitee (or would be if joined in such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from which such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 with the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Proceeding), on the one hand, and Indemnitee, on the other hand, shall be determined by reference to, among other things, the degree to which their actions were motivated by intent to</w:t>
      </w:r>
    </w:p>
    <w:p>
      <w:pPr>
        <w:sectPr>
          <w:pgSz w:w="11900" w:h="16838" w:orient="portrait"/>
          <w:cols w:equalWidth="0" w:num="1">
            <w:col w:w="11260"/>
          </w:cols>
          <w:pgMar w:left="320" w:top="1279" w:right="319" w:bottom="1440" w:gutter="0" w:footer="0" w:header="0"/>
        </w:sectPr>
      </w:pPr>
    </w:p>
    <w:bookmarkStart w:id="468" w:name="page469"/>
    <w:bookmarkEnd w:id="468"/>
    <w:p>
      <w:pPr>
        <w:ind w:left="4"/>
        <w:spacing w:after="0" w:line="275" w:lineRule="auto"/>
        <w:rPr>
          <w:sz w:val="20"/>
          <w:szCs w:val="20"/>
          <w:color w:val="auto"/>
        </w:rPr>
      </w:pPr>
      <w:r>
        <w:rPr>
          <w:rFonts w:ascii="Arial" w:cs="Arial" w:eastAsia="Arial" w:hAnsi="Arial"/>
          <w:sz w:val="19"/>
          <w:szCs w:val="19"/>
          <w:color w:val="auto"/>
        </w:rPr>
        <w:t>gain personal profit or advantage, the degree to which their liability is primary or secondary and the degree to which their conduct is active or passive.</w:t>
      </w:r>
    </w:p>
    <w:p>
      <w:pPr>
        <w:spacing w:after="0" w:line="97" w:lineRule="exact"/>
        <w:rPr>
          <w:sz w:val="20"/>
          <w:szCs w:val="20"/>
          <w:color w:val="auto"/>
        </w:rPr>
      </w:pPr>
    </w:p>
    <w:p>
      <w:pPr>
        <w:ind w:left="4" w:right="20" w:firstLine="1716"/>
        <w:spacing w:after="0" w:line="304" w:lineRule="auto"/>
        <w:tabs>
          <w:tab w:leader="none" w:pos="2156" w:val="left"/>
        </w:tabs>
        <w:numPr>
          <w:ilvl w:val="2"/>
          <w:numId w:val="252"/>
        </w:numPr>
        <w:rPr>
          <w:rFonts w:ascii="Arial" w:cs="Arial" w:eastAsia="Arial" w:hAnsi="Arial"/>
          <w:sz w:val="18"/>
          <w:szCs w:val="18"/>
          <w:color w:val="auto"/>
        </w:rPr>
      </w:pPr>
      <w:r>
        <w:rPr>
          <w:rFonts w:ascii="Arial" w:cs="Arial" w:eastAsia="Arial" w:hAnsi="Arial"/>
          <w:sz w:val="18"/>
          <w:szCs w:val="18"/>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73" w:lineRule="exact"/>
        <w:rPr>
          <w:rFonts w:ascii="Arial" w:cs="Arial" w:eastAsia="Arial" w:hAnsi="Arial"/>
          <w:sz w:val="18"/>
          <w:szCs w:val="18"/>
          <w:color w:val="auto"/>
        </w:rPr>
      </w:pPr>
    </w:p>
    <w:p>
      <w:pPr>
        <w:jc w:val="both"/>
        <w:ind w:left="4" w:firstLine="1716"/>
        <w:spacing w:after="0" w:line="270" w:lineRule="auto"/>
        <w:tabs>
          <w:tab w:leader="none" w:pos="2274" w:val="left"/>
        </w:tabs>
        <w:numPr>
          <w:ilvl w:val="2"/>
          <w:numId w:val="252"/>
        </w:numPr>
        <w:rPr>
          <w:rFonts w:ascii="Arial" w:cs="Arial" w:eastAsia="Arial" w:hAnsi="Arial"/>
          <w:sz w:val="18"/>
          <w:szCs w:val="18"/>
          <w:color w:val="auto"/>
        </w:rPr>
      </w:pPr>
      <w:r>
        <w:rPr>
          <w:rFonts w:ascii="Arial" w:cs="Arial" w:eastAsia="Arial" w:hAnsi="Arial"/>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02" w:lineRule="exact"/>
        <w:rPr>
          <w:rFonts w:ascii="Arial" w:cs="Arial" w:eastAsia="Arial" w:hAnsi="Arial"/>
          <w:sz w:val="18"/>
          <w:szCs w:val="18"/>
          <w:color w:val="auto"/>
        </w:rPr>
      </w:pPr>
    </w:p>
    <w:p>
      <w:pPr>
        <w:jc w:val="both"/>
        <w:ind w:left="4" w:firstLine="1143"/>
        <w:spacing w:after="0" w:line="258" w:lineRule="auto"/>
        <w:tabs>
          <w:tab w:leader="none" w:pos="1642" w:val="left"/>
        </w:tabs>
        <w:numPr>
          <w:ilvl w:val="1"/>
          <w:numId w:val="253"/>
        </w:numPr>
        <w:rPr>
          <w:rFonts w:ascii="Arial" w:cs="Arial" w:eastAsia="Arial" w:hAnsi="Arial"/>
          <w:sz w:val="19"/>
          <w:szCs w:val="19"/>
          <w:color w:val="auto"/>
        </w:rPr>
      </w:pPr>
      <w:r>
        <w:rPr>
          <w:rFonts w:ascii="Arial" w:cs="Arial" w:eastAsia="Arial" w:hAnsi="Arial"/>
          <w:sz w:val="19"/>
          <w:szCs w:val="19"/>
          <w:u w:val="single" w:color="auto"/>
          <w:color w:val="auto"/>
        </w:rPr>
        <w:t>Indemnification for Expenses of a Witness</w:t>
      </w:r>
      <w:r>
        <w:rPr>
          <w:rFonts w:ascii="Arial" w:cs="Arial" w:eastAsia="Arial" w:hAnsi="Arial"/>
          <w:sz w:val="19"/>
          <w:szCs w:val="19"/>
          <w:color w:val="auto"/>
        </w:rPr>
        <w:t>. 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w:t>
      </w:r>
    </w:p>
    <w:p>
      <w:pPr>
        <w:spacing w:after="0" w:line="112" w:lineRule="exact"/>
        <w:rPr>
          <w:rFonts w:ascii="Arial" w:cs="Arial" w:eastAsia="Arial" w:hAnsi="Arial"/>
          <w:sz w:val="19"/>
          <w:szCs w:val="19"/>
          <w:color w:val="auto"/>
        </w:rPr>
      </w:pPr>
    </w:p>
    <w:p>
      <w:pPr>
        <w:jc w:val="both"/>
        <w:ind w:left="4" w:right="20" w:firstLine="1143"/>
        <w:spacing w:after="0" w:line="288" w:lineRule="auto"/>
        <w:tabs>
          <w:tab w:leader="none" w:pos="1522" w:val="left"/>
        </w:tabs>
        <w:numPr>
          <w:ilvl w:val="1"/>
          <w:numId w:val="253"/>
        </w:numPr>
        <w:rPr>
          <w:rFonts w:ascii="Arial" w:cs="Arial" w:eastAsia="Arial" w:hAnsi="Arial"/>
          <w:sz w:val="17"/>
          <w:szCs w:val="17"/>
          <w:color w:val="auto"/>
        </w:rPr>
      </w:pPr>
      <w:r>
        <w:rPr>
          <w:rFonts w:ascii="Arial" w:cs="Arial" w:eastAsia="Arial" w:hAnsi="Arial"/>
          <w:sz w:val="17"/>
          <w:szCs w:val="17"/>
          <w:u w:val="single" w:color="auto"/>
          <w:color w:val="auto"/>
        </w:rPr>
        <w:t>Advancement of Expenses</w:t>
      </w:r>
      <w:r>
        <w:rPr>
          <w:rFonts w:ascii="Arial" w:cs="Arial" w:eastAsia="Arial" w:hAnsi="Arial"/>
          <w:sz w:val="17"/>
          <w:szCs w:val="17"/>
          <w:color w:val="auto"/>
        </w:rPr>
        <w:t>. Notwithstanding any other provision of this Agreement, the Company shall advance all Expenses incurred by or on behalf of Indemnitee in connection with or related to any Proceeding by reason of Indemnitee’s Corporate Status within thirty</w:t>
      </w:r>
    </w:p>
    <w:p>
      <w:pPr>
        <w:jc w:val="both"/>
        <w:ind w:left="4" w:right="20" w:hanging="4"/>
        <w:spacing w:after="0" w:line="251" w:lineRule="auto"/>
        <w:tabs>
          <w:tab w:leader="none" w:pos="377"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shall be unsecured and interest free.</w:t>
      </w:r>
    </w:p>
    <w:p>
      <w:pPr>
        <w:spacing w:after="0" w:line="120" w:lineRule="exact"/>
        <w:rPr>
          <w:rFonts w:ascii="Arial" w:cs="Arial" w:eastAsia="Arial" w:hAnsi="Arial"/>
          <w:sz w:val="19"/>
          <w:szCs w:val="19"/>
          <w:color w:val="auto"/>
        </w:rPr>
      </w:pPr>
    </w:p>
    <w:p>
      <w:pPr>
        <w:jc w:val="both"/>
        <w:ind w:left="4" w:firstLine="1143"/>
        <w:spacing w:after="0" w:line="258" w:lineRule="auto"/>
        <w:tabs>
          <w:tab w:leader="none" w:pos="1510" w:val="left"/>
        </w:tabs>
        <w:numPr>
          <w:ilvl w:val="1"/>
          <w:numId w:val="254"/>
        </w:numPr>
        <w:rPr>
          <w:rFonts w:ascii="Arial" w:cs="Arial" w:eastAsia="Arial" w:hAnsi="Arial"/>
          <w:sz w:val="19"/>
          <w:szCs w:val="19"/>
          <w:color w:val="auto"/>
        </w:rPr>
      </w:pPr>
      <w:r>
        <w:rPr>
          <w:rFonts w:ascii="Arial" w:cs="Arial" w:eastAsia="Arial" w:hAnsi="Arial"/>
          <w:sz w:val="19"/>
          <w:szCs w:val="19"/>
          <w:u w:val="single" w:color="auto"/>
          <w:color w:val="auto"/>
        </w:rPr>
        <w:t>Procedures and Presumptions for Determination of Entitlement to Indemnification</w:t>
      </w:r>
      <w:r>
        <w:rPr>
          <w:rFonts w:ascii="Arial" w:cs="Arial" w:eastAsia="Arial" w:hAnsi="Arial"/>
          <w:sz w:val="19"/>
          <w:szCs w:val="19"/>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112" w:lineRule="exact"/>
        <w:rPr>
          <w:rFonts w:ascii="Arial" w:cs="Arial" w:eastAsia="Arial" w:hAnsi="Arial"/>
          <w:sz w:val="19"/>
          <w:szCs w:val="19"/>
          <w:color w:val="auto"/>
        </w:rPr>
      </w:pPr>
    </w:p>
    <w:p>
      <w:pPr>
        <w:ind w:left="4" w:right="20" w:firstLine="1716"/>
        <w:spacing w:after="0" w:line="336" w:lineRule="auto"/>
        <w:tabs>
          <w:tab w:leader="none" w:pos="2145" w:val="left"/>
        </w:tabs>
        <w:numPr>
          <w:ilvl w:val="2"/>
          <w:numId w:val="254"/>
        </w:numPr>
        <w:rPr>
          <w:rFonts w:ascii="Arial" w:cs="Arial" w:eastAsia="Arial" w:hAnsi="Arial"/>
          <w:sz w:val="17"/>
          <w:szCs w:val="17"/>
          <w:color w:val="auto"/>
        </w:rPr>
      </w:pPr>
      <w:r>
        <w:rPr>
          <w:rFonts w:ascii="Arial" w:cs="Arial" w:eastAsia="Arial" w:hAnsi="Arial"/>
          <w:sz w:val="17"/>
          <w:szCs w:val="17"/>
          <w:color w:val="auto"/>
        </w:rPr>
        <w:t>To obtain indemnification under this Agreement, Indemnitee shall submit to the Company a written request, including therein or therewith such documentation and information as is reasonably available to Indemnitee and is reasonably necessary to determine</w:t>
      </w:r>
    </w:p>
    <w:p>
      <w:pPr>
        <w:sectPr>
          <w:pgSz w:w="11900" w:h="16838" w:orient="portrait"/>
          <w:cols w:equalWidth="0" w:num="1">
            <w:col w:w="11264"/>
          </w:cols>
          <w:pgMar w:left="316" w:top="1279" w:right="319" w:bottom="1440" w:gutter="0" w:footer="0" w:header="0"/>
        </w:sectPr>
      </w:pPr>
    </w:p>
    <w:bookmarkStart w:id="469" w:name="page470"/>
    <w:bookmarkEnd w:id="469"/>
    <w:p>
      <w:pPr>
        <w:jc w:val="both"/>
        <w:ind w:right="20"/>
        <w:spacing w:after="0" w:line="297" w:lineRule="auto"/>
        <w:rPr>
          <w:sz w:val="20"/>
          <w:szCs w:val="20"/>
          <w:color w:val="auto"/>
        </w:rPr>
      </w:pPr>
      <w:r>
        <w:rPr>
          <w:rFonts w:ascii="Arial" w:cs="Arial" w:eastAsia="Arial" w:hAnsi="Arial"/>
          <w:sz w:val="17"/>
          <w:szCs w:val="17"/>
          <w:color w:val="auto"/>
        </w:rPr>
        <w:t>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84" w:lineRule="exact"/>
        <w:rPr>
          <w:sz w:val="20"/>
          <w:szCs w:val="20"/>
          <w:color w:val="auto"/>
        </w:rPr>
      </w:pPr>
    </w:p>
    <w:p>
      <w:pPr>
        <w:jc w:val="both"/>
        <w:ind w:firstLine="1716"/>
        <w:spacing w:after="0" w:line="268" w:lineRule="auto"/>
        <w:tabs>
          <w:tab w:leader="none" w:pos="227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Upon written request by Indemnitee for indemnification pursuant to the first sentence of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hereof, a determination with respect to Indemnitee’s entitlement thereto shall be made in the specific case by one of the following four methods: (i) if a Change in Control shall not have occurred, (A) by a majority vote of the Disinterested Directors (or by a committee of Disinterested Directors designated by a majority vote of the Disinterested Directors), even though less than a quorum or (B) if there are no Disinterested Directors or if the Disinterested Directors so direct, by Independent Counsel in a written opinion to the Disinterested Directors, a copy of which shall be delivered to Indemnitee, or (ii) if a Change in Control shall have occurred, (A) by Independent Counsel in a written opinion to the Disinterested Directors, a copy of which shall be delivered to Indemnitee, or (B) if Indemnitee so directs and the Disinterested Directors so accept, by a majority vote of Disinterested Directors (or by a committee of Disinterested Directors designated by a majority vote of the Disinterested Directors), even though less than a quorum (the party making such determination, the “</w:t>
      </w:r>
      <w:r>
        <w:rPr>
          <w:rFonts w:ascii="Arial" w:cs="Arial" w:eastAsia="Arial" w:hAnsi="Arial"/>
          <w:sz w:val="18"/>
          <w:szCs w:val="18"/>
          <w:u w:val="single" w:color="auto"/>
          <w:color w:val="auto"/>
        </w:rPr>
        <w:t>Determining Party</w:t>
      </w:r>
      <w:r>
        <w:rPr>
          <w:rFonts w:ascii="Arial" w:cs="Arial" w:eastAsia="Arial" w:hAnsi="Arial"/>
          <w:sz w:val="18"/>
          <w:szCs w:val="18"/>
          <w:color w:val="auto"/>
        </w:rPr>
        <w:t>”).</w:t>
      </w:r>
    </w:p>
    <w:p>
      <w:pPr>
        <w:spacing w:after="0" w:line="106" w:lineRule="exact"/>
        <w:rPr>
          <w:rFonts w:ascii="Arial" w:cs="Arial" w:eastAsia="Arial" w:hAnsi="Arial"/>
          <w:sz w:val="18"/>
          <w:szCs w:val="18"/>
          <w:color w:val="auto"/>
        </w:rPr>
      </w:pPr>
    </w:p>
    <w:p>
      <w:pPr>
        <w:jc w:val="both"/>
        <w:ind w:firstLine="1716"/>
        <w:spacing w:after="0" w:line="266" w:lineRule="auto"/>
        <w:tabs>
          <w:tab w:leader="none" w:pos="215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If the determination of entitlement to indemnification is to be made by Independent Counsel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hereof, Independent Counsel shall be selected as provided in this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and the selecting party shall promptly provide written notice of such selection to the other party hereto. If a Change in Control shall not have occurred, Independent Counsel shall be selected by the Disinterested Directors. If a Change in Control shall have occurred, Independent Counsel shall be selected by Indemnitee. In either event, within ten (10) days after receipt of written notice from the applicable selecting party of the selection of Independent Counsel, the other party may deliver to the selecting party a written objection to such selection; provided, however, that such objection may be asserted only on the ground that Independent Counsel so selected does not meet the requirements of “Independent Counsel” as defined in </w:t>
      </w:r>
      <w:r>
        <w:rPr>
          <w:rFonts w:ascii="Arial" w:cs="Arial" w:eastAsia="Arial" w:hAnsi="Arial"/>
          <w:sz w:val="18"/>
          <w:szCs w:val="18"/>
          <w:u w:val="single" w:color="auto"/>
          <w:color w:val="auto"/>
        </w:rPr>
        <w:t>Section 18(f)</w:t>
      </w:r>
      <w:r>
        <w:rPr>
          <w:rFonts w:ascii="Arial" w:cs="Arial" w:eastAsia="Arial" w:hAnsi="Arial"/>
          <w:sz w:val="18"/>
          <w:szCs w:val="18"/>
          <w:color w:val="auto"/>
        </w:rPr>
        <w:t xml:space="preserve"> hereof, and the objection shall set forth with particularity the factual basis of such assertion. Absent a proper and timely objection, the person so selected shall act as Independent Counsel. If a written objection is made, (i) Independent Counsel selected may not serve as Independent Counsel unless and until such objection is withdrawn or a court of competent jurisdiction has determined that such objection is without merit and (ii) the selecting party may select a new Independent Counsel and the other party shall have an additional ten (10) days after receipt of written notice of such selection to object. If, within twenty (20) days after submission by Indemnitee of a written request for indemnification pursuant to Section 6(a) hereof, no Independent Counsel shall have been selected and not objected to, either the Company or Indemnitee may petition the Delaware Court of Chancery for resolution of any objection which shall have been made to the selection of Independent Counsel and/or for the appointment as Independent Counsel of a person selected by the court or by such other person as the court</w:t>
      </w:r>
    </w:p>
    <w:p>
      <w:pPr>
        <w:sectPr>
          <w:pgSz w:w="11900" w:h="16838" w:orient="portrait"/>
          <w:cols w:equalWidth="0" w:num="1">
            <w:col w:w="11260"/>
          </w:cols>
          <w:pgMar w:left="320" w:top="1279" w:right="319" w:bottom="1440" w:gutter="0" w:footer="0" w:header="0"/>
        </w:sectPr>
      </w:pPr>
    </w:p>
    <w:bookmarkStart w:id="470" w:name="page471"/>
    <w:bookmarkEnd w:id="470"/>
    <w:p>
      <w:pPr>
        <w:jc w:val="both"/>
        <w:ind w:right="20"/>
        <w:spacing w:after="0" w:line="273" w:lineRule="auto"/>
        <w:rPr>
          <w:sz w:val="20"/>
          <w:szCs w:val="20"/>
          <w:color w:val="auto"/>
        </w:rPr>
      </w:pPr>
      <w:r>
        <w:rPr>
          <w:rFonts w:ascii="Arial" w:cs="Arial" w:eastAsia="Arial" w:hAnsi="Arial"/>
          <w:sz w:val="18"/>
          <w:szCs w:val="18"/>
          <w:color w:val="auto"/>
        </w:rPr>
        <w:t>shall designate, and the person with respect to whom all objections are so resolved or the person so appointed shall act as Independent Counsel under Section 6(b) hereof. The Company shall pay the reasonable fees and expenses of Independent Counsel incurred by such Independent Counsel in connection with its acting pursuant to Section 6(b) hereof, and the Company shall pay all reasonable fees and expenses incident to the procedures of this Section 6(c), regardless of the manner in which such Independent Counsel was selected or appointed and regardless of whether Indemnitee is ultimately determined to be entitled to indemnification hereunder.</w:t>
      </w:r>
    </w:p>
    <w:p>
      <w:pPr>
        <w:spacing w:after="0" w:line="101" w:lineRule="exact"/>
        <w:rPr>
          <w:sz w:val="20"/>
          <w:szCs w:val="20"/>
          <w:color w:val="auto"/>
        </w:rPr>
      </w:pPr>
    </w:p>
    <w:p>
      <w:pPr>
        <w:jc w:val="both"/>
        <w:ind w:firstLine="1716"/>
        <w:spacing w:after="0" w:line="269" w:lineRule="auto"/>
        <w:tabs>
          <w:tab w:leader="none" w:pos="225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In making a determination with respect to entitlement to indemnification hereunder, the Determining Party shall presume that Indemnitee is entitled to indemnification under this Agreement if Indemnitee has submitted a request for indemnification in accordance with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hereof. Anyone seeking to overcome this presumption shall have the burden of proof and the burden of persuasion by clear and convincing evidence.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03" w:lineRule="exact"/>
        <w:rPr>
          <w:rFonts w:ascii="Arial" w:cs="Arial" w:eastAsia="Arial" w:hAnsi="Arial"/>
          <w:sz w:val="18"/>
          <w:szCs w:val="18"/>
          <w:color w:val="auto"/>
        </w:rPr>
      </w:pPr>
    </w:p>
    <w:p>
      <w:pPr>
        <w:jc w:val="both"/>
        <w:ind w:firstLine="1716"/>
        <w:spacing w:after="0" w:line="283" w:lineRule="auto"/>
        <w:tabs>
          <w:tab w:leader="none" w:pos="213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Indemnitee shall be deemed to have acted in good faith and in a manner Indemnitee reasonably believed to be in or not opposed to the best interests of the Company, or with respect to any criminal action or proceeding, to not have had a reasonable cause to believe such Indemnitee’s conduct was unlawful for purposes of indemnification under this Agreement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are satisfied, it shall in any event be presumed that Indemnitee has at all times acted in good faith and in a manner he reasonably believed to be in or not opposed to the best interests of the Company, or with respect to any criminal action or proceeding, Indemnitee did not have a reasonable cause to believe such Indemnitee’s conduct was unlawful. Anyone seeking to overcome this presumption shall have the burden of proof and the burden of persuasion by clear and convincing evidence.</w:t>
      </w:r>
    </w:p>
    <w:p>
      <w:pPr>
        <w:spacing w:after="0" w:line="102" w:lineRule="exact"/>
        <w:rPr>
          <w:rFonts w:ascii="Arial" w:cs="Arial" w:eastAsia="Arial" w:hAnsi="Arial"/>
          <w:sz w:val="17"/>
          <w:szCs w:val="17"/>
          <w:color w:val="auto"/>
        </w:rPr>
      </w:pPr>
    </w:p>
    <w:p>
      <w:pPr>
        <w:jc w:val="both"/>
        <w:ind w:right="20" w:firstLine="1716"/>
        <w:spacing w:after="0" w:line="276" w:lineRule="auto"/>
        <w:tabs>
          <w:tab w:leader="none" w:pos="214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If the Determining Party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w:t>
      </w:r>
    </w:p>
    <w:p>
      <w:pPr>
        <w:sectPr>
          <w:pgSz w:w="11900" w:h="16838" w:orient="portrait"/>
          <w:cols w:equalWidth="0" w:num="1">
            <w:col w:w="11260"/>
          </w:cols>
          <w:pgMar w:left="320" w:top="1279" w:right="319" w:bottom="1440" w:gutter="0" w:footer="0" w:header="0"/>
        </w:sectPr>
      </w:pPr>
    </w:p>
    <w:bookmarkStart w:id="471" w:name="page472"/>
    <w:bookmarkEnd w:id="471"/>
    <w:p>
      <w:pPr>
        <w:jc w:val="both"/>
        <w:spacing w:after="0" w:line="262" w:lineRule="auto"/>
        <w:rPr>
          <w:sz w:val="20"/>
          <w:szCs w:val="20"/>
          <w:color w:val="auto"/>
        </w:rPr>
      </w:pPr>
      <w:r>
        <w:rPr>
          <w:rFonts w:ascii="Arial" w:cs="Arial" w:eastAsia="Arial" w:hAnsi="Arial"/>
          <w:sz w:val="19"/>
          <w:szCs w:val="19"/>
          <w:color w:val="auto"/>
        </w:rPr>
        <w:t>such indemnification under applicable law; provided, however, that such sixty (60)-day period may be extended for a reasonable time, not to exceed an additional thirty (30) days, if the Determining Party in good faith requires such additional time to obtain or evaluate documentation and/or information relating thereto.</w:t>
      </w:r>
    </w:p>
    <w:p>
      <w:pPr>
        <w:spacing w:after="0" w:line="109" w:lineRule="exact"/>
        <w:rPr>
          <w:sz w:val="20"/>
          <w:szCs w:val="20"/>
          <w:color w:val="auto"/>
        </w:rPr>
      </w:pPr>
    </w:p>
    <w:p>
      <w:pPr>
        <w:jc w:val="both"/>
        <w:ind w:firstLine="1716"/>
        <w:spacing w:after="0" w:line="253" w:lineRule="auto"/>
        <w:tabs>
          <w:tab w:leader="none" w:pos="2154" w:val="left"/>
        </w:tabs>
        <w:numPr>
          <w:ilvl w:val="0"/>
          <w:numId w:val="257"/>
        </w:numPr>
        <w:rPr>
          <w:rFonts w:ascii="Arial" w:cs="Arial" w:eastAsia="Arial" w:hAnsi="Arial"/>
          <w:sz w:val="19"/>
          <w:szCs w:val="19"/>
          <w:color w:val="auto"/>
        </w:rPr>
      </w:pPr>
      <w:r>
        <w:rPr>
          <w:rFonts w:ascii="Arial" w:cs="Arial" w:eastAsia="Arial" w:hAnsi="Arial"/>
          <w:sz w:val="19"/>
          <w:szCs w:val="19"/>
          <w:color w:val="auto"/>
        </w:rPr>
        <w:t>Indemnitee shall cooperate with the Determining Party, including providing to the Determining Party upon reasonable advance request any documentation or information which is not privileged or otherwise protected from disclosure and which is reasonably available to Indemnitee and reasonably necessary to such determination. Any Determining Party shall act reasonably and in good faith in making a determination regarding the Indemnitee’s entitlement to indemnification under this Agreement. Any costs or expenses (including attorneys’ fees and disbursements) incurred by Indemnitee in so cooperating with the Determining Party shall be borne by the Company (irrespective of the determination as to Indemnitee’s entitlement to indemnification) and the Company hereby indemnifies and agrees to hold Indemnitee harmless therefrom.</w:t>
      </w:r>
    </w:p>
    <w:p>
      <w:pPr>
        <w:spacing w:after="0" w:line="120" w:lineRule="exact"/>
        <w:rPr>
          <w:rFonts w:ascii="Arial" w:cs="Arial" w:eastAsia="Arial" w:hAnsi="Arial"/>
          <w:sz w:val="19"/>
          <w:szCs w:val="19"/>
          <w:color w:val="auto"/>
        </w:rPr>
      </w:pPr>
    </w:p>
    <w:p>
      <w:pPr>
        <w:ind w:right="20" w:firstLine="1716"/>
        <w:spacing w:after="0" w:line="275" w:lineRule="auto"/>
        <w:tabs>
          <w:tab w:leader="none" w:pos="2204" w:val="left"/>
        </w:tabs>
        <w:numPr>
          <w:ilvl w:val="0"/>
          <w:numId w:val="257"/>
        </w:numPr>
        <w:rPr>
          <w:rFonts w:ascii="Arial" w:cs="Arial" w:eastAsia="Arial" w:hAnsi="Arial"/>
          <w:sz w:val="19"/>
          <w:szCs w:val="19"/>
          <w:color w:val="auto"/>
        </w:rPr>
      </w:pPr>
      <w:r>
        <w:rPr>
          <w:rFonts w:ascii="Arial" w:cs="Arial" w:eastAsia="Arial" w:hAnsi="Arial"/>
          <w:sz w:val="19"/>
          <w:szCs w:val="19"/>
          <w:color w:val="auto"/>
        </w:rPr>
        <w:t>In addition, Indemnitee shall reasonably cooperate with the Company in connection with the Proceeding, including providing the Company with such information as may be reasonably appropriate.</w:t>
      </w:r>
    </w:p>
    <w:p>
      <w:pPr>
        <w:spacing w:after="0" w:line="96" w:lineRule="exact"/>
        <w:rPr>
          <w:rFonts w:ascii="Arial" w:cs="Arial" w:eastAsia="Arial" w:hAnsi="Arial"/>
          <w:sz w:val="19"/>
          <w:szCs w:val="19"/>
          <w:color w:val="auto"/>
        </w:rPr>
      </w:pPr>
    </w:p>
    <w:p>
      <w:pPr>
        <w:jc w:val="both"/>
        <w:ind w:firstLine="1716"/>
        <w:spacing w:after="0" w:line="254" w:lineRule="auto"/>
        <w:tabs>
          <w:tab w:leader="none" w:pos="2194"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The Company acknowledges that a settlement or other disposition short of final judgment may be successful if it permits a party to avoid expense, delay, distraction, disruption and uncertainty. In the event that a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118" w:lineRule="exact"/>
        <w:rPr>
          <w:rFonts w:ascii="Arial" w:cs="Arial" w:eastAsia="Arial" w:hAnsi="Arial"/>
          <w:sz w:val="19"/>
          <w:szCs w:val="19"/>
          <w:color w:val="auto"/>
        </w:rPr>
      </w:pPr>
    </w:p>
    <w:p>
      <w:pPr>
        <w:jc w:val="both"/>
        <w:ind w:firstLine="1716"/>
        <w:spacing w:after="0" w:line="255" w:lineRule="auto"/>
        <w:tabs>
          <w:tab w:leader="none" w:pos="2251"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117" w:lineRule="exact"/>
        <w:rPr>
          <w:rFonts w:ascii="Arial" w:cs="Arial" w:eastAsia="Arial" w:hAnsi="Arial"/>
          <w:sz w:val="19"/>
          <w:szCs w:val="19"/>
          <w:color w:val="auto"/>
        </w:rPr>
      </w:pPr>
    </w:p>
    <w:p>
      <w:pPr>
        <w:jc w:val="both"/>
        <w:ind w:firstLine="1716"/>
        <w:spacing w:after="0" w:line="270" w:lineRule="auto"/>
        <w:tabs>
          <w:tab w:leader="none" w:pos="216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Indemnitee shall have the sole right and obligation to control the defense or conduct of any claim or Proceeding with respect to Indemnitee, except that Indemnitee shall not make any admission or effect any settlement with respect to any such Proceeding without the Company’s prior written consent (not to be unreasonably withheld, conditioned or delayed). The Company shall not, without the prior written consent of Indemnitee (not to be unreasonably withheld, conditioned or delayed), enter into any settlement of any Proceeding in which the Indemnitee is or could reasonably become a party or which potentially or actually imposes any Expenses, liabilities, exposure or burden on Indemnitee unless (i) such settlement solely involves the payment of money or performance of any obligation by persons other than Indemnitee and includes an unconditional, full release of Indemnitee by all relevant</w:t>
      </w:r>
    </w:p>
    <w:p>
      <w:pPr>
        <w:sectPr>
          <w:pgSz w:w="11900" w:h="16838" w:orient="portrait"/>
          <w:cols w:equalWidth="0" w:num="1">
            <w:col w:w="11260"/>
          </w:cols>
          <w:pgMar w:left="320" w:top="1279" w:right="319" w:bottom="1440" w:gutter="0" w:footer="0" w:header="0"/>
        </w:sectPr>
      </w:pPr>
    </w:p>
    <w:bookmarkStart w:id="472" w:name="page473"/>
    <w:bookmarkEnd w:id="472"/>
    <w:p>
      <w:pPr>
        <w:jc w:val="both"/>
        <w:spacing w:after="0" w:line="307" w:lineRule="auto"/>
        <w:rPr>
          <w:sz w:val="20"/>
          <w:szCs w:val="20"/>
          <w:color w:val="auto"/>
        </w:rPr>
      </w:pPr>
      <w:r>
        <w:rPr>
          <w:rFonts w:ascii="Arial" w:cs="Arial" w:eastAsia="Arial" w:hAnsi="Arial"/>
          <w:sz w:val="17"/>
          <w:szCs w:val="17"/>
          <w:color w:val="auto"/>
        </w:rPr>
        <w:t>parties from all liability on any matters that are the subject of such Proceeding and an acknowledgment that Indemnitee denies all wrongdoing in connection with such matters and (ii) the Company has fully indemnified the Indemnitee with respect to, and held Indemnitee harmless from and against, all Expenses and liabilities incurred by Indemnitee or on behalf of Indemnitee in connection with such Proceeding.</w:t>
      </w:r>
    </w:p>
    <w:p>
      <w:pPr>
        <w:spacing w:after="0" w:line="74" w:lineRule="exact"/>
        <w:rPr>
          <w:sz w:val="20"/>
          <w:szCs w:val="20"/>
          <w:color w:val="auto"/>
        </w:rPr>
      </w:pPr>
    </w:p>
    <w:p>
      <w:pPr>
        <w:ind w:left="1480" w:hanging="337"/>
        <w:spacing w:after="0"/>
        <w:tabs>
          <w:tab w:leader="none" w:pos="1480" w:val="left"/>
        </w:tabs>
        <w:numPr>
          <w:ilvl w:val="0"/>
          <w:numId w:val="258"/>
        </w:numPr>
        <w:rPr>
          <w:rFonts w:ascii="Arial" w:cs="Arial" w:eastAsia="Arial" w:hAnsi="Arial"/>
          <w:sz w:val="19"/>
          <w:szCs w:val="19"/>
          <w:color w:val="auto"/>
        </w:rPr>
      </w:pPr>
      <w:r>
        <w:rPr>
          <w:rFonts w:ascii="Arial" w:cs="Arial" w:eastAsia="Arial" w:hAnsi="Arial"/>
          <w:sz w:val="19"/>
          <w:szCs w:val="19"/>
          <w:u w:val="single" w:color="auto"/>
          <w:color w:val="auto"/>
        </w:rPr>
        <w:t>Remedies of Indemnitee</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firstLine="1716"/>
        <w:spacing w:after="0" w:line="267" w:lineRule="auto"/>
        <w:tabs>
          <w:tab w:leader="none" w:pos="215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In the event that (i) a determination is made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Agreement that Indemnitee is not entitled to indemnification under this Agreement, (ii) advancement of Expenses is not timely made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(iii) no determination of entitlement to indemnification is made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within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180 days following the date on which Indemnitee first has the right to commence such proceeding pursuant to this </w:t>
      </w:r>
      <w:r>
        <w:rPr>
          <w:rFonts w:ascii="Arial" w:cs="Arial" w:eastAsia="Arial" w:hAnsi="Arial"/>
          <w:sz w:val="18"/>
          <w:szCs w:val="18"/>
          <w:u w:val="single" w:color="auto"/>
          <w:color w:val="auto"/>
        </w:rPr>
        <w:t>Section 7(a)</w:t>
      </w:r>
      <w:r>
        <w:rPr>
          <w:rFonts w:ascii="Arial" w:cs="Arial" w:eastAsia="Arial" w:hAnsi="Arial"/>
          <w:sz w:val="18"/>
          <w:szCs w:val="18"/>
          <w:color w:val="auto"/>
        </w:rPr>
        <w:t>. The Company shall not oppose Indemnitee’s right to seek any such adjudication.</w:t>
      </w:r>
    </w:p>
    <w:p>
      <w:pPr>
        <w:spacing w:after="0" w:line="111" w:lineRule="exact"/>
        <w:rPr>
          <w:rFonts w:ascii="Arial" w:cs="Arial" w:eastAsia="Arial" w:hAnsi="Arial"/>
          <w:sz w:val="18"/>
          <w:szCs w:val="18"/>
          <w:color w:val="auto"/>
        </w:rPr>
      </w:pPr>
    </w:p>
    <w:p>
      <w:pPr>
        <w:jc w:val="both"/>
        <w:ind w:right="20" w:firstLine="1716"/>
        <w:spacing w:after="0" w:line="283" w:lineRule="auto"/>
        <w:tabs>
          <w:tab w:leader="none" w:pos="2171"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that Indemnitee is not entitled to indemnification, any judicial proceeding commenced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be conducted in all respects as a de novo trial on the merits, and Indemnitee shall not be prejudiced by reason of the adverse determination under </w:t>
      </w:r>
      <w:r>
        <w:rPr>
          <w:rFonts w:ascii="Arial" w:cs="Arial" w:eastAsia="Arial" w:hAnsi="Arial"/>
          <w:sz w:val="18"/>
          <w:szCs w:val="18"/>
          <w:u w:val="single" w:color="auto"/>
          <w:color w:val="auto"/>
        </w:rPr>
        <w:t>Section 6(b)</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jc w:val="both"/>
        <w:ind w:firstLine="1716"/>
        <w:spacing w:after="0" w:line="276" w:lineRule="auto"/>
        <w:tabs>
          <w:tab w:leader="none" w:pos="221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If a determination shall have been made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that Indemnitee is entitled to indemnification, the Company shall be bound by such determination in any judicial proceeding commenced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99" w:lineRule="exact"/>
        <w:rPr>
          <w:rFonts w:ascii="Arial" w:cs="Arial" w:eastAsia="Arial" w:hAnsi="Arial"/>
          <w:sz w:val="18"/>
          <w:szCs w:val="18"/>
          <w:color w:val="auto"/>
        </w:rPr>
      </w:pPr>
    </w:p>
    <w:p>
      <w:pPr>
        <w:jc w:val="both"/>
        <w:ind w:firstLine="1716"/>
        <w:spacing w:after="0" w:line="273" w:lineRule="auto"/>
        <w:tabs>
          <w:tab w:leader="none" w:pos="216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In the event that Indemnitee,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seeks a judicial adjudication of his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this Agreement) actually and reasonably incurred by him in such judicial adjudication, regardless of whether Indemnitee ultimately is determined to be entitled to such indemnification, advancement of expenses or insurance recovery.</w:t>
      </w:r>
    </w:p>
    <w:p>
      <w:pPr>
        <w:sectPr>
          <w:pgSz w:w="11900" w:h="16838" w:orient="portrait"/>
          <w:cols w:equalWidth="0" w:num="1">
            <w:col w:w="11260"/>
          </w:cols>
          <w:pgMar w:left="320" w:top="1280" w:right="319" w:bottom="1440" w:gutter="0" w:footer="0" w:header="0"/>
        </w:sectPr>
      </w:pPr>
    </w:p>
    <w:bookmarkStart w:id="473" w:name="page474"/>
    <w:bookmarkEnd w:id="473"/>
    <w:p>
      <w:pPr>
        <w:jc w:val="both"/>
        <w:ind w:left="-1120" w:firstLine="1716"/>
        <w:spacing w:after="0" w:line="253" w:lineRule="auto"/>
        <w:tabs>
          <w:tab w:leader="none" w:pos="1023" w:val="left"/>
        </w:tabs>
        <w:numPr>
          <w:ilvl w:val="1"/>
          <w:numId w:val="259"/>
        </w:numPr>
        <w:rPr>
          <w:rFonts w:ascii="Arial" w:cs="Arial" w:eastAsia="Arial" w:hAnsi="Arial"/>
          <w:sz w:val="19"/>
          <w:szCs w:val="19"/>
          <w:color w:val="auto"/>
        </w:rPr>
      </w:pPr>
      <w:r>
        <w:rPr>
          <w:rFonts w:ascii="Arial" w:cs="Arial" w:eastAsia="Arial" w:hAnsi="Arial"/>
          <w:sz w:val="19"/>
          <w:szCs w:val="19"/>
          <w:color w:val="auto"/>
        </w:rPr>
        <w:t xml:space="preserve">The Company shall be precluded from asserting in any judicial proceeding commenced pursuant to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17" w:lineRule="exact"/>
        <w:rPr>
          <w:rFonts w:ascii="Arial" w:cs="Arial" w:eastAsia="Arial" w:hAnsi="Arial"/>
          <w:sz w:val="19"/>
          <w:szCs w:val="19"/>
          <w:color w:val="auto"/>
        </w:rPr>
      </w:pPr>
    </w:p>
    <w:p>
      <w:pPr>
        <w:ind w:left="-1120" w:firstLine="1716"/>
        <w:spacing w:after="0" w:line="275" w:lineRule="auto"/>
        <w:tabs>
          <w:tab w:leader="none" w:pos="1079" w:val="left"/>
        </w:tabs>
        <w:numPr>
          <w:ilvl w:val="1"/>
          <w:numId w:val="259"/>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no determination as to entitlement to indemnification under this Agreement shall be required to be made prior to the final disposition of the Proceeding.</w:t>
      </w:r>
    </w:p>
    <w:p>
      <w:pPr>
        <w:spacing w:after="0" w:line="96" w:lineRule="exact"/>
        <w:rPr>
          <w:rFonts w:ascii="Arial" w:cs="Arial" w:eastAsia="Arial" w:hAnsi="Arial"/>
          <w:sz w:val="19"/>
          <w:szCs w:val="19"/>
          <w:color w:val="auto"/>
        </w:rPr>
      </w:pPr>
    </w:p>
    <w:p>
      <w:pPr>
        <w:ind w:left="360" w:hanging="337"/>
        <w:spacing w:after="0"/>
        <w:tabs>
          <w:tab w:leader="none" w:pos="360" w:val="left"/>
        </w:tabs>
        <w:numPr>
          <w:ilvl w:val="0"/>
          <w:numId w:val="260"/>
        </w:numPr>
        <w:rPr>
          <w:rFonts w:ascii="Arial" w:cs="Arial" w:eastAsia="Arial" w:hAnsi="Arial"/>
          <w:sz w:val="19"/>
          <w:szCs w:val="19"/>
          <w:color w:val="auto"/>
        </w:rPr>
      </w:pPr>
      <w:r>
        <w:rPr>
          <w:rFonts w:ascii="Arial" w:cs="Arial" w:eastAsia="Arial" w:hAnsi="Arial"/>
          <w:sz w:val="19"/>
          <w:szCs w:val="19"/>
          <w:u w:val="single" w:color="auto"/>
          <w:color w:val="auto"/>
        </w:rPr>
        <w:t>Non-Exclusivity; Survival of Rights; Insurance; Primacy of Indemnification; Subrogation</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left="-1120" w:firstLine="1716"/>
        <w:spacing w:after="0" w:line="285" w:lineRule="auto"/>
        <w:tabs>
          <w:tab w:leader="none" w:pos="1092"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The rights of indemnification as provided by this Agreement shall not be deemed exclusive of any other rights to which Indemnitee may at any time be entitled under applicable law, the Certificate of Incorporation, the By-laws, any agreement, a vote of stockholders, a resolution of directors or otherwise, of the Company.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DGCL, whether by statute or judicial decision, permits greater indemnification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92" w:lineRule="exact"/>
        <w:rPr>
          <w:rFonts w:ascii="Arial" w:cs="Arial" w:eastAsia="Arial" w:hAnsi="Arial"/>
          <w:sz w:val="17"/>
          <w:szCs w:val="17"/>
          <w:color w:val="auto"/>
        </w:rPr>
      </w:pPr>
    </w:p>
    <w:p>
      <w:pPr>
        <w:jc w:val="both"/>
        <w:ind w:left="-1120" w:firstLine="1716"/>
        <w:spacing w:after="0" w:line="253" w:lineRule="auto"/>
        <w:tabs>
          <w:tab w:leader="none" w:pos="1152" w:val="left"/>
        </w:tabs>
        <w:numPr>
          <w:ilvl w:val="1"/>
          <w:numId w:val="260"/>
        </w:numPr>
        <w:rPr>
          <w:rFonts w:ascii="Arial" w:cs="Arial" w:eastAsia="Arial" w:hAnsi="Arial"/>
          <w:sz w:val="19"/>
          <w:szCs w:val="19"/>
          <w:color w:val="auto"/>
        </w:rPr>
      </w:pPr>
      <w:r>
        <w:rPr>
          <w:rFonts w:ascii="Arial" w:cs="Arial" w:eastAsia="Arial" w:hAnsi="Arial"/>
          <w:sz w:val="19"/>
          <w:szCs w:val="19"/>
          <w:color w:val="auto"/>
        </w:rPr>
        <w:t>The Company shall use commercially reasonable efforts to obtain and maintain an insurance policy or policies providing liability insurance for directors serving on the Board and the board of directors of the Company’s subsidiaries in an aggregate amount and on such other terms and conditions as are reasonable and customary for a publicly listed company with a market capitalization comparable to the Company. The Company shall give prompt notice of the commencement of any claim or Proceeding to the director and officer liability insurers in accordance with the procedures set forth in the respective policies. The Company shall thereafter take all necessary or desirable actions to cause such insurers to pay, on behalf of the Indemnitee, all amounts payable as a result of such claim or Proceeding in accordance with the terms of such policies.</w:t>
      </w:r>
    </w:p>
    <w:p>
      <w:pPr>
        <w:sectPr>
          <w:pgSz w:w="11900" w:h="16838" w:orient="portrait"/>
          <w:cols w:equalWidth="0" w:num="1">
            <w:col w:w="10140"/>
          </w:cols>
          <w:pgMar w:left="1440" w:top="1279" w:right="319" w:bottom="1440" w:gutter="0" w:footer="0" w:header="0"/>
        </w:sectPr>
      </w:pPr>
    </w:p>
    <w:bookmarkStart w:id="474" w:name="page475"/>
    <w:bookmarkEnd w:id="474"/>
    <w:p>
      <w:pPr>
        <w:jc w:val="both"/>
        <w:ind w:left="-1120" w:firstLine="1716"/>
        <w:spacing w:after="0" w:line="283" w:lineRule="auto"/>
        <w:tabs>
          <w:tab w:leader="none" w:pos="1057" w:val="left"/>
        </w:tabs>
        <w:numPr>
          <w:ilvl w:val="1"/>
          <w:numId w:val="261"/>
        </w:numPr>
        <w:rPr>
          <w:rFonts w:ascii="Arial" w:cs="Arial" w:eastAsia="Arial" w:hAnsi="Arial"/>
          <w:sz w:val="17"/>
          <w:szCs w:val="17"/>
          <w:color w:val="auto"/>
        </w:rPr>
      </w:pPr>
      <w:r>
        <w:rPr>
          <w:rFonts w:ascii="Arial" w:cs="Arial" w:eastAsia="Arial" w:hAnsi="Arial"/>
          <w:sz w:val="17"/>
          <w:szCs w:val="17"/>
          <w:color w:val="auto"/>
        </w:rPr>
        <w:t>The Company hereby acknowledges that Indemnitee has certain rights to indemnification, advancement of expenses and/or insurance provided by the VC Funds. The Company hereby agrees (i) that it is the indemnitor of first resort (i.e., its obligations to Indemnitee are primary and any obligation of the VC Funds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VC Funds, and (iii) that it irrevocably waives, relinquishes and releases the VC Funds from any and all claims against the VC Funds for contribution, subrogation or any other recovery of any kind in respect thereof. The Company further agrees that no advancement or payment by the VC Funds on behalf of Indemnitee with respect to any claim for which Indemnitee has sought indemnification from the Company shall affect the foregoing and the VC Funds shall have a right of contribution and/or be subrogated to the extent of such advancement or payment to all of the rights of recovery of Indemnitee against the Company. The Company and Indemnitee agree that the VC Funds are express third party beneficiaries of the terms of this Section 8(c).</w:t>
      </w:r>
    </w:p>
    <w:p>
      <w:pPr>
        <w:spacing w:after="0" w:line="102" w:lineRule="exact"/>
        <w:rPr>
          <w:rFonts w:ascii="Arial" w:cs="Arial" w:eastAsia="Arial" w:hAnsi="Arial"/>
          <w:sz w:val="17"/>
          <w:szCs w:val="17"/>
          <w:color w:val="auto"/>
        </w:rPr>
      </w:pPr>
    </w:p>
    <w:p>
      <w:pPr>
        <w:jc w:val="both"/>
        <w:ind w:left="-1120" w:right="20" w:firstLine="1716"/>
        <w:spacing w:after="0" w:line="258" w:lineRule="auto"/>
        <w:tabs>
          <w:tab w:leader="none" w:pos="1048" w:val="left"/>
        </w:tabs>
        <w:numPr>
          <w:ilvl w:val="1"/>
          <w:numId w:val="261"/>
        </w:numPr>
        <w:rPr>
          <w:rFonts w:ascii="Arial" w:cs="Arial" w:eastAsia="Arial" w:hAnsi="Arial"/>
          <w:sz w:val="19"/>
          <w:szCs w:val="19"/>
          <w:color w:val="auto"/>
        </w:rPr>
      </w:pPr>
      <w:r>
        <w:rPr>
          <w:rFonts w:ascii="Arial" w:cs="Arial" w:eastAsia="Arial" w:hAnsi="Arial"/>
          <w:sz w:val="19"/>
          <w:szCs w:val="19"/>
          <w:color w:val="auto"/>
        </w:rPr>
        <w:t>Except as provided in paragraph (c) above, in the event of any payment under this Agreement, the Company shall be subrogated to the extent of such payment to all of the rights of recovery of Indemnitee (other than against the VC Funds), who shall execute all papers required and take all action necessary to secure such rights, including execution of such documents as are necessary to enable the Company to bring suit to enforce such rights.</w:t>
      </w:r>
    </w:p>
    <w:p>
      <w:pPr>
        <w:spacing w:after="0" w:line="112" w:lineRule="exact"/>
        <w:rPr>
          <w:rFonts w:ascii="Arial" w:cs="Arial" w:eastAsia="Arial" w:hAnsi="Arial"/>
          <w:sz w:val="19"/>
          <w:szCs w:val="19"/>
          <w:color w:val="auto"/>
        </w:rPr>
      </w:pPr>
    </w:p>
    <w:p>
      <w:pPr>
        <w:jc w:val="both"/>
        <w:ind w:left="-1120" w:firstLine="1716"/>
        <w:spacing w:after="0" w:line="262" w:lineRule="auto"/>
        <w:tabs>
          <w:tab w:leader="none" w:pos="1128" w:val="left"/>
        </w:tabs>
        <w:numPr>
          <w:ilvl w:val="1"/>
          <w:numId w:val="261"/>
        </w:numPr>
        <w:rPr>
          <w:rFonts w:ascii="Arial" w:cs="Arial" w:eastAsia="Arial" w:hAnsi="Arial"/>
          <w:sz w:val="19"/>
          <w:szCs w:val="19"/>
          <w:color w:val="auto"/>
        </w:rPr>
      </w:pPr>
      <w:r>
        <w:rPr>
          <w:rFonts w:ascii="Arial" w:cs="Arial" w:eastAsia="Arial" w:hAnsi="Arial"/>
          <w:sz w:val="19"/>
          <w:szCs w:val="19"/>
          <w:color w:val="auto"/>
        </w:rPr>
        <w:t>Except as provided in paragraph (c) above, 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08" w:lineRule="exact"/>
        <w:rPr>
          <w:rFonts w:ascii="Arial" w:cs="Arial" w:eastAsia="Arial" w:hAnsi="Arial"/>
          <w:sz w:val="19"/>
          <w:szCs w:val="19"/>
          <w:color w:val="auto"/>
        </w:rPr>
      </w:pPr>
    </w:p>
    <w:p>
      <w:pPr>
        <w:jc w:val="both"/>
        <w:ind w:left="-1120" w:firstLine="1716"/>
        <w:spacing w:after="0" w:line="255" w:lineRule="auto"/>
        <w:tabs>
          <w:tab w:leader="none" w:pos="1012" w:val="left"/>
        </w:tabs>
        <w:numPr>
          <w:ilvl w:val="1"/>
          <w:numId w:val="261"/>
        </w:numPr>
        <w:rPr>
          <w:rFonts w:ascii="Arial" w:cs="Arial" w:eastAsia="Arial" w:hAnsi="Arial"/>
          <w:sz w:val="19"/>
          <w:szCs w:val="19"/>
          <w:color w:val="auto"/>
        </w:rPr>
      </w:pPr>
      <w:r>
        <w:rPr>
          <w:rFonts w:ascii="Arial" w:cs="Arial" w:eastAsia="Arial" w:hAnsi="Arial"/>
          <w:sz w:val="19"/>
          <w:szCs w:val="19"/>
          <w:color w:val="auto"/>
        </w:rPr>
        <w:t>Except as provided in paragraph (c) above, the Company’s obligation to indemnify or advance Expenses hereunder to Indemnitee who is or was serving at the request of the Company as a director, officer, employee or agent of any other corporation, partnership, limited liability company, joint venture, trust, employee benefit plan or other enterprise shall be reduced by any amount Indemnitee has actually received as indemnification or advancement of expenses from such other corporation, partnership, limited liability company, joint venture, trust, employee benefit plan or other enterprise.</w:t>
      </w:r>
    </w:p>
    <w:p>
      <w:pPr>
        <w:spacing w:after="0" w:line="117" w:lineRule="exact"/>
        <w:rPr>
          <w:rFonts w:ascii="Arial" w:cs="Arial" w:eastAsia="Arial" w:hAnsi="Arial"/>
          <w:sz w:val="19"/>
          <w:szCs w:val="19"/>
          <w:color w:val="auto"/>
        </w:rPr>
      </w:pPr>
    </w:p>
    <w:p>
      <w:pPr>
        <w:ind w:left="-1120" w:right="20" w:firstLine="1143"/>
        <w:spacing w:after="0" w:line="275" w:lineRule="auto"/>
        <w:tabs>
          <w:tab w:leader="none" w:pos="386" w:val="left"/>
        </w:tabs>
        <w:numPr>
          <w:ilvl w:val="0"/>
          <w:numId w:val="262"/>
        </w:numPr>
        <w:rPr>
          <w:rFonts w:ascii="Arial" w:cs="Arial" w:eastAsia="Arial" w:hAnsi="Arial"/>
          <w:sz w:val="19"/>
          <w:szCs w:val="19"/>
          <w:color w:val="auto"/>
        </w:rPr>
      </w:pPr>
      <w:r>
        <w:rPr>
          <w:rFonts w:ascii="Arial" w:cs="Arial" w:eastAsia="Arial" w:hAnsi="Arial"/>
          <w:sz w:val="19"/>
          <w:szCs w:val="19"/>
          <w:u w:val="single" w:color="auto"/>
          <w:color w:val="auto"/>
        </w:rPr>
        <w:t>Exception to Right of Indemnification</w:t>
      </w:r>
      <w:r>
        <w:rPr>
          <w:rFonts w:ascii="Arial" w:cs="Arial" w:eastAsia="Arial" w:hAnsi="Arial"/>
          <w:sz w:val="19"/>
          <w:szCs w:val="19"/>
          <w:color w:val="auto"/>
        </w:rPr>
        <w:t>. Notwithstanding any provision in this Agreement, the Company shall not be obligated under this Agreement to make any indemnity in connection with any claim made against Indemnitee:</w:t>
      </w:r>
    </w:p>
    <w:p>
      <w:pPr>
        <w:spacing w:after="0" w:line="96" w:lineRule="exact"/>
        <w:rPr>
          <w:rFonts w:ascii="Arial" w:cs="Arial" w:eastAsia="Arial" w:hAnsi="Arial"/>
          <w:sz w:val="19"/>
          <w:szCs w:val="19"/>
          <w:color w:val="auto"/>
        </w:rPr>
      </w:pPr>
    </w:p>
    <w:p>
      <w:pPr>
        <w:ind w:left="-1120" w:right="20" w:firstLine="1716"/>
        <w:spacing w:after="0" w:line="304" w:lineRule="auto"/>
        <w:tabs>
          <w:tab w:leader="none" w:pos="115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ectPr>
          <w:pgSz w:w="11900" w:h="16838" w:orient="portrait"/>
          <w:cols w:equalWidth="0" w:num="1">
            <w:col w:w="10140"/>
          </w:cols>
          <w:pgMar w:left="1440" w:top="1279" w:right="319" w:bottom="1440" w:gutter="0" w:footer="0" w:header="0"/>
        </w:sectPr>
      </w:pPr>
    </w:p>
    <w:bookmarkStart w:id="475" w:name="page476"/>
    <w:bookmarkEnd w:id="475"/>
    <w:p>
      <w:pPr>
        <w:jc w:val="both"/>
        <w:ind w:left="-1120" w:right="20" w:firstLine="1716"/>
        <w:spacing w:after="0" w:line="262" w:lineRule="auto"/>
        <w:tabs>
          <w:tab w:leader="none" w:pos="1035" w:val="left"/>
        </w:tabs>
        <w:numPr>
          <w:ilvl w:val="1"/>
          <w:numId w:val="263"/>
        </w:numPr>
        <w:rPr>
          <w:rFonts w:ascii="Arial" w:cs="Arial" w:eastAsia="Arial" w:hAnsi="Arial"/>
          <w:sz w:val="19"/>
          <w:szCs w:val="19"/>
          <w:color w:val="auto"/>
        </w:rPr>
      </w:pPr>
      <w:r>
        <w:rPr>
          <w:rFonts w:ascii="Arial" w:cs="Arial" w:eastAsia="Arial" w:hAnsi="Arial"/>
          <w:sz w:val="19"/>
          <w:szCs w:val="19"/>
          <w:color w:val="auto"/>
        </w:rPr>
        <w:t xml:space="preserve">for an accounting of profits made from the purchase and sale (or sale and purchase) by Indemnitee of securities of the Company within the meaning of </w:t>
      </w:r>
      <w:r>
        <w:rPr>
          <w:rFonts w:ascii="Arial" w:cs="Arial" w:eastAsia="Arial" w:hAnsi="Arial"/>
          <w:sz w:val="19"/>
          <w:szCs w:val="19"/>
          <w:u w:val="single" w:color="auto"/>
          <w:color w:val="auto"/>
        </w:rPr>
        <w:t>Section 16(b)</w:t>
      </w:r>
      <w:r>
        <w:rPr>
          <w:rFonts w:ascii="Arial" w:cs="Arial" w:eastAsia="Arial" w:hAnsi="Arial"/>
          <w:sz w:val="19"/>
          <w:szCs w:val="19"/>
          <w:color w:val="auto"/>
        </w:rPr>
        <w:t xml:space="preserve"> of the Securities Exchange Act of 1934, as amended, or similar provisions of state statutory law or common law; or</w:t>
      </w:r>
    </w:p>
    <w:p>
      <w:pPr>
        <w:spacing w:after="0" w:line="108" w:lineRule="exact"/>
        <w:rPr>
          <w:rFonts w:ascii="Arial" w:cs="Arial" w:eastAsia="Arial" w:hAnsi="Arial"/>
          <w:sz w:val="19"/>
          <w:szCs w:val="19"/>
          <w:color w:val="auto"/>
        </w:rPr>
      </w:pPr>
    </w:p>
    <w:p>
      <w:pPr>
        <w:jc w:val="both"/>
        <w:ind w:left="-1120" w:firstLine="1716"/>
        <w:spacing w:after="0" w:line="258" w:lineRule="auto"/>
        <w:tabs>
          <w:tab w:leader="none" w:pos="1035" w:val="left"/>
        </w:tabs>
        <w:numPr>
          <w:ilvl w:val="1"/>
          <w:numId w:val="263"/>
        </w:numPr>
        <w:rPr>
          <w:rFonts w:ascii="Arial" w:cs="Arial" w:eastAsia="Arial" w:hAnsi="Arial"/>
          <w:sz w:val="19"/>
          <w:szCs w:val="19"/>
          <w:color w:val="auto"/>
        </w:rPr>
      </w:pPr>
      <w:r>
        <w:rPr>
          <w:rFonts w:ascii="Arial" w:cs="Arial" w:eastAsia="Arial" w:hAnsi="Arial"/>
          <w:sz w:val="19"/>
          <w:szCs w:val="19"/>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112" w:lineRule="exact"/>
        <w:rPr>
          <w:rFonts w:ascii="Arial" w:cs="Arial" w:eastAsia="Arial" w:hAnsi="Arial"/>
          <w:sz w:val="19"/>
          <w:szCs w:val="19"/>
          <w:color w:val="auto"/>
        </w:rPr>
      </w:pPr>
    </w:p>
    <w:p>
      <w:pPr>
        <w:jc w:val="both"/>
        <w:ind w:left="-1120" w:firstLine="1143"/>
        <w:spacing w:after="0" w:line="271" w:lineRule="auto"/>
        <w:tabs>
          <w:tab w:leader="none" w:pos="493"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Duration of Agreement</w:t>
      </w:r>
      <w:r>
        <w:rPr>
          <w:rFonts w:ascii="Arial" w:cs="Arial" w:eastAsia="Arial" w:hAnsi="Arial"/>
          <w:sz w:val="18"/>
          <w:szCs w:val="18"/>
          <w:color w:val="auto"/>
        </w:rPr>
        <w:t>. Due to the uncertain application of any statutes of limitations that may govern any Proceeding, this Agreement and all obligations of the Company contained herein shall be of indefinite duration. This Agreement shall continue in effect regardless of whether Indemnitee continues to serve as a director or officer of or in any other capacity for, the Company or any other Person at the Company’s request.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03" w:lineRule="exact"/>
        <w:rPr>
          <w:rFonts w:ascii="Arial" w:cs="Arial" w:eastAsia="Arial" w:hAnsi="Arial"/>
          <w:sz w:val="18"/>
          <w:szCs w:val="18"/>
          <w:color w:val="auto"/>
        </w:rPr>
      </w:pPr>
    </w:p>
    <w:p>
      <w:pPr>
        <w:jc w:val="both"/>
        <w:ind w:left="-1120" w:right="20" w:firstLine="1143"/>
        <w:spacing w:after="0" w:line="307" w:lineRule="auto"/>
        <w:tabs>
          <w:tab w:leader="none" w:pos="474"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Security</w:t>
      </w:r>
      <w:r>
        <w:rPr>
          <w:rFonts w:ascii="Arial" w:cs="Arial" w:eastAsia="Arial" w:hAnsi="Arial"/>
          <w:sz w:val="17"/>
          <w:szCs w:val="17"/>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74" w:lineRule="exact"/>
        <w:rPr>
          <w:rFonts w:ascii="Arial" w:cs="Arial" w:eastAsia="Arial" w:hAnsi="Arial"/>
          <w:sz w:val="17"/>
          <w:szCs w:val="17"/>
          <w:color w:val="auto"/>
        </w:rPr>
      </w:pPr>
    </w:p>
    <w:p>
      <w:pPr>
        <w:jc w:val="both"/>
        <w:ind w:left="-1120" w:firstLine="1143"/>
        <w:spacing w:after="0" w:line="270" w:lineRule="auto"/>
        <w:tabs>
          <w:tab w:leader="none" w:pos="565"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Each of the Company and Indemnitee has all requisite authority and capacity to execute and deliver this Agreement and any and all instruments necessary or appropriate to effectuate fully the terms and conditions contained herein and the transactions contemplated here by. This Agreement has been duly authorized by all necessary action on the part of the Company and its stockholders, and this Agreement has been duly executed and delivered by each of the Company and Indemnitee and constitutes a valid and legally binding obligation of the Company and Indemnitee, respectively, enforceable in accordance with its terms and conditions, subject to applicable bankruptcy, insolvency, examinership, fraudulent transfer, reorganization, liquidation, dissolution, moratorium and other similar laws affecting or relating to creditors’ rights generally and subject to general principles of equity.</w:t>
      </w:r>
    </w:p>
    <w:p>
      <w:pPr>
        <w:spacing w:after="0" w:line="102" w:lineRule="exact"/>
        <w:rPr>
          <w:rFonts w:ascii="Arial" w:cs="Arial" w:eastAsia="Arial" w:hAnsi="Arial"/>
          <w:sz w:val="18"/>
          <w:szCs w:val="18"/>
          <w:color w:val="auto"/>
        </w:rPr>
      </w:pPr>
    </w:p>
    <w:p>
      <w:pPr>
        <w:jc w:val="both"/>
        <w:ind w:left="-1120" w:firstLine="1143"/>
        <w:spacing w:after="0" w:line="273" w:lineRule="auto"/>
        <w:tabs>
          <w:tab w:leader="none" w:pos="481"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No Violations</w:t>
      </w:r>
      <w:r>
        <w:rPr>
          <w:rFonts w:ascii="Arial" w:cs="Arial" w:eastAsia="Arial" w:hAnsi="Arial"/>
          <w:sz w:val="18"/>
          <w:szCs w:val="18"/>
          <w:color w:val="auto"/>
        </w:rPr>
        <w:t>. Neither the execution and delivery of this Agreement nor the consummation of the transactions contemplated hereby by each of the Company and Indemnitee shall violate any law, the result of which would prevent the Company or Indemnitee, as applicable, from consummating the transactions contemplated hereby or result in a breach of constitute a default under, result in the acceleration of, create in any party the rights to accelerate, terminate, modify or cancel, or require any notice under, any contract to which each of the Company and Indemnitee is a party or by which each of the Company and Indemnitee is bound</w:t>
      </w:r>
    </w:p>
    <w:p>
      <w:pPr>
        <w:sectPr>
          <w:pgSz w:w="11900" w:h="16838" w:orient="portrait"/>
          <w:cols w:equalWidth="0" w:num="1">
            <w:col w:w="10140"/>
          </w:cols>
          <w:pgMar w:left="1440" w:top="1279" w:right="319" w:bottom="1440" w:gutter="0" w:footer="0" w:header="0"/>
        </w:sectPr>
      </w:pPr>
    </w:p>
    <w:bookmarkStart w:id="476" w:name="page477"/>
    <w:bookmarkEnd w:id="476"/>
    <w:p>
      <w:pPr>
        <w:spacing w:after="0"/>
        <w:rPr>
          <w:sz w:val="20"/>
          <w:szCs w:val="20"/>
          <w:color w:val="auto"/>
        </w:rPr>
      </w:pPr>
      <w:r>
        <w:rPr>
          <w:rFonts w:ascii="Arial" w:cs="Arial" w:eastAsia="Arial" w:hAnsi="Arial"/>
          <w:sz w:val="17"/>
          <w:szCs w:val="17"/>
          <w:color w:val="auto"/>
        </w:rPr>
        <w:t>or to which any of the Company’s assets is subject, the result of which would prevent the consummation of the transactions contemplated hereby.</w:t>
      </w:r>
    </w:p>
    <w:p>
      <w:pPr>
        <w:spacing w:after="0" w:line="175" w:lineRule="exact"/>
        <w:rPr>
          <w:sz w:val="20"/>
          <w:szCs w:val="20"/>
          <w:color w:val="auto"/>
        </w:rPr>
      </w:pPr>
    </w:p>
    <w:p>
      <w:pPr>
        <w:jc w:val="both"/>
        <w:ind w:right="20" w:firstLine="1143"/>
        <w:spacing w:after="0" w:line="276" w:lineRule="auto"/>
        <w:tabs>
          <w:tab w:leader="none" w:pos="1613"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No Consents</w:t>
      </w:r>
      <w:r>
        <w:rPr>
          <w:rFonts w:ascii="Arial" w:cs="Arial" w:eastAsia="Arial" w:hAnsi="Arial"/>
          <w:sz w:val="18"/>
          <w:szCs w:val="18"/>
          <w:color w:val="auto"/>
        </w:rPr>
        <w:t>. No permit, authorization, order, consent or approval of or by, or any notification of or filing with, any person (governmental or private) is required in connection with the execution delivery and performance by the Company of this Agreement or the consummation by the Company of the transactions contemplated hereby that has not been obtained. The Company has obtained the requisite consent of the Company’s stockholders to enter into and perform the Company’s obligations under the terms of this Agreement.</w:t>
      </w:r>
    </w:p>
    <w:p>
      <w:pPr>
        <w:spacing w:after="0" w:line="99" w:lineRule="exact"/>
        <w:rPr>
          <w:rFonts w:ascii="Arial" w:cs="Arial" w:eastAsia="Arial" w:hAnsi="Arial"/>
          <w:sz w:val="18"/>
          <w:szCs w:val="18"/>
          <w:color w:val="auto"/>
        </w:rPr>
      </w:pPr>
    </w:p>
    <w:p>
      <w:pPr>
        <w:jc w:val="both"/>
        <w:ind w:right="20" w:firstLine="1143"/>
        <w:spacing w:after="0" w:line="262" w:lineRule="auto"/>
        <w:tabs>
          <w:tab w:leader="none" w:pos="1673" w:val="left"/>
        </w:tabs>
        <w:numPr>
          <w:ilvl w:val="0"/>
          <w:numId w:val="265"/>
        </w:numPr>
        <w:rPr>
          <w:rFonts w:ascii="Arial" w:cs="Arial" w:eastAsia="Arial" w:hAnsi="Arial"/>
          <w:sz w:val="19"/>
          <w:szCs w:val="19"/>
          <w:color w:val="auto"/>
        </w:rPr>
      </w:pPr>
      <w:r>
        <w:rPr>
          <w:rFonts w:ascii="Arial" w:cs="Arial" w:eastAsia="Arial" w:hAnsi="Arial"/>
          <w:sz w:val="19"/>
          <w:szCs w:val="19"/>
          <w:u w:val="single" w:color="auto"/>
          <w:color w:val="auto"/>
        </w:rPr>
        <w:t>No Action or Proceeding</w:t>
      </w:r>
      <w:r>
        <w:rPr>
          <w:rFonts w:ascii="Arial" w:cs="Arial" w:eastAsia="Arial" w:hAnsi="Arial"/>
          <w:sz w:val="19"/>
          <w:szCs w:val="19"/>
          <w:color w:val="auto"/>
        </w:rPr>
        <w:t>. There is no action, suit, proceeding or investigation pending or threatened against each of the Company and Indemnitee that question the validity of this Agreement or their respective rights to enter into this Agreement or to consummate the transactions contemplated hereby.</w:t>
      </w:r>
    </w:p>
    <w:p>
      <w:pPr>
        <w:spacing w:after="0" w:line="108" w:lineRule="exact"/>
        <w:rPr>
          <w:rFonts w:ascii="Arial" w:cs="Arial" w:eastAsia="Arial" w:hAnsi="Arial"/>
          <w:sz w:val="19"/>
          <w:szCs w:val="19"/>
          <w:color w:val="auto"/>
        </w:rPr>
      </w:pPr>
    </w:p>
    <w:p>
      <w:pPr>
        <w:jc w:val="both"/>
        <w:ind w:firstLine="1143"/>
        <w:spacing w:after="0" w:line="258" w:lineRule="auto"/>
        <w:tabs>
          <w:tab w:leader="none" w:pos="1577" w:val="left"/>
        </w:tabs>
        <w:numPr>
          <w:ilvl w:val="0"/>
          <w:numId w:val="265"/>
        </w:numPr>
        <w:rPr>
          <w:rFonts w:ascii="Arial" w:cs="Arial" w:eastAsia="Arial" w:hAnsi="Arial"/>
          <w:sz w:val="19"/>
          <w:szCs w:val="19"/>
          <w:color w:val="auto"/>
        </w:rPr>
      </w:pPr>
      <w:r>
        <w:rPr>
          <w:rFonts w:ascii="Arial" w:cs="Arial" w:eastAsia="Arial" w:hAnsi="Arial"/>
          <w:sz w:val="19"/>
          <w:szCs w:val="19"/>
          <w:u w:val="single" w:color="auto"/>
          <w:color w:val="auto"/>
        </w:rPr>
        <w:t>Mutual drafting</w:t>
      </w:r>
      <w:r>
        <w:rPr>
          <w:rFonts w:ascii="Arial" w:cs="Arial" w:eastAsia="Arial" w:hAnsi="Arial"/>
          <w:sz w:val="19"/>
          <w:szCs w:val="19"/>
          <w:color w:val="auto"/>
        </w:rPr>
        <w:t>. Each party has cooperated in the negotiation, drafting and preparation of this Agreement. Accordingly, in the event an ambiguity or question of intent or interpretation with respect to any term or provision of this Agreement arises, the language in all parts of this Agreement shall in all cases be construed as mutually chosen by the parties to express their mutual intent, and no rule of strict construction shall be applied against any party.</w:t>
      </w:r>
    </w:p>
    <w:p>
      <w:pPr>
        <w:spacing w:after="0" w:line="112" w:lineRule="exact"/>
        <w:rPr>
          <w:rFonts w:ascii="Arial" w:cs="Arial" w:eastAsia="Arial" w:hAnsi="Arial"/>
          <w:sz w:val="19"/>
          <w:szCs w:val="19"/>
          <w:color w:val="auto"/>
        </w:rPr>
      </w:pPr>
    </w:p>
    <w:p>
      <w:pPr>
        <w:ind w:left="1580" w:hanging="437"/>
        <w:spacing w:after="0"/>
        <w:tabs>
          <w:tab w:leader="none" w:pos="1580" w:val="left"/>
        </w:tabs>
        <w:numPr>
          <w:ilvl w:val="0"/>
          <w:numId w:val="265"/>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right="20" w:firstLine="1716"/>
        <w:spacing w:after="0" w:line="262" w:lineRule="auto"/>
        <w:tabs>
          <w:tab w:leader="none" w:pos="2226" w:val="left"/>
        </w:tabs>
        <w:numPr>
          <w:ilvl w:val="1"/>
          <w:numId w:val="265"/>
        </w:numPr>
        <w:rPr>
          <w:rFonts w:ascii="Arial" w:cs="Arial" w:eastAsia="Arial" w:hAnsi="Arial"/>
          <w:sz w:val="19"/>
          <w:szCs w:val="19"/>
          <w:color w:val="auto"/>
        </w:rPr>
      </w:pPr>
      <w:r>
        <w:rPr>
          <w:rFonts w:ascii="Arial" w:cs="Arial" w:eastAsia="Arial" w:hAnsi="Arial"/>
          <w:sz w:val="19"/>
          <w:szCs w:val="19"/>
          <w:color w:val="auto"/>
        </w:rPr>
        <w:t>The Company expressly confirms and agrees that it has entered into this Agreement and assumes the obligations imposed on it hereby in order to induce Indemnitee to serve as a director of the Company, and the Company acknowledges that Indemnitee is relying upon this Agreement in serving as a director of the Company.</w:t>
      </w:r>
    </w:p>
    <w:p>
      <w:pPr>
        <w:spacing w:after="0" w:line="108" w:lineRule="exact"/>
        <w:rPr>
          <w:rFonts w:ascii="Arial" w:cs="Arial" w:eastAsia="Arial" w:hAnsi="Arial"/>
          <w:sz w:val="19"/>
          <w:szCs w:val="19"/>
          <w:color w:val="auto"/>
        </w:rPr>
      </w:pPr>
    </w:p>
    <w:p>
      <w:pPr>
        <w:jc w:val="both"/>
        <w:ind w:firstLine="1716"/>
        <w:spacing w:after="0" w:line="262" w:lineRule="auto"/>
        <w:tabs>
          <w:tab w:leader="none" w:pos="2179" w:val="left"/>
        </w:tabs>
        <w:numPr>
          <w:ilvl w:val="1"/>
          <w:numId w:val="265"/>
        </w:numPr>
        <w:rPr>
          <w:rFonts w:ascii="Arial" w:cs="Arial" w:eastAsia="Arial" w:hAnsi="Arial"/>
          <w:sz w:val="19"/>
          <w:szCs w:val="19"/>
          <w:color w:val="auto"/>
        </w:rPr>
      </w:pPr>
      <w:r>
        <w:rPr>
          <w:rFonts w:ascii="Arial" w:cs="Arial" w:eastAsia="Arial" w:hAnsi="Arial"/>
          <w:sz w:val="19"/>
          <w:szCs w:val="19"/>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including the Prior Agreement.</w:t>
      </w:r>
    </w:p>
    <w:p>
      <w:pPr>
        <w:spacing w:after="0" w:line="108" w:lineRule="exact"/>
        <w:rPr>
          <w:rFonts w:ascii="Arial" w:cs="Arial" w:eastAsia="Arial" w:hAnsi="Arial"/>
          <w:sz w:val="19"/>
          <w:szCs w:val="19"/>
          <w:color w:val="auto"/>
        </w:rPr>
      </w:pPr>
    </w:p>
    <w:p>
      <w:pPr>
        <w:ind w:firstLine="1716"/>
        <w:spacing w:after="0" w:line="275" w:lineRule="auto"/>
        <w:tabs>
          <w:tab w:leader="none" w:pos="2138" w:val="left"/>
        </w:tabs>
        <w:numPr>
          <w:ilvl w:val="1"/>
          <w:numId w:val="265"/>
        </w:numPr>
        <w:rPr>
          <w:rFonts w:ascii="Arial" w:cs="Arial" w:eastAsia="Arial" w:hAnsi="Arial"/>
          <w:sz w:val="19"/>
          <w:szCs w:val="19"/>
          <w:color w:val="auto"/>
        </w:rPr>
      </w:pPr>
      <w:r>
        <w:rPr>
          <w:rFonts w:ascii="Arial" w:cs="Arial" w:eastAsia="Arial" w:hAnsi="Arial"/>
          <w:sz w:val="19"/>
          <w:szCs w:val="19"/>
          <w:color w:val="auto"/>
        </w:rPr>
        <w:t>This Agreement shall in all respects be deemed to be effective as of the date that Indemnitee first became a director of the Company and an indemnified party pursuant to the Prior Agreement.</w:t>
      </w:r>
    </w:p>
    <w:p>
      <w:pPr>
        <w:spacing w:after="0" w:line="96" w:lineRule="exact"/>
        <w:rPr>
          <w:rFonts w:ascii="Arial" w:cs="Arial" w:eastAsia="Arial" w:hAnsi="Arial"/>
          <w:sz w:val="19"/>
          <w:szCs w:val="19"/>
          <w:color w:val="auto"/>
        </w:rPr>
      </w:pPr>
    </w:p>
    <w:p>
      <w:pPr>
        <w:ind w:left="1580" w:hanging="437"/>
        <w:spacing w:after="0"/>
        <w:tabs>
          <w:tab w:leader="none" w:pos="1580" w:val="left"/>
        </w:tabs>
        <w:numPr>
          <w:ilvl w:val="0"/>
          <w:numId w:val="265"/>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w:t>
      </w:r>
    </w:p>
    <w:p>
      <w:pPr>
        <w:spacing w:after="0" w:line="151" w:lineRule="exact"/>
        <w:rPr>
          <w:rFonts w:ascii="Arial" w:cs="Arial" w:eastAsia="Arial" w:hAnsi="Arial"/>
          <w:sz w:val="19"/>
          <w:szCs w:val="19"/>
          <w:color w:val="auto"/>
        </w:rPr>
      </w:pPr>
    </w:p>
    <w:p>
      <w:pPr>
        <w:jc w:val="both"/>
        <w:ind w:firstLine="1716"/>
        <w:spacing w:after="0" w:line="290" w:lineRule="auto"/>
        <w:tabs>
          <w:tab w:leader="none" w:pos="2114" w:val="left"/>
        </w:tabs>
        <w:numPr>
          <w:ilvl w:val="1"/>
          <w:numId w:val="265"/>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have occurred if (i) any “person” (as such term is used in Sections 13(d) and 14(d) of the Securities Exchange Act of 1934, as amended (“</w:t>
      </w:r>
      <w:r>
        <w:rPr>
          <w:rFonts w:ascii="Arial" w:cs="Arial" w:eastAsia="Arial" w:hAnsi="Arial"/>
          <w:sz w:val="17"/>
          <w:szCs w:val="17"/>
          <w:u w:val="single" w:color="auto"/>
          <w:color w:val="auto"/>
        </w:rPr>
        <w:t>Exchange Act</w:t>
      </w:r>
      <w:r>
        <w:rPr>
          <w:rFonts w:ascii="Arial" w:cs="Arial" w:eastAsia="Arial" w:hAnsi="Arial"/>
          <w:sz w:val="17"/>
          <w:szCs w:val="17"/>
          <w:color w:val="auto"/>
        </w:rPr>
        <w:t>”),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20% or more of the total voting power represented by the Company’s then outstanding Voting Securities, (ii) during any period of two (2) consecutive years, (A) individuals who at the beginning of such</w:t>
      </w:r>
    </w:p>
    <w:p>
      <w:pPr>
        <w:sectPr>
          <w:pgSz w:w="11900" w:h="16838" w:orient="portrait"/>
          <w:cols w:equalWidth="0" w:num="1">
            <w:col w:w="11260"/>
          </w:cols>
          <w:pgMar w:left="320" w:top="1279" w:right="319" w:bottom="1440" w:gutter="0" w:footer="0" w:header="0"/>
        </w:sectPr>
      </w:pPr>
    </w:p>
    <w:bookmarkStart w:id="477" w:name="page478"/>
    <w:bookmarkEnd w:id="477"/>
    <w:p>
      <w:pPr>
        <w:jc w:val="both"/>
        <w:spacing w:after="0" w:line="284" w:lineRule="auto"/>
        <w:rPr>
          <w:sz w:val="20"/>
          <w:szCs w:val="20"/>
          <w:color w:val="auto"/>
        </w:rPr>
      </w:pPr>
      <w:r>
        <w:rPr>
          <w:rFonts w:ascii="Arial" w:cs="Arial" w:eastAsia="Arial" w:hAnsi="Arial"/>
          <w:sz w:val="17"/>
          <w:szCs w:val="17"/>
          <w:color w:val="auto"/>
        </w:rPr>
        <w:t>period constitute the Board and (B) any new director whose appointment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(other than, in the case of this clause (B), individuals that are initially elected or nominated as a director of the Company as a result of an actual or threatened election contest with respect to directors or as a result of any other actual or threatened solicitation of proxies by or on behalf of any person other than the Board), cease for any reason to constitute a majority of the Board, or (iii) the stockholders of the Company approve a merger or consolidation of the Company with any other entity, other than a merger or consolidation which would result in the Voting Securities of the Company outstanding immediately prior thereto continuing to represent (either by remaining outstanding or by being converted into Voting Securities of the surviving entity) at least 50%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spacing w:after="0" w:line="97" w:lineRule="exact"/>
        <w:rPr>
          <w:sz w:val="20"/>
          <w:szCs w:val="20"/>
          <w:color w:val="auto"/>
        </w:rPr>
      </w:pPr>
    </w:p>
    <w:p>
      <w:pPr>
        <w:jc w:val="both"/>
        <w:ind w:right="20" w:firstLine="1716"/>
        <w:spacing w:after="0" w:line="262" w:lineRule="auto"/>
        <w:tabs>
          <w:tab w:leader="none" w:pos="2135" w:val="left"/>
        </w:tabs>
        <w:numPr>
          <w:ilvl w:val="0"/>
          <w:numId w:val="2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Corporate Status</w:t>
      </w:r>
      <w:r>
        <w:rPr>
          <w:rFonts w:ascii="Arial" w:cs="Arial" w:eastAsia="Arial" w:hAnsi="Arial"/>
          <w:sz w:val="19"/>
          <w:szCs w:val="19"/>
          <w:color w:val="auto"/>
        </w:rPr>
        <w:t>” describes the status of a person who is or was a director, officer, employee, agent or fiduciary of the Company or of any other corporation, partnership, joint venture, trust, employee benefit plan or other enterprise that such person is or was serving at the express written request of the Company.</w:t>
      </w:r>
    </w:p>
    <w:p>
      <w:pPr>
        <w:spacing w:after="0" w:line="108" w:lineRule="exact"/>
        <w:rPr>
          <w:rFonts w:ascii="Arial" w:cs="Arial" w:eastAsia="Arial" w:hAnsi="Arial"/>
          <w:sz w:val="19"/>
          <w:szCs w:val="19"/>
          <w:color w:val="auto"/>
        </w:rPr>
      </w:pPr>
    </w:p>
    <w:p>
      <w:pPr>
        <w:ind w:right="20" w:firstLine="1716"/>
        <w:spacing w:after="0" w:line="275" w:lineRule="auto"/>
        <w:tabs>
          <w:tab w:leader="none" w:pos="2136" w:val="left"/>
        </w:tabs>
        <w:numPr>
          <w:ilvl w:val="0"/>
          <w:numId w:val="2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Disinterested Director</w:t>
      </w:r>
      <w:r>
        <w:rPr>
          <w:rFonts w:ascii="Arial" w:cs="Arial" w:eastAsia="Arial" w:hAnsi="Arial"/>
          <w:sz w:val="19"/>
          <w:szCs w:val="19"/>
          <w:color w:val="auto"/>
        </w:rPr>
        <w:t>” means a director of the Company who is not and was not a party to the Proceeding in respect of which indemnification is sought by Indemnitee.</w:t>
      </w:r>
    </w:p>
    <w:p>
      <w:pPr>
        <w:spacing w:after="0" w:line="96" w:lineRule="exact"/>
        <w:rPr>
          <w:rFonts w:ascii="Arial" w:cs="Arial" w:eastAsia="Arial" w:hAnsi="Arial"/>
          <w:sz w:val="19"/>
          <w:szCs w:val="19"/>
          <w:color w:val="auto"/>
        </w:rPr>
      </w:pPr>
    </w:p>
    <w:p>
      <w:pPr>
        <w:jc w:val="both"/>
        <w:ind w:firstLine="1716"/>
        <w:spacing w:after="0" w:line="262" w:lineRule="auto"/>
        <w:tabs>
          <w:tab w:leader="none" w:pos="2207" w:val="left"/>
        </w:tabs>
        <w:numPr>
          <w:ilvl w:val="0"/>
          <w:numId w:val="2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Enterprise</w:t>
      </w:r>
      <w:r>
        <w:rPr>
          <w:rFonts w:ascii="Arial" w:cs="Arial" w:eastAsia="Arial" w:hAnsi="Arial"/>
          <w:sz w:val="19"/>
          <w:szCs w:val="19"/>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108" w:lineRule="exact"/>
        <w:rPr>
          <w:rFonts w:ascii="Arial" w:cs="Arial" w:eastAsia="Arial" w:hAnsi="Arial"/>
          <w:sz w:val="19"/>
          <w:szCs w:val="19"/>
          <w:color w:val="auto"/>
        </w:rPr>
      </w:pPr>
    </w:p>
    <w:p>
      <w:pPr>
        <w:jc w:val="both"/>
        <w:ind w:right="20" w:firstLine="1716"/>
        <w:spacing w:after="0" w:line="286" w:lineRule="auto"/>
        <w:tabs>
          <w:tab w:leader="none" w:pos="2148" w:val="left"/>
        </w:tabs>
        <w:numPr>
          <w:ilvl w:val="0"/>
          <w:numId w:val="2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ectPr>
          <w:pgSz w:w="11900" w:h="16838" w:orient="portrait"/>
          <w:cols w:equalWidth="0" w:num="1">
            <w:col w:w="11260"/>
          </w:cols>
          <w:pgMar w:left="320" w:top="1279" w:right="319" w:bottom="1440" w:gutter="0" w:footer="0" w:header="0"/>
        </w:sectPr>
      </w:pPr>
    </w:p>
    <w:bookmarkStart w:id="478" w:name="page479"/>
    <w:bookmarkEnd w:id="478"/>
    <w:p>
      <w:pPr>
        <w:jc w:val="both"/>
        <w:ind w:left="-1120" w:firstLine="1716"/>
        <w:spacing w:after="0" w:line="286" w:lineRule="auto"/>
        <w:tabs>
          <w:tab w:leader="none" w:pos="995" w:val="left"/>
        </w:tabs>
        <w:numPr>
          <w:ilvl w:val="1"/>
          <w:numId w:val="2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Counsel</w:t>
      </w:r>
      <w:r>
        <w:rPr>
          <w:rFonts w:ascii="Arial" w:cs="Arial" w:eastAsia="Arial" w:hAnsi="Arial"/>
          <w:sz w:val="17"/>
          <w:szCs w:val="17"/>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96" w:lineRule="exact"/>
        <w:rPr>
          <w:rFonts w:ascii="Arial" w:cs="Arial" w:eastAsia="Arial" w:hAnsi="Arial"/>
          <w:sz w:val="17"/>
          <w:szCs w:val="17"/>
          <w:color w:val="auto"/>
        </w:rPr>
      </w:pPr>
    </w:p>
    <w:p>
      <w:pPr>
        <w:jc w:val="both"/>
        <w:ind w:left="-1120" w:firstLine="1716"/>
        <w:spacing w:after="0" w:line="288" w:lineRule="auto"/>
        <w:tabs>
          <w:tab w:leader="none" w:pos="1146" w:val="left"/>
        </w:tabs>
        <w:numPr>
          <w:ilvl w:val="1"/>
          <w:numId w:val="2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Indemnitee’s Corporate Status, by reason of any action taken by Indemnitee or of any inaction on Indemnitee’s part while acting in Indemnitee’s Corporate Status;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Agreement to enforce his rights under this Agreement.</w:t>
      </w:r>
    </w:p>
    <w:p>
      <w:pPr>
        <w:spacing w:after="0" w:line="90" w:lineRule="exact"/>
        <w:rPr>
          <w:rFonts w:ascii="Arial" w:cs="Arial" w:eastAsia="Arial" w:hAnsi="Arial"/>
          <w:sz w:val="17"/>
          <w:szCs w:val="17"/>
          <w:color w:val="auto"/>
        </w:rPr>
      </w:pPr>
    </w:p>
    <w:p>
      <w:pPr>
        <w:ind w:left="1020" w:hanging="424"/>
        <w:spacing w:after="0"/>
        <w:tabs>
          <w:tab w:leader="none" w:pos="1020" w:val="left"/>
        </w:tabs>
        <w:numPr>
          <w:ilvl w:val="1"/>
          <w:numId w:val="2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Securities</w:t>
      </w:r>
      <w:r>
        <w:rPr>
          <w:rFonts w:ascii="Arial" w:cs="Arial" w:eastAsia="Arial" w:hAnsi="Arial"/>
          <w:sz w:val="19"/>
          <w:szCs w:val="19"/>
          <w:color w:val="auto"/>
        </w:rPr>
        <w:t>” shall mean any securities which vote generally in the election of directors.</w:t>
      </w:r>
    </w:p>
    <w:p>
      <w:pPr>
        <w:spacing w:after="0" w:line="151" w:lineRule="exact"/>
        <w:rPr>
          <w:rFonts w:ascii="Arial" w:cs="Arial" w:eastAsia="Arial" w:hAnsi="Arial"/>
          <w:sz w:val="19"/>
          <w:szCs w:val="19"/>
          <w:color w:val="auto"/>
        </w:rPr>
      </w:pPr>
    </w:p>
    <w:p>
      <w:pPr>
        <w:jc w:val="both"/>
        <w:ind w:left="-1120" w:firstLine="1143"/>
        <w:spacing w:after="0" w:line="276" w:lineRule="auto"/>
        <w:tabs>
          <w:tab w:leader="none" w:pos="469"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99" w:lineRule="exact"/>
        <w:rPr>
          <w:rFonts w:ascii="Arial" w:cs="Arial" w:eastAsia="Arial" w:hAnsi="Arial"/>
          <w:sz w:val="18"/>
          <w:szCs w:val="18"/>
          <w:color w:val="auto"/>
        </w:rPr>
      </w:pPr>
    </w:p>
    <w:p>
      <w:pPr>
        <w:jc w:val="both"/>
        <w:ind w:left="-1120" w:right="20" w:firstLine="1143"/>
        <w:spacing w:after="0" w:line="276" w:lineRule="auto"/>
        <w:tabs>
          <w:tab w:leader="none" w:pos="529"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Except as expressly provided herein with respect to changes in applicable law that broaden the rights of Indemnitee to be indemnified by the Company,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99" w:lineRule="exact"/>
        <w:rPr>
          <w:rFonts w:ascii="Arial" w:cs="Arial" w:eastAsia="Arial" w:hAnsi="Arial"/>
          <w:sz w:val="18"/>
          <w:szCs w:val="18"/>
          <w:color w:val="auto"/>
        </w:rPr>
      </w:pPr>
    </w:p>
    <w:p>
      <w:pPr>
        <w:jc w:val="both"/>
        <w:ind w:left="-1120" w:firstLine="1143"/>
        <w:spacing w:after="0" w:line="262" w:lineRule="auto"/>
        <w:tabs>
          <w:tab w:leader="none" w:pos="517" w:val="left"/>
        </w:tabs>
        <w:numPr>
          <w:ilvl w:val="0"/>
          <w:numId w:val="268"/>
        </w:numPr>
        <w:rPr>
          <w:rFonts w:ascii="Arial" w:cs="Arial" w:eastAsia="Arial" w:hAnsi="Arial"/>
          <w:sz w:val="19"/>
          <w:szCs w:val="19"/>
          <w:color w:val="auto"/>
        </w:rPr>
      </w:pPr>
      <w:r>
        <w:rPr>
          <w:rFonts w:ascii="Arial" w:cs="Arial" w:eastAsia="Arial" w:hAnsi="Arial"/>
          <w:sz w:val="19"/>
          <w:szCs w:val="19"/>
          <w:u w:val="single" w:color="auto"/>
          <w:color w:val="auto"/>
        </w:rPr>
        <w:t>Notice By Indemnitee</w:t>
      </w:r>
      <w:r>
        <w:rPr>
          <w:rFonts w:ascii="Arial" w:cs="Arial" w:eastAsia="Arial" w:hAnsi="Arial"/>
          <w:sz w:val="19"/>
          <w:szCs w:val="19"/>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w:t>
      </w:r>
    </w:p>
    <w:p>
      <w:pPr>
        <w:sectPr>
          <w:pgSz w:w="11900" w:h="16838" w:orient="portrait"/>
          <w:cols w:equalWidth="0" w:num="1">
            <w:col w:w="10140"/>
          </w:cols>
          <w:pgMar w:left="1440" w:top="1279" w:right="319" w:bottom="1440" w:gutter="0" w:footer="0" w:header="0"/>
        </w:sectPr>
      </w:pPr>
    </w:p>
    <w:bookmarkStart w:id="479" w:name="page480"/>
    <w:bookmarkEnd w:id="479"/>
    <w:p>
      <w:pPr>
        <w:spacing w:after="0" w:line="275" w:lineRule="auto"/>
        <w:rPr>
          <w:sz w:val="20"/>
          <w:szCs w:val="20"/>
          <w:color w:val="auto"/>
        </w:rPr>
      </w:pPr>
      <w:r>
        <w:rPr>
          <w:rFonts w:ascii="Arial" w:cs="Arial" w:eastAsia="Arial" w:hAnsi="Arial"/>
          <w:sz w:val="19"/>
          <w:szCs w:val="19"/>
          <w:color w:val="auto"/>
        </w:rPr>
        <w:t>not relieve the Company of any obligation which it may have to Indemnitee under this Agreement or otherwise unless and only to the extent that such failure or delay materially prejudices the Company.</w:t>
      </w:r>
    </w:p>
    <w:p>
      <w:pPr>
        <w:spacing w:after="0" w:line="97" w:lineRule="exact"/>
        <w:rPr>
          <w:sz w:val="20"/>
          <w:szCs w:val="20"/>
          <w:color w:val="auto"/>
        </w:rPr>
      </w:pPr>
    </w:p>
    <w:p>
      <w:pPr>
        <w:jc w:val="both"/>
        <w:ind w:right="20" w:firstLine="1143"/>
        <w:spacing w:after="0" w:line="273" w:lineRule="auto"/>
        <w:tabs>
          <w:tab w:leader="none" w:pos="1649"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101" w:lineRule="exact"/>
        <w:rPr>
          <w:rFonts w:ascii="Arial" w:cs="Arial" w:eastAsia="Arial" w:hAnsi="Arial"/>
          <w:sz w:val="18"/>
          <w:szCs w:val="18"/>
          <w:color w:val="auto"/>
        </w:rPr>
      </w:pPr>
    </w:p>
    <w:p>
      <w:pPr>
        <w:ind w:left="2120" w:hanging="404"/>
        <w:spacing w:after="0"/>
        <w:tabs>
          <w:tab w:leader="none" w:pos="2120" w:val="left"/>
        </w:tabs>
        <w:numPr>
          <w:ilvl w:val="1"/>
          <w:numId w:val="269"/>
        </w:numPr>
        <w:rPr>
          <w:rFonts w:ascii="Arial" w:cs="Arial" w:eastAsia="Arial" w:hAnsi="Arial"/>
          <w:sz w:val="19"/>
          <w:szCs w:val="19"/>
          <w:color w:val="auto"/>
        </w:rPr>
      </w:pPr>
      <w:r>
        <w:rPr>
          <w:rFonts w:ascii="Arial" w:cs="Arial" w:eastAsia="Arial" w:hAnsi="Arial"/>
          <w:sz w:val="19"/>
          <w:szCs w:val="19"/>
          <w:color w:val="auto"/>
        </w:rPr>
        <w:t>To Indemnitee at the address set forth below Indemnitee’s signature hereto.</w:t>
      </w:r>
    </w:p>
    <w:p>
      <w:pPr>
        <w:spacing w:after="0" w:line="151" w:lineRule="exact"/>
        <w:rPr>
          <w:rFonts w:ascii="Arial" w:cs="Arial" w:eastAsia="Arial" w:hAnsi="Arial"/>
          <w:sz w:val="19"/>
          <w:szCs w:val="19"/>
          <w:color w:val="auto"/>
        </w:rPr>
      </w:pPr>
    </w:p>
    <w:p>
      <w:pPr>
        <w:ind w:left="2120" w:hanging="404"/>
        <w:spacing w:after="0"/>
        <w:tabs>
          <w:tab w:leader="none" w:pos="2120" w:val="left"/>
        </w:tabs>
        <w:numPr>
          <w:ilvl w:val="1"/>
          <w:numId w:val="269"/>
        </w:numPr>
        <w:rPr>
          <w:rFonts w:ascii="Arial" w:cs="Arial" w:eastAsia="Arial" w:hAnsi="Arial"/>
          <w:sz w:val="19"/>
          <w:szCs w:val="19"/>
          <w:color w:val="auto"/>
        </w:rPr>
      </w:pPr>
      <w:r>
        <w:rPr>
          <w:rFonts w:ascii="Arial" w:cs="Arial" w:eastAsia="Arial" w:hAnsi="Arial"/>
          <w:sz w:val="19"/>
          <w:szCs w:val="19"/>
          <w:color w:val="auto"/>
        </w:rPr>
        <w:t>To the Company at:</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Robinhood Markets, Inc.</w:t>
      </w:r>
    </w:p>
    <w:p>
      <w:pPr>
        <w:spacing w:after="0" w:line="24"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85 Willow Road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Menlo Park, CA 94025</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Attn: Office of the Corporate Secretary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may have been furnished to Indemnitee by the Company or to the Company by Indemnitee, as the case may be.</w:t>
      </w:r>
    </w:p>
    <w:p>
      <w:pPr>
        <w:spacing w:after="0" w:line="163" w:lineRule="exact"/>
        <w:rPr>
          <w:sz w:val="20"/>
          <w:szCs w:val="20"/>
          <w:color w:val="auto"/>
        </w:rPr>
      </w:pPr>
    </w:p>
    <w:p>
      <w:pPr>
        <w:jc w:val="both"/>
        <w:ind w:firstLine="1143"/>
        <w:spacing w:after="0" w:line="307" w:lineRule="auto"/>
        <w:tabs>
          <w:tab w:leader="none" w:pos="1601"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spacing w:after="0" w:line="74" w:lineRule="exact"/>
        <w:rPr>
          <w:rFonts w:ascii="Arial" w:cs="Arial" w:eastAsia="Arial" w:hAnsi="Arial"/>
          <w:sz w:val="17"/>
          <w:szCs w:val="17"/>
          <w:color w:val="auto"/>
        </w:rPr>
      </w:pPr>
    </w:p>
    <w:p>
      <w:pPr>
        <w:ind w:right="20" w:firstLine="1143"/>
        <w:spacing w:after="0" w:line="275" w:lineRule="auto"/>
        <w:tabs>
          <w:tab w:leader="none" w:pos="1637" w:val="left"/>
        </w:tabs>
        <w:numPr>
          <w:ilvl w:val="0"/>
          <w:numId w:val="270"/>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the paragraphs of this Agreement are inserted for convenience only and shall not be deemed to constitute part of this Agreement or to affect the construction thereof.</w:t>
      </w:r>
    </w:p>
    <w:p>
      <w:pPr>
        <w:spacing w:after="0" w:line="96" w:lineRule="exact"/>
        <w:rPr>
          <w:rFonts w:ascii="Arial" w:cs="Arial" w:eastAsia="Arial" w:hAnsi="Arial"/>
          <w:sz w:val="19"/>
          <w:szCs w:val="19"/>
          <w:color w:val="auto"/>
        </w:rPr>
      </w:pPr>
    </w:p>
    <w:p>
      <w:pPr>
        <w:jc w:val="both"/>
        <w:ind w:firstLine="1143"/>
        <w:spacing w:after="0" w:line="270" w:lineRule="auto"/>
        <w:tabs>
          <w:tab w:leader="none" w:pos="1613"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Governing Law and Consent to Jurisdiction</w:t>
      </w:r>
      <w:r>
        <w:rPr>
          <w:rFonts w:ascii="Arial" w:cs="Arial" w:eastAsia="Arial" w:hAnsi="Arial"/>
          <w:sz w:val="18"/>
          <w:szCs w:val="18"/>
          <w:color w:val="auto"/>
        </w:rPr>
        <w:t>.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relating to, or in connection with this Agreement shall be brought only in the Chancery Court of the State of Delaware (the “</w:t>
      </w:r>
      <w:r>
        <w:rPr>
          <w:rFonts w:ascii="Arial" w:cs="Arial" w:eastAsia="Arial" w:hAnsi="Arial"/>
          <w:sz w:val="18"/>
          <w:szCs w:val="18"/>
          <w:u w:val="single" w:color="auto"/>
          <w:color w:val="auto"/>
        </w:rPr>
        <w:t>Delaware Court</w:t>
      </w:r>
      <w:r>
        <w:rPr>
          <w:rFonts w:ascii="Arial" w:cs="Arial" w:eastAsia="Arial" w:hAnsi="Arial"/>
          <w:sz w:val="18"/>
          <w:szCs w:val="18"/>
          <w:color w:val="auto"/>
        </w:rPr>
        <w:t>”), and not in any other state or federal court in the United States of America or any court in any other country, (ii) consent to submit to the exclusive jurisdiction of the Delaware Court for purposes of any action or proceeding arising out of, relating to, or in connection with this Agreement, (iii) waive any objection to the laying of venue of any such action or proceeding in the Delaware Court, and (iv)</w:t>
      </w:r>
    </w:p>
    <w:p>
      <w:pPr>
        <w:sectPr>
          <w:pgSz w:w="11900" w:h="16838" w:orient="portrait"/>
          <w:cols w:equalWidth="0" w:num="1">
            <w:col w:w="11260"/>
          </w:cols>
          <w:pgMar w:left="320" w:top="1279" w:right="319" w:bottom="1440" w:gutter="0" w:footer="0" w:header="0"/>
        </w:sectPr>
      </w:pPr>
    </w:p>
    <w:bookmarkStart w:id="480" w:name="page481"/>
    <w:bookmarkEnd w:id="480"/>
    <w:p>
      <w:pPr>
        <w:spacing w:after="0" w:line="275" w:lineRule="auto"/>
        <w:rPr>
          <w:sz w:val="20"/>
          <w:szCs w:val="20"/>
          <w:color w:val="auto"/>
        </w:rPr>
      </w:pPr>
      <w:r>
        <w:rPr>
          <w:rFonts w:ascii="Arial" w:cs="Arial" w:eastAsia="Arial" w:hAnsi="Arial"/>
          <w:sz w:val="19"/>
          <w:szCs w:val="19"/>
          <w:color w:val="auto"/>
        </w:rPr>
        <w:t>waive, and agree not to plead or to make, any claim that any such action or proceeding brought in the Delaware Court has been brought in an improper or inconvenient forum.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SIGNATURE PAGE TO FOLLOW</w:t>
      </w:r>
    </w:p>
    <w:p>
      <w:pPr>
        <w:sectPr>
          <w:pgSz w:w="11900" w:h="16838" w:orient="portrait"/>
          <w:cols w:equalWidth="0" w:num="1">
            <w:col w:w="11260"/>
          </w:cols>
          <w:pgMar w:left="320" w:top="1279" w:right="319" w:bottom="1440" w:gutter="0" w:footer="0" w:header="0"/>
        </w:sectPr>
      </w:pPr>
    </w:p>
    <w:bookmarkStart w:id="481" w:name="page482"/>
    <w:bookmarkEnd w:id="481"/>
    <w:p>
      <w:pPr>
        <w:spacing w:after="0"/>
        <w:rPr>
          <w:sz w:val="20"/>
          <w:szCs w:val="20"/>
          <w:color w:val="auto"/>
        </w:rPr>
      </w:pPr>
      <w:r>
        <w:rPr>
          <w:rFonts w:ascii="Arial" w:cs="Arial" w:eastAsia="Arial" w:hAnsi="Arial"/>
          <w:sz w:val="19"/>
          <w:szCs w:val="19"/>
          <w:color w:val="auto"/>
        </w:rPr>
        <w:t>IN WITNESS WHEREOF, the parties hereto have executed this Agreement on and as of the day and year first above written.</w:t>
      </w:r>
    </w:p>
    <w:p>
      <w:pPr>
        <w:spacing w:after="0" w:line="170" w:lineRule="exact"/>
        <w:rPr>
          <w:sz w:val="20"/>
          <w:szCs w:val="20"/>
          <w:color w:val="auto"/>
        </w:rPr>
      </w:pPr>
    </w:p>
    <w:p>
      <w:pPr>
        <w:ind w:left="4900"/>
        <w:spacing w:after="0"/>
        <w:rPr>
          <w:sz w:val="20"/>
          <w:szCs w:val="20"/>
          <w:color w:val="auto"/>
        </w:rPr>
      </w:pPr>
      <w:r>
        <w:rPr>
          <w:rFonts w:ascii="Arial" w:cs="Arial" w:eastAsia="Arial" w:hAnsi="Arial"/>
          <w:sz w:val="19"/>
          <w:szCs w:val="19"/>
          <w:b w:val="1"/>
          <w:bCs w:val="1"/>
          <w:color w:val="auto"/>
        </w:rPr>
        <w:t>ROBINHOOD MARKETS, INC.</w:t>
      </w:r>
    </w:p>
    <w:p>
      <w:pPr>
        <w:spacing w:after="0" w:line="266"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By:</w:t>
      </w:r>
    </w:p>
    <w:p>
      <w:pPr>
        <w:spacing w:after="0" w:line="24" w:lineRule="exact"/>
        <w:rPr>
          <w:sz w:val="20"/>
          <w:szCs w:val="20"/>
          <w:color w:val="auto"/>
        </w:rPr>
      </w:pPr>
    </w:p>
    <w:tbl>
      <w:tblPr>
        <w:tblLayout w:type="fixed"/>
        <w:tblInd w:w="5480" w:type="dxa"/>
        <w:tblCellMar>
          <w:top w:w="0" w:type="dxa"/>
          <w:left w:w="0" w:type="dxa"/>
          <w:bottom w:w="0" w:type="dxa"/>
          <w:right w:w="0" w:type="dxa"/>
        </w:tblCellMar>
      </w:tblPr>
      <w:tr>
        <w:trPr>
          <w:trHeight w:val="228"/>
        </w:trPr>
        <w:tc>
          <w:tcPr>
            <w:tcW w:w="460" w:type="dxa"/>
            <w:vAlign w:val="bottom"/>
            <w:tcBorders>
              <w:top w:val="single" w:sz="8" w:color="auto"/>
            </w:tcBorders>
          </w:tcPr>
          <w:p>
            <w:pPr>
              <w:jc w:val="right"/>
              <w:ind w:right="284"/>
              <w:spacing w:after="0"/>
              <w:rPr>
                <w:sz w:val="20"/>
                <w:szCs w:val="20"/>
                <w:color w:val="auto"/>
              </w:rPr>
            </w:pPr>
            <w:r>
              <w:rPr>
                <w:rFonts w:ascii="Arial" w:cs="Arial" w:eastAsia="Arial" w:hAnsi="Arial"/>
                <w:sz w:val="19"/>
                <w:szCs w:val="19"/>
                <w:color w:val="auto"/>
              </w:rPr>
              <w:t>[</w:t>
            </w:r>
          </w:p>
        </w:tc>
        <w:tc>
          <w:tcPr>
            <w:tcW w:w="4760" w:type="dxa"/>
            <w:vAlign w:val="bottom"/>
            <w:tcBorders>
              <w:top w:val="single" w:sz="8" w:color="auto"/>
            </w:tcBorders>
          </w:tcPr>
          <w:p>
            <w:pPr>
              <w:jc w:val="right"/>
              <w:ind w:right="4204"/>
              <w:spacing w:after="0"/>
              <w:rPr>
                <w:sz w:val="20"/>
                <w:szCs w:val="20"/>
                <w:color w:val="auto"/>
              </w:rPr>
            </w:pPr>
            <w:r>
              <w:rPr>
                <w:rFonts w:ascii="Arial" w:cs="Arial" w:eastAsia="Arial" w:hAnsi="Arial"/>
                <w:sz w:val="19"/>
                <w:szCs w:val="19"/>
                <w:color w:val="auto"/>
              </w:rPr>
              <w:t>]</w:t>
            </w:r>
          </w:p>
        </w:tc>
      </w:tr>
      <w:tr>
        <w:trPr>
          <w:trHeight w:val="242"/>
        </w:trPr>
        <w:tc>
          <w:tcPr>
            <w:tcW w:w="460" w:type="dxa"/>
            <w:vAlign w:val="bottom"/>
          </w:tcPr>
          <w:p>
            <w:pPr>
              <w:jc w:val="right"/>
              <w:ind w:right="284"/>
              <w:spacing w:after="0"/>
              <w:rPr>
                <w:sz w:val="20"/>
                <w:szCs w:val="20"/>
                <w:color w:val="auto"/>
              </w:rPr>
            </w:pPr>
            <w:r>
              <w:rPr>
                <w:rFonts w:ascii="Arial" w:cs="Arial" w:eastAsia="Arial" w:hAnsi="Arial"/>
                <w:sz w:val="19"/>
                <w:szCs w:val="19"/>
                <w:color w:val="auto"/>
              </w:rPr>
              <w:t>[</w:t>
            </w:r>
          </w:p>
        </w:tc>
        <w:tc>
          <w:tcPr>
            <w:tcW w:w="4760" w:type="dxa"/>
            <w:vAlign w:val="bottom"/>
          </w:tcPr>
          <w:p>
            <w:pPr>
              <w:jc w:val="right"/>
              <w:ind w:right="4204"/>
              <w:spacing w:after="0"/>
              <w:rPr>
                <w:sz w:val="20"/>
                <w:szCs w:val="20"/>
                <w:color w:val="auto"/>
              </w:rPr>
            </w:pPr>
            <w:r>
              <w:rPr>
                <w:rFonts w:ascii="Arial" w:cs="Arial" w:eastAsia="Arial" w:hAnsi="Arial"/>
                <w:sz w:val="19"/>
                <w:szCs w:val="19"/>
                <w:color w:val="auto"/>
              </w:rPr>
              <w:t>]</w:t>
            </w:r>
          </w:p>
        </w:tc>
      </w:tr>
    </w:tbl>
    <w:p>
      <w:pPr>
        <w:spacing w:after="0" w:line="200" w:lineRule="exact"/>
        <w:rPr>
          <w:sz w:val="20"/>
          <w:szCs w:val="20"/>
          <w:color w:val="auto"/>
        </w:rPr>
      </w:pPr>
    </w:p>
    <w:p>
      <w:pPr>
        <w:spacing w:after="0" w:line="269" w:lineRule="exact"/>
        <w:rPr>
          <w:sz w:val="20"/>
          <w:szCs w:val="20"/>
          <w:color w:val="auto"/>
        </w:rPr>
      </w:pPr>
    </w:p>
    <w:p>
      <w:pPr>
        <w:ind w:left="4900"/>
        <w:spacing w:after="0"/>
        <w:rPr>
          <w:sz w:val="20"/>
          <w:szCs w:val="20"/>
          <w:color w:val="auto"/>
        </w:rPr>
      </w:pPr>
      <w:r>
        <w:rPr>
          <w:rFonts w:ascii="Arial" w:cs="Arial" w:eastAsia="Arial" w:hAnsi="Arial"/>
          <w:sz w:val="19"/>
          <w:szCs w:val="19"/>
          <w:b w:val="1"/>
          <w:bCs w:val="1"/>
          <w:color w:val="auto"/>
        </w:rPr>
        <w:t>INDEMNITEE</w:t>
      </w:r>
    </w:p>
    <w:p>
      <w:pPr>
        <w:spacing w:after="0" w:line="266"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17780</wp:posOffset>
            </wp:positionV>
            <wp:extent cx="330835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3308350" cy="7620"/>
                    </a:xfrm>
                    <a:prstGeom prst="rect">
                      <a:avLst/>
                    </a:prstGeom>
                    <a:noFill/>
                  </pic:spPr>
                </pic:pic>
              </a:graphicData>
            </a:graphic>
          </wp:anchor>
        </w:drawing>
      </w:r>
    </w:p>
    <w:p>
      <w:pPr>
        <w:spacing w:after="0" w:line="240"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169545</wp:posOffset>
            </wp:positionV>
            <wp:extent cx="330835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3308350" cy="762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17780</wp:posOffset>
            </wp:positionV>
            <wp:extent cx="330835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33083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IGNATURE PAGE TO</w:t>
      </w:r>
      <w:r>
        <w:rPr>
          <w:rFonts w:ascii="Arial" w:cs="Arial" w:eastAsia="Arial" w:hAnsi="Arial"/>
          <w:sz w:val="16"/>
          <w:szCs w:val="16"/>
          <w:color w:val="auto"/>
        </w:rPr>
        <w:t xml:space="preserve"> R</w:t>
      </w:r>
      <w:r>
        <w:rPr>
          <w:rFonts w:ascii="Arial" w:cs="Arial" w:eastAsia="Arial" w:hAnsi="Arial"/>
          <w:sz w:val="12"/>
          <w:szCs w:val="12"/>
          <w:color w:val="auto"/>
        </w:rPr>
        <w:t>OBINHOOD</w:t>
      </w:r>
      <w:r>
        <w:rPr>
          <w:rFonts w:ascii="Arial" w:cs="Arial" w:eastAsia="Arial" w:hAnsi="Arial"/>
          <w:sz w:val="16"/>
          <w:szCs w:val="16"/>
          <w:color w:val="auto"/>
        </w:rPr>
        <w:t xml:space="preserve"> M</w:t>
      </w:r>
      <w:r>
        <w:rPr>
          <w:rFonts w:ascii="Arial" w:cs="Arial" w:eastAsia="Arial" w:hAnsi="Arial"/>
          <w:sz w:val="12"/>
          <w:szCs w:val="12"/>
          <w:color w:val="auto"/>
        </w:rPr>
        <w:t>ARKETS</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w:t>
      </w:r>
    </w:p>
    <w:p>
      <w:pPr>
        <w:spacing w:after="0" w:line="20"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NDEMNIFICATION</w:t>
      </w:r>
      <w:r>
        <w:rPr>
          <w:rFonts w:ascii="Arial" w:cs="Arial" w:eastAsia="Arial" w:hAnsi="Arial"/>
          <w:sz w:val="16"/>
          <w:szCs w:val="16"/>
          <w:color w:val="auto"/>
        </w:rPr>
        <w:t xml:space="preserve"> A</w:t>
      </w:r>
      <w:r>
        <w:rPr>
          <w:rFonts w:ascii="Arial" w:cs="Arial" w:eastAsia="Arial" w:hAnsi="Arial"/>
          <w:sz w:val="12"/>
          <w:szCs w:val="12"/>
          <w:color w:val="auto"/>
        </w:rPr>
        <w:t>GREEMENT</w:t>
      </w:r>
    </w:p>
    <w:p>
      <w:pPr>
        <w:sectPr>
          <w:pgSz w:w="11900" w:h="16838" w:orient="portrait"/>
          <w:cols w:equalWidth="0" w:num="1">
            <w:col w:w="10700"/>
          </w:cols>
          <w:pgMar w:left="880" w:top="1279" w:right="319" w:bottom="1440" w:gutter="0" w:footer="0" w:header="0"/>
        </w:sectPr>
      </w:pPr>
    </w:p>
    <w:bookmarkStart w:id="482" w:name="page483"/>
    <w:bookmarkEnd w:id="482"/>
    <w:p>
      <w:pPr>
        <w:jc w:val="right"/>
        <w:spacing w:after="0"/>
        <w:rPr>
          <w:sz w:val="20"/>
          <w:szCs w:val="20"/>
          <w:color w:val="auto"/>
        </w:rPr>
      </w:pPr>
      <w:r>
        <w:rPr>
          <w:rFonts w:ascii="Arial" w:cs="Arial" w:eastAsia="Arial" w:hAnsi="Arial"/>
          <w:sz w:val="16"/>
          <w:szCs w:val="16"/>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AGREEMENT</w:t>
      </w:r>
    </w:p>
    <w:p>
      <w:pPr>
        <w:spacing w:after="0" w:line="3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EXCHANGE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__________, 2021, by and between Robinhood Markets, Inc., a</w:t>
      </w:r>
    </w:p>
    <w:p>
      <w:pPr>
        <w:spacing w:after="0" w:line="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the stockholders of the Company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(collectively, “</w:t>
      </w:r>
      <w:r>
        <w:rPr>
          <w:rFonts w:ascii="Arial" w:cs="Arial" w:eastAsia="Arial" w:hAnsi="Arial"/>
          <w:sz w:val="18"/>
          <w:szCs w:val="18"/>
          <w:b w:val="1"/>
          <w:bCs w:val="1"/>
          <w:color w:val="auto"/>
        </w:rPr>
        <w:t>Exchange Stockholders</w:t>
      </w:r>
      <w:r>
        <w:rPr>
          <w:rFonts w:ascii="Arial" w:cs="Arial" w:eastAsia="Arial" w:hAnsi="Arial"/>
          <w:sz w:val="18"/>
          <w:szCs w:val="18"/>
          <w:color w:val="auto"/>
        </w:rPr>
        <w:t>”). Each of the foregoing parties is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73" w:lineRule="exact"/>
        <w:rPr>
          <w:sz w:val="20"/>
          <w:szCs w:val="20"/>
          <w:color w:val="auto"/>
        </w:rPr>
      </w:pPr>
    </w:p>
    <w:p>
      <w:pPr>
        <w:ind w:right="140" w:firstLine="574"/>
        <w:spacing w:after="0" w:line="273" w:lineRule="auto"/>
        <w:rPr>
          <w:sz w:val="20"/>
          <w:szCs w:val="20"/>
          <w:color w:val="auto"/>
        </w:rPr>
      </w:pPr>
      <w:r>
        <w:rPr>
          <w:rFonts w:ascii="Arial" w:cs="Arial" w:eastAsia="Arial" w:hAnsi="Arial"/>
          <w:sz w:val="16"/>
          <w:szCs w:val="16"/>
          <w:color w:val="auto"/>
        </w:rPr>
        <w:t>WHEREAS, in connection with the Company’s initial public offering of one or more classes of its stock, par value $0.0001, in the public securities market (the “</w:t>
      </w:r>
      <w:r>
        <w:rPr>
          <w:rFonts w:ascii="Arial" w:cs="Arial" w:eastAsia="Arial" w:hAnsi="Arial"/>
          <w:sz w:val="16"/>
          <w:szCs w:val="16"/>
          <w:b w:val="1"/>
          <w:bCs w:val="1"/>
          <w:color w:val="auto"/>
        </w:rPr>
        <w:t>IPO</w:t>
      </w:r>
      <w:r>
        <w:rPr>
          <w:rFonts w:ascii="Arial" w:cs="Arial" w:eastAsia="Arial" w:hAnsi="Arial"/>
          <w:sz w:val="16"/>
          <w:szCs w:val="16"/>
          <w:color w:val="auto"/>
        </w:rPr>
        <w:t>”),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at a meeting duly called and held prior to the date hereof, determined it to be advisable and in the best interests of the Company and its stockholders for the Company to implement a multi-class common stock structure (the “</w:t>
      </w:r>
      <w:r>
        <w:rPr>
          <w:rFonts w:ascii="Arial" w:cs="Arial" w:eastAsia="Arial" w:hAnsi="Arial"/>
          <w:sz w:val="16"/>
          <w:szCs w:val="16"/>
          <w:b w:val="1"/>
          <w:bCs w:val="1"/>
          <w:color w:val="auto"/>
        </w:rPr>
        <w:t>Multi-Class</w:t>
      </w:r>
      <w:r>
        <w:rPr>
          <w:rFonts w:ascii="Arial" w:cs="Arial" w:eastAsia="Arial" w:hAnsi="Arial"/>
          <w:sz w:val="16"/>
          <w:szCs w:val="16"/>
          <w:color w:val="auto"/>
        </w:rPr>
        <w:t xml:space="preserve"> </w:t>
      </w:r>
      <w:r>
        <w:rPr>
          <w:rFonts w:ascii="Arial" w:cs="Arial" w:eastAsia="Arial" w:hAnsi="Arial"/>
          <w:sz w:val="16"/>
          <w:szCs w:val="16"/>
          <w:b w:val="1"/>
          <w:bCs w:val="1"/>
          <w:color w:val="auto"/>
        </w:rPr>
        <w:t>Structure</w:t>
      </w:r>
      <w:r>
        <w:rPr>
          <w:rFonts w:ascii="Arial" w:cs="Arial" w:eastAsia="Arial" w:hAnsi="Arial"/>
          <w:sz w:val="16"/>
          <w:szCs w:val="16"/>
          <w:color w:val="auto"/>
        </w:rPr>
        <w:t>”) comprised of Class A Common Stock, par value $0.0001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entitling holders thereof to one (1) vote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Class B Common Stock, par value $0.0001 per share (the “</w:t>
      </w:r>
      <w:r>
        <w:rPr>
          <w:rFonts w:ascii="Arial" w:cs="Arial" w:eastAsia="Arial" w:hAnsi="Arial"/>
          <w:sz w:val="16"/>
          <w:szCs w:val="16"/>
          <w:b w:val="1"/>
          <w:bCs w:val="1"/>
          <w:color w:val="auto"/>
        </w:rPr>
        <w:t>Class B Common Stock</w:t>
      </w:r>
      <w:r>
        <w:rPr>
          <w:rFonts w:ascii="Arial" w:cs="Arial" w:eastAsia="Arial" w:hAnsi="Arial"/>
          <w:sz w:val="16"/>
          <w:szCs w:val="16"/>
          <w:color w:val="auto"/>
        </w:rPr>
        <w:t>”), entitling holders thereof to ten (10) votes per share, and Class C Common Stock, par value $0.0001 per share, entitling holders thereof to (0) zero votes per share, with such Multi-Class Structure to take effect pursuant to the Amended and Restated Certificate of Incorporation (as defined below) immediately prior to the completion of the IPO;</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in connection with the IPO, the Board, at a meeting duly called and held prior to the date hereof, and the stockholders of the Company,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acting by written consent in lieu of a meeting prior to the date hereof, approved an Amended and Restated Certificate of Incorporation of the Company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Amended and Restated Certificate of Incorporation</w:t>
      </w:r>
      <w:r>
        <w:rPr>
          <w:rFonts w:ascii="Arial" w:cs="Arial" w:eastAsia="Arial" w:hAnsi="Arial"/>
          <w:sz w:val="16"/>
          <w:szCs w:val="16"/>
          <w:color w:val="auto"/>
        </w:rPr>
        <w:t>”), which provides, among other things, that each share of the Company’s common stock, par value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issued and outstanding or held as treasury stock immediately prior to the effectiveness of the filing of the Amended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Restated Certificate of Incorporation (the </w:t>
      </w:r>
      <w:r>
        <w:rPr>
          <w:rFonts w:ascii="Arial" w:cs="Arial" w:eastAsia="Arial" w:hAnsi="Arial"/>
          <w:sz w:val="16"/>
          <w:szCs w:val="16"/>
          <w:b w:val="1"/>
          <w:bCs w:val="1"/>
          <w:color w:val="auto"/>
        </w:rPr>
        <w:t>“Effective Time</w:t>
      </w:r>
      <w:r>
        <w:rPr>
          <w:rFonts w:ascii="Arial" w:cs="Arial" w:eastAsia="Arial" w:hAnsi="Arial"/>
          <w:sz w:val="16"/>
          <w:szCs w:val="16"/>
          <w:color w:val="auto"/>
        </w:rPr>
        <w:t>”) will, automatically and without further action by any stockholder, be reclassified as,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become, one (1) share of Class A Common Stock;</w:t>
      </w:r>
    </w:p>
    <w:p>
      <w:pPr>
        <w:spacing w:after="0" w:line="173" w:lineRule="exact"/>
        <w:rPr>
          <w:sz w:val="20"/>
          <w:szCs w:val="20"/>
          <w:color w:val="auto"/>
        </w:rPr>
      </w:pPr>
    </w:p>
    <w:p>
      <w:pPr>
        <w:ind w:right="60" w:firstLine="574"/>
        <w:spacing w:after="0" w:line="244" w:lineRule="auto"/>
        <w:rPr>
          <w:sz w:val="20"/>
          <w:szCs w:val="20"/>
          <w:color w:val="auto"/>
        </w:rPr>
      </w:pPr>
      <w:r>
        <w:rPr>
          <w:rFonts w:ascii="Arial" w:cs="Arial" w:eastAsia="Arial" w:hAnsi="Arial"/>
          <w:sz w:val="18"/>
          <w:szCs w:val="18"/>
          <w:color w:val="auto"/>
        </w:rPr>
        <w:t>WHEREAS, the Exchange Stockholders hold or will hold shares of Common Stock as of immediately prior to the Effective Time and all such shares of Common Stock will be reclassified as shares of Class A Common Stock pursuant to the Amended and Restated Certificate of Incorporation at the Effective Time;</w:t>
      </w:r>
    </w:p>
    <w:p>
      <w:pPr>
        <w:spacing w:after="0" w:line="169" w:lineRule="exact"/>
        <w:rPr>
          <w:sz w:val="20"/>
          <w:szCs w:val="20"/>
          <w:color w:val="auto"/>
        </w:rPr>
      </w:pPr>
    </w:p>
    <w:p>
      <w:pPr>
        <w:ind w:right="320" w:firstLine="574"/>
        <w:spacing w:after="0" w:line="281" w:lineRule="auto"/>
        <w:rPr>
          <w:sz w:val="20"/>
          <w:szCs w:val="20"/>
          <w:color w:val="auto"/>
        </w:rPr>
      </w:pPr>
      <w:r>
        <w:rPr>
          <w:rFonts w:ascii="Arial" w:cs="Arial" w:eastAsia="Arial" w:hAnsi="Arial"/>
          <w:sz w:val="16"/>
          <w:szCs w:val="16"/>
          <w:color w:val="auto"/>
        </w:rPr>
        <w:t>WHEREAS, as part of the Company’s implementation of the Multi-Class Structure, the Board, at a meeting duly called and held prior to the date hereof, determined it to be advisable and in the best interests of the Company and its stockholders, and the stockholders of the Company, acting by written consent in lieu of a meeting prior to the date hereof, approved, for each share of Class A Common Stock held by the Exchange Stockholders at the Effective Time to automatically be exchanged for one (1) share of Class B Common Stock immediately following the Effective Time;</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upon the terms and subject to the conditions set forth in this Agreement, the Parties desire to effect the Exchange (as defined below); and</w:t>
      </w:r>
    </w:p>
    <w:p>
      <w:pPr>
        <w:spacing w:after="0" w:line="210" w:lineRule="exact"/>
        <w:rPr>
          <w:sz w:val="20"/>
          <w:szCs w:val="20"/>
          <w:color w:val="auto"/>
        </w:rPr>
      </w:pPr>
    </w:p>
    <w:p>
      <w:pPr>
        <w:jc w:val="both"/>
        <w:ind w:right="300" w:firstLine="574"/>
        <w:spacing w:after="0" w:line="244" w:lineRule="auto"/>
        <w:rPr>
          <w:sz w:val="20"/>
          <w:szCs w:val="20"/>
          <w:color w:val="auto"/>
        </w:rPr>
      </w:pPr>
      <w:r>
        <w:rPr>
          <w:rFonts w:ascii="Arial" w:cs="Arial" w:eastAsia="Arial" w:hAnsi="Arial"/>
          <w:sz w:val="18"/>
          <w:szCs w:val="18"/>
          <w:color w:val="auto"/>
        </w:rPr>
        <w:t>WHEREAS, the Parties intend that no gain or loss will be recognized in the Exchange pursuant to Sections 368(a)(1)(E) and/or 1036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this Agreement shall constitute a “plan of reorganization” within the meaning of Treasury Regulation Sections 1.368-2(g) and 1.368-3(a).</w:t>
      </w:r>
    </w:p>
    <w:p>
      <w:pPr>
        <w:sectPr>
          <w:pgSz w:w="11900" w:h="16838" w:orient="portrait"/>
          <w:cols w:equalWidth="0" w:num="1">
            <w:col w:w="11260"/>
          </w:cols>
          <w:pgMar w:left="320" w:top="123" w:right="319" w:bottom="1440" w:gutter="0" w:footer="0" w:header="0"/>
        </w:sectPr>
      </w:pPr>
    </w:p>
    <w:bookmarkStart w:id="483" w:name="page484"/>
    <w:bookmarkEnd w:id="483"/>
    <w:p>
      <w:pPr>
        <w:ind w:right="180" w:firstLine="574"/>
        <w:spacing w:after="0" w:line="314" w:lineRule="auto"/>
        <w:rPr>
          <w:sz w:val="20"/>
          <w:szCs w:val="20"/>
          <w:color w:val="auto"/>
        </w:rPr>
      </w:pPr>
      <w:r>
        <w:rPr>
          <w:rFonts w:ascii="Arial" w:cs="Arial" w:eastAsia="Arial" w:hAnsi="Arial"/>
          <w:sz w:val="16"/>
          <w:szCs w:val="16"/>
          <w:color w:val="auto"/>
        </w:rPr>
        <w:t>NOW, THEREFORE, in consideration of the foregoing recitals and the mutual promises, representations and covenants set forth herein, and for other good and valuable consideration, the receipt and sufficiency of which are hereby acknowledged and accepted, the Parties agree as follows: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I</w:t>
      </w:r>
    </w:p>
    <w:p>
      <w:pPr>
        <w:spacing w:after="0" w:line="21" w:lineRule="exact"/>
        <w:rPr>
          <w:sz w:val="20"/>
          <w:szCs w:val="20"/>
          <w:color w:val="auto"/>
        </w:rPr>
      </w:pPr>
    </w:p>
    <w:p>
      <w:pPr>
        <w:ind w:left="560" w:right="3100" w:firstLine="2568"/>
        <w:spacing w:after="0" w:line="360" w:lineRule="auto"/>
        <w:rPr>
          <w:sz w:val="20"/>
          <w:szCs w:val="20"/>
          <w:color w:val="auto"/>
        </w:rPr>
      </w:pPr>
      <w:r>
        <w:rPr>
          <w:rFonts w:ascii="Arial" w:cs="Arial" w:eastAsia="Arial" w:hAnsi="Arial"/>
          <w:sz w:val="18"/>
          <w:szCs w:val="18"/>
          <w:b w:val="1"/>
          <w:bCs w:val="1"/>
          <w:color w:val="auto"/>
        </w:rPr>
        <w:t xml:space="preserve">EXCHANGE AND ISSUANCE OF CLASS B COMMON STOCK </w:t>
      </w:r>
      <w:r>
        <w:rPr>
          <w:rFonts w:ascii="Arial" w:cs="Arial" w:eastAsia="Arial" w:hAnsi="Arial"/>
          <w:sz w:val="19"/>
          <w:szCs w:val="19"/>
          <w:color w:val="auto"/>
        </w:rPr>
        <w:t xml:space="preserve">1.1. </w:t>
      </w:r>
      <w:r>
        <w:rPr>
          <w:rFonts w:ascii="Arial" w:cs="Arial" w:eastAsia="Arial" w:hAnsi="Arial"/>
          <w:sz w:val="17"/>
          <w:szCs w:val="17"/>
          <w:u w:val="single" w:color="auto"/>
          <w:color w:val="auto"/>
        </w:rPr>
        <w:t>Exchange of Class A Common Stock</w:t>
      </w:r>
      <w:r>
        <w:rPr>
          <w:rFonts w:ascii="Arial" w:cs="Arial" w:eastAsia="Arial" w:hAnsi="Arial"/>
          <w:sz w:val="17"/>
          <w:szCs w:val="17"/>
          <w:color w:val="auto"/>
        </w:rPr>
        <w:t>.</w:t>
      </w:r>
    </w:p>
    <w:p>
      <w:pPr>
        <w:spacing w:after="0" w:line="89" w:lineRule="exact"/>
        <w:rPr>
          <w:sz w:val="20"/>
          <w:szCs w:val="20"/>
          <w:color w:val="auto"/>
        </w:rPr>
      </w:pPr>
    </w:p>
    <w:p>
      <w:pPr>
        <w:ind w:right="60" w:firstLine="569"/>
        <w:spacing w:after="0" w:line="253" w:lineRule="auto"/>
        <w:tabs>
          <w:tab w:leader="none" w:pos="977" w:val="left"/>
        </w:tabs>
        <w:numPr>
          <w:ilvl w:val="0"/>
          <w:numId w:val="271"/>
        </w:numPr>
        <w:rPr>
          <w:rFonts w:ascii="Arial" w:cs="Arial" w:eastAsia="Arial" w:hAnsi="Arial"/>
          <w:sz w:val="18"/>
          <w:szCs w:val="18"/>
          <w:color w:val="auto"/>
        </w:rPr>
      </w:pPr>
      <w:r>
        <w:rPr>
          <w:rFonts w:ascii="Arial" w:cs="Arial" w:eastAsia="Arial" w:hAnsi="Arial"/>
          <w:sz w:val="17"/>
          <w:szCs w:val="17"/>
          <w:color w:val="auto"/>
        </w:rPr>
        <w:t xml:space="preserve">Subject to the terms and conditions of this Agreement, immediately following the Effective Time, each Exchange Stockholder shall be deemed to have automatically transferred to the Company the shares of Class A Common Stock held by such Exchange Stockholder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Class A Shares</w:t>
      </w:r>
      <w:r>
        <w:rPr>
          <w:rFonts w:ascii="Arial" w:cs="Arial" w:eastAsia="Arial" w:hAnsi="Arial"/>
          <w:sz w:val="17"/>
          <w:szCs w:val="17"/>
          <w:color w:val="auto"/>
        </w:rPr>
        <w:t>”) and the Company shall issue to each Exchange Stockholder shares of Class B Common Stock (the “</w:t>
      </w:r>
      <w:r>
        <w:rPr>
          <w:rFonts w:ascii="Arial" w:cs="Arial" w:eastAsia="Arial" w:hAnsi="Arial"/>
          <w:sz w:val="17"/>
          <w:szCs w:val="17"/>
          <w:b w:val="1"/>
          <w:bCs w:val="1"/>
          <w:color w:val="auto"/>
        </w:rPr>
        <w:t>Class B Shares</w:t>
      </w:r>
      <w:r>
        <w:rPr>
          <w:rFonts w:ascii="Arial" w:cs="Arial" w:eastAsia="Arial" w:hAnsi="Arial"/>
          <w:sz w:val="17"/>
          <w:szCs w:val="17"/>
          <w:color w:val="auto"/>
        </w:rPr>
        <w:t>”), at an exchange ratio of one (1) Class A Share for one (1) Class B Share (the “</w:t>
      </w:r>
      <w:r>
        <w:rPr>
          <w:rFonts w:ascii="Arial" w:cs="Arial" w:eastAsia="Arial" w:hAnsi="Arial"/>
          <w:sz w:val="17"/>
          <w:szCs w:val="17"/>
          <w:b w:val="1"/>
          <w:bCs w:val="1"/>
          <w:color w:val="auto"/>
        </w:rPr>
        <w:t>Exchange</w:t>
      </w:r>
      <w:r>
        <w:rPr>
          <w:rFonts w:ascii="Arial" w:cs="Arial" w:eastAsia="Arial" w:hAnsi="Arial"/>
          <w:sz w:val="17"/>
          <w:szCs w:val="17"/>
          <w:color w:val="auto"/>
        </w:rPr>
        <w:t xml:space="preserve">”). The number of Class A Shares to be transferred and the number of Class B Shares to be received in the Exchange by each Exchange Stockholder are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188" w:lineRule="exact"/>
        <w:rPr>
          <w:rFonts w:ascii="Arial" w:cs="Arial" w:eastAsia="Arial" w:hAnsi="Arial"/>
          <w:sz w:val="18"/>
          <w:szCs w:val="18"/>
          <w:color w:val="auto"/>
        </w:rPr>
      </w:pPr>
    </w:p>
    <w:p>
      <w:pPr>
        <w:ind w:firstLine="569"/>
        <w:spacing w:after="0" w:line="252" w:lineRule="auto"/>
        <w:tabs>
          <w:tab w:leader="none" w:pos="988" w:val="left"/>
        </w:tabs>
        <w:numPr>
          <w:ilvl w:val="0"/>
          <w:numId w:val="271"/>
        </w:numPr>
        <w:rPr>
          <w:rFonts w:ascii="Arial" w:cs="Arial" w:eastAsia="Arial" w:hAnsi="Arial"/>
          <w:sz w:val="18"/>
          <w:szCs w:val="18"/>
          <w:color w:val="auto"/>
        </w:rPr>
      </w:pPr>
      <w:r>
        <w:rPr>
          <w:rFonts w:ascii="Arial" w:cs="Arial" w:eastAsia="Arial" w:hAnsi="Arial"/>
          <w:sz w:val="17"/>
          <w:szCs w:val="17"/>
          <w:color w:val="auto"/>
        </w:rPr>
        <w:t>Concurrently herewith, each Exchange Stockholder is delivering to the Company such instruments of transfer or other documentation as may be reasonably required to evidence that the shares of Common Stock (which will automatically be reclassified as Class A Common Stock pursuant to the Amended and Restated Certificate of Incorporation at the Effective Time) have been duly transferred to the Company to be held in escrow until the Effective Time and such documents are automatically released without further action by the Company or such Exchange Stockholder at the Effective Time. Each Exchange Stockholder agrees to execute such further documentation as the Company may reasonably request, whether before or after the Effective Time, to document or perfect such transfer of shares of Common Stock to the Company.</w:t>
      </w:r>
    </w:p>
    <w:p>
      <w:pPr>
        <w:spacing w:after="0" w:line="174"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6"/>
          <w:szCs w:val="16"/>
          <w:u w:val="single" w:color="auto"/>
          <w:color w:val="auto"/>
        </w:rPr>
        <w:t>Effective Time of the Exchange</w:t>
      </w:r>
      <w:r>
        <w:rPr>
          <w:rFonts w:ascii="Arial" w:cs="Arial" w:eastAsia="Arial" w:hAnsi="Arial"/>
          <w:sz w:val="16"/>
          <w:szCs w:val="16"/>
          <w:color w:val="auto"/>
        </w:rPr>
        <w:t>.</w:t>
      </w:r>
    </w:p>
    <w:p>
      <w:pPr>
        <w:spacing w:after="0" w:line="216" w:lineRule="exact"/>
        <w:rPr>
          <w:sz w:val="20"/>
          <w:szCs w:val="20"/>
          <w:color w:val="auto"/>
        </w:rPr>
      </w:pPr>
    </w:p>
    <w:p>
      <w:pPr>
        <w:ind w:right="560" w:firstLine="569"/>
        <w:spacing w:after="0" w:line="267" w:lineRule="auto"/>
        <w:tabs>
          <w:tab w:leader="none" w:pos="977" w:val="left"/>
        </w:tabs>
        <w:numPr>
          <w:ilvl w:val="0"/>
          <w:numId w:val="272"/>
        </w:numPr>
        <w:rPr>
          <w:rFonts w:ascii="Arial" w:cs="Arial" w:eastAsia="Arial" w:hAnsi="Arial"/>
          <w:sz w:val="18"/>
          <w:szCs w:val="18"/>
          <w:color w:val="auto"/>
        </w:rPr>
      </w:pPr>
      <w:r>
        <w:rPr>
          <w:rFonts w:ascii="Arial" w:cs="Arial" w:eastAsia="Arial" w:hAnsi="Arial"/>
          <w:sz w:val="17"/>
          <w:szCs w:val="17"/>
          <w:color w:val="auto"/>
        </w:rPr>
        <w:t>The Exchange shall occur and be deemed effective without any further action by the Company or the Exchange Stockholders immediately following the Effective Time and prior to the consummation of the sale of the shares of the Company’s capital stock in the IPO.</w:t>
      </w:r>
    </w:p>
    <w:p>
      <w:pPr>
        <w:spacing w:after="0" w:line="173" w:lineRule="exact"/>
        <w:rPr>
          <w:rFonts w:ascii="Arial" w:cs="Arial" w:eastAsia="Arial" w:hAnsi="Arial"/>
          <w:sz w:val="18"/>
          <w:szCs w:val="18"/>
          <w:color w:val="auto"/>
        </w:rPr>
      </w:pPr>
    </w:p>
    <w:p>
      <w:pPr>
        <w:jc w:val="both"/>
        <w:ind w:right="320" w:firstLine="569"/>
        <w:spacing w:after="0" w:line="335" w:lineRule="auto"/>
        <w:tabs>
          <w:tab w:leader="none" w:pos="988" w:val="left"/>
        </w:tabs>
        <w:numPr>
          <w:ilvl w:val="0"/>
          <w:numId w:val="272"/>
        </w:numPr>
        <w:rPr>
          <w:rFonts w:ascii="Arial" w:cs="Arial" w:eastAsia="Arial" w:hAnsi="Arial"/>
          <w:sz w:val="16"/>
          <w:szCs w:val="16"/>
          <w:color w:val="auto"/>
        </w:rPr>
      </w:pPr>
      <w:r>
        <w:rPr>
          <w:rFonts w:ascii="Arial" w:cs="Arial" w:eastAsia="Arial" w:hAnsi="Arial"/>
          <w:sz w:val="15"/>
          <w:szCs w:val="15"/>
          <w:color w:val="auto"/>
        </w:rPr>
        <w:t>Upon the effectiveness of the Exchange, the Company shall deliver (or shall cause its transfer agent to deliver) to each Exchange Stockholder such documentation as may be reasonably required to evidence that the Class B Shares have been duly issued and delivered to such Exchange Stockholder.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EXCHANGE STOCKHOLDERS</w:t>
      </w:r>
    </w:p>
    <w:p>
      <w:pPr>
        <w:spacing w:after="0" w:line="12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Each Exchange Stockholder hereby represents and warrants to the Company, with respect to the transactions contemplated hereby, as follows:</w:t>
      </w:r>
    </w:p>
    <w:p>
      <w:pPr>
        <w:spacing w:after="0" w:line="218" w:lineRule="exact"/>
        <w:rPr>
          <w:sz w:val="20"/>
          <w:szCs w:val="20"/>
          <w:color w:val="auto"/>
        </w:rPr>
      </w:pPr>
    </w:p>
    <w:p>
      <w:pPr>
        <w:ind w:right="100" w:firstLine="574"/>
        <w:spacing w:after="0" w:line="24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7"/>
          <w:szCs w:val="17"/>
          <w:u w:val="single" w:color="auto"/>
          <w:color w:val="auto"/>
        </w:rPr>
        <w:t>Ownership; Authority</w:t>
      </w:r>
      <w:r>
        <w:rPr>
          <w:rFonts w:ascii="Arial" w:cs="Arial" w:eastAsia="Arial" w:hAnsi="Arial"/>
          <w:sz w:val="17"/>
          <w:szCs w:val="17"/>
          <w:color w:val="auto"/>
        </w:rPr>
        <w:t>. As of the Effective Time, such Exchange Stockholder will be the beneficial and legal owner of the Class A Shares</w:t>
      </w:r>
      <w:r>
        <w:rPr>
          <w:rFonts w:ascii="Arial" w:cs="Arial" w:eastAsia="Arial" w:hAnsi="Arial"/>
          <w:sz w:val="19"/>
          <w:szCs w:val="19"/>
          <w:color w:val="auto"/>
        </w:rPr>
        <w:t xml:space="preserve"> </w:t>
      </w:r>
      <w:r>
        <w:rPr>
          <w:rFonts w:ascii="Arial" w:cs="Arial" w:eastAsia="Arial" w:hAnsi="Arial"/>
          <w:sz w:val="17"/>
          <w:szCs w:val="17"/>
          <w:color w:val="auto"/>
        </w:rPr>
        <w:t>exchanged hereunder, free and clear of all liens, encumbrances and restrictions (except for restrictions on transfer arising under applicable securities laws or as set forth or contemplated by this Agreement, the governing documents of the Company (including the Amended and Restated Certificate of Incorporation and the Amended and Restated Bylaws of the</w:t>
      </w:r>
    </w:p>
    <w:p>
      <w:pPr>
        <w:sectPr>
          <w:pgSz w:w="11900" w:h="16838" w:orient="portrait"/>
          <w:cols w:equalWidth="0" w:num="1">
            <w:col w:w="11220"/>
          </w:cols>
          <w:pgMar w:left="320" w:top="1271" w:right="359" w:bottom="1440" w:gutter="0" w:footer="0" w:header="0"/>
        </w:sectPr>
      </w:pPr>
    </w:p>
    <w:bookmarkStart w:id="484" w:name="page485"/>
    <w:bookmarkEnd w:id="484"/>
    <w:p>
      <w:pPr>
        <w:ind w:right="60"/>
        <w:spacing w:after="0" w:line="269" w:lineRule="auto"/>
        <w:rPr>
          <w:sz w:val="20"/>
          <w:szCs w:val="20"/>
          <w:color w:val="auto"/>
        </w:rPr>
      </w:pPr>
      <w:r>
        <w:rPr>
          <w:rFonts w:ascii="Arial" w:cs="Arial" w:eastAsia="Arial" w:hAnsi="Arial"/>
          <w:sz w:val="16"/>
          <w:szCs w:val="16"/>
          <w:color w:val="auto"/>
        </w:rPr>
        <w:t>Company that will become effective immediately following the Effective Time (the “</w:t>
      </w:r>
      <w:r>
        <w:rPr>
          <w:rFonts w:ascii="Arial" w:cs="Arial" w:eastAsia="Arial" w:hAnsi="Arial"/>
          <w:sz w:val="16"/>
          <w:szCs w:val="16"/>
          <w:b w:val="1"/>
          <w:bCs w:val="1"/>
          <w:color w:val="auto"/>
        </w:rPr>
        <w:t>Amended and Restated Bylaws</w:t>
      </w:r>
      <w:r>
        <w:rPr>
          <w:rFonts w:ascii="Arial" w:cs="Arial" w:eastAsia="Arial" w:hAnsi="Arial"/>
          <w:sz w:val="16"/>
          <w:szCs w:val="16"/>
          <w:color w:val="auto"/>
        </w:rPr>
        <w:t>”)), that certain voting agreement among the Exchange Stockholders, [Baiju Bhatt][Vladimir Tenev] and certain of his affiliates and the Company, dated as of , 2021 (the “</w:t>
      </w:r>
      <w:r>
        <w:rPr>
          <w:rFonts w:ascii="Arial" w:cs="Arial" w:eastAsia="Arial" w:hAnsi="Arial"/>
          <w:sz w:val="16"/>
          <w:szCs w:val="16"/>
          <w:b w:val="1"/>
          <w:bCs w:val="1"/>
          <w:color w:val="auto"/>
        </w:rPr>
        <w:t>Voting Agreement</w:t>
      </w:r>
      <w:r>
        <w:rPr>
          <w:rFonts w:ascii="Arial" w:cs="Arial" w:eastAsia="Arial" w:hAnsi="Arial"/>
          <w:sz w:val="16"/>
          <w:szCs w:val="16"/>
          <w:color w:val="auto"/>
        </w:rPr>
        <w:t>”), or any other agreements to which such Exchange Stockholder and the Company are a party). Such Exchange Stockholder has the full right, power and authority to enter into this Agreement and to transfer, convey and exchange the Class A Shares in accordance with this Agreement. Assuming the due authorization, execution and delivery by the Company, this Agreement constitutes a valid and binding agreement of such Exchange Stockholder, enforceable against such Exchange Stockholder in accordance with its terms (subject to applicable bankruptcy, insolvency, examinership, fraudulent transfer, reorganization, liquidation, dissolution, moratorium and other similar laws affecting or relating to creditors’ rights generally and subject to general principles of equity). Upon consummation of the Exchange contemplated hereby, the Company will acquire from such Exchange Stockholder good and marketable title to the Class A Shares, free and clear of any and all liens, encumbrances and restrictions (except for restrictions on transfer arising under applicable securities laws or as set forth or contemplated by this Agreement, the governing documents of the Company (including the Amended and Restated Certificate of Incorporation and the Amended and Restated Bylaws) or any other agreements to which such Exchange Stockholder and the Company are a party, and subject to applicable bankruptcy, insolvency, examinership, fraudulent transfer, reorganization, liquidation, dissolution, moratorium and other similar laws affecting or relating to creditors’ rights generally and subject to general principles of equity).</w:t>
      </w:r>
    </w:p>
    <w:p>
      <w:pPr>
        <w:spacing w:after="0" w:line="165" w:lineRule="exact"/>
        <w:rPr>
          <w:sz w:val="20"/>
          <w:szCs w:val="20"/>
          <w:color w:val="auto"/>
        </w:rPr>
      </w:pPr>
    </w:p>
    <w:p>
      <w:pPr>
        <w:ind w:right="80" w:firstLine="574"/>
        <w:spacing w:after="0" w:line="24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7"/>
          <w:szCs w:val="17"/>
          <w:u w:val="single" w:color="auto"/>
          <w:color w:val="auto"/>
        </w:rPr>
        <w:t>Governmental Authorization</w:t>
      </w:r>
      <w:r>
        <w:rPr>
          <w:rFonts w:ascii="Arial" w:cs="Arial" w:eastAsia="Arial" w:hAnsi="Arial"/>
          <w:sz w:val="17"/>
          <w:szCs w:val="17"/>
          <w:color w:val="auto"/>
        </w:rPr>
        <w:t>. The execution and delivery by such Exchange Stockholder of this Agreement and the effectiveness of this</w:t>
      </w:r>
      <w:r>
        <w:rPr>
          <w:rFonts w:ascii="Arial" w:cs="Arial" w:eastAsia="Arial" w:hAnsi="Arial"/>
          <w:sz w:val="19"/>
          <w:szCs w:val="19"/>
          <w:color w:val="auto"/>
        </w:rPr>
        <w:t xml:space="preserve"> </w:t>
      </w:r>
      <w:r>
        <w:rPr>
          <w:rFonts w:ascii="Arial" w:cs="Arial" w:eastAsia="Arial" w:hAnsi="Arial"/>
          <w:sz w:val="17"/>
          <w:szCs w:val="17"/>
          <w:color w:val="auto"/>
        </w:rPr>
        <w:t>Agreement require no consent of, or action by or in respect of, or filing with, any governmental authority on the part of such Exchange Stockholder (excluding, for the avoidance of doubt, the filing by the Company of the Amended and Restated Certificate of Incorporation with the Secretary of State of the State of Delaware). For purposes of this Agreement, “</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transnational, domestic or foreign federal, state or local governmental, regulatory or administrative authority, department, court, agency or official, including any political subdivision thereof.</w:t>
      </w:r>
    </w:p>
    <w:p>
      <w:pPr>
        <w:spacing w:after="0" w:line="178" w:lineRule="exact"/>
        <w:rPr>
          <w:sz w:val="20"/>
          <w:szCs w:val="20"/>
          <w:color w:val="auto"/>
        </w:rPr>
      </w:pPr>
    </w:p>
    <w:p>
      <w:pPr>
        <w:ind w:firstLine="574"/>
        <w:spacing w:after="0" w:line="248"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7"/>
          <w:szCs w:val="17"/>
          <w:u w:val="single" w:color="auto"/>
          <w:color w:val="auto"/>
        </w:rPr>
        <w:t>Noncontravention</w:t>
      </w:r>
      <w:r>
        <w:rPr>
          <w:rFonts w:ascii="Arial" w:cs="Arial" w:eastAsia="Arial" w:hAnsi="Arial"/>
          <w:sz w:val="17"/>
          <w:szCs w:val="17"/>
          <w:color w:val="auto"/>
        </w:rPr>
        <w:t>. The execution, delivery and performance by such Exchange Stockholder of this Agreement and the consummation of the</w:t>
      </w:r>
      <w:r>
        <w:rPr>
          <w:rFonts w:ascii="Arial" w:cs="Arial" w:eastAsia="Arial" w:hAnsi="Arial"/>
          <w:sz w:val="19"/>
          <w:szCs w:val="19"/>
          <w:color w:val="auto"/>
        </w:rPr>
        <w:t xml:space="preserve"> </w:t>
      </w:r>
      <w:r>
        <w:rPr>
          <w:rFonts w:ascii="Arial" w:cs="Arial" w:eastAsia="Arial" w:hAnsi="Arial"/>
          <w:sz w:val="17"/>
          <w:szCs w:val="17"/>
          <w:color w:val="auto"/>
        </w:rPr>
        <w:t>transactions contemplated hereby do not and will not (a) violate any governing document, including any trust agreement, applicable to such Exchange Stockholder, (b) subject to the consents, actions and filings referred to in Section 2.2, violate any provision of, or result in the breach of, any applicable law, (c) require any consent or other action under, constitute a default under, or give rise to any right of termination, cancellation or acceleration of any right or obligation of such Exchange Stockholder or to the loss of any benefit to which such Exchange Stockholder is entitled under any provision of any agreement or other instrument binding upon such Exchange Stockholder or (d) result in the creation or imposition of any lien on such Exchange Stockholder’s Class A Shares, other than restrictions on transfer arising under applicable securities laws or as set forth or contemplated by this Agreement, the governing documents of the Company (including the Amended and Restated Certificate of Incorporation and the Amended and Restated Bylaws), the Voting Agreement or any other agreements to which such Exchange Stockholder and the Company are a party.</w:t>
      </w:r>
    </w:p>
    <w:p>
      <w:pPr>
        <w:spacing w:after="0" w:line="178" w:lineRule="exact"/>
        <w:rPr>
          <w:sz w:val="20"/>
          <w:szCs w:val="20"/>
          <w:color w:val="auto"/>
        </w:rPr>
      </w:pPr>
    </w:p>
    <w:p>
      <w:pPr>
        <w:ind w:firstLine="574"/>
        <w:spacing w:after="0" w:line="247"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7"/>
          <w:szCs w:val="17"/>
          <w:u w:val="single" w:color="auto"/>
          <w:color w:val="auto"/>
        </w:rPr>
        <w:t>Restricted Securities; Rule 144</w:t>
      </w:r>
      <w:r>
        <w:rPr>
          <w:rFonts w:ascii="Arial" w:cs="Arial" w:eastAsia="Arial" w:hAnsi="Arial"/>
          <w:sz w:val="17"/>
          <w:szCs w:val="17"/>
          <w:color w:val="auto"/>
        </w:rPr>
        <w:t>. Such Exchange Stockholder understands that the Class B Shares are characterized as “restricted securities” under</w:t>
      </w:r>
      <w:r>
        <w:rPr>
          <w:rFonts w:ascii="Arial" w:cs="Arial" w:eastAsia="Arial" w:hAnsi="Arial"/>
          <w:sz w:val="19"/>
          <w:szCs w:val="19"/>
          <w:color w:val="auto"/>
        </w:rPr>
        <w:t xml:space="preserve"> </w:t>
      </w:r>
      <w:r>
        <w:rPr>
          <w:rFonts w:ascii="Arial" w:cs="Arial" w:eastAsia="Arial" w:hAnsi="Arial"/>
          <w:sz w:val="17"/>
          <w:szCs w:val="17"/>
          <w:color w:val="auto"/>
        </w:rPr>
        <w:t>the Securities Act of 1933, as amended (“</w:t>
      </w:r>
      <w:r>
        <w:rPr>
          <w:rFonts w:ascii="Arial" w:cs="Arial" w:eastAsia="Arial" w:hAnsi="Arial"/>
          <w:sz w:val="17"/>
          <w:szCs w:val="17"/>
          <w:b w:val="1"/>
          <w:bCs w:val="1"/>
          <w:color w:val="auto"/>
        </w:rPr>
        <w:t>Securities Act</w:t>
      </w:r>
      <w:r>
        <w:rPr>
          <w:rFonts w:ascii="Arial" w:cs="Arial" w:eastAsia="Arial" w:hAnsi="Arial"/>
          <w:sz w:val="17"/>
          <w:szCs w:val="17"/>
          <w:color w:val="auto"/>
        </w:rPr>
        <w:t>”), because such shares are being acquired from the Company in a transaction not involving a public offering within the meaning of the Securities Act and in exchange for shares acquired</w:t>
      </w:r>
    </w:p>
    <w:p>
      <w:pPr>
        <w:sectPr>
          <w:pgSz w:w="11900" w:h="16838" w:orient="portrait"/>
          <w:cols w:equalWidth="0" w:num="1">
            <w:col w:w="11240"/>
          </w:cols>
          <w:pgMar w:left="320" w:top="1265" w:right="339" w:bottom="1440" w:gutter="0" w:footer="0" w:header="0"/>
        </w:sectPr>
      </w:pPr>
    </w:p>
    <w:bookmarkStart w:id="485" w:name="page486"/>
    <w:bookmarkEnd w:id="485"/>
    <w:p>
      <w:pPr>
        <w:ind w:right="80"/>
        <w:spacing w:after="0" w:line="273" w:lineRule="auto"/>
        <w:rPr>
          <w:sz w:val="20"/>
          <w:szCs w:val="20"/>
          <w:color w:val="auto"/>
        </w:rPr>
      </w:pPr>
      <w:r>
        <w:rPr>
          <w:rFonts w:ascii="Arial" w:cs="Arial" w:eastAsia="Arial" w:hAnsi="Arial"/>
          <w:sz w:val="16"/>
          <w:szCs w:val="16"/>
          <w:color w:val="auto"/>
        </w:rPr>
        <w:t>from the Company in a transaction not involving a public offering, and that under the Securities Act and the rules and regulations promulgated thereunder, the Class B Shares may be resold without registration under the Securities Act only in certain limited circumstances, and subject to the restrictions under the Amended and Restated Certificate of Incorporation and in compliance with all applicable state securities laws. Such Exchange Stockholder understands and hereby acknowledges that the Class B Shares must be held indefinitely unless subsequently registered under the Securities Act or an exemption from such registration is otherwise available and resold in compliance with all applicable state securities laws. Such Exchange Stockholder is aware of the provisions of Rule 144 promulgated under the Securities Act, which permit limited resales of shares purchased in a transaction not involving a public offering, subject to the satisfaction of certain conditions.</w:t>
      </w:r>
    </w:p>
    <w:p>
      <w:pPr>
        <w:spacing w:after="0" w:line="156" w:lineRule="exact"/>
        <w:rPr>
          <w:sz w:val="20"/>
          <w:szCs w:val="20"/>
          <w:color w:val="auto"/>
        </w:rPr>
      </w:pPr>
    </w:p>
    <w:p>
      <w:pPr>
        <w:ind w:right="20" w:firstLine="574"/>
        <w:spacing w:after="0" w:line="247"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7"/>
          <w:szCs w:val="17"/>
          <w:u w:val="single" w:color="auto"/>
          <w:color w:val="auto"/>
        </w:rPr>
        <w:t>Le</w:t>
      </w:r>
      <w:r>
        <w:rPr>
          <w:rFonts w:ascii="Arial" w:cs="Arial" w:eastAsia="Arial" w:hAnsi="Arial"/>
          <w:sz w:val="17"/>
          <w:szCs w:val="17"/>
          <w:color w:val="auto"/>
        </w:rPr>
        <w:t>g</w:t>
      </w:r>
      <w:r>
        <w:rPr>
          <w:rFonts w:ascii="Arial" w:cs="Arial" w:eastAsia="Arial" w:hAnsi="Arial"/>
          <w:sz w:val="17"/>
          <w:szCs w:val="17"/>
          <w:u w:val="single" w:color="auto"/>
          <w:color w:val="auto"/>
        </w:rPr>
        <w:t>ends</w:t>
      </w:r>
      <w:r>
        <w:rPr>
          <w:rFonts w:ascii="Arial" w:cs="Arial" w:eastAsia="Arial" w:hAnsi="Arial"/>
          <w:sz w:val="17"/>
          <w:szCs w:val="17"/>
          <w:color w:val="auto"/>
        </w:rPr>
        <w:t>. It is understood that each certificate or book entry position representing the Class B Shares, and any securities issued in respect thereof</w:t>
      </w:r>
      <w:r>
        <w:rPr>
          <w:rFonts w:ascii="Arial" w:cs="Arial" w:eastAsia="Arial" w:hAnsi="Arial"/>
          <w:sz w:val="19"/>
          <w:szCs w:val="19"/>
          <w:color w:val="auto"/>
        </w:rPr>
        <w:t xml:space="preserve"> </w:t>
      </w:r>
      <w:r>
        <w:rPr>
          <w:rFonts w:ascii="Arial" w:cs="Arial" w:eastAsia="Arial" w:hAnsi="Arial"/>
          <w:sz w:val="17"/>
          <w:szCs w:val="17"/>
          <w:color w:val="auto"/>
        </w:rPr>
        <w:t>or exchange therefor, shall bear a legend in substantially the following form (in addition to any legend required under applicable non-U.S. or state securities laws or agreements to which such Exchange Stockholder is a party):</w:t>
      </w:r>
    </w:p>
    <w:p>
      <w:pPr>
        <w:spacing w:after="0" w:line="166" w:lineRule="exact"/>
        <w:rPr>
          <w:sz w:val="20"/>
          <w:szCs w:val="20"/>
          <w:color w:val="auto"/>
        </w:rPr>
      </w:pPr>
    </w:p>
    <w:p>
      <w:pPr>
        <w:ind w:left="560" w:right="560"/>
        <w:spacing w:after="0" w:line="239"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UNDER THE SECURITIES LAWS OF ANY NON-U.S. OR STATE SECURITIES LAWS, AND MAY NOT BE OFFERED, SOLD OR OTHERWISE TRANSFERRED, PLEDGED OR HYPOTHECATED EXCEPT IN COMPLIANCE THEREWITH. THE ISSUER OF THESE SECURITIES MAY REQUIRE AN OPINION OF COUNSEL SATISFACTORY TO THE ISSUER THAT SUCH OFFER, SALE OR TRANSFER, PLEDGE OR HYPOTHECATION COMPLIES WITH THE ACT AND ANY APPLICABLE NON-U.S. OR STATE SECURITIES LAWS.</w:t>
      </w:r>
    </w:p>
    <w:p>
      <w:pPr>
        <w:spacing w:after="0" w:line="173" w:lineRule="exact"/>
        <w:rPr>
          <w:sz w:val="20"/>
          <w:szCs w:val="20"/>
          <w:color w:val="auto"/>
        </w:rPr>
      </w:pPr>
    </w:p>
    <w:p>
      <w:pPr>
        <w:ind w:left="560" w:right="680"/>
        <w:spacing w:after="0" w:line="239" w:lineRule="auto"/>
        <w:rPr>
          <w:sz w:val="20"/>
          <w:szCs w:val="20"/>
          <w:color w:val="auto"/>
        </w:rPr>
      </w:pPr>
      <w:r>
        <w:rPr>
          <w:rFonts w:ascii="Arial" w:cs="Arial" w:eastAsia="Arial" w:hAnsi="Arial"/>
          <w:sz w:val="18"/>
          <w:szCs w:val="18"/>
          <w:color w:val="auto"/>
        </w:rPr>
        <w:t>THE SECURITIES REPRESENTED HEREBY ARE SUBJECT TO THE PROVISIONS OF THE CERTIFICATE OF INCORPORATION AND BYLAWS OF THE ISSUER CURRENTLY IN EFFECT (THE “ORGANIZATIONAL DOCUMENTS”), WHICH, AMONG OTHER THINGS, SPECIFY CERTAIN ACTIONS OR TRANSACTIONS THAT WOULD RESULT IN THE AUTOMATIC CONVERSION OF SUCH SECURITIES INTO SHARES OF CLASS A COMMON STOCK. COPIES OF THE ORGANIZATIONAL DOCUMENTS MAY BE OBTAINED FROM THE ISSUER UPON REQUEST.”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ARTICLE 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2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Company hereby represents and warrants to each Exchange Stockholder, with respect to the transactions contemplated hereby, as follows:</w:t>
      </w:r>
    </w:p>
    <w:p>
      <w:pPr>
        <w:spacing w:after="0" w:line="218" w:lineRule="exact"/>
        <w:rPr>
          <w:sz w:val="20"/>
          <w:szCs w:val="20"/>
          <w:color w:val="auto"/>
        </w:rPr>
      </w:pPr>
    </w:p>
    <w:p>
      <w:pPr>
        <w:ind w:right="440" w:firstLine="574"/>
        <w:spacing w:after="0" w:line="244"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7"/>
          <w:szCs w:val="17"/>
          <w:u w:val="single" w:color="auto"/>
          <w:color w:val="auto"/>
        </w:rPr>
        <w:t>Corporate Existence</w:t>
      </w:r>
      <w:r>
        <w:rPr>
          <w:rFonts w:ascii="Arial" w:cs="Arial" w:eastAsia="Arial" w:hAnsi="Arial"/>
          <w:sz w:val="17"/>
          <w:szCs w:val="17"/>
          <w:color w:val="auto"/>
        </w:rPr>
        <w:t>. The Company is a corporation duly incorporated, validly existing and in good standing under the laws of the State of</w:t>
      </w:r>
      <w:r>
        <w:rPr>
          <w:rFonts w:ascii="Arial" w:cs="Arial" w:eastAsia="Arial" w:hAnsi="Arial"/>
          <w:sz w:val="19"/>
          <w:szCs w:val="19"/>
          <w:color w:val="auto"/>
        </w:rPr>
        <w:t xml:space="preserve"> </w:t>
      </w:r>
      <w:r>
        <w:rPr>
          <w:rFonts w:ascii="Arial" w:cs="Arial" w:eastAsia="Arial" w:hAnsi="Arial"/>
          <w:sz w:val="17"/>
          <w:szCs w:val="17"/>
          <w:color w:val="auto"/>
        </w:rPr>
        <w:t>Delaware.</w:t>
      </w:r>
    </w:p>
    <w:p>
      <w:pPr>
        <w:spacing w:after="0" w:line="177" w:lineRule="exact"/>
        <w:rPr>
          <w:sz w:val="20"/>
          <w:szCs w:val="20"/>
          <w:color w:val="auto"/>
        </w:rPr>
      </w:pPr>
    </w:p>
    <w:p>
      <w:pPr>
        <w:ind w:firstLine="574"/>
        <w:spacing w:after="0" w:line="24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7"/>
          <w:szCs w:val="17"/>
          <w:u w:val="single" w:color="auto"/>
          <w:color w:val="auto"/>
        </w:rPr>
        <w:t>Due Authorization</w:t>
      </w:r>
      <w:r>
        <w:rPr>
          <w:rFonts w:ascii="Arial" w:cs="Arial" w:eastAsia="Arial" w:hAnsi="Arial"/>
          <w:sz w:val="17"/>
          <w:szCs w:val="17"/>
          <w:color w:val="auto"/>
        </w:rPr>
        <w:t>. The execution, delivery and performance by the Company of this Agreement and the consummation of the transactions</w:t>
      </w:r>
      <w:r>
        <w:rPr>
          <w:rFonts w:ascii="Arial" w:cs="Arial" w:eastAsia="Arial" w:hAnsi="Arial"/>
          <w:sz w:val="19"/>
          <w:szCs w:val="19"/>
          <w:color w:val="auto"/>
        </w:rPr>
        <w:t xml:space="preserve"> </w:t>
      </w:r>
      <w:r>
        <w:rPr>
          <w:rFonts w:ascii="Arial" w:cs="Arial" w:eastAsia="Arial" w:hAnsi="Arial"/>
          <w:sz w:val="17"/>
          <w:szCs w:val="17"/>
          <w:color w:val="auto"/>
        </w:rPr>
        <w:t>contemplated hereby, including the issuance and delivery of the Class B Shares, are within the corporate powers of the Company and have been duly authorized by all necessary corporate action on the part of the Company and the Company’s stockholders. Assuming the due authorization, execution and delivery by each Exchange Stockholder, this Agreement</w:t>
      </w:r>
    </w:p>
    <w:p>
      <w:pPr>
        <w:sectPr>
          <w:pgSz w:w="11900" w:h="16838" w:orient="portrait"/>
          <w:cols w:equalWidth="0" w:num="1">
            <w:col w:w="11200"/>
          </w:cols>
          <w:pgMar w:left="320" w:top="1271" w:right="379" w:bottom="1440" w:gutter="0" w:footer="0" w:header="0"/>
        </w:sectPr>
      </w:pPr>
    </w:p>
    <w:bookmarkStart w:id="486" w:name="page487"/>
    <w:bookmarkEnd w:id="486"/>
    <w:p>
      <w:pPr>
        <w:spacing w:after="0" w:line="244" w:lineRule="auto"/>
        <w:rPr>
          <w:sz w:val="20"/>
          <w:szCs w:val="20"/>
          <w:color w:val="auto"/>
        </w:rPr>
      </w:pPr>
      <w:r>
        <w:rPr>
          <w:rFonts w:ascii="Arial" w:cs="Arial" w:eastAsia="Arial" w:hAnsi="Arial"/>
          <w:sz w:val="18"/>
          <w:szCs w:val="18"/>
          <w:color w:val="auto"/>
        </w:rPr>
        <w:t>constitutes a valid and binding agreement of the Company, enforceable against the Company in accordance with its terms (subject to applicable bankruptcy, insolvency, examinership, fraudulent transfer, reorganization, liquidation, dissolution, moratorium and other similar laws affecting or relating to creditors’ rights generally and subject to general principles of equity).</w:t>
      </w:r>
    </w:p>
    <w:p>
      <w:pPr>
        <w:spacing w:after="0" w:line="177" w:lineRule="exact"/>
        <w:rPr>
          <w:sz w:val="20"/>
          <w:szCs w:val="20"/>
          <w:color w:val="auto"/>
        </w:rPr>
      </w:pPr>
    </w:p>
    <w:p>
      <w:pPr>
        <w:ind w:right="80" w:firstLine="574"/>
        <w:spacing w:after="0" w:line="24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7"/>
          <w:szCs w:val="17"/>
          <w:u w:val="single" w:color="auto"/>
          <w:color w:val="auto"/>
        </w:rPr>
        <w:t>Governmental Authorization</w:t>
      </w:r>
      <w:r>
        <w:rPr>
          <w:rFonts w:ascii="Arial" w:cs="Arial" w:eastAsia="Arial" w:hAnsi="Arial"/>
          <w:sz w:val="17"/>
          <w:szCs w:val="17"/>
          <w:color w:val="auto"/>
        </w:rPr>
        <w:t>. The execution and delivery by the Company of this Agreement and the effectiveness of this Agreement require no</w:t>
      </w:r>
      <w:r>
        <w:rPr>
          <w:rFonts w:ascii="Arial" w:cs="Arial" w:eastAsia="Arial" w:hAnsi="Arial"/>
          <w:sz w:val="19"/>
          <w:szCs w:val="19"/>
          <w:color w:val="auto"/>
        </w:rPr>
        <w:t xml:space="preserve"> </w:t>
      </w:r>
      <w:r>
        <w:rPr>
          <w:rFonts w:ascii="Arial" w:cs="Arial" w:eastAsia="Arial" w:hAnsi="Arial"/>
          <w:sz w:val="17"/>
          <w:szCs w:val="17"/>
          <w:color w:val="auto"/>
        </w:rPr>
        <w:t>consent of or action by or in respect of, or filing with, any governmental authority, other than the filing by the Company of the Amended and Restated Certificate of Incorporation with the Secretary of State of the State of Delaware.</w:t>
      </w:r>
    </w:p>
    <w:p>
      <w:pPr>
        <w:spacing w:after="0" w:line="174" w:lineRule="exact"/>
        <w:rPr>
          <w:sz w:val="20"/>
          <w:szCs w:val="20"/>
          <w:color w:val="auto"/>
        </w:rPr>
      </w:pPr>
    </w:p>
    <w:p>
      <w:pPr>
        <w:ind w:firstLine="574"/>
        <w:spacing w:after="0" w:line="248"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7"/>
          <w:szCs w:val="17"/>
          <w:u w:val="single" w:color="auto"/>
          <w:color w:val="auto"/>
        </w:rPr>
        <w:t>Noncontravention</w:t>
      </w:r>
      <w:r>
        <w:rPr>
          <w:rFonts w:ascii="Arial" w:cs="Arial" w:eastAsia="Arial" w:hAnsi="Arial"/>
          <w:sz w:val="17"/>
          <w:szCs w:val="17"/>
          <w:color w:val="auto"/>
        </w:rPr>
        <w:t>. The execution, delivery and performance by the Company of this Agreement and the consummation of the transactions</w:t>
      </w:r>
      <w:r>
        <w:rPr>
          <w:rFonts w:ascii="Arial" w:cs="Arial" w:eastAsia="Arial" w:hAnsi="Arial"/>
          <w:sz w:val="19"/>
          <w:szCs w:val="19"/>
          <w:color w:val="auto"/>
        </w:rPr>
        <w:t xml:space="preserve"> </w:t>
      </w:r>
      <w:r>
        <w:rPr>
          <w:rFonts w:ascii="Arial" w:cs="Arial" w:eastAsia="Arial" w:hAnsi="Arial"/>
          <w:sz w:val="17"/>
          <w:szCs w:val="17"/>
          <w:color w:val="auto"/>
        </w:rPr>
        <w:t>contemplated hereby do not and will not (a) violate any provision of the governing documents of the Company (including the Amended and Restated Certificate of Incorporation and the Amended and Restated Bylaws), (b) subject to the consents, actions and filings referred to in Section 3.3, violate any provision of, or result in the breach of, any applicable law, (c) require any consent of or other action by any person under, constitute a default under, or give rise to any right of termination, cancellation or acceleration of any right or obligation of the Company or to the loss of any benefit to which the Company is entitled under any provision of any agreement or other instrument binding upon the Company or (d) result in the creation or imposition of any lien on the Class B Shares other than as set forth or contemplated by this Agreement, the governing documents of the Company (including the Amended and Restated Certificate of Incorporation and the Amended and Restated Bylaws), the Voting Agreement or any other agreements to which such Exchange Stockholder and the Company are a party.</w:t>
      </w:r>
    </w:p>
    <w:p>
      <w:pPr>
        <w:spacing w:after="0" w:line="178" w:lineRule="exact"/>
        <w:rPr>
          <w:sz w:val="20"/>
          <w:szCs w:val="20"/>
          <w:color w:val="auto"/>
        </w:rPr>
      </w:pPr>
    </w:p>
    <w:p>
      <w:pPr>
        <w:ind w:right="100" w:firstLine="574"/>
        <w:spacing w:after="0" w:line="247"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7"/>
          <w:szCs w:val="17"/>
          <w:u w:val="single" w:color="auto"/>
          <w:color w:val="auto"/>
        </w:rPr>
        <w:t>Valid Issuance of Shares</w:t>
      </w:r>
      <w:r>
        <w:rPr>
          <w:rFonts w:ascii="Arial" w:cs="Arial" w:eastAsia="Arial" w:hAnsi="Arial"/>
          <w:sz w:val="17"/>
          <w:szCs w:val="17"/>
          <w:color w:val="auto"/>
        </w:rPr>
        <w:t>. The Class B Shares, when issued and delivered in accordance with the terms of this Agreement, will be validly issued,</w:t>
      </w:r>
      <w:r>
        <w:rPr>
          <w:rFonts w:ascii="Arial" w:cs="Arial" w:eastAsia="Arial" w:hAnsi="Arial"/>
          <w:sz w:val="19"/>
          <w:szCs w:val="19"/>
          <w:color w:val="auto"/>
        </w:rPr>
        <w:t xml:space="preserve"> </w:t>
      </w:r>
      <w:r>
        <w:rPr>
          <w:rFonts w:ascii="Arial" w:cs="Arial" w:eastAsia="Arial" w:hAnsi="Arial"/>
          <w:sz w:val="17"/>
          <w:szCs w:val="17"/>
          <w:color w:val="auto"/>
        </w:rPr>
        <w:t>fully paid and non-assessable. At the Effective Time, the Class B Shares shall have the rights, powers, restrictions, privileges and preferences set forth in the Amended and Restated Certificate of Incorporation and the Amended and Restated Bylaws.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IV</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EFFECTIVENESS</w:t>
      </w:r>
    </w:p>
    <w:p>
      <w:pPr>
        <w:spacing w:after="0" w:line="133"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This Agreement shall become effective concurrently with the Effective Time.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33" w:lineRule="exact"/>
        <w:rPr>
          <w:sz w:val="20"/>
          <w:szCs w:val="20"/>
          <w:color w:val="auto"/>
        </w:rPr>
      </w:pPr>
    </w:p>
    <w:p>
      <w:pPr>
        <w:ind w:right="180" w:firstLine="574"/>
        <w:spacing w:after="0" w:line="244"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7"/>
          <w:szCs w:val="17"/>
          <w:u w:val="single" w:color="auto"/>
          <w:color w:val="auto"/>
        </w:rPr>
        <w:t>Governin</w:t>
      </w:r>
      <w:r>
        <w:rPr>
          <w:rFonts w:ascii="Arial" w:cs="Arial" w:eastAsia="Arial" w:hAnsi="Arial"/>
          <w:sz w:val="17"/>
          <w:szCs w:val="17"/>
          <w:color w:val="auto"/>
        </w:rPr>
        <w:t>g</w:t>
      </w:r>
      <w:r>
        <w:rPr>
          <w:rFonts w:ascii="Arial" w:cs="Arial" w:eastAsia="Arial" w:hAnsi="Arial"/>
          <w:sz w:val="19"/>
          <w:szCs w:val="19"/>
          <w:color w:val="auto"/>
        </w:rPr>
        <w:t xml:space="preserve"> </w:t>
      </w:r>
      <w:r>
        <w:rPr>
          <w:rFonts w:ascii="Arial" w:cs="Arial" w:eastAsia="Arial" w:hAnsi="Arial"/>
          <w:sz w:val="17"/>
          <w:szCs w:val="17"/>
          <w:u w:val="single" w:color="auto"/>
          <w:color w:val="auto"/>
        </w:rPr>
        <w:t>Law</w:t>
      </w:r>
      <w:r>
        <w:rPr>
          <w:rFonts w:ascii="Arial" w:cs="Arial" w:eastAsia="Arial" w:hAnsi="Arial"/>
          <w:sz w:val="17"/>
          <w:szCs w:val="17"/>
          <w:color w:val="auto"/>
        </w:rPr>
        <w:t>. This Agreement shall be governed in all respects by the laws of the State of Delaware without regard to principles of conflicts</w:t>
      </w:r>
      <w:r>
        <w:rPr>
          <w:rFonts w:ascii="Arial" w:cs="Arial" w:eastAsia="Arial" w:hAnsi="Arial"/>
          <w:sz w:val="19"/>
          <w:szCs w:val="19"/>
          <w:color w:val="auto"/>
        </w:rPr>
        <w:t xml:space="preserve"> </w:t>
      </w:r>
      <w:r>
        <w:rPr>
          <w:rFonts w:ascii="Arial" w:cs="Arial" w:eastAsia="Arial" w:hAnsi="Arial"/>
          <w:sz w:val="17"/>
          <w:szCs w:val="17"/>
          <w:color w:val="auto"/>
        </w:rPr>
        <w:t>of law thereof.</w:t>
      </w:r>
    </w:p>
    <w:p>
      <w:pPr>
        <w:spacing w:after="0" w:line="177" w:lineRule="exact"/>
        <w:rPr>
          <w:sz w:val="20"/>
          <w:szCs w:val="20"/>
          <w:color w:val="auto"/>
        </w:rPr>
      </w:pPr>
    </w:p>
    <w:p>
      <w:pPr>
        <w:ind w:right="140" w:firstLine="574"/>
        <w:spacing w:after="0" w:line="24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7"/>
          <w:szCs w:val="17"/>
          <w:u w:val="single" w:color="auto"/>
          <w:color w:val="auto"/>
        </w:rPr>
        <w:t>Successors and Ass</w:t>
      </w:r>
      <w:r>
        <w:rPr>
          <w:rFonts w:ascii="Arial" w:cs="Arial" w:eastAsia="Arial" w:hAnsi="Arial"/>
          <w:sz w:val="17"/>
          <w:szCs w:val="17"/>
          <w:color w:val="auto"/>
        </w:rPr>
        <w:t>ig</w:t>
      </w:r>
      <w:r>
        <w:rPr>
          <w:rFonts w:ascii="Arial" w:cs="Arial" w:eastAsia="Arial" w:hAnsi="Arial"/>
          <w:sz w:val="17"/>
          <w:szCs w:val="17"/>
          <w:u w:val="single" w:color="auto"/>
          <w:color w:val="auto"/>
        </w:rPr>
        <w:t>ns</w:t>
      </w:r>
      <w:r>
        <w:rPr>
          <w:rFonts w:ascii="Arial" w:cs="Arial" w:eastAsia="Arial" w:hAnsi="Arial"/>
          <w:sz w:val="17"/>
          <w:szCs w:val="17"/>
          <w:color w:val="auto"/>
        </w:rPr>
        <w:t>. No Party may assign its rights or delegate its obligations under this Agreement without the prior written consent of the</w:t>
      </w:r>
      <w:r>
        <w:rPr>
          <w:rFonts w:ascii="Arial" w:cs="Arial" w:eastAsia="Arial" w:hAnsi="Arial"/>
          <w:sz w:val="19"/>
          <w:szCs w:val="19"/>
          <w:color w:val="auto"/>
        </w:rPr>
        <w:t xml:space="preserve"> </w:t>
      </w:r>
      <w:r>
        <w:rPr>
          <w:rFonts w:ascii="Arial" w:cs="Arial" w:eastAsia="Arial" w:hAnsi="Arial"/>
          <w:sz w:val="17"/>
          <w:szCs w:val="17"/>
          <w:color w:val="auto"/>
        </w:rPr>
        <w:t>other Parties. Subject to the immediately preceding sentence, the provisions hereof shall inure to the benefit of, and be binding upon, the successors, assigns, heirs, executors and administrators of the Parties.</w:t>
      </w:r>
    </w:p>
    <w:p>
      <w:pPr>
        <w:spacing w:after="0" w:line="174" w:lineRule="exact"/>
        <w:rPr>
          <w:sz w:val="20"/>
          <w:szCs w:val="20"/>
          <w:color w:val="auto"/>
        </w:rPr>
      </w:pPr>
    </w:p>
    <w:p>
      <w:pPr>
        <w:ind w:right="460" w:firstLine="574"/>
        <w:spacing w:after="0" w:line="271"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6"/>
          <w:szCs w:val="16"/>
          <w:u w:val="single" w:color="auto"/>
          <w:color w:val="auto"/>
        </w:rPr>
        <w:t>Entire A</w:t>
      </w:r>
      <w:r>
        <w:rPr>
          <w:rFonts w:ascii="Arial" w:cs="Arial" w:eastAsia="Arial" w:hAnsi="Arial"/>
          <w:sz w:val="16"/>
          <w:szCs w:val="16"/>
          <w:color w:val="auto"/>
        </w:rPr>
        <w:t>g</w:t>
      </w:r>
      <w:r>
        <w:rPr>
          <w:rFonts w:ascii="Arial" w:cs="Arial" w:eastAsia="Arial" w:hAnsi="Arial"/>
          <w:sz w:val="16"/>
          <w:szCs w:val="16"/>
          <w:u w:val="single" w:color="auto"/>
          <w:color w:val="auto"/>
        </w:rPr>
        <w:t>reement; Amendment</w:t>
      </w:r>
      <w:r>
        <w:rPr>
          <w:rFonts w:ascii="Arial" w:cs="Arial" w:eastAsia="Arial" w:hAnsi="Arial"/>
          <w:sz w:val="16"/>
          <w:szCs w:val="16"/>
          <w:color w:val="auto"/>
        </w:rPr>
        <w:t>. Other than the rights, restrictions and preferences provided for the Class B Common Stock pursuant to the</w:t>
      </w:r>
      <w:r>
        <w:rPr>
          <w:rFonts w:ascii="Arial" w:cs="Arial" w:eastAsia="Arial" w:hAnsi="Arial"/>
          <w:sz w:val="18"/>
          <w:szCs w:val="18"/>
          <w:color w:val="auto"/>
        </w:rPr>
        <w:t xml:space="preserve"> </w:t>
      </w:r>
      <w:r>
        <w:rPr>
          <w:rFonts w:ascii="Arial" w:cs="Arial" w:eastAsia="Arial" w:hAnsi="Arial"/>
          <w:sz w:val="16"/>
          <w:szCs w:val="16"/>
          <w:color w:val="auto"/>
        </w:rPr>
        <w:t>Amended and Restated Certificate of Incorporation and the Amended and Restated Bylaws, this Agreement, including the exhibits attached</w:t>
      </w:r>
    </w:p>
    <w:p>
      <w:pPr>
        <w:sectPr>
          <w:pgSz w:w="11900" w:h="16838" w:orient="portrait"/>
          <w:cols w:equalWidth="0" w:num="1">
            <w:col w:w="11240"/>
          </w:cols>
          <w:pgMar w:left="320" w:top="1271" w:right="339" w:bottom="1440" w:gutter="0" w:footer="0" w:header="0"/>
        </w:sectPr>
      </w:pPr>
    </w:p>
    <w:bookmarkStart w:id="487" w:name="page488"/>
    <w:bookmarkEnd w:id="487"/>
    <w:p>
      <w:pPr>
        <w:spacing w:after="0" w:line="244" w:lineRule="auto"/>
        <w:rPr>
          <w:sz w:val="20"/>
          <w:szCs w:val="20"/>
          <w:color w:val="auto"/>
        </w:rPr>
      </w:pPr>
      <w:r>
        <w:rPr>
          <w:rFonts w:ascii="Arial" w:cs="Arial" w:eastAsia="Arial" w:hAnsi="Arial"/>
          <w:sz w:val="18"/>
          <w:szCs w:val="18"/>
          <w:color w:val="auto"/>
        </w:rPr>
        <w:t>hereto, constitutes the full and entire understanding and agreement between the Parties with respect to the subject matter hereof. Neither this Agreement nor any term hereof may be amended or modified other than by a written instrument signed by each Party, and no term hereof may be waived other than by a written instrument signed by the Party sought to be charged with such waiver.</w:t>
      </w:r>
    </w:p>
    <w:p>
      <w:pPr>
        <w:spacing w:after="0" w:line="177" w:lineRule="exact"/>
        <w:rPr>
          <w:sz w:val="20"/>
          <w:szCs w:val="20"/>
          <w:color w:val="auto"/>
        </w:rPr>
      </w:pPr>
    </w:p>
    <w:p>
      <w:pPr>
        <w:ind w:right="140" w:firstLine="574"/>
        <w:spacing w:after="0" w:line="244"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(including by facsimile, electronic or .pdf transmission), each of which shall be</w:t>
      </w:r>
      <w:r>
        <w:rPr>
          <w:rFonts w:ascii="Arial" w:cs="Arial" w:eastAsia="Arial" w:hAnsi="Arial"/>
          <w:sz w:val="19"/>
          <w:szCs w:val="19"/>
          <w:color w:val="auto"/>
        </w:rPr>
        <w:t xml:space="preserve"> </w:t>
      </w:r>
      <w:r>
        <w:rPr>
          <w:rFonts w:ascii="Arial" w:cs="Arial" w:eastAsia="Arial" w:hAnsi="Arial"/>
          <w:sz w:val="17"/>
          <w:szCs w:val="17"/>
          <w:color w:val="auto"/>
        </w:rPr>
        <w:t>deemed an original, and all of which together shall constitute one and the same instrument.</w:t>
      </w:r>
    </w:p>
    <w:p>
      <w:pPr>
        <w:spacing w:after="0" w:line="177" w:lineRule="exact"/>
        <w:rPr>
          <w:sz w:val="20"/>
          <w:szCs w:val="20"/>
          <w:color w:val="auto"/>
        </w:rPr>
      </w:pPr>
    </w:p>
    <w:p>
      <w:pPr>
        <w:ind w:right="60" w:firstLine="574"/>
        <w:spacing w:after="0" w:line="26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6"/>
          <w:szCs w:val="16"/>
          <w:u w:val="single" w:color="auto"/>
          <w:color w:val="auto"/>
        </w:rPr>
        <w:t>Tax Consequences.</w:t>
      </w:r>
      <w:r>
        <w:rPr>
          <w:rFonts w:ascii="Arial" w:cs="Arial" w:eastAsia="Arial" w:hAnsi="Arial"/>
          <w:sz w:val="18"/>
          <w:szCs w:val="18"/>
          <w:color w:val="auto"/>
        </w:rPr>
        <w:t xml:space="preserve"> </w:t>
      </w:r>
      <w:r>
        <w:rPr>
          <w:rFonts w:ascii="Arial" w:cs="Arial" w:eastAsia="Arial" w:hAnsi="Arial"/>
          <w:sz w:val="16"/>
          <w:szCs w:val="16"/>
          <w:color w:val="auto"/>
        </w:rPr>
        <w:t>The Parties intend that no gain or loss will be recognized in the Exchange pursuant to Sections 368(a)(1)(E) and/or 1036 of</w:t>
      </w:r>
      <w:r>
        <w:rPr>
          <w:rFonts w:ascii="Arial" w:cs="Arial" w:eastAsia="Arial" w:hAnsi="Arial"/>
          <w:sz w:val="18"/>
          <w:szCs w:val="18"/>
          <w:color w:val="auto"/>
        </w:rPr>
        <w:t xml:space="preserve"> </w:t>
      </w:r>
      <w:r>
        <w:rPr>
          <w:rFonts w:ascii="Arial" w:cs="Arial" w:eastAsia="Arial" w:hAnsi="Arial"/>
          <w:sz w:val="16"/>
          <w:szCs w:val="16"/>
          <w:color w:val="auto"/>
        </w:rPr>
        <w:t>the Code. The Parties adopt this Agreement as a plan of reorganization within the meaning of Treasury Regulations Sections 1.368-2(g) and 1.368-3(a). Notwithstanding the foregoing, each Exchange Stockholder has reviewed with its/his own tax advisors the federal, state, local and foreign tax consequences of the Exchange, the investment in the Class B Shares and the transactions contemplated by this Agreement. Each Exchange Stockholder is relying solely on such advisors and not on any statements or representations of the Company or any of its agents in connection with the transactions contemplated hereby, except for the representations and warranties of the Company expressly set forth in Article III.</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20"/>
          </w:cols>
          <w:pgMar w:left="320" w:top="1272" w:right="359" w:bottom="1440" w:gutter="0" w:footer="0" w:header="0"/>
        </w:sectPr>
      </w:pPr>
    </w:p>
    <w:bookmarkStart w:id="488" w:name="page489"/>
    <w:bookmarkEnd w:id="488"/>
    <w:p>
      <w:pPr>
        <w:spacing w:after="0"/>
        <w:rPr>
          <w:sz w:val="20"/>
          <w:szCs w:val="20"/>
          <w:color w:val="auto"/>
        </w:rPr>
      </w:pPr>
      <w:r>
        <w:rPr>
          <w:rFonts w:ascii="Arial" w:cs="Arial" w:eastAsia="Arial" w:hAnsi="Arial"/>
          <w:sz w:val="15"/>
          <w:szCs w:val="15"/>
          <w:color w:val="auto"/>
        </w:rPr>
        <w:t>IN WITNESS WHEREOF, the undersigned have executed this Agreement to be effective as of the date first above written.</w:t>
      </w:r>
    </w:p>
    <w:p>
      <w:pPr>
        <w:spacing w:after="0" w:line="22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ROBINHOOD MARKETS, INC.</w:t>
      </w:r>
    </w:p>
    <w:p>
      <w:pPr>
        <w:spacing w:after="0" w:line="6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12700</wp:posOffset>
            </wp:positionV>
            <wp:extent cx="274701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2747010" cy="762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Title:</w:t>
      </w:r>
    </w:p>
    <w:p>
      <w:pPr>
        <w:spacing w:after="0" w:line="25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[FOUNDER]</w:t>
      </w:r>
    </w:p>
    <w:p>
      <w:pPr>
        <w:spacing w:after="0" w:line="24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12700</wp:posOffset>
            </wp:positionV>
            <wp:extent cx="300482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3004820" cy="7620"/>
                    </a:xfrm>
                    <a:prstGeom prst="rect">
                      <a:avLst/>
                    </a:prstGeom>
                    <a:noFill/>
                  </pic:spPr>
                </pic:pic>
              </a:graphicData>
            </a:graphic>
          </wp:anchor>
        </w:drawing>
      </w:r>
    </w:p>
    <w:p>
      <w:pPr>
        <w:sectPr>
          <w:pgSz w:w="11900" w:h="16838" w:orient="portrait"/>
          <w:cols w:equalWidth="0" w:num="1">
            <w:col w:w="9579"/>
          </w:cols>
          <w:pgMar w:left="880" w:top="1271" w:right="1440" w:bottom="1440" w:gutter="0" w:footer="0" w:header="0"/>
        </w:sectPr>
      </w:pPr>
    </w:p>
    <w:bookmarkStart w:id="489" w:name="page490"/>
    <w:bookmarkEnd w:id="489"/>
    <w:p>
      <w:pPr>
        <w:jc w:val="right"/>
        <w:spacing w:after="0"/>
        <w:rPr>
          <w:sz w:val="20"/>
          <w:szCs w:val="20"/>
          <w:color w:val="auto"/>
        </w:rPr>
      </w:pPr>
      <w:r>
        <w:rPr>
          <w:rFonts w:ascii="Arial" w:cs="Arial" w:eastAsia="Arial" w:hAnsi="Arial"/>
          <w:sz w:val="16"/>
          <w:szCs w:val="16"/>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EXCHANGE RIGHT AGREEMENT</w:t>
      </w:r>
    </w:p>
    <w:p>
      <w:pPr>
        <w:spacing w:after="0" w:line="283" w:lineRule="exact"/>
        <w:rPr>
          <w:sz w:val="20"/>
          <w:szCs w:val="20"/>
          <w:color w:val="auto"/>
        </w:rPr>
      </w:pPr>
    </w:p>
    <w:p>
      <w:pPr>
        <w:ind w:left="560"/>
        <w:spacing w:after="0"/>
        <w:tabs>
          <w:tab w:leader="none" w:pos="8620" w:val="left"/>
        </w:tabs>
        <w:rPr>
          <w:sz w:val="20"/>
          <w:szCs w:val="20"/>
          <w:color w:val="auto"/>
        </w:rPr>
      </w:pPr>
      <w:r>
        <w:rPr>
          <w:rFonts w:ascii="Arial" w:cs="Arial" w:eastAsia="Arial" w:hAnsi="Arial"/>
          <w:sz w:val="18"/>
          <w:szCs w:val="18"/>
          <w:color w:val="auto"/>
        </w:rPr>
        <w:t>THIS EQUITY EXCHANGE RIGHT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w:t>
      </w:r>
      <w:r>
        <w:rPr>
          <w:sz w:val="20"/>
          <w:szCs w:val="20"/>
          <w:color w:val="auto"/>
        </w:rPr>
        <w:tab/>
      </w:r>
      <w:r>
        <w:rPr>
          <w:rFonts w:ascii="Arial" w:cs="Arial" w:eastAsia="Arial" w:hAnsi="Arial"/>
          <w:sz w:val="15"/>
          <w:szCs w:val="15"/>
          <w:color w:val="auto"/>
        </w:rPr>
        <w:t>, 2021, by and between Robinhood</w:t>
      </w:r>
    </w:p>
    <w:p>
      <w:pPr>
        <w:spacing w:after="0" w:line="16"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Markets,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[NAME] (“</w:t>
      </w:r>
      <w:r>
        <w:rPr>
          <w:rFonts w:ascii="Arial" w:cs="Arial" w:eastAsia="Arial" w:hAnsi="Arial"/>
          <w:sz w:val="18"/>
          <w:szCs w:val="18"/>
          <w:b w:val="1"/>
          <w:bCs w:val="1"/>
          <w:color w:val="auto"/>
        </w:rPr>
        <w:t>Founder</w:t>
      </w:r>
      <w:r>
        <w:rPr>
          <w:rFonts w:ascii="Arial" w:cs="Arial" w:eastAsia="Arial" w:hAnsi="Arial"/>
          <w:sz w:val="18"/>
          <w:szCs w:val="18"/>
          <w:color w:val="auto"/>
        </w:rPr>
        <w:t>”). Each of the foregoing parties is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25" w:lineRule="exact"/>
        <w:rPr>
          <w:sz w:val="20"/>
          <w:szCs w:val="20"/>
          <w:color w:val="auto"/>
        </w:rPr>
      </w:pPr>
    </w:p>
    <w:p>
      <w:pPr>
        <w:ind w:right="140" w:firstLine="574"/>
        <w:spacing w:after="0" w:line="273" w:lineRule="auto"/>
        <w:rPr>
          <w:sz w:val="20"/>
          <w:szCs w:val="20"/>
          <w:color w:val="auto"/>
        </w:rPr>
      </w:pPr>
      <w:r>
        <w:rPr>
          <w:rFonts w:ascii="Arial" w:cs="Arial" w:eastAsia="Arial" w:hAnsi="Arial"/>
          <w:sz w:val="16"/>
          <w:szCs w:val="16"/>
          <w:color w:val="auto"/>
        </w:rPr>
        <w:t>WHEREAS, in connection with the Company’s initial public offering of one or more classes of its stock, par value $0.0001, in the public securities market (the “</w:t>
      </w:r>
      <w:r>
        <w:rPr>
          <w:rFonts w:ascii="Arial" w:cs="Arial" w:eastAsia="Arial" w:hAnsi="Arial"/>
          <w:sz w:val="16"/>
          <w:szCs w:val="16"/>
          <w:b w:val="1"/>
          <w:bCs w:val="1"/>
          <w:color w:val="auto"/>
        </w:rPr>
        <w:t>IPO</w:t>
      </w:r>
      <w:r>
        <w:rPr>
          <w:rFonts w:ascii="Arial" w:cs="Arial" w:eastAsia="Arial" w:hAnsi="Arial"/>
          <w:sz w:val="16"/>
          <w:szCs w:val="16"/>
          <w:color w:val="auto"/>
        </w:rPr>
        <w:t>”),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at a meeting duly called and held prior to the date hereof, determined it to be advisable and in the best interests of the Company and its stockholders for the Company to implement a multi-class common stock structure (the “</w:t>
      </w:r>
      <w:r>
        <w:rPr>
          <w:rFonts w:ascii="Arial" w:cs="Arial" w:eastAsia="Arial" w:hAnsi="Arial"/>
          <w:sz w:val="16"/>
          <w:szCs w:val="16"/>
          <w:b w:val="1"/>
          <w:bCs w:val="1"/>
          <w:color w:val="auto"/>
        </w:rPr>
        <w:t>Multi-Class</w:t>
      </w:r>
      <w:r>
        <w:rPr>
          <w:rFonts w:ascii="Arial" w:cs="Arial" w:eastAsia="Arial" w:hAnsi="Arial"/>
          <w:sz w:val="16"/>
          <w:szCs w:val="16"/>
          <w:color w:val="auto"/>
        </w:rPr>
        <w:t xml:space="preserve"> </w:t>
      </w:r>
      <w:r>
        <w:rPr>
          <w:rFonts w:ascii="Arial" w:cs="Arial" w:eastAsia="Arial" w:hAnsi="Arial"/>
          <w:sz w:val="16"/>
          <w:szCs w:val="16"/>
          <w:b w:val="1"/>
          <w:bCs w:val="1"/>
          <w:color w:val="auto"/>
        </w:rPr>
        <w:t>Structure</w:t>
      </w:r>
      <w:r>
        <w:rPr>
          <w:rFonts w:ascii="Arial" w:cs="Arial" w:eastAsia="Arial" w:hAnsi="Arial"/>
          <w:sz w:val="16"/>
          <w:szCs w:val="16"/>
          <w:color w:val="auto"/>
        </w:rPr>
        <w:t>”) comprised of Class A Common Stock, par value $0.0001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entitling holders thereof to one (1) vote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Class B Common Stock, par value $0.0001 per share (the “</w:t>
      </w:r>
      <w:r>
        <w:rPr>
          <w:rFonts w:ascii="Arial" w:cs="Arial" w:eastAsia="Arial" w:hAnsi="Arial"/>
          <w:sz w:val="16"/>
          <w:szCs w:val="16"/>
          <w:b w:val="1"/>
          <w:bCs w:val="1"/>
          <w:color w:val="auto"/>
        </w:rPr>
        <w:t>Class B Common Stock</w:t>
      </w:r>
      <w:r>
        <w:rPr>
          <w:rFonts w:ascii="Arial" w:cs="Arial" w:eastAsia="Arial" w:hAnsi="Arial"/>
          <w:sz w:val="16"/>
          <w:szCs w:val="16"/>
          <w:color w:val="auto"/>
        </w:rPr>
        <w:t>”), entitling holders thereof to ten (10) votes per share, and Class C Common Stock, par value $0.0001 per share, entitling holders thereof to (0) zero votes per share, with such Multi-Class Structure to take effect pursuant to the Amended and Restated Certificate of Incorporation (as defined below) immediately prior to the completion of the IPO;</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in connection with the IPO, the Board, at a meeting duly called and held prior to the date hereof, and the stockholders of the Company,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acting by written consent in lieu of a meeting prior to the date hereof, approved an Amended and Restated Certificate of Incorporation of the Company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Amended and Restated Certificate of Incorporation</w:t>
      </w:r>
      <w:r>
        <w:rPr>
          <w:rFonts w:ascii="Arial" w:cs="Arial" w:eastAsia="Arial" w:hAnsi="Arial"/>
          <w:sz w:val="16"/>
          <w:szCs w:val="16"/>
          <w:color w:val="auto"/>
        </w:rPr>
        <w:t>”), which provides, among other things, that each share of the Company’s common stock, par value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issued and outstanding or held as treasury stock immediately prior to the effectiveness of the filing of the Amended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Restated Certificate of Incorporation (the </w:t>
      </w:r>
      <w:r>
        <w:rPr>
          <w:rFonts w:ascii="Arial" w:cs="Arial" w:eastAsia="Arial" w:hAnsi="Arial"/>
          <w:sz w:val="16"/>
          <w:szCs w:val="16"/>
          <w:b w:val="1"/>
          <w:bCs w:val="1"/>
          <w:color w:val="auto"/>
        </w:rPr>
        <w:t>“Effective Time</w:t>
      </w:r>
      <w:r>
        <w:rPr>
          <w:rFonts w:ascii="Arial" w:cs="Arial" w:eastAsia="Arial" w:hAnsi="Arial"/>
          <w:sz w:val="16"/>
          <w:szCs w:val="16"/>
          <w:color w:val="auto"/>
        </w:rPr>
        <w:t>”) will, automatically and without further action by any stockholder, be reclassified as,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become, one (1) share of Class A Common Stock;</w:t>
      </w:r>
    </w:p>
    <w:p>
      <w:pPr>
        <w:spacing w:after="0" w:line="126" w:lineRule="exact"/>
        <w:rPr>
          <w:sz w:val="20"/>
          <w:szCs w:val="20"/>
          <w:color w:val="auto"/>
        </w:rPr>
      </w:pPr>
    </w:p>
    <w:p>
      <w:pPr>
        <w:ind w:right="20" w:firstLine="574"/>
        <w:spacing w:after="0" w:line="277" w:lineRule="auto"/>
        <w:rPr>
          <w:sz w:val="20"/>
          <w:szCs w:val="20"/>
          <w:color w:val="auto"/>
        </w:rPr>
      </w:pPr>
      <w:r>
        <w:rPr>
          <w:rFonts w:ascii="Arial" w:cs="Arial" w:eastAsia="Arial" w:hAnsi="Arial"/>
          <w:sz w:val="16"/>
          <w:szCs w:val="16"/>
          <w:color w:val="auto"/>
        </w:rPr>
        <w:t xml:space="preserve">WHEREAS, Founder holds awards of restricted stock units covering shares of Common Stock, which restricted stock units will be outstanding as of immediately prior to the Effective Time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(each, a “</w:t>
      </w:r>
      <w:r>
        <w:rPr>
          <w:rFonts w:ascii="Arial" w:cs="Arial" w:eastAsia="Arial" w:hAnsi="Arial"/>
          <w:sz w:val="16"/>
          <w:szCs w:val="16"/>
          <w:b w:val="1"/>
          <w:bCs w:val="1"/>
          <w:color w:val="auto"/>
        </w:rPr>
        <w:t>Founder Equity Award</w:t>
      </w:r>
      <w:r>
        <w:rPr>
          <w:rFonts w:ascii="Arial" w:cs="Arial" w:eastAsia="Arial" w:hAnsi="Arial"/>
          <w:sz w:val="16"/>
          <w:szCs w:val="16"/>
          <w:color w:val="auto"/>
        </w:rPr>
        <w:t>”) and the shares of Common Stock covered by each Founder Equity Award will be reclassified as, and become, shares of Class A Common Stock pursuant to the Amended and Restated Certificate of Incorporation at the Effective Time, and each Founder Equity Award has been granted under the Company’s Amended and Restated 2013 Stock Plan or 2020 Equity Incentive Plan and the award agreement memorializing each Founder Equity Award (collectively, the “</w:t>
      </w:r>
      <w:r>
        <w:rPr>
          <w:rFonts w:ascii="Arial" w:cs="Arial" w:eastAsia="Arial" w:hAnsi="Arial"/>
          <w:sz w:val="16"/>
          <w:szCs w:val="16"/>
          <w:b w:val="1"/>
          <w:bCs w:val="1"/>
          <w:color w:val="auto"/>
        </w:rPr>
        <w:t>Equity Documents</w:t>
      </w:r>
      <w:r>
        <w:rPr>
          <w:rFonts w:ascii="Arial" w:cs="Arial" w:eastAsia="Arial" w:hAnsi="Arial"/>
          <w:sz w:val="16"/>
          <w:szCs w:val="16"/>
          <w:color w:val="auto"/>
        </w:rPr>
        <w:t>”);</w:t>
      </w:r>
    </w:p>
    <w:p>
      <w:pPr>
        <w:spacing w:after="0" w:line="97" w:lineRule="exact"/>
        <w:rPr>
          <w:sz w:val="20"/>
          <w:szCs w:val="20"/>
          <w:color w:val="auto"/>
        </w:rPr>
      </w:pPr>
    </w:p>
    <w:p>
      <w:pPr>
        <w:ind w:right="120" w:firstLine="574"/>
        <w:spacing w:after="0" w:line="277" w:lineRule="auto"/>
        <w:rPr>
          <w:sz w:val="20"/>
          <w:szCs w:val="20"/>
          <w:color w:val="auto"/>
        </w:rPr>
      </w:pPr>
      <w:r>
        <w:rPr>
          <w:rFonts w:ascii="Arial" w:cs="Arial" w:eastAsia="Arial" w:hAnsi="Arial"/>
          <w:sz w:val="16"/>
          <w:szCs w:val="16"/>
          <w:color w:val="auto"/>
        </w:rPr>
        <w:t>WHEREAS, as part of the Company’s implementation of the Multi-Class Structure, the Board, at a meeting duly called and held prior to the date hereof, determined it to be advisable and in the best interests of the Company and its stockholders, and the stockholders of the Company, acting by written consent in lieu of a meeting prior to the date hereof, approved, for Founder to be provided with the right to require the Company to exchange shares of Class A Common Stock that Founder acquires upon the vesting and settlement of his Founder Equity Awards for shares of Class B Common Stock on a one share-for-one share basis, subject to the terms and conditions set forth in this Agreement; and.</w:t>
      </w:r>
    </w:p>
    <w:p>
      <w:pPr>
        <w:spacing w:after="0" w:line="97" w:lineRule="exact"/>
        <w:rPr>
          <w:sz w:val="20"/>
          <w:szCs w:val="20"/>
          <w:color w:val="auto"/>
        </w:rPr>
      </w:pPr>
    </w:p>
    <w:p>
      <w:pPr>
        <w:jc w:val="both"/>
        <w:ind w:right="340" w:firstLine="574"/>
        <w:spacing w:after="0" w:line="244" w:lineRule="auto"/>
        <w:rPr>
          <w:sz w:val="20"/>
          <w:szCs w:val="20"/>
          <w:color w:val="auto"/>
        </w:rPr>
      </w:pPr>
      <w:r>
        <w:rPr>
          <w:rFonts w:ascii="Arial" w:cs="Arial" w:eastAsia="Arial" w:hAnsi="Arial"/>
          <w:sz w:val="18"/>
          <w:szCs w:val="18"/>
          <w:color w:val="auto"/>
        </w:rPr>
        <w:t>WHEREAS, the Parties intend that no gain or loss will be recognized in any Exchange (as defined below) pursuant to Sections 368(a)(1)(E) and/or 1036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this Agreement shall constitute a “plan of reorganization” within the meaning of Treasury Regulation Sections 1.368-2(g) and 1.368-3(a).</w:t>
      </w:r>
    </w:p>
    <w:p>
      <w:pPr>
        <w:sectPr>
          <w:pgSz w:w="11900" w:h="16838" w:orient="portrait"/>
          <w:cols w:equalWidth="0" w:num="1">
            <w:col w:w="11260"/>
          </w:cols>
          <w:pgMar w:left="320" w:top="122" w:right="319" w:bottom="1440" w:gutter="0" w:footer="0" w:header="0"/>
        </w:sectPr>
      </w:pPr>
    </w:p>
    <w:bookmarkStart w:id="490" w:name="page491"/>
    <w:bookmarkEnd w:id="490"/>
    <w:p>
      <w:pPr>
        <w:ind w:right="180" w:firstLine="574"/>
        <w:spacing w:after="0" w:line="314" w:lineRule="auto"/>
        <w:rPr>
          <w:sz w:val="20"/>
          <w:szCs w:val="20"/>
          <w:color w:val="auto"/>
        </w:rPr>
      </w:pPr>
      <w:r>
        <w:rPr>
          <w:rFonts w:ascii="Arial" w:cs="Arial" w:eastAsia="Arial" w:hAnsi="Arial"/>
          <w:sz w:val="16"/>
          <w:szCs w:val="16"/>
          <w:color w:val="auto"/>
        </w:rPr>
        <w:t>NOW, THEREFORE, in consideration of the foregoing recitals and the mutual promises, representations and covenants set forth herein, and for other good and valuable consideration, the receipt and sufficiency of which are hereby acknowledged and accepted, the Parties agree as follows: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PUT RIGHT AND EXCHANGE AND ISSUANCE OF CLASS B COMMON STOCK</w:t>
      </w:r>
    </w:p>
    <w:p>
      <w:pPr>
        <w:spacing w:after="0" w:line="120" w:lineRule="exact"/>
        <w:rPr>
          <w:sz w:val="20"/>
          <w:szCs w:val="20"/>
          <w:color w:val="auto"/>
        </w:rPr>
      </w:pPr>
    </w:p>
    <w:p>
      <w:pPr>
        <w:ind w:right="40" w:firstLine="574"/>
        <w:spacing w:after="0" w:line="27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Grant of Put Right</w:t>
      </w:r>
      <w:r>
        <w:rPr>
          <w:rFonts w:ascii="Arial" w:cs="Arial" w:eastAsia="Arial" w:hAnsi="Arial"/>
          <w:sz w:val="16"/>
          <w:szCs w:val="16"/>
          <w:color w:val="auto"/>
        </w:rPr>
        <w:t>. Subject to the terms and conditions of this Agreement, the Company hereby irrevocably grants to Founder the right (the “</w:t>
      </w:r>
      <w:r>
        <w:rPr>
          <w:rFonts w:ascii="Arial" w:cs="Arial" w:eastAsia="Arial" w:hAnsi="Arial"/>
          <w:sz w:val="16"/>
          <w:szCs w:val="16"/>
          <w:b w:val="1"/>
          <w:bCs w:val="1"/>
          <w:color w:val="auto"/>
        </w:rPr>
        <w:t>Put</w:t>
      </w:r>
      <w:r>
        <w:rPr>
          <w:rFonts w:ascii="Arial" w:cs="Arial" w:eastAsia="Arial" w:hAnsi="Arial"/>
          <w:sz w:val="16"/>
          <w:szCs w:val="16"/>
          <w:color w:val="auto"/>
        </w:rPr>
        <w:t xml:space="preserve"> </w:t>
      </w:r>
      <w:r>
        <w:rPr>
          <w:rFonts w:ascii="Arial" w:cs="Arial" w:eastAsia="Arial" w:hAnsi="Arial"/>
          <w:sz w:val="16"/>
          <w:szCs w:val="16"/>
          <w:b w:val="1"/>
          <w:bCs w:val="1"/>
          <w:color w:val="auto"/>
        </w:rPr>
        <w:t>Right</w:t>
      </w:r>
      <w:r>
        <w:rPr>
          <w:rFonts w:ascii="Arial" w:cs="Arial" w:eastAsia="Arial" w:hAnsi="Arial"/>
          <w:sz w:val="16"/>
          <w:szCs w:val="16"/>
          <w:color w:val="auto"/>
        </w:rPr>
        <w:t>”) to require the Company to exchange any shares of Class A Common Stock that Founder acquires on or following the Effective Time as a result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and settlement of his Founder Equity Awards (each, a “</w:t>
      </w:r>
      <w:r>
        <w:rPr>
          <w:rFonts w:ascii="Arial" w:cs="Arial" w:eastAsia="Arial" w:hAnsi="Arial"/>
          <w:sz w:val="16"/>
          <w:szCs w:val="16"/>
          <w:b w:val="1"/>
          <w:bCs w:val="1"/>
          <w:color w:val="auto"/>
        </w:rPr>
        <w:t>Put Eligible Share</w:t>
      </w:r>
      <w:r>
        <w:rPr>
          <w:rFonts w:ascii="Arial" w:cs="Arial" w:eastAsia="Arial" w:hAnsi="Arial"/>
          <w:sz w:val="16"/>
          <w:szCs w:val="16"/>
          <w:color w:val="auto"/>
        </w:rPr>
        <w:t>”) for shares of Class B Common Stock on a one share-for-one share basis, net of any applicable withholding taxes; provided, however, if the Company becomes aware of any obligation to deduct or withhold any taxes as a result of, or with respect to, such exchange, the Company shall notify Founder of such obligation at least five (5) business days before the completion of such exchange and shall cooperate with Founder to reduce or eliminate any such deduction or withholding to the extent permitted by applicable law (the “</w:t>
      </w:r>
      <w:r>
        <w:rPr>
          <w:rFonts w:ascii="Arial" w:cs="Arial" w:eastAsia="Arial" w:hAnsi="Arial"/>
          <w:sz w:val="16"/>
          <w:szCs w:val="16"/>
          <w:b w:val="1"/>
          <w:bCs w:val="1"/>
          <w:color w:val="auto"/>
        </w:rPr>
        <w:t>Exchange</w:t>
      </w:r>
      <w:r>
        <w:rPr>
          <w:rFonts w:ascii="Arial" w:cs="Arial" w:eastAsia="Arial" w:hAnsi="Arial"/>
          <w:sz w:val="16"/>
          <w:szCs w:val="16"/>
          <w:color w:val="auto"/>
        </w:rPr>
        <w:t>”).</w:t>
      </w:r>
    </w:p>
    <w:p>
      <w:pPr>
        <w:spacing w:after="0" w:line="99"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Exercise of Put Right</w:t>
      </w:r>
      <w:r>
        <w:rPr>
          <w:rFonts w:ascii="Arial" w:cs="Arial" w:eastAsia="Arial" w:hAnsi="Arial"/>
          <w:sz w:val="16"/>
          <w:szCs w:val="16"/>
          <w:color w:val="auto"/>
        </w:rPr>
        <w:t>.</w:t>
      </w:r>
    </w:p>
    <w:p>
      <w:pPr>
        <w:spacing w:after="0" w:line="140" w:lineRule="exact"/>
        <w:rPr>
          <w:sz w:val="20"/>
          <w:szCs w:val="20"/>
          <w:color w:val="auto"/>
        </w:rPr>
      </w:pPr>
    </w:p>
    <w:p>
      <w:pPr>
        <w:ind w:right="40" w:firstLine="1143"/>
        <w:spacing w:after="0" w:line="241" w:lineRule="auto"/>
        <w:tabs>
          <w:tab w:leader="none" w:pos="151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The Put Right with respect to such Put Eligible Share will be exercisable by Founder by submitting a completed and fully-executed notice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Put Right Notice</w:t>
      </w:r>
      <w:r>
        <w:rPr>
          <w:rFonts w:ascii="Arial" w:cs="Arial" w:eastAsia="Arial" w:hAnsi="Arial"/>
          <w:sz w:val="18"/>
          <w:szCs w:val="18"/>
          <w:color w:val="auto"/>
        </w:rPr>
        <w:t>”) to the Company on or prior to the Expiration Date (as defined in Section 1.5 below) with respect to such Put Eligible Share. The Put Right will be deemed to have been exercised immediately prior to 5:00 p.m. Pacific Time on the date of timely delivery of a Put Right Notice with respect to such Put Eligible Share.</w:t>
      </w:r>
    </w:p>
    <w:p>
      <w:pPr>
        <w:spacing w:after="0" w:line="124" w:lineRule="exact"/>
        <w:rPr>
          <w:rFonts w:ascii="Arial" w:cs="Arial" w:eastAsia="Arial" w:hAnsi="Arial"/>
          <w:sz w:val="18"/>
          <w:szCs w:val="18"/>
          <w:color w:val="auto"/>
        </w:rPr>
      </w:pPr>
    </w:p>
    <w:p>
      <w:pPr>
        <w:ind w:right="240" w:firstLine="1143"/>
        <w:spacing w:after="0" w:line="253" w:lineRule="auto"/>
        <w:tabs>
          <w:tab w:leader="none" w:pos="152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Failure to deliver a Put Right Notice prior to 5:00 p.m. [Pacific] Time on the applicable Expiration Date for any Put Eligible Share will constitute an irrevocable waiver of the Put Right with respect to such Put Eligible Share.</w:t>
      </w:r>
    </w:p>
    <w:p>
      <w:pPr>
        <w:spacing w:after="0" w:line="113" w:lineRule="exact"/>
        <w:rPr>
          <w:rFonts w:ascii="Arial" w:cs="Arial" w:eastAsia="Arial" w:hAnsi="Arial"/>
          <w:sz w:val="18"/>
          <w:szCs w:val="18"/>
          <w:color w:val="auto"/>
        </w:rPr>
      </w:pPr>
    </w:p>
    <w:p>
      <w:pPr>
        <w:ind w:right="100" w:firstLine="1143"/>
        <w:spacing w:after="0" w:line="244" w:lineRule="auto"/>
        <w:tabs>
          <w:tab w:leader="none" w:pos="150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Put Right cannot be exercised by Founder with respect to any Put Eligible Share more than once. Further, Founder will have no Put Right pursuant to this Agreement with respect to any share of Class A Common Stock that is acquired by Founder following the Effective Time other than as a result of the vesting and settlement of a Founder Equity Award.</w:t>
      </w:r>
    </w:p>
    <w:p>
      <w:pPr>
        <w:spacing w:after="0" w:line="122" w:lineRule="exact"/>
        <w:rPr>
          <w:sz w:val="20"/>
          <w:szCs w:val="20"/>
          <w:color w:val="auto"/>
        </w:rPr>
      </w:pPr>
    </w:p>
    <w:p>
      <w:pPr>
        <w:ind w:firstLine="574"/>
        <w:spacing w:after="0" w:line="27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Exchange of Shares</w:t>
      </w:r>
      <w:r>
        <w:rPr>
          <w:rFonts w:ascii="Arial" w:cs="Arial" w:eastAsia="Arial" w:hAnsi="Arial"/>
          <w:sz w:val="16"/>
          <w:szCs w:val="16"/>
          <w:color w:val="auto"/>
        </w:rPr>
        <w:t>. Within ten (10) business days after the Company’s receipt of a properly executed Put Right Notice, the Company shall complete the Exchange for the specified number of Put Eligible Shares indicated in such Put Right Notice (“</w:t>
      </w:r>
      <w:r>
        <w:rPr>
          <w:rFonts w:ascii="Arial" w:cs="Arial" w:eastAsia="Arial" w:hAnsi="Arial"/>
          <w:sz w:val="16"/>
          <w:szCs w:val="16"/>
          <w:b w:val="1"/>
          <w:bCs w:val="1"/>
          <w:color w:val="auto"/>
        </w:rPr>
        <w:t>Exercised Shares</w:t>
      </w:r>
      <w:r>
        <w:rPr>
          <w:rFonts w:ascii="Arial" w:cs="Arial" w:eastAsia="Arial" w:hAnsi="Arial"/>
          <w:sz w:val="16"/>
          <w:szCs w:val="16"/>
          <w:color w:val="auto"/>
        </w:rPr>
        <w:t xml:space="preserve">”) by issuing a number of shares of Class B Common Stock to Founder equal to such specified number, subject to the completion of any actions reasonably necessary to be taken by Founder in order for the Company to complete such Exchange, including delivering to the Company such instruments of transfer or other documentation as may be reasonably required to evidence that the Exercised Shares have been duly transferred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complete such Exchange unless and until any consents of, or actions by or in respect of, or filings with, any governmental authority (including pursuant to the Hart-Scott-Rodino Antitrust Improvements Act of 1976, as amended, including the rules and regulations promulgated thereunder) that the Company determines in good faith, within [10] business days after receipt of such Put Right Notice, are required with respect to such Exchange have been made and obtained. In addition, the Company and Founder may mutually agree in writing to effect any Exchange through procedures and timing requirements other than those set forth in this Section 1.3. Upon the effectiveness of such Exchange, the Company will deliver (or cause its transfer agent to deliver)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271" w:right="359" w:bottom="1440" w:gutter="0" w:footer="0" w:header="0"/>
        </w:sectPr>
      </w:pPr>
    </w:p>
    <w:bookmarkStart w:id="491" w:name="page492"/>
    <w:bookmarkEnd w:id="491"/>
    <w:p>
      <w:pPr>
        <w:ind w:right="440"/>
        <w:spacing w:after="0" w:line="253" w:lineRule="auto"/>
        <w:rPr>
          <w:sz w:val="20"/>
          <w:szCs w:val="20"/>
          <w:color w:val="auto"/>
        </w:rPr>
      </w:pPr>
      <w:r>
        <w:rPr>
          <w:rFonts w:ascii="Arial" w:cs="Arial" w:eastAsia="Arial" w:hAnsi="Arial"/>
          <w:sz w:val="18"/>
          <w:szCs w:val="18"/>
          <w:color w:val="auto"/>
        </w:rPr>
        <w:t>Founder such documentation as may be reasonably required to evidence that the shares of Class B Common Stock have been duly and validly issued and delivered to Founder in exchange for the Exercised Shares.</w:t>
      </w:r>
    </w:p>
    <w:p>
      <w:pPr>
        <w:spacing w:after="0" w:line="113" w:lineRule="exact"/>
        <w:rPr>
          <w:sz w:val="20"/>
          <w:szCs w:val="20"/>
          <w:color w:val="auto"/>
        </w:rPr>
      </w:pPr>
    </w:p>
    <w:p>
      <w:pPr>
        <w:ind w:firstLine="574"/>
        <w:spacing w:after="0" w:line="299"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Rights to Exercised Shares Following Exchange</w:t>
      </w:r>
      <w:r>
        <w:rPr>
          <w:rFonts w:ascii="Arial" w:cs="Arial" w:eastAsia="Arial" w:hAnsi="Arial"/>
          <w:sz w:val="15"/>
          <w:szCs w:val="15"/>
          <w:color w:val="auto"/>
        </w:rPr>
        <w:t>. Upon the effectiveness of the Exchange, Founder will no longer have any rights as a holder of the Exercised Shares that are the subject of the Exchange. Such Exercised Shares will be deemed to have been exchanged for the shares of Class B Common Stock received in connection with Founder’s exercise of the Put Right in accordance with the applicable provisions hereof, whether or not the certificate(s) therefor have been delivered to the Company. The Founder hereby agrees to execute such instruments and other documentation that may be reasonably necessary to cause such Exercised Shares to be cancelled or transferred to the Company, including, if applicable, on the books of the Company’s transfer agent.</w:t>
      </w:r>
    </w:p>
    <w:p>
      <w:pPr>
        <w:spacing w:after="0" w:line="85"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Termination of Put Right</w:t>
      </w:r>
      <w:r>
        <w:rPr>
          <w:rFonts w:ascii="Arial" w:cs="Arial" w:eastAsia="Arial" w:hAnsi="Arial"/>
          <w:sz w:val="16"/>
          <w:szCs w:val="16"/>
          <w:color w:val="auto"/>
        </w:rPr>
        <w:t>. The Put Right will terminate with respect to the applicable shares of Class A Common Stock on the following date(s)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(each, an “</w:t>
      </w:r>
      <w:r>
        <w:rPr>
          <w:rFonts w:ascii="Arial" w:cs="Arial" w:eastAsia="Arial" w:hAnsi="Arial"/>
          <w:sz w:val="18"/>
          <w:szCs w:val="18"/>
          <w:b w:val="1"/>
          <w:bCs w:val="1"/>
          <w:color w:val="auto"/>
        </w:rPr>
        <w:t>Expiration Date</w:t>
      </w:r>
      <w:r>
        <w:rPr>
          <w:rFonts w:ascii="Arial" w:cs="Arial" w:eastAsia="Arial" w:hAnsi="Arial"/>
          <w:sz w:val="18"/>
          <w:szCs w:val="18"/>
          <w:color w:val="auto"/>
        </w:rPr>
        <w:t>”):</w:t>
      </w:r>
    </w:p>
    <w:p>
      <w:pPr>
        <w:spacing w:after="0" w:line="126" w:lineRule="exact"/>
        <w:rPr>
          <w:sz w:val="20"/>
          <w:szCs w:val="20"/>
          <w:color w:val="auto"/>
        </w:rPr>
      </w:pPr>
    </w:p>
    <w:p>
      <w:pPr>
        <w:ind w:right="180" w:firstLine="1143"/>
        <w:spacing w:after="0" w:line="314" w:lineRule="auto"/>
        <w:tabs>
          <w:tab w:leader="none" w:pos="151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With respect to any shares of Class A Common Stock subject to a Founder Equity Award that have not become Put Eligible Shares, the Expiration Date will be the date such Founder Equity Award is forfeited pursuant to the applicable Equity Documents; and</w:t>
      </w:r>
    </w:p>
    <w:p>
      <w:pPr>
        <w:spacing w:after="0" w:line="68" w:lineRule="exact"/>
        <w:rPr>
          <w:rFonts w:ascii="Arial" w:cs="Arial" w:eastAsia="Arial" w:hAnsi="Arial"/>
          <w:sz w:val="16"/>
          <w:szCs w:val="16"/>
          <w:color w:val="auto"/>
        </w:rPr>
      </w:pPr>
    </w:p>
    <w:p>
      <w:pPr>
        <w:ind w:left="1520" w:hanging="377"/>
        <w:spacing w:after="0"/>
        <w:tabs>
          <w:tab w:leader="none" w:pos="15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With respect to any Put Eligible Shares, the Expiration Date will be the earliest of:</w:t>
      </w:r>
    </w:p>
    <w:p>
      <w:pPr>
        <w:spacing w:after="0" w:line="139" w:lineRule="exact"/>
        <w:rPr>
          <w:rFonts w:ascii="Arial" w:cs="Arial" w:eastAsia="Arial" w:hAnsi="Arial"/>
          <w:sz w:val="18"/>
          <w:szCs w:val="18"/>
          <w:color w:val="auto"/>
        </w:rPr>
      </w:pPr>
    </w:p>
    <w:p>
      <w:pPr>
        <w:ind w:left="2060" w:hanging="344"/>
        <w:spacing w:after="0"/>
        <w:tabs>
          <w:tab w:leader="none" w:pos="20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date on which Founder sells, transfers or otherwise disposes of such Put Eligible Shares; and</w:t>
      </w:r>
    </w:p>
    <w:p>
      <w:pPr>
        <w:spacing w:after="0" w:line="139" w:lineRule="exact"/>
        <w:rPr>
          <w:rFonts w:ascii="Arial" w:cs="Arial" w:eastAsia="Arial" w:hAnsi="Arial"/>
          <w:sz w:val="18"/>
          <w:szCs w:val="18"/>
          <w:color w:val="auto"/>
        </w:rPr>
      </w:pPr>
    </w:p>
    <w:p>
      <w:pPr>
        <w:ind w:left="2100" w:hanging="384"/>
        <w:spacing w:after="0"/>
        <w:tabs>
          <w:tab w:leader="none" w:pos="21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Final Conversion Date (as defined in the Amended and Restated Certificate of Incorporation).</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REPRESENTATIONS AND WARRANTIES OF FOUNDER</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Founder hereby represents and warrants to the Company, with respect to the transactions contemplated hereby, as follows:</w:t>
      </w:r>
    </w:p>
    <w:p>
      <w:pPr>
        <w:spacing w:after="0" w:line="140" w:lineRule="exact"/>
        <w:rPr>
          <w:sz w:val="20"/>
          <w:szCs w:val="20"/>
          <w:color w:val="auto"/>
        </w:rPr>
      </w:pPr>
    </w:p>
    <w:p>
      <w:pPr>
        <w:ind w:firstLine="574"/>
        <w:spacing w:after="0" w:line="27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Ownership; Authority</w:t>
      </w:r>
      <w:r>
        <w:rPr>
          <w:rFonts w:ascii="Arial" w:cs="Arial" w:eastAsia="Arial" w:hAnsi="Arial"/>
          <w:sz w:val="16"/>
          <w:szCs w:val="16"/>
          <w:color w:val="auto"/>
        </w:rPr>
        <w:t>. Founder has the full right, power and authority to enter into this Agreement. Assuming the due authorization, execution and delivery by the Company, this Agreement constitutes a valid and binding agreement of Founder, enforceable against Founder in accordance with its terms (subject to applicable bankruptcy, insolvency, examinership, fraudulent transfer, reorganization, liquidation, dissolution, moratorium and other similar laws affecting or relating to creditors’ rights generally and subject to general principles of equity). Upon consummation of an Exchange contemplated hereby, the Company will acquire from Founder good and marketable title to the Exercised Shares subject to such Exchange, free and clear of any and all liens, encumbrances and restrictions (except for restrictions on transfer arising under applicable securities laws or as set forth or contemplated by this Agreement, the governing documents of the Company (including the Amended and Restated Certificate of Incorporation and the Amended and Restated Bylaws of the Company that will become effective immediately following the Effective Time (the “</w:t>
      </w:r>
      <w:r>
        <w:rPr>
          <w:rFonts w:ascii="Arial" w:cs="Arial" w:eastAsia="Arial" w:hAnsi="Arial"/>
          <w:sz w:val="16"/>
          <w:szCs w:val="16"/>
          <w:b w:val="1"/>
          <w:bCs w:val="1"/>
          <w:color w:val="auto"/>
        </w:rPr>
        <w:t>Amended and Restated Bylaws</w:t>
      </w:r>
      <w:r>
        <w:rPr>
          <w:rFonts w:ascii="Arial" w:cs="Arial" w:eastAsia="Arial" w:hAnsi="Arial"/>
          <w:sz w:val="16"/>
          <w:szCs w:val="16"/>
          <w:color w:val="auto"/>
        </w:rPr>
        <w:t>”)) or any other agreements to which Founder and the Company are a party, and subject to applicable bankruptcy, insolvency, examinership, fraudulent transfer, reorganization, liquidation, dissolution, moratorium and other similar laws affecting or relating to creditors’ rights generally and subject to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20" w:top="1271" w:right="419" w:bottom="1440" w:gutter="0" w:footer="0" w:header="0"/>
        </w:sectPr>
      </w:pPr>
    </w:p>
    <w:bookmarkStart w:id="492" w:name="page493"/>
    <w:bookmarkEnd w:id="492"/>
    <w:p>
      <w:pPr>
        <w:ind w:right="180" w:firstLine="574"/>
        <w:spacing w:after="0" w:line="27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The execution and delivery by Founder of this Agreement and the effectiveness of this Agreement require no consent of, or action by or in respect of, or filing with, any governmental authority on the part of Founder (excluding, for the avoidance of doubt, the filing by the Company of the Amended and Restated Certificate of Incorporation with the Secretary of State of the State of Delaware). For purposes of this Agreement, “</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transnational, domestic or foreign federal, state or local governmental, regulatory or administrative authority, department, court, agency or official, including any political subdivision thereof.</w:t>
      </w:r>
    </w:p>
    <w:p>
      <w:pPr>
        <w:spacing w:after="0" w:line="97" w:lineRule="exact"/>
        <w:rPr>
          <w:sz w:val="20"/>
          <w:szCs w:val="20"/>
          <w:color w:val="auto"/>
        </w:rPr>
      </w:pPr>
    </w:p>
    <w:p>
      <w:pPr>
        <w:ind w:firstLine="574"/>
        <w:spacing w:after="0" w:line="27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Founder of this Agreement and the consummation of the transactions contemplated hereby do not and will not (a) violate any governing document, including any trust agreement, applicable to Founder, (b) subject to the consents, actions and filings referred to in Sections 1.3 and 2.2, violate any provision of, or result in the breach of, any applicable law, (c) require any consent or other action under, constitute a default under, or give rise to any right of termination, cancellation or acceleration of any right or obligation of Founder or to the loss of any benefit to which Founder is entitled under any provision of any agreement or other instrument binding upon Founder or (d) result in the creation or imposition of any lien on any of the Founder Equity Awards or the shares of Class A Common Stock underlying such Founder Equity Awards, other than restrictions on transfer arising under applicable securities laws or as set forth or contemplated by this Agreement, the governing documents of the Company (including the Amended and Restated Certificate of Incorporation and the Amended and Restated Bylaws), that certain voting agreement among Founder and [Baiju Bhatt][Vladimir Tenev] and certain of their respective affiliates and the Company, dated as of [ ], 2021 (the “</w:t>
      </w:r>
      <w:r>
        <w:rPr>
          <w:rFonts w:ascii="Arial" w:cs="Arial" w:eastAsia="Arial" w:hAnsi="Arial"/>
          <w:sz w:val="16"/>
          <w:szCs w:val="16"/>
          <w:b w:val="1"/>
          <w:bCs w:val="1"/>
          <w:color w:val="auto"/>
        </w:rPr>
        <w:t>Voting Agreement</w:t>
      </w:r>
      <w:r>
        <w:rPr>
          <w:rFonts w:ascii="Arial" w:cs="Arial" w:eastAsia="Arial" w:hAnsi="Arial"/>
          <w:sz w:val="16"/>
          <w:szCs w:val="16"/>
          <w:color w:val="auto"/>
        </w:rPr>
        <w:t>”), or any other agreements to which Founder and the Company are a party.</w:t>
      </w:r>
    </w:p>
    <w:p>
      <w:pPr>
        <w:spacing w:after="0" w:line="105" w:lineRule="exact"/>
        <w:rPr>
          <w:sz w:val="20"/>
          <w:szCs w:val="20"/>
          <w:color w:val="auto"/>
        </w:rPr>
      </w:pPr>
    </w:p>
    <w:p>
      <w:pPr>
        <w:ind w:right="80" w:firstLine="574"/>
        <w:spacing w:after="0" w:line="270"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Restricted Securities; Rule 144</w:t>
      </w:r>
      <w:r>
        <w:rPr>
          <w:rFonts w:ascii="Arial" w:cs="Arial" w:eastAsia="Arial" w:hAnsi="Arial"/>
          <w:sz w:val="16"/>
          <w:szCs w:val="16"/>
          <w:color w:val="auto"/>
        </w:rPr>
        <w:t>. Founder understands that any shares of Class B Common Stock Founder receives in connection with any Exchange will be characterized as “restricted securities” under the Securities Act of 1933, as amended (“</w:t>
      </w:r>
      <w:r>
        <w:rPr>
          <w:rFonts w:ascii="Arial" w:cs="Arial" w:eastAsia="Arial" w:hAnsi="Arial"/>
          <w:sz w:val="16"/>
          <w:szCs w:val="16"/>
          <w:b w:val="1"/>
          <w:bCs w:val="1"/>
          <w:color w:val="auto"/>
        </w:rPr>
        <w:t>Securities Act</w:t>
      </w:r>
      <w:r>
        <w:rPr>
          <w:rFonts w:ascii="Arial" w:cs="Arial" w:eastAsia="Arial" w:hAnsi="Arial"/>
          <w:sz w:val="16"/>
          <w:szCs w:val="16"/>
          <w:color w:val="auto"/>
        </w:rPr>
        <w:t>”), because such shares are being acquired from the Company in a transaction not involving a public offering within the meaning of the Securities Act and in exchange for shares acquired from the Company in a transaction not involving a public offering, and that under the Securities Act and the rules and regulations promulgated thereunder, such shares may be resold without registration under the Securities Act only in certain limited circumstances, and subject to the restrictions under the Amended and Restated Certificate of Incorporation and in compliance with all applicable state securities laws. Founder understands and hereby acknowledges that any shares of Class B Common Stock Founder receives in connection with any Exchange must be held indefinitely unless subsequently registered under the Securities Act or an exemption from such registration is otherwise available and resold in compliance with all applicable state securities laws. Founder is aware of the provisions of Rule 144 promulgated under the Securities Act, which permit limited resales of shares purchased in a transaction not involving a public offering, subject to the satisfaction of certain conditions.</w:t>
      </w:r>
    </w:p>
    <w:p>
      <w:pPr>
        <w:spacing w:after="0" w:line="105" w:lineRule="exact"/>
        <w:rPr>
          <w:sz w:val="20"/>
          <w:szCs w:val="20"/>
          <w:color w:val="auto"/>
        </w:rPr>
      </w:pPr>
    </w:p>
    <w:p>
      <w:pPr>
        <w:jc w:val="both"/>
        <w:ind w:right="440" w:firstLine="574"/>
        <w:spacing w:after="0" w:line="289"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Le</w:t>
      </w:r>
      <w:r>
        <w:rPr>
          <w:rFonts w:ascii="Arial" w:cs="Arial" w:eastAsia="Arial" w:hAnsi="Arial"/>
          <w:sz w:val="16"/>
          <w:szCs w:val="16"/>
          <w:color w:val="auto"/>
        </w:rPr>
        <w:t>g</w:t>
      </w:r>
      <w:r>
        <w:rPr>
          <w:rFonts w:ascii="Arial" w:cs="Arial" w:eastAsia="Arial" w:hAnsi="Arial"/>
          <w:sz w:val="16"/>
          <w:szCs w:val="16"/>
          <w:u w:val="single" w:color="auto"/>
          <w:color w:val="auto"/>
        </w:rPr>
        <w:t>ends</w:t>
      </w:r>
      <w:r>
        <w:rPr>
          <w:rFonts w:ascii="Arial" w:cs="Arial" w:eastAsia="Arial" w:hAnsi="Arial"/>
          <w:sz w:val="16"/>
          <w:szCs w:val="16"/>
          <w:color w:val="auto"/>
        </w:rPr>
        <w:t>. It is understood that each certificate or book entry position representing any shares of Class B Common Stock Founder receives in connection with any Exchange, and any securities issued in respect thereof or exchange therefor, shall bear a legend in substantially the following form (in addition to any legend required under applicable non-U.S. or state securities laws or agreements to which Founder is a party):</w:t>
      </w:r>
    </w:p>
    <w:p>
      <w:pPr>
        <w:spacing w:after="0" w:line="88" w:lineRule="exact"/>
        <w:rPr>
          <w:sz w:val="20"/>
          <w:szCs w:val="20"/>
          <w:color w:val="auto"/>
        </w:rPr>
      </w:pPr>
    </w:p>
    <w:p>
      <w:pPr>
        <w:jc w:val="both"/>
        <w:ind w:left="560" w:right="360"/>
        <w:spacing w:after="0" w:line="244"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UNDER THE SECURITIES LAWS OF ANY NON-U.S. OR STATE SECURITIES LAWS, AND MAY NOT BE OFFERED, SOLD OR OTHERWISE TRANSFERRED, PLEDGED OR HYPOTHECATED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1272" w:right="319" w:bottom="1440" w:gutter="0" w:footer="0" w:header="0"/>
        </w:sectPr>
      </w:pPr>
    </w:p>
    <w:bookmarkStart w:id="493" w:name="page494"/>
    <w:bookmarkEnd w:id="493"/>
    <w:p>
      <w:pPr>
        <w:ind w:left="560" w:right="20"/>
        <w:spacing w:after="0" w:line="244" w:lineRule="auto"/>
        <w:rPr>
          <w:sz w:val="20"/>
          <w:szCs w:val="20"/>
          <w:color w:val="auto"/>
        </w:rPr>
      </w:pPr>
      <w:r>
        <w:rPr>
          <w:rFonts w:ascii="Arial" w:cs="Arial" w:eastAsia="Arial" w:hAnsi="Arial"/>
          <w:sz w:val="18"/>
          <w:szCs w:val="18"/>
          <w:color w:val="auto"/>
        </w:rPr>
        <w:t>EXCEPT IN COMPLIANCE THEREWITH. THE ISSUER OF THESE SECURITIES MAY REQUIRE AN OPINION OF COUNSEL SATISFACTORY TO THE ISSUER THAT SUCH OFFER, SALE OR TRANSFER, PLEDGE OR HYPOTHECATION COMPLIES WITH THE ACT AND ANY APPLICABLE NON-U.S. OR STATE SECURITIES LAWS.</w:t>
      </w:r>
    </w:p>
    <w:p>
      <w:pPr>
        <w:spacing w:after="0" w:line="122" w:lineRule="exact"/>
        <w:rPr>
          <w:sz w:val="20"/>
          <w:szCs w:val="20"/>
          <w:color w:val="auto"/>
        </w:rPr>
      </w:pPr>
    </w:p>
    <w:p>
      <w:pPr>
        <w:ind w:left="560" w:right="180"/>
        <w:spacing w:after="0" w:line="239" w:lineRule="auto"/>
        <w:rPr>
          <w:sz w:val="20"/>
          <w:szCs w:val="20"/>
          <w:color w:val="auto"/>
        </w:rPr>
      </w:pPr>
      <w:r>
        <w:rPr>
          <w:rFonts w:ascii="Arial" w:cs="Arial" w:eastAsia="Arial" w:hAnsi="Arial"/>
          <w:sz w:val="18"/>
          <w:szCs w:val="18"/>
          <w:color w:val="auto"/>
        </w:rPr>
        <w:t>THE SECURITIES REPRESENTED HEREBY ARE SUBJECT TO THE PROVISIONS OF THE CERTIFICATE OF INCORPORATION AND BYLAWS OF THE ISSUER CURRENTLY IN EFFECT (THE “</w:t>
      </w:r>
      <w:r>
        <w:rPr>
          <w:rFonts w:ascii="Arial" w:cs="Arial" w:eastAsia="Arial" w:hAnsi="Arial"/>
          <w:sz w:val="18"/>
          <w:szCs w:val="18"/>
          <w:b w:val="1"/>
          <w:bCs w:val="1"/>
          <w:color w:val="auto"/>
        </w:rPr>
        <w:t>ORGANIZATIONAL DOCUMENTS</w:t>
      </w:r>
      <w:r>
        <w:rPr>
          <w:rFonts w:ascii="Arial" w:cs="Arial" w:eastAsia="Arial" w:hAnsi="Arial"/>
          <w:sz w:val="18"/>
          <w:szCs w:val="18"/>
          <w:color w:val="auto"/>
        </w:rPr>
        <w:t>”), WHICH, AMONG OTHER THINGS, SPECIFY CERTAIN ACTIONS OR TRANSACTIONS THAT WOULD RESULT IN THE AUTOMATIC CONVERSION OF SUCH SECURITIES INTO SHARES OF CLASS A COMMON STOCK. COPIES OF THE ORGANIZATIONAL DOCUMENTS MAY BE OBTAINED FROM THE ISSUER UPON REQUEST.”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 OF THE COMPANY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hereby represents and warrants to Founder, with respect to the transactions contemplated hereby, as follows:</w:t>
      </w:r>
    </w:p>
    <w:p>
      <w:pPr>
        <w:spacing w:after="0" w:line="140" w:lineRule="exact"/>
        <w:rPr>
          <w:sz w:val="20"/>
          <w:szCs w:val="20"/>
          <w:color w:val="auto"/>
        </w:rPr>
      </w:pPr>
    </w:p>
    <w:p>
      <w:pPr>
        <w:ind w:right="520" w:firstLine="574"/>
        <w:spacing w:after="0" w:line="25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The Company is a corporation duly incorporated, validly existing and in good standing under the laws of the State of Delaware.</w:t>
      </w:r>
    </w:p>
    <w:p>
      <w:pPr>
        <w:spacing w:after="0" w:line="113" w:lineRule="exact"/>
        <w:rPr>
          <w:sz w:val="20"/>
          <w:szCs w:val="20"/>
          <w:color w:val="auto"/>
        </w:rPr>
      </w:pPr>
    </w:p>
    <w:p>
      <w:pPr>
        <w:ind w:firstLine="574"/>
        <w:spacing w:after="0" w:line="27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Due Authorization</w:t>
      </w:r>
      <w:r>
        <w:rPr>
          <w:rFonts w:ascii="Arial" w:cs="Arial" w:eastAsia="Arial" w:hAnsi="Arial"/>
          <w:sz w:val="16"/>
          <w:szCs w:val="16"/>
          <w:color w:val="auto"/>
        </w:rPr>
        <w:t>. The execution, delivery and performance by the Company of this Agreement and the consummation of the transactions contemplated hereby, including the issuance and delivery of the shares of Class B Common Stock in connection with each Exchange hereunder, are within the corporate powers of the Company and have been duly authorized by all necessary corporate action on the part of the Company and the Company’s stockholders. Assuming the due authorization, execution and delivery by Founder, this Agreement constitutes a valid and binding agreement of the Company, enforceable against the Company in accordance with its terms (subject to applicable bankruptcy, insolvency, examinership, fraudulent transfer, reorganization, liquidation, dissolution, moratorium and other similar laws affecting or relating to creditors’ rights generally and subject to general principles of equity).</w:t>
      </w:r>
    </w:p>
    <w:p>
      <w:pPr>
        <w:spacing w:after="0" w:line="102" w:lineRule="exact"/>
        <w:rPr>
          <w:sz w:val="20"/>
          <w:szCs w:val="20"/>
          <w:color w:val="auto"/>
        </w:rPr>
      </w:pPr>
    </w:p>
    <w:p>
      <w:pPr>
        <w:ind w:right="120" w:firstLine="574"/>
        <w:spacing w:after="0" w:line="24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The execution and delivery by the Company of this Agreement and the effectiveness of this Agreement require no consent of or action by or in respect of, or filing with, any governmental authority, other than the filing by the Company of the Amended and Restated Certificate of Incorporation with the Secretary of State of the State of Delaware.</w:t>
      </w:r>
    </w:p>
    <w:p>
      <w:pPr>
        <w:spacing w:after="0" w:line="122" w:lineRule="exact"/>
        <w:rPr>
          <w:sz w:val="20"/>
          <w:szCs w:val="20"/>
          <w:color w:val="auto"/>
        </w:rPr>
      </w:pPr>
    </w:p>
    <w:p>
      <w:pPr>
        <w:ind w:firstLine="574"/>
        <w:spacing w:after="0" w:line="27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the Company of this Agreement and the consummation of the transactions contemplated hereby do not and will not (a) violate any provision of the governing documents of the Company (including the Amended and Restated Certificate of Incorporation and the Amended and Restated Bylaws), (b) subject to the consents, actions and filings referred to in Sections 1.3 and 3.3, violate any provision of, or result in the breach of, any applicable law, (c) require any consent of or other action by any person under, constitute a default under, or give rise to any right of termination, cancellation or acceleration of any right or obligation of the Company or to the loss of any benefit to which the Company is entitled under any provision of any agreement or other instrument binding upon the Company or (d) result in the creation or imposition of any lien on the shares of Class B Common Stock issued and delivered in connection with any Exchange hereunder other than as set forth or contemplated by this Agreement, the governing documents of the Company (including the Amended and Restated Certificate of Incorporation and the Amended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71" w:right="339" w:bottom="1440" w:gutter="0" w:footer="0" w:header="0"/>
        </w:sectPr>
      </w:pPr>
    </w:p>
    <w:bookmarkStart w:id="494" w:name="page495"/>
    <w:bookmarkEnd w:id="494"/>
    <w:p>
      <w:pPr>
        <w:spacing w:after="0"/>
        <w:rPr>
          <w:sz w:val="20"/>
          <w:szCs w:val="20"/>
          <w:color w:val="auto"/>
        </w:rPr>
      </w:pPr>
      <w:r>
        <w:rPr>
          <w:rFonts w:ascii="Arial" w:cs="Arial" w:eastAsia="Arial" w:hAnsi="Arial"/>
          <w:sz w:val="18"/>
          <w:szCs w:val="18"/>
          <w:color w:val="auto"/>
        </w:rPr>
        <w:t>Restated Bylaws), the Voting Agreement or any other agreements to which Founder and the Company are a party.</w:t>
      </w:r>
    </w:p>
    <w:p>
      <w:pPr>
        <w:spacing w:after="0" w:line="140" w:lineRule="exact"/>
        <w:rPr>
          <w:sz w:val="20"/>
          <w:szCs w:val="20"/>
          <w:color w:val="auto"/>
        </w:rPr>
      </w:pPr>
    </w:p>
    <w:p>
      <w:pPr>
        <w:ind w:right="220" w:firstLine="574"/>
        <w:spacing w:after="0" w:line="28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Valid Issuance of Shares</w:t>
      </w:r>
      <w:r>
        <w:rPr>
          <w:rFonts w:ascii="Arial" w:cs="Arial" w:eastAsia="Arial" w:hAnsi="Arial"/>
          <w:sz w:val="16"/>
          <w:szCs w:val="16"/>
          <w:color w:val="auto"/>
        </w:rPr>
        <w:t>. The shares of Class B Common Stock to be issued and delivered in connection with each Exchange hereunder, when issued and delivered in accordance with the terms of this Agreement, will be validly issued, fully paid and non-assessable. The shares of Class B Common Stock to be issued and delivered in connection with any Exchange hereunder shall have the rights, powers, restrictions, privileges and preferences set forth in the Company’s certificate of incorporation and bylaws in effect at the time of such Exchange.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EFFECTIVENESS</w:t>
      </w:r>
    </w:p>
    <w:p>
      <w:pPr>
        <w:spacing w:after="0" w:line="12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This Agreement shall become effective concurrently with the Effective Time.</w:t>
      </w:r>
    </w:p>
    <w:p>
      <w:pPr>
        <w:spacing w:after="0" w:line="134"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126" w:lineRule="exact"/>
        <w:rPr>
          <w:sz w:val="20"/>
          <w:szCs w:val="20"/>
          <w:color w:val="auto"/>
        </w:rPr>
      </w:pPr>
    </w:p>
    <w:p>
      <w:pPr>
        <w:ind w:right="20" w:firstLine="574"/>
        <w:spacing w:after="0" w:line="25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Governin</w:t>
      </w:r>
      <w:r>
        <w:rPr>
          <w:rFonts w:ascii="Arial" w:cs="Arial" w:eastAsia="Arial" w:hAnsi="Arial"/>
          <w:sz w:val="18"/>
          <w:szCs w:val="18"/>
          <w:color w:val="auto"/>
        </w:rPr>
        <w:t xml:space="preserve">g </w:t>
      </w:r>
      <w:r>
        <w:rPr>
          <w:rFonts w:ascii="Arial" w:cs="Arial" w:eastAsia="Arial" w:hAnsi="Arial"/>
          <w:sz w:val="18"/>
          <w:szCs w:val="18"/>
          <w:u w:val="single" w:color="auto"/>
          <w:color w:val="auto"/>
        </w:rPr>
        <w:t>Law</w:t>
      </w:r>
      <w:r>
        <w:rPr>
          <w:rFonts w:ascii="Arial" w:cs="Arial" w:eastAsia="Arial" w:hAnsi="Arial"/>
          <w:sz w:val="18"/>
          <w:szCs w:val="18"/>
          <w:color w:val="auto"/>
        </w:rPr>
        <w:t>. This Agreement shall be governed in all respects by the laws of the State of Delaware without regard to principles of conflicts of law thereof.</w:t>
      </w:r>
    </w:p>
    <w:p>
      <w:pPr>
        <w:spacing w:after="0" w:line="113" w:lineRule="exact"/>
        <w:rPr>
          <w:sz w:val="20"/>
          <w:szCs w:val="20"/>
          <w:color w:val="auto"/>
        </w:rPr>
      </w:pPr>
    </w:p>
    <w:p>
      <w:pPr>
        <w:jc w:val="both"/>
        <w:ind w:right="180" w:firstLine="574"/>
        <w:spacing w:after="0" w:line="24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Successors and Ass</w:t>
      </w:r>
      <w:r>
        <w:rPr>
          <w:rFonts w:ascii="Arial" w:cs="Arial" w:eastAsia="Arial" w:hAnsi="Arial"/>
          <w:sz w:val="18"/>
          <w:szCs w:val="18"/>
          <w:color w:val="auto"/>
        </w:rPr>
        <w:t>ig</w:t>
      </w:r>
      <w:r>
        <w:rPr>
          <w:rFonts w:ascii="Arial" w:cs="Arial" w:eastAsia="Arial" w:hAnsi="Arial"/>
          <w:sz w:val="18"/>
          <w:szCs w:val="18"/>
          <w:u w:val="single" w:color="auto"/>
          <w:color w:val="auto"/>
        </w:rPr>
        <w:t>ns</w:t>
      </w:r>
      <w:r>
        <w:rPr>
          <w:rFonts w:ascii="Arial" w:cs="Arial" w:eastAsia="Arial" w:hAnsi="Arial"/>
          <w:sz w:val="18"/>
          <w:szCs w:val="18"/>
          <w:color w:val="auto"/>
        </w:rPr>
        <w:t>. No Party may assign its rights or delegate its obligations under this Agreement without the prior written consent of the other Parties. Subject to the immediately preceding sentence, the provisions hereof shall inure to the benefit of, and be binding upon, the successors, assigns, heirs, executors and administrators of the Parties.</w:t>
      </w:r>
    </w:p>
    <w:p>
      <w:pPr>
        <w:spacing w:after="0" w:line="122" w:lineRule="exact"/>
        <w:rPr>
          <w:sz w:val="20"/>
          <w:szCs w:val="20"/>
          <w:color w:val="auto"/>
        </w:rPr>
      </w:pPr>
    </w:p>
    <w:p>
      <w:pPr>
        <w:ind w:firstLine="574"/>
        <w:spacing w:after="0" w:line="27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Entire A</w:t>
      </w:r>
      <w:r>
        <w:rPr>
          <w:rFonts w:ascii="Arial" w:cs="Arial" w:eastAsia="Arial" w:hAnsi="Arial"/>
          <w:sz w:val="16"/>
          <w:szCs w:val="16"/>
          <w:color w:val="auto"/>
        </w:rPr>
        <w:t>g</w:t>
      </w:r>
      <w:r>
        <w:rPr>
          <w:rFonts w:ascii="Arial" w:cs="Arial" w:eastAsia="Arial" w:hAnsi="Arial"/>
          <w:sz w:val="16"/>
          <w:szCs w:val="16"/>
          <w:u w:val="single" w:color="auto"/>
          <w:color w:val="auto"/>
        </w:rPr>
        <w:t>reement; Amendment</w:t>
      </w:r>
      <w:r>
        <w:rPr>
          <w:rFonts w:ascii="Arial" w:cs="Arial" w:eastAsia="Arial" w:hAnsi="Arial"/>
          <w:sz w:val="16"/>
          <w:szCs w:val="16"/>
          <w:color w:val="auto"/>
        </w:rPr>
        <w:t>. Other than the rights, restrictions and preferences provided for (a) the Founder Equity Awards pursuant to the Equity Documents and (b) the Class B Common Stock pursuant to the Amended and Restated Certificate of Incorporation and the Amended and Restated Bylaws, this Agreement, including the exhibits attached hereto, constitutes the full and entire understanding and agreement between the Parties with respect to the subject matter hereof. Neither this Agreement nor any term hereof may be amended or modified other than by a written instrument signed by each Party, and no term hereof may be waived other than by a written instrument signed by the Party sought to be charged with such waiver.</w:t>
      </w:r>
    </w:p>
    <w:p>
      <w:pPr>
        <w:spacing w:after="0" w:line="97" w:lineRule="exact"/>
        <w:rPr>
          <w:sz w:val="20"/>
          <w:szCs w:val="20"/>
          <w:color w:val="auto"/>
        </w:rPr>
      </w:pPr>
    </w:p>
    <w:p>
      <w:pPr>
        <w:ind w:right="200" w:firstLine="574"/>
        <w:spacing w:after="0" w:line="25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(including by facsimile, electronic or .pdf transmission), each of which shall be deemed an original, and all of which together shall constitute one and the same instrument.</w:t>
      </w:r>
    </w:p>
    <w:p>
      <w:pPr>
        <w:spacing w:after="0" w:line="113" w:lineRule="exact"/>
        <w:rPr>
          <w:sz w:val="20"/>
          <w:szCs w:val="20"/>
          <w:color w:val="auto"/>
        </w:rPr>
      </w:pPr>
    </w:p>
    <w:p>
      <w:pPr>
        <w:ind w:right="140" w:firstLine="574"/>
        <w:spacing w:after="0" w:line="28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 Guarantee of Continued Service</w:t>
      </w:r>
      <w:r>
        <w:rPr>
          <w:rFonts w:ascii="Arial" w:cs="Arial" w:eastAsia="Arial" w:hAnsi="Arial"/>
          <w:sz w:val="16"/>
          <w:szCs w:val="16"/>
          <w:color w:val="auto"/>
        </w:rPr>
        <w:t>. Founder acknowledges and agrees that neither the execution of this Agreement nor the existence of the Put Right granted hereunder constitutes an express or implied promise of continuous employment or service with the Company for any period, or at all, and that neither the execution of this Agreement nor the existence of the Put Right granted hereunder will interfere in any way with Founder’s right or the right of the Company to terminate Founder’s employment or service at any time, with or without cause.</w:t>
      </w:r>
    </w:p>
    <w:p>
      <w:pPr>
        <w:spacing w:after="0" w:line="94" w:lineRule="exact"/>
        <w:rPr>
          <w:sz w:val="20"/>
          <w:szCs w:val="20"/>
          <w:color w:val="auto"/>
        </w:rPr>
      </w:pPr>
    </w:p>
    <w:p>
      <w:pPr>
        <w:ind w:right="180" w:firstLine="574"/>
        <w:spacing w:after="0" w:line="241"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Tax Consequences</w:t>
      </w:r>
      <w:r>
        <w:rPr>
          <w:rFonts w:ascii="Arial" w:cs="Arial" w:eastAsia="Arial" w:hAnsi="Arial"/>
          <w:sz w:val="18"/>
          <w:szCs w:val="18"/>
          <w:color w:val="auto"/>
        </w:rPr>
        <w:t>. The Parties intend that no gain or loss will be recognized in any Exchange pursuant to Sections 368(a)(1)(E) and/or 1036 of the Code. The Parties adopt this Agreement as a plan of reorganization within the meaning of Treasury Regulations Sections 1.368-2(g) and 1.368-3(a). Notwithstanding the foregoing, Founder has reviewed with his own tax advisors the federal, state, local and foreign tax consequences of the Put Right and the Exchange, the Founder Equity Awards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71" w:right="339" w:bottom="1440" w:gutter="0" w:footer="0" w:header="0"/>
        </w:sectPr>
      </w:pPr>
    </w:p>
    <w:bookmarkStart w:id="495" w:name="page496"/>
    <w:bookmarkEnd w:id="495"/>
    <w:p>
      <w:pPr>
        <w:spacing w:after="0" w:line="289" w:lineRule="auto"/>
        <w:rPr>
          <w:sz w:val="20"/>
          <w:szCs w:val="20"/>
          <w:color w:val="auto"/>
        </w:rPr>
      </w:pPr>
      <w:r>
        <w:rPr>
          <w:rFonts w:ascii="Arial" w:cs="Arial" w:eastAsia="Arial" w:hAnsi="Arial"/>
          <w:sz w:val="16"/>
          <w:szCs w:val="16"/>
          <w:color w:val="auto"/>
        </w:rPr>
        <w:t>potential acquisition of shares of Class A Common Stock thereunder, the potential investment in shares of Class B Common Stock and the transactions contemplated by this Agreement. Founder is relying solely on such advisors and not on any statements or representations of the Company or any of its agents in connection with the transactions contemplated hereby, except for the representations and warranties of the Company expressly set forth in Article III.</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271" w:right="379" w:bottom="1440" w:gutter="0" w:footer="0" w:header="0"/>
        </w:sectPr>
      </w:pPr>
    </w:p>
    <w:bookmarkStart w:id="496" w:name="page497"/>
    <w:bookmarkEnd w:id="496"/>
    <w:p>
      <w:pPr>
        <w:spacing w:after="0"/>
        <w:rPr>
          <w:sz w:val="20"/>
          <w:szCs w:val="20"/>
          <w:color w:val="auto"/>
        </w:rPr>
      </w:pPr>
      <w:r>
        <w:rPr>
          <w:rFonts w:ascii="Arial" w:cs="Arial" w:eastAsia="Arial" w:hAnsi="Arial"/>
          <w:sz w:val="15"/>
          <w:szCs w:val="15"/>
          <w:color w:val="auto"/>
        </w:rPr>
        <w:t>IN WITNESS WHEREOF, the undersigned have executed this Agreement to be effective as of the date first above written.</w:t>
      </w:r>
    </w:p>
    <w:p>
      <w:pPr>
        <w:spacing w:after="0" w:line="21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ROBINHOOD MARKETS, INC.</w:t>
      </w:r>
    </w:p>
    <w:p>
      <w:pPr>
        <w:spacing w:after="0" w:line="23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3663315</wp:posOffset>
            </wp:positionH>
            <wp:positionV relativeFrom="paragraph">
              <wp:posOffset>6985</wp:posOffset>
            </wp:positionV>
            <wp:extent cx="312610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3126105" cy="762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3663315</wp:posOffset>
            </wp:positionH>
            <wp:positionV relativeFrom="paragraph">
              <wp:posOffset>2540</wp:posOffset>
            </wp:positionV>
            <wp:extent cx="312610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3126105" cy="762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3663315</wp:posOffset>
            </wp:positionH>
            <wp:positionV relativeFrom="paragraph">
              <wp:posOffset>2540</wp:posOffset>
            </wp:positionV>
            <wp:extent cx="312610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3126105" cy="7620"/>
                    </a:xfrm>
                    <a:prstGeom prst="rect">
                      <a:avLst/>
                    </a:prstGeom>
                    <a:noFill/>
                  </pic:spPr>
                </pic:pic>
              </a:graphicData>
            </a:graphic>
          </wp:anchor>
        </w:drawing>
      </w:r>
    </w:p>
    <w:p>
      <w:pPr>
        <w:spacing w:after="0" w:line="22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[FOUNDER]</w:t>
      </w:r>
    </w:p>
    <w:p>
      <w:pPr>
        <w:spacing w:after="0" w:line="24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3663315</wp:posOffset>
            </wp:positionH>
            <wp:positionV relativeFrom="paragraph">
              <wp:posOffset>6985</wp:posOffset>
            </wp:positionV>
            <wp:extent cx="312610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3126105" cy="7620"/>
                    </a:xfrm>
                    <a:prstGeom prst="rect">
                      <a:avLst/>
                    </a:prstGeom>
                    <a:noFill/>
                  </pic:spPr>
                </pic:pic>
              </a:graphicData>
            </a:graphic>
          </wp:anchor>
        </w:drawing>
      </w:r>
    </w:p>
    <w:p>
      <w:pPr>
        <w:sectPr>
          <w:pgSz w:w="11900" w:h="16838" w:orient="portrait"/>
          <w:cols w:equalWidth="0" w:num="1">
            <w:col w:w="9579"/>
          </w:cols>
          <w:pgMar w:left="880" w:top="1272" w:right="1440" w:bottom="1440" w:gutter="0" w:footer="0" w:header="0"/>
        </w:sectPr>
      </w:pPr>
    </w:p>
    <w:bookmarkStart w:id="497" w:name="page498"/>
    <w:bookmarkEnd w:id="497"/>
    <w:p>
      <w:pPr>
        <w:jc w:val="right"/>
        <w:spacing w:after="0"/>
        <w:rPr>
          <w:sz w:val="20"/>
          <w:szCs w:val="20"/>
          <w:color w:val="auto"/>
        </w:rPr>
      </w:pPr>
      <w:r>
        <w:rPr>
          <w:rFonts w:ascii="Arial" w:cs="Arial" w:eastAsia="Arial" w:hAnsi="Arial"/>
          <w:sz w:val="16"/>
          <w:szCs w:val="16"/>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VOTING AGREEMENT</w:t>
      </w:r>
    </w:p>
    <w:p>
      <w:pPr>
        <w:spacing w:after="0" w:line="193" w:lineRule="exact"/>
        <w:rPr>
          <w:sz w:val="20"/>
          <w:szCs w:val="20"/>
          <w:color w:val="auto"/>
        </w:rPr>
      </w:pPr>
    </w:p>
    <w:p>
      <w:pPr>
        <w:ind w:left="1144"/>
        <w:spacing w:after="0"/>
        <w:tabs>
          <w:tab w:leader="none" w:pos="6704" w:val="left"/>
        </w:tabs>
        <w:rPr>
          <w:sz w:val="20"/>
          <w:szCs w:val="20"/>
          <w:color w:val="auto"/>
        </w:rPr>
      </w:pPr>
      <w:r>
        <w:rPr>
          <w:rFonts w:ascii="Arial" w:cs="Arial" w:eastAsia="Arial" w:hAnsi="Arial"/>
          <w:sz w:val="18"/>
          <w:szCs w:val="18"/>
          <w:color w:val="auto"/>
        </w:rPr>
        <w:t>This VOTING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w:t>
      </w:r>
      <w:r>
        <w:rPr>
          <w:sz w:val="20"/>
          <w:szCs w:val="20"/>
          <w:color w:val="auto"/>
        </w:rPr>
        <w:tab/>
      </w:r>
      <w:r>
        <w:rPr>
          <w:rFonts w:ascii="Arial" w:cs="Arial" w:eastAsia="Arial" w:hAnsi="Arial"/>
          <w:sz w:val="16"/>
          <w:szCs w:val="16"/>
          <w:color w:val="auto"/>
        </w:rPr>
        <w:t>, 2021, by and among (a) Baiju Bhatt and Vladimir Tenev (each,</w:t>
      </w:r>
    </w:p>
    <w:p>
      <w:pPr>
        <w:spacing w:after="0" w:line="5" w:lineRule="exact"/>
        <w:rPr>
          <w:sz w:val="20"/>
          <w:szCs w:val="20"/>
          <w:color w:val="auto"/>
        </w:rPr>
      </w:pPr>
    </w:p>
    <w:p>
      <w:pPr>
        <w:jc w:val="both"/>
        <w:ind w:left="4"/>
        <w:spacing w:after="0"/>
        <w:rPr>
          <w:sz w:val="20"/>
          <w:szCs w:val="20"/>
          <w:color w:val="auto"/>
        </w:rPr>
      </w:pPr>
      <w:r>
        <w:rPr>
          <w:rFonts w:ascii="Arial" w:cs="Arial" w:eastAsia="Arial" w:hAnsi="Arial"/>
          <w:sz w:val="17"/>
          <w:szCs w:val="17"/>
          <w:color w:val="auto"/>
        </w:rPr>
        <w:t>an “</w:t>
      </w:r>
      <w:r>
        <w:rPr>
          <w:rFonts w:ascii="Arial" w:cs="Arial" w:eastAsia="Arial" w:hAnsi="Arial"/>
          <w:sz w:val="17"/>
          <w:szCs w:val="17"/>
          <w:u w:val="single" w:color="auto"/>
          <w:color w:val="auto"/>
        </w:rPr>
        <w:t>Individual Founder</w:t>
      </w:r>
      <w:r>
        <w:rPr>
          <w:rFonts w:ascii="Arial" w:cs="Arial" w:eastAsia="Arial" w:hAnsi="Arial"/>
          <w:sz w:val="17"/>
          <w:szCs w:val="17"/>
          <w:color w:val="auto"/>
        </w:rPr>
        <w:t>” and, together, the “</w:t>
      </w:r>
      <w:r>
        <w:rPr>
          <w:rFonts w:ascii="Arial" w:cs="Arial" w:eastAsia="Arial" w:hAnsi="Arial"/>
          <w:sz w:val="17"/>
          <w:szCs w:val="17"/>
          <w:u w:val="single" w:color="auto"/>
          <w:color w:val="auto"/>
        </w:rPr>
        <w:t>Individual Founders</w:t>
      </w:r>
      <w:r>
        <w:rPr>
          <w:rFonts w:ascii="Arial" w:cs="Arial" w:eastAsia="Arial" w:hAnsi="Arial"/>
          <w:sz w:val="17"/>
          <w:szCs w:val="17"/>
          <w:color w:val="auto"/>
        </w:rPr>
        <w:t xml:space="preserve">”), (b) each Person (as defined below)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Founder Affiliate</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Founder Affiliates</w:t>
      </w:r>
      <w:r>
        <w:rPr>
          <w:rFonts w:ascii="Arial" w:cs="Arial" w:eastAsia="Arial" w:hAnsi="Arial"/>
          <w:sz w:val="17"/>
          <w:szCs w:val="17"/>
          <w:color w:val="auto"/>
        </w:rPr>
        <w:t xml:space="preserve">”) and (c) solely for purposes of </w:t>
      </w:r>
      <w:r>
        <w:rPr>
          <w:rFonts w:ascii="Arial" w:cs="Arial" w:eastAsia="Arial" w:hAnsi="Arial"/>
          <w:sz w:val="17"/>
          <w:szCs w:val="17"/>
          <w:u w:val="single" w:color="auto"/>
          <w:color w:val="auto"/>
        </w:rPr>
        <w:t>Sections 3(c)</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Robinhood Markets, Inc., a corporation organized and existing under the General Corporation Law of the State of Delaware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The Individual Founders and the Founder Affiliates (including any Person that executes and delivers a Joinder Agreement (as defined below) in accordance with </w:t>
      </w:r>
      <w:r>
        <w:rPr>
          <w:rFonts w:ascii="Arial" w:cs="Arial" w:eastAsia="Arial" w:hAnsi="Arial"/>
          <w:sz w:val="17"/>
          <w:szCs w:val="17"/>
          <w:u w:val="single" w:color="auto"/>
          <w:color w:val="auto"/>
        </w:rPr>
        <w:t>Section 7</w:t>
      </w:r>
      <w:r>
        <w:rPr>
          <w:rFonts w:ascii="Arial" w:cs="Arial" w:eastAsia="Arial" w:hAnsi="Arial"/>
          <w:sz w:val="17"/>
          <w:szCs w:val="17"/>
          <w:color w:val="auto"/>
        </w:rPr>
        <w:t>) from time to time party hereto are each referred to herein as a “</w:t>
      </w:r>
      <w:r>
        <w:rPr>
          <w:rFonts w:ascii="Arial" w:cs="Arial" w:eastAsia="Arial" w:hAnsi="Arial"/>
          <w:sz w:val="17"/>
          <w:szCs w:val="17"/>
          <w:u w:val="single" w:color="auto"/>
          <w:color w:val="auto"/>
        </w:rPr>
        <w:t>Founder</w:t>
      </w:r>
      <w:r>
        <w:rPr>
          <w:rFonts w:ascii="Arial" w:cs="Arial" w:eastAsia="Arial" w:hAnsi="Arial"/>
          <w:sz w:val="17"/>
          <w:szCs w:val="17"/>
          <w:color w:val="auto"/>
        </w:rPr>
        <w:t>” and are collectively referred to herein as the “</w:t>
      </w:r>
      <w:r>
        <w:rPr>
          <w:rFonts w:ascii="Arial" w:cs="Arial" w:eastAsia="Arial" w:hAnsi="Arial"/>
          <w:sz w:val="17"/>
          <w:szCs w:val="17"/>
          <w:u w:val="single" w:color="auto"/>
          <w:color w:val="auto"/>
        </w:rPr>
        <w:t>Founders</w:t>
      </w:r>
      <w:r>
        <w:rPr>
          <w:rFonts w:ascii="Arial" w:cs="Arial" w:eastAsia="Arial" w:hAnsi="Arial"/>
          <w:sz w:val="17"/>
          <w:szCs w:val="17"/>
          <w:color w:val="auto"/>
        </w:rPr>
        <w:t>”.</w:t>
      </w:r>
    </w:p>
    <w:p>
      <w:pPr>
        <w:spacing w:after="0" w:line="17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RECITALS</w:t>
      </w:r>
    </w:p>
    <w:p>
      <w:pPr>
        <w:spacing w:after="0" w:line="187" w:lineRule="exact"/>
        <w:rPr>
          <w:sz w:val="20"/>
          <w:szCs w:val="20"/>
          <w:color w:val="auto"/>
        </w:rPr>
      </w:pPr>
    </w:p>
    <w:p>
      <w:pPr>
        <w:jc w:val="both"/>
        <w:ind w:left="4" w:right="20" w:firstLine="1147"/>
        <w:spacing w:after="0" w:line="244" w:lineRule="auto"/>
        <w:rPr>
          <w:sz w:val="20"/>
          <w:szCs w:val="20"/>
          <w:color w:val="auto"/>
        </w:rPr>
      </w:pPr>
      <w:r>
        <w:rPr>
          <w:rFonts w:ascii="Arial" w:cs="Arial" w:eastAsia="Arial" w:hAnsi="Arial"/>
          <w:sz w:val="18"/>
          <w:szCs w:val="18"/>
          <w:color w:val="auto"/>
        </w:rPr>
        <w:t>WHEREAS, on July 1, 2021, the Company filed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under the Securities Act of 1933, as amended, a registration statement on Form S-1 relating to the initial public offering of shares of Class A Common Stock, par value $0.0001 per share, of the Company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by the Company and certain of its stockholders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169" w:lineRule="exact"/>
        <w:rPr>
          <w:sz w:val="20"/>
          <w:szCs w:val="20"/>
          <w:color w:val="auto"/>
        </w:rPr>
      </w:pPr>
    </w:p>
    <w:p>
      <w:pPr>
        <w:jc w:val="both"/>
        <w:ind w:left="4" w:right="20" w:firstLine="1147"/>
        <w:spacing w:after="0" w:line="253" w:lineRule="auto"/>
        <w:rPr>
          <w:sz w:val="20"/>
          <w:szCs w:val="20"/>
          <w:color w:val="auto"/>
        </w:rPr>
      </w:pPr>
      <w:r>
        <w:rPr>
          <w:rFonts w:ascii="Arial" w:cs="Arial" w:eastAsia="Arial" w:hAnsi="Arial"/>
          <w:sz w:val="18"/>
          <w:szCs w:val="18"/>
          <w:color w:val="auto"/>
        </w:rPr>
        <w:t>WHEREAS, as of the effectiveness of this Agreement, each Founder then party hereto will hold of record or beneficially own shares of Class B Common Stock, par value $0.0001 per share, of the Company (“</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and</w:t>
      </w:r>
    </w:p>
    <w:p>
      <w:pPr>
        <w:spacing w:after="0" w:line="161" w:lineRule="exact"/>
        <w:rPr>
          <w:sz w:val="20"/>
          <w:szCs w:val="20"/>
          <w:color w:val="auto"/>
        </w:rPr>
      </w:pPr>
    </w:p>
    <w:p>
      <w:pPr>
        <w:jc w:val="both"/>
        <w:ind w:left="4" w:firstLine="1147"/>
        <w:spacing w:after="0" w:line="314" w:lineRule="auto"/>
        <w:rPr>
          <w:sz w:val="20"/>
          <w:szCs w:val="20"/>
          <w:color w:val="auto"/>
        </w:rPr>
      </w:pPr>
      <w:r>
        <w:rPr>
          <w:rFonts w:ascii="Arial" w:cs="Arial" w:eastAsia="Arial" w:hAnsi="Arial"/>
          <w:sz w:val="16"/>
          <w:szCs w:val="16"/>
          <w:color w:val="auto"/>
        </w:rPr>
        <w:t xml:space="preserve">WHEREAS, each of the Founders and, solely for purposes of </w:t>
      </w:r>
      <w:r>
        <w:rPr>
          <w:rFonts w:ascii="Arial" w:cs="Arial" w:eastAsia="Arial" w:hAnsi="Arial"/>
          <w:sz w:val="16"/>
          <w:szCs w:val="16"/>
          <w:u w:val="single" w:color="auto"/>
          <w:color w:val="auto"/>
        </w:rPr>
        <w:t>Sections 3(c)</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the Company desires to enter into this Agreement to provide for certain voting agreements and certain other matters related to the Class A Common Stock and Class B Common Stock as set forth herein.</w:t>
      </w:r>
    </w:p>
    <w:p>
      <w:pPr>
        <w:spacing w:after="0" w:line="116"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NOW, THEREFORE, in consideration of the premises and of the covenants and obligations contained herein, the parties hereto agree as</w:t>
      </w:r>
    </w:p>
    <w:p>
      <w:pPr>
        <w:spacing w:after="0" w:line="33" w:lineRule="exact"/>
        <w:rPr>
          <w:sz w:val="20"/>
          <w:szCs w:val="20"/>
          <w:color w:val="auto"/>
        </w:rPr>
      </w:pPr>
    </w:p>
    <w:p>
      <w:pPr>
        <w:ind w:left="4"/>
        <w:spacing w:after="0"/>
        <w:rPr>
          <w:sz w:val="20"/>
          <w:szCs w:val="20"/>
          <w:color w:val="auto"/>
        </w:rPr>
      </w:pPr>
      <w:r>
        <w:rPr>
          <w:rFonts w:ascii="Arial" w:cs="Arial" w:eastAsia="Arial" w:hAnsi="Arial"/>
          <w:sz w:val="18"/>
          <w:szCs w:val="18"/>
          <w:color w:val="auto"/>
        </w:rPr>
        <w:t>follows:</w:t>
      </w:r>
    </w:p>
    <w:p>
      <w:pPr>
        <w:spacing w:after="0" w:line="173" w:lineRule="exact"/>
        <w:rPr>
          <w:sz w:val="20"/>
          <w:szCs w:val="20"/>
          <w:color w:val="auto"/>
        </w:rPr>
      </w:pPr>
    </w:p>
    <w:p>
      <w:pPr>
        <w:ind w:left="564" w:right="20" w:hanging="564"/>
        <w:spacing w:after="0" w:line="253" w:lineRule="auto"/>
        <w:tabs>
          <w:tab w:leader="none" w:pos="564"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the context otherwise requires, for the purposes of this Agreement, the following terms shall have the respective meanings ascribed to such terms below.</w:t>
      </w:r>
    </w:p>
    <w:p>
      <w:pPr>
        <w:spacing w:after="0" w:line="161" w:lineRule="exact"/>
        <w:rPr>
          <w:rFonts w:ascii="Arial" w:cs="Arial" w:eastAsia="Arial" w:hAnsi="Arial"/>
          <w:sz w:val="18"/>
          <w:szCs w:val="18"/>
          <w:color w:val="auto"/>
        </w:rPr>
      </w:pPr>
    </w:p>
    <w:p>
      <w:pPr>
        <w:jc w:val="both"/>
        <w:ind w:left="1144" w:hanging="571"/>
        <w:spacing w:after="0" w:line="272" w:lineRule="auto"/>
        <w:tabs>
          <w:tab w:leader="none" w:pos="1136" w:val="left"/>
        </w:tabs>
        <w:numPr>
          <w:ilvl w:val="2"/>
          <w:numId w:val="2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Voting Requirement</w:t>
      </w:r>
      <w:r>
        <w:rPr>
          <w:rFonts w:ascii="Arial" w:cs="Arial" w:eastAsia="Arial" w:hAnsi="Arial"/>
          <w:sz w:val="16"/>
          <w:szCs w:val="16"/>
          <w:color w:val="auto"/>
        </w:rPr>
        <w:t>” means, in any election of directors to the Board of Directors or on any proposal to remove one or more directors from the Board of Directors, with respect to any person other than an Individual Founder, (i) a vote with respect to the election or removal, as applicable, of such person in such manner (whether a vote “for” or “against”, or a vote of “withhold” or “abstain” or words of similar import that may not constitute a “vote” under the applicable voting standard required to elect the director nominee or remove the director, as applicable) as is mutually agreed by the Individual Founders prior to the Election and Removal Agreement Deadline and (ii) if the Individual Founders do not mutually agree prior to the Election and Removal Agreement Deadline on the manner to vote with respect to any such person, a vote in such manner (whether a vote “for” or “against”, or a vote of “withhold” or “abstain” or words of similar import that may not constitute a “vote” under the applicable voting standard required to elect the director nominee or remove the director, as applicable) as is</w:t>
      </w:r>
    </w:p>
    <w:p>
      <w:pPr>
        <w:spacing w:after="0" w:line="242" w:lineRule="exact"/>
        <w:rPr>
          <w:rFonts w:ascii="Arial" w:cs="Arial" w:eastAsia="Arial" w:hAnsi="Arial"/>
          <w:sz w:val="16"/>
          <w:szCs w:val="16"/>
          <w:color w:val="auto"/>
        </w:rPr>
      </w:pPr>
    </w:p>
    <w:p>
      <w:pPr>
        <w:ind w:left="4" w:right="400" w:firstLine="344"/>
        <w:spacing w:after="0" w:line="231" w:lineRule="auto"/>
        <w:rPr>
          <w:rFonts w:ascii="Arial" w:cs="Arial" w:eastAsia="Arial" w:hAnsi="Arial"/>
          <w:sz w:val="16"/>
          <w:szCs w:val="16"/>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 xml:space="preserve"> Schedule A to set forth (i) the affiliated entities of Baiju Bhatt and Vladimir Tenev as of the effective time of this Agreement and (ii) the spouses of Baiju Bhatt and Vladimir Tenev.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151765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1517650" cy="762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498" w:name="page499"/>
    <w:bookmarkEnd w:id="498"/>
    <w:p>
      <w:pPr>
        <w:jc w:val="both"/>
        <w:ind w:left="571"/>
        <w:spacing w:after="0" w:line="281" w:lineRule="auto"/>
        <w:rPr>
          <w:sz w:val="20"/>
          <w:szCs w:val="20"/>
          <w:color w:val="auto"/>
        </w:rPr>
      </w:pPr>
      <w:r>
        <w:rPr>
          <w:rFonts w:ascii="Arial" w:cs="Arial" w:eastAsia="Arial" w:hAnsi="Arial"/>
          <w:sz w:val="16"/>
          <w:szCs w:val="16"/>
          <w:color w:val="auto"/>
        </w:rPr>
        <w:t xml:space="preserve">recommended by the Nominating and Governance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effective upon the death or Disability of an Individual Founder, “Applicable Voting Requirement” shall mean a vote in such manner (whether a vote “for” or “against”, or a vote of “withhold” or “abstain” or words of similar import that may not constitute a “vote” under the applicable voting standard required to elect the director nominee or remove the director, as applicable) as is determined by the other Individual Founder in his sole discretion.</w:t>
      </w:r>
    </w:p>
    <w:p>
      <w:pPr>
        <w:spacing w:after="0" w:line="142" w:lineRule="exact"/>
        <w:rPr>
          <w:sz w:val="20"/>
          <w:szCs w:val="20"/>
          <w:color w:val="auto"/>
        </w:rPr>
      </w:pPr>
    </w:p>
    <w:p>
      <w:pPr>
        <w:ind w:left="571" w:hanging="571"/>
        <w:spacing w:after="0"/>
        <w:tabs>
          <w:tab w:leader="none" w:pos="57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87" w:lineRule="exact"/>
        <w:rPr>
          <w:rFonts w:ascii="Arial" w:cs="Arial" w:eastAsia="Arial" w:hAnsi="Arial"/>
          <w:sz w:val="18"/>
          <w:szCs w:val="18"/>
          <w:color w:val="auto"/>
        </w:rPr>
      </w:pPr>
    </w:p>
    <w:p>
      <w:pPr>
        <w:ind w:left="571" w:hanging="571"/>
        <w:spacing w:after="0"/>
        <w:tabs>
          <w:tab w:leader="none" w:pos="57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means the Amended and Restated Certificate of Incorporation of the Company, duly adopted in accordance with</w:t>
      </w:r>
    </w:p>
    <w:p>
      <w:pPr>
        <w:sectPr>
          <w:pgSz w:w="11900" w:h="16838" w:orient="portrait"/>
          <w:cols w:equalWidth="0" w:num="1">
            <w:col w:w="10671"/>
          </w:cols>
          <w:pgMar w:left="889" w:top="1271" w:right="339" w:bottom="1440" w:gutter="0" w:footer="0" w:header="0"/>
        </w:sectPr>
      </w:pPr>
    </w:p>
    <w:p>
      <w:pPr>
        <w:spacing w:after="0" w:line="38" w:lineRule="exact"/>
        <w:rPr>
          <w:sz w:val="20"/>
          <w:szCs w:val="20"/>
          <w:color w:val="auto"/>
        </w:rPr>
      </w:pPr>
    </w:p>
    <w:p>
      <w:pPr>
        <w:ind w:left="571"/>
        <w:spacing w:after="0" w:line="235" w:lineRule="auto"/>
        <w:rPr>
          <w:sz w:val="20"/>
          <w:szCs w:val="20"/>
          <w:color w:val="auto"/>
        </w:rPr>
      </w:pPr>
      <w:r>
        <w:rPr>
          <w:rFonts w:ascii="Arial" w:cs="Arial" w:eastAsia="Arial" w:hAnsi="Arial"/>
          <w:sz w:val="18"/>
          <w:szCs w:val="18"/>
          <w:color w:val="auto"/>
        </w:rPr>
        <w:t>the General Corporation Law of the State of Delaware and filed with the Secretary of State of the State of Delaware on , 2021, as it may be amended, modified, restated or supplemented from time to time.</w:t>
      </w:r>
    </w:p>
    <w:p>
      <w:pPr>
        <w:sectPr>
          <w:pgSz w:w="11900" w:h="16838" w:orient="portrait"/>
          <w:cols w:equalWidth="0" w:num="1">
            <w:col w:w="10671"/>
          </w:cols>
          <w:pgMar w:left="889" w:top="1271" w:right="339" w:bottom="1440" w:gutter="0" w:footer="0" w:header="0"/>
          <w:type w:val="continuous"/>
        </w:sectPr>
      </w:pPr>
    </w:p>
    <w:p>
      <w:pPr>
        <w:spacing w:after="0" w:line="173" w:lineRule="exact"/>
        <w:rPr>
          <w:sz w:val="20"/>
          <w:szCs w:val="20"/>
          <w:color w:val="auto"/>
        </w:rPr>
      </w:pPr>
    </w:p>
    <w:p>
      <w:pPr>
        <w:ind w:left="571" w:hanging="571"/>
        <w:spacing w:after="0" w:line="314" w:lineRule="auto"/>
        <w:tabs>
          <w:tab w:leader="none" w:pos="56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Consent</w:t>
      </w:r>
      <w:r>
        <w:rPr>
          <w:rFonts w:ascii="Arial" w:cs="Arial" w:eastAsia="Arial" w:hAnsi="Arial"/>
          <w:sz w:val="16"/>
          <w:szCs w:val="16"/>
          <w:color w:val="auto"/>
        </w:rPr>
        <w:t>” means any consents of, or actions by or in respect of, or filings with, any Governmental Authority (including pursuant to Section 13 of the Securities Exchange Act of 1934, as amended, and the Hart-Scott-Rodino Antitrust Improvements Act of 1976, as amended).</w:t>
      </w:r>
    </w:p>
    <w:p>
      <w:pPr>
        <w:spacing w:after="0" w:line="116" w:lineRule="exact"/>
        <w:rPr>
          <w:rFonts w:ascii="Arial" w:cs="Arial" w:eastAsia="Arial" w:hAnsi="Arial"/>
          <w:sz w:val="16"/>
          <w:szCs w:val="16"/>
          <w:color w:val="auto"/>
        </w:rPr>
      </w:pPr>
    </w:p>
    <w:p>
      <w:pPr>
        <w:ind w:left="571" w:hanging="571"/>
        <w:spacing w:after="0"/>
        <w:tabs>
          <w:tab w:leader="none" w:pos="57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has the meaning ascribed to such term in the Certificate of Incorporation.</w:t>
      </w:r>
    </w:p>
    <w:p>
      <w:pPr>
        <w:spacing w:after="0" w:line="187" w:lineRule="exact"/>
        <w:rPr>
          <w:rFonts w:ascii="Arial" w:cs="Arial" w:eastAsia="Arial" w:hAnsi="Arial"/>
          <w:sz w:val="18"/>
          <w:szCs w:val="18"/>
          <w:color w:val="auto"/>
        </w:rPr>
      </w:pPr>
    </w:p>
    <w:p>
      <w:pPr>
        <w:ind w:left="571" w:hanging="571"/>
        <w:spacing w:after="0" w:line="253" w:lineRule="auto"/>
        <w:tabs>
          <w:tab w:leader="none" w:pos="56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and Removal Agreement Deadline</w:t>
      </w:r>
      <w:r>
        <w:rPr>
          <w:rFonts w:ascii="Arial" w:cs="Arial" w:eastAsia="Arial" w:hAnsi="Arial"/>
          <w:sz w:val="18"/>
          <w:szCs w:val="18"/>
          <w:color w:val="auto"/>
        </w:rPr>
        <w:t>” means, for any annual or special meeting of stockholders of the Company, 11:59 p.m. Eastern Time on the date that is two business days prior to the date of such meeting.</w:t>
      </w:r>
    </w:p>
    <w:p>
      <w:pPr>
        <w:spacing w:after="0" w:line="161" w:lineRule="exact"/>
        <w:rPr>
          <w:rFonts w:ascii="Arial" w:cs="Arial" w:eastAsia="Arial" w:hAnsi="Arial"/>
          <w:sz w:val="18"/>
          <w:szCs w:val="18"/>
          <w:color w:val="auto"/>
        </w:rPr>
      </w:pPr>
    </w:p>
    <w:p>
      <w:pPr>
        <w:ind w:left="571" w:hanging="571"/>
        <w:spacing w:after="0"/>
        <w:tabs>
          <w:tab w:leader="none" w:pos="57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Conversion Date</w:t>
      </w:r>
      <w:r>
        <w:rPr>
          <w:rFonts w:ascii="Arial" w:cs="Arial" w:eastAsia="Arial" w:hAnsi="Arial"/>
          <w:sz w:val="18"/>
          <w:szCs w:val="18"/>
          <w:color w:val="auto"/>
        </w:rPr>
        <w:t>” has the meaning ascribed to such term in the Certificate of Incorporation.</w:t>
      </w:r>
    </w:p>
    <w:p>
      <w:pPr>
        <w:spacing w:after="0" w:line="187" w:lineRule="exact"/>
        <w:rPr>
          <w:rFonts w:ascii="Arial" w:cs="Arial" w:eastAsia="Arial" w:hAnsi="Arial"/>
          <w:sz w:val="18"/>
          <w:szCs w:val="18"/>
          <w:color w:val="auto"/>
        </w:rPr>
      </w:pPr>
    </w:p>
    <w:p>
      <w:pPr>
        <w:ind w:left="571" w:hanging="571"/>
        <w:spacing w:after="0" w:line="314" w:lineRule="auto"/>
        <w:tabs>
          <w:tab w:leader="none" w:pos="56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Founder Voting Shares</w:t>
      </w:r>
      <w:r>
        <w:rPr>
          <w:rFonts w:ascii="Arial" w:cs="Arial" w:eastAsia="Arial" w:hAnsi="Arial"/>
          <w:sz w:val="16"/>
          <w:szCs w:val="16"/>
          <w:color w:val="auto"/>
        </w:rPr>
        <w:t>” means, with respect to any Founder, the shares of Voting Stock held of record or beneficially owned by such Founder as of the date hereof or subsequently acquired and that such Founder is entitled to vote (or direct the voting of).</w:t>
      </w:r>
    </w:p>
    <w:p>
      <w:pPr>
        <w:spacing w:after="0" w:line="116" w:lineRule="exact"/>
        <w:rPr>
          <w:rFonts w:ascii="Arial" w:cs="Arial" w:eastAsia="Arial" w:hAnsi="Arial"/>
          <w:sz w:val="16"/>
          <w:szCs w:val="16"/>
          <w:color w:val="auto"/>
        </w:rPr>
      </w:pPr>
    </w:p>
    <w:p>
      <w:pPr>
        <w:ind w:left="571" w:hanging="571"/>
        <w:spacing w:after="0" w:line="253" w:lineRule="auto"/>
        <w:tabs>
          <w:tab w:leader="none" w:pos="56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or official, including any political subdivision thereof.</w:t>
      </w:r>
    </w:p>
    <w:p>
      <w:pPr>
        <w:spacing w:after="0" w:line="161" w:lineRule="exact"/>
        <w:rPr>
          <w:rFonts w:ascii="Arial" w:cs="Arial" w:eastAsia="Arial" w:hAnsi="Arial"/>
          <w:sz w:val="18"/>
          <w:szCs w:val="18"/>
          <w:color w:val="auto"/>
        </w:rPr>
      </w:pPr>
    </w:p>
    <w:p>
      <w:pPr>
        <w:ind w:left="571" w:hanging="571"/>
        <w:spacing w:after="0" w:line="253" w:lineRule="auto"/>
        <w:tabs>
          <w:tab w:leader="none" w:pos="56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Nominating and Governance Committee</w:t>
      </w:r>
      <w:r>
        <w:rPr>
          <w:rFonts w:ascii="Arial" w:cs="Arial" w:eastAsia="Arial" w:hAnsi="Arial"/>
          <w:sz w:val="18"/>
          <w:szCs w:val="18"/>
          <w:color w:val="auto"/>
        </w:rPr>
        <w:t>” means the Nominating and Governance Committee of the Board of Directors (or an equivalent independent committee of the Board of Directors authorized to nominate directors for election).</w:t>
      </w:r>
    </w:p>
    <w:p>
      <w:pPr>
        <w:spacing w:after="0" w:line="161" w:lineRule="exact"/>
        <w:rPr>
          <w:rFonts w:ascii="Arial" w:cs="Arial" w:eastAsia="Arial" w:hAnsi="Arial"/>
          <w:sz w:val="18"/>
          <w:szCs w:val="18"/>
          <w:color w:val="auto"/>
        </w:rPr>
      </w:pPr>
    </w:p>
    <w:p>
      <w:pPr>
        <w:ind w:left="571" w:hanging="571"/>
        <w:spacing w:after="0"/>
        <w:tabs>
          <w:tab w:leader="none" w:pos="57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has the meaning ascribed to such term in the Certificate of Incorporation.</w:t>
      </w:r>
    </w:p>
    <w:p>
      <w:pPr>
        <w:spacing w:after="0" w:line="187" w:lineRule="exact"/>
        <w:rPr>
          <w:rFonts w:ascii="Arial" w:cs="Arial" w:eastAsia="Arial" w:hAnsi="Arial"/>
          <w:sz w:val="18"/>
          <w:szCs w:val="18"/>
          <w:color w:val="auto"/>
        </w:rPr>
      </w:pPr>
    </w:p>
    <w:p>
      <w:pPr>
        <w:ind w:left="571" w:hanging="571"/>
        <w:spacing w:after="0"/>
        <w:tabs>
          <w:tab w:leader="none" w:pos="57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ascribed to such term in the Certificate of Incorporation.</w:t>
      </w:r>
    </w:p>
    <w:p>
      <w:pPr>
        <w:spacing w:after="0" w:line="187" w:lineRule="exact"/>
        <w:rPr>
          <w:rFonts w:ascii="Arial" w:cs="Arial" w:eastAsia="Arial" w:hAnsi="Arial"/>
          <w:sz w:val="18"/>
          <w:szCs w:val="18"/>
          <w:color w:val="auto"/>
        </w:rPr>
      </w:pPr>
    </w:p>
    <w:p>
      <w:pPr>
        <w:ind w:left="571" w:hanging="571"/>
        <w:spacing w:after="0" w:line="253" w:lineRule="auto"/>
        <w:tabs>
          <w:tab w:leader="none" w:pos="56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unlimited liability company, trust, joint stock company, joint venture, association,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11"/>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671"/>
          </w:cols>
          <w:pgMar w:left="889" w:top="1271" w:right="339" w:bottom="1440" w:gutter="0" w:footer="0" w:header="0"/>
          <w:type w:val="continuous"/>
        </w:sectPr>
      </w:pPr>
    </w:p>
    <w:bookmarkStart w:id="499" w:name="page500"/>
    <w:bookmarkEnd w:id="499"/>
    <w:p>
      <w:pPr>
        <w:ind w:left="1144"/>
        <w:spacing w:after="0"/>
        <w:rPr>
          <w:sz w:val="20"/>
          <w:szCs w:val="20"/>
          <w:color w:val="auto"/>
        </w:rPr>
      </w:pPr>
      <w:r>
        <w:rPr>
          <w:rFonts w:ascii="Arial" w:cs="Arial" w:eastAsia="Arial" w:hAnsi="Arial"/>
          <w:sz w:val="18"/>
          <w:szCs w:val="18"/>
          <w:color w:val="auto"/>
        </w:rPr>
        <w:t>partnership (including a limited liability partnership), unincorporated organization or other entity.</w:t>
      </w:r>
    </w:p>
    <w:p>
      <w:pPr>
        <w:spacing w:after="0" w:line="187" w:lineRule="exact"/>
        <w:rPr>
          <w:sz w:val="20"/>
          <w:szCs w:val="20"/>
          <w:color w:val="auto"/>
        </w:rPr>
      </w:pPr>
    </w:p>
    <w:p>
      <w:pPr>
        <w:jc w:val="both"/>
        <w:ind w:left="1144" w:hanging="571"/>
        <w:spacing w:after="0" w:line="281" w:lineRule="auto"/>
        <w:tabs>
          <w:tab w:leader="none" w:pos="1133" w:val="left"/>
        </w:tabs>
        <w:numPr>
          <w:ilvl w:val="1"/>
          <w:numId w:val="2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Prohibited Action</w:t>
      </w:r>
      <w:r>
        <w:rPr>
          <w:rFonts w:ascii="Arial" w:cs="Arial" w:eastAsia="Arial" w:hAnsi="Arial"/>
          <w:sz w:val="16"/>
          <w:szCs w:val="16"/>
          <w:color w:val="auto"/>
        </w:rPr>
        <w:t xml:space="preserve">” means any action or transaction that, directly or indirectly, results in the conversion of shares of Class B Common Stock into shares of Class A Common Stock in accordance with the Certificate of Incorporation, but excluding (i) any Subject Transaction consummated in accordance with </w:t>
      </w:r>
      <w:r>
        <w:rPr>
          <w:rFonts w:ascii="Arial" w:cs="Arial" w:eastAsia="Arial" w:hAnsi="Arial"/>
          <w:sz w:val="16"/>
          <w:szCs w:val="16"/>
          <w:u w:val="single" w:color="auto"/>
          <w:color w:val="auto"/>
        </w:rPr>
        <w:t>Section 4</w:t>
      </w:r>
      <w:r>
        <w:rPr>
          <w:rFonts w:ascii="Arial" w:cs="Arial" w:eastAsia="Arial" w:hAnsi="Arial"/>
          <w:sz w:val="16"/>
          <w:szCs w:val="16"/>
          <w:color w:val="auto"/>
        </w:rPr>
        <w:t>, (ii) any death or Disability and (iii) any action that results in the conversion of shares of Class B Common Stock into shares of Class A Common Stock pursuant to the definition of Final Conversion Date in the Certificate of Incorporation.</w:t>
      </w:r>
    </w:p>
    <w:p>
      <w:pPr>
        <w:spacing w:after="0" w:line="142" w:lineRule="exact"/>
        <w:rPr>
          <w:rFonts w:ascii="Arial" w:cs="Arial" w:eastAsia="Arial" w:hAnsi="Arial"/>
          <w:sz w:val="16"/>
          <w:szCs w:val="16"/>
          <w:color w:val="auto"/>
        </w:rPr>
      </w:pPr>
    </w:p>
    <w:p>
      <w:pPr>
        <w:ind w:left="1144" w:right="20" w:hanging="571"/>
        <w:spacing w:after="0" w:line="314" w:lineRule="auto"/>
        <w:tabs>
          <w:tab w:leader="none" w:pos="1133" w:val="left"/>
        </w:tabs>
        <w:numPr>
          <w:ilvl w:val="1"/>
          <w:numId w:val="2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Subject Shares</w:t>
      </w:r>
      <w:r>
        <w:rPr>
          <w:rFonts w:ascii="Arial" w:cs="Arial" w:eastAsia="Arial" w:hAnsi="Arial"/>
          <w:sz w:val="16"/>
          <w:szCs w:val="16"/>
          <w:color w:val="auto"/>
        </w:rPr>
        <w:t>” means, with respect to any Subject Transaction, the shares of Class B Common Stock that would be converted into shares of Class A Common Stock in accordance with the Certificate of Incorporation as a result of such Subject Transaction.</w:t>
      </w:r>
    </w:p>
    <w:p>
      <w:pPr>
        <w:spacing w:after="0" w:line="116" w:lineRule="exact"/>
        <w:rPr>
          <w:rFonts w:ascii="Arial" w:cs="Arial" w:eastAsia="Arial" w:hAnsi="Arial"/>
          <w:sz w:val="16"/>
          <w:szCs w:val="16"/>
          <w:color w:val="auto"/>
        </w:rPr>
      </w:pPr>
    </w:p>
    <w:p>
      <w:pPr>
        <w:ind w:left="1144" w:right="20" w:hanging="571"/>
        <w:spacing w:after="0" w:line="253" w:lineRule="auto"/>
        <w:tabs>
          <w:tab w:leader="none" w:pos="1133" w:val="left"/>
        </w:tabs>
        <w:numPr>
          <w:ilvl w:val="1"/>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Transaction</w:t>
      </w:r>
      <w:r>
        <w:rPr>
          <w:rFonts w:ascii="Arial" w:cs="Arial" w:eastAsia="Arial" w:hAnsi="Arial"/>
          <w:sz w:val="18"/>
          <w:szCs w:val="18"/>
          <w:color w:val="auto"/>
        </w:rPr>
        <w:t>” means any Transfer of shares of Class B Common Stock that would result in the conversion of such shares of Class B Common Stock into shares of Class A Common Stock in accordance with the Certificate of Incorporation.</w:t>
      </w:r>
    </w:p>
    <w:p>
      <w:pPr>
        <w:spacing w:after="0" w:line="161" w:lineRule="exact"/>
        <w:rPr>
          <w:rFonts w:ascii="Arial" w:cs="Arial" w:eastAsia="Arial" w:hAnsi="Arial"/>
          <w:sz w:val="18"/>
          <w:szCs w:val="18"/>
          <w:color w:val="auto"/>
        </w:rPr>
      </w:pPr>
    </w:p>
    <w:p>
      <w:pPr>
        <w:ind w:left="1144" w:hanging="571"/>
        <w:spacing w:after="0"/>
        <w:tabs>
          <w:tab w:leader="none" w:pos="1144" w:val="left"/>
        </w:tabs>
        <w:numPr>
          <w:ilvl w:val="1"/>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has the meaning ascribed to such term in the Certificate of Incorporation.</w:t>
      </w:r>
    </w:p>
    <w:p>
      <w:pPr>
        <w:spacing w:after="0" w:line="187" w:lineRule="exact"/>
        <w:rPr>
          <w:rFonts w:ascii="Arial" w:cs="Arial" w:eastAsia="Arial" w:hAnsi="Arial"/>
          <w:sz w:val="18"/>
          <w:szCs w:val="18"/>
          <w:color w:val="auto"/>
        </w:rPr>
      </w:pPr>
    </w:p>
    <w:p>
      <w:pPr>
        <w:ind w:left="1144" w:hanging="571"/>
        <w:spacing w:after="0"/>
        <w:tabs>
          <w:tab w:leader="none" w:pos="1144" w:val="left"/>
        </w:tabs>
        <w:numPr>
          <w:ilvl w:val="1"/>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collectively, the Class A Common Stock and the Class B Common Stock.</w:t>
      </w:r>
    </w:p>
    <w:p>
      <w:pPr>
        <w:spacing w:after="0" w:line="187" w:lineRule="exact"/>
        <w:rPr>
          <w:rFonts w:ascii="Arial" w:cs="Arial" w:eastAsia="Arial" w:hAnsi="Arial"/>
          <w:sz w:val="18"/>
          <w:szCs w:val="18"/>
          <w:color w:val="auto"/>
        </w:rPr>
      </w:pPr>
    </w:p>
    <w:p>
      <w:pPr>
        <w:ind w:left="564" w:hanging="564"/>
        <w:spacing w:after="0"/>
        <w:tabs>
          <w:tab w:leader="none" w:pos="564"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Agreement to Vote</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1144" w:right="20" w:hanging="571"/>
        <w:spacing w:after="0" w:line="281" w:lineRule="auto"/>
        <w:tabs>
          <w:tab w:leader="none" w:pos="1136"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Election of Directors</w:t>
      </w:r>
      <w:r>
        <w:rPr>
          <w:rFonts w:ascii="Arial" w:cs="Arial" w:eastAsia="Arial" w:hAnsi="Arial"/>
          <w:sz w:val="16"/>
          <w:szCs w:val="16"/>
          <w:color w:val="auto"/>
        </w:rPr>
        <w:t>. In any election of directors to the Board of Directors, each Founder shall vote or cause to be voted in such election its Founder Voting Shares (i) with respect to any Individual Founder who has been duly nominated for election to the Board of Directors, “for” the election of such Individual Founder to the Board of Directors and (ii) with respect to any other person who has been duly nominated for election to the Board of Directors, in accordance with the Applicable Voting Requirement.</w:t>
      </w:r>
    </w:p>
    <w:p>
      <w:pPr>
        <w:spacing w:after="0" w:line="142" w:lineRule="exact"/>
        <w:rPr>
          <w:rFonts w:ascii="Arial" w:cs="Arial" w:eastAsia="Arial" w:hAnsi="Arial"/>
          <w:sz w:val="16"/>
          <w:szCs w:val="16"/>
          <w:color w:val="auto"/>
        </w:rPr>
      </w:pPr>
    </w:p>
    <w:p>
      <w:pPr>
        <w:jc w:val="both"/>
        <w:ind w:left="1144" w:right="20" w:hanging="571"/>
        <w:spacing w:after="0" w:line="281" w:lineRule="auto"/>
        <w:tabs>
          <w:tab w:leader="none" w:pos="1133"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Removal of Directors</w:t>
      </w:r>
      <w:r>
        <w:rPr>
          <w:rFonts w:ascii="Arial" w:cs="Arial" w:eastAsia="Arial" w:hAnsi="Arial"/>
          <w:sz w:val="16"/>
          <w:szCs w:val="16"/>
          <w:color w:val="auto"/>
        </w:rPr>
        <w:t>. With respect to any proposal to remove one or more directors from the Board of Directors, each Founder shall vote or cause to be voted on such proposal its Founder Voting Shares (i) with respect to any Individual Founder who is proposed to be removed from the Board of Directors, “against” the removal of such Individual Founder from the Board of Directors and (ii) with respect to any other person who is proposed to be removed from the Board of Directors, in accordance with the Applicable Voting Requirement.</w:t>
      </w:r>
    </w:p>
    <w:p>
      <w:pPr>
        <w:spacing w:after="0" w:line="142" w:lineRule="exact"/>
        <w:rPr>
          <w:rFonts w:ascii="Arial" w:cs="Arial" w:eastAsia="Arial" w:hAnsi="Arial"/>
          <w:sz w:val="16"/>
          <w:szCs w:val="16"/>
          <w:color w:val="auto"/>
        </w:rPr>
      </w:pPr>
    </w:p>
    <w:p>
      <w:pPr>
        <w:jc w:val="both"/>
        <w:ind w:left="1144" w:hanging="571"/>
        <w:spacing w:after="0" w:line="289" w:lineRule="auto"/>
        <w:tabs>
          <w:tab w:leader="none" w:pos="1136"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Additional Actions</w:t>
      </w:r>
      <w:r>
        <w:rPr>
          <w:rFonts w:ascii="Arial" w:cs="Arial" w:eastAsia="Arial" w:hAnsi="Arial"/>
          <w:sz w:val="16"/>
          <w:szCs w:val="16"/>
          <w:color w:val="auto"/>
        </w:rPr>
        <w:t xml:space="preserve">. Each Founder agrees to take all necessary and appropriate action in order to ensure that all of its Founder Voting Shares are voted in accordance with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2(b)</w:t>
      </w:r>
      <w:r>
        <w:rPr>
          <w:rFonts w:ascii="Arial" w:cs="Arial" w:eastAsia="Arial" w:hAnsi="Arial"/>
          <w:sz w:val="16"/>
          <w:szCs w:val="16"/>
          <w:color w:val="auto"/>
        </w:rPr>
        <w:t>, as applicable, including causing its Founder Voting Shares to be present in person or by proxy for purposes of constituting a quorum at the applicable annual or special meeting of stockholders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64"/>
          </w:cols>
          <w:pgMar w:left="316" w:top="1271" w:right="319" w:bottom="1440" w:gutter="0" w:footer="0" w:header="0"/>
        </w:sectPr>
      </w:pPr>
    </w:p>
    <w:bookmarkStart w:id="500" w:name="page501"/>
    <w:bookmarkEnd w:id="500"/>
    <w:p>
      <w:pPr>
        <w:ind w:left="564" w:hanging="564"/>
        <w:spacing w:after="0"/>
        <w:tabs>
          <w:tab w:leader="none" w:pos="564"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Irrevocable Proxy and Power of Attorney</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1144" w:hanging="571"/>
        <w:spacing w:after="0" w:line="267" w:lineRule="auto"/>
        <w:tabs>
          <w:tab w:leader="none" w:pos="1136" w:val="left"/>
        </w:tabs>
        <w:numPr>
          <w:ilvl w:val="1"/>
          <w:numId w:val="280"/>
        </w:numPr>
        <w:rPr>
          <w:rFonts w:ascii="Arial" w:cs="Arial" w:eastAsia="Arial" w:hAnsi="Arial"/>
          <w:sz w:val="16"/>
          <w:szCs w:val="16"/>
          <w:color w:val="auto"/>
        </w:rPr>
      </w:pPr>
      <w:r>
        <w:rPr>
          <w:rFonts w:ascii="Arial" w:cs="Arial" w:eastAsia="Arial" w:hAnsi="Arial"/>
          <w:sz w:val="16"/>
          <w:szCs w:val="16"/>
          <w:color w:val="auto"/>
        </w:rPr>
        <w:t>Each Individual Founder and each Founder Affiliate of such Individual Founder (each, a “</w:t>
      </w:r>
      <w:r>
        <w:rPr>
          <w:rFonts w:ascii="Arial" w:cs="Arial" w:eastAsia="Arial" w:hAnsi="Arial"/>
          <w:sz w:val="16"/>
          <w:szCs w:val="16"/>
          <w:u w:val="single" w:color="auto"/>
          <w:color w:val="auto"/>
        </w:rPr>
        <w:t>Granting Founder</w:t>
      </w:r>
      <w:r>
        <w:rPr>
          <w:rFonts w:ascii="Arial" w:cs="Arial" w:eastAsia="Arial" w:hAnsi="Arial"/>
          <w:sz w:val="16"/>
          <w:szCs w:val="16"/>
          <w:color w:val="auto"/>
        </w:rPr>
        <w:t xml:space="preserve">”) hereby irrevocably grants to, and appoints, in each case effective upon such Individual Founder’s death or Disability, the other Individual Founder as such Granting Founder’s proxy and attorney-in-fact (with full power of substitution), for and in the name, place and stead of such Granting Founder, to vote or cause to be voted (including by written consent, if applicable) all Founder Voting Shares of such Granting Founder, in the manner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with respect to any matter not contemplated by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 such manner as is determined by such other Individual Founder in his sole discretion, on all matters submitted to a vote of stockholders of the Company (whether at an annual or special meeting of stockholders of the Company or through the written consent of stockholders of the Company, and whether submitted to any individual class of stock voting separately or multiple classes of stock voting together). Each Granting Founder hereby affirms that the irrevocable proxy granted pursuant to this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is given in connection with the execution of this Agreement, including to secure the performance of the duties of such Granting Founder under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Each Granting Founder hereby further affirms that the irrevocable proxy granted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3(a)</w:t>
      </w:r>
      <w:r>
        <w:rPr>
          <w:rFonts w:ascii="Arial" w:cs="Arial" w:eastAsia="Arial" w:hAnsi="Arial"/>
          <w:sz w:val="16"/>
          <w:szCs w:val="16"/>
          <w:color w:val="auto"/>
        </w:rPr>
        <w:t xml:space="preserve"> is coupled with an interest and may under no circumstances be revoked. Each Granting Founder hereby ratifies and confirms all that such proxy may lawfully do or cause to be done by virtue hereof. Such irrevocable proxy is executed and intended to be irrevocable in accordance with the provisions of Section 212(e) of the General Corporation Law of the State of Delaware. Notwithstanding the foregoing, the proxy and appointment granted by any Granting Founder pursuant to this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shall be automatically revoked, without any further action, upon the earliest to occur of (i) the termination of this Agreement with respect to such Granting Founder in accordance with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(ii) with respect to any Voting Stock of such Granting Founder, such Voting Stock ceasing to constitute Founder Voting Shares in compliance with this Agreement and (iii) the amendment of this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to remove the grant of such proxy and appointment. If at the time of such Individual Founder’s death or Disability, the other Individual Founder already holds the Granting Founder’s proxy and already is appointed the Granting Founder’s attorney-in-fact pursuant to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shall be applied in a manner consistent with such other Individual Founder continuing to hold the Granting Founder’s proxy and to be appointed the Granting Founder’s attorney-in-fact until such proxy and appointment shall have been revoked pursuant to both this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3(b)</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jc w:val="both"/>
        <w:ind w:left="1144" w:hanging="571"/>
        <w:spacing w:after="0" w:line="273" w:lineRule="auto"/>
        <w:tabs>
          <w:tab w:leader="none" w:pos="1133" w:val="left"/>
        </w:tabs>
        <w:numPr>
          <w:ilvl w:val="1"/>
          <w:numId w:val="280"/>
        </w:numPr>
        <w:rPr>
          <w:rFonts w:ascii="Arial" w:cs="Arial" w:eastAsia="Arial" w:hAnsi="Arial"/>
          <w:sz w:val="16"/>
          <w:szCs w:val="16"/>
          <w:color w:val="auto"/>
        </w:rPr>
      </w:pPr>
      <w:r>
        <w:rPr>
          <w:rFonts w:ascii="Arial" w:cs="Arial" w:eastAsia="Arial" w:hAnsi="Arial"/>
          <w:sz w:val="16"/>
          <w:szCs w:val="16"/>
          <w:color w:val="auto"/>
        </w:rPr>
        <w:t>Each Founder Affiliate of an Individual Founder may, but shall not be required to, elect at the time it becomes a party to this Agreement to irrevocably grant to, and appoint, such Individual Founder or the other Individual Founder (such Individual Founder or other Individual Founder so appointed, as the case may be, the “</w:t>
      </w:r>
      <w:r>
        <w:rPr>
          <w:rFonts w:ascii="Arial" w:cs="Arial" w:eastAsia="Arial" w:hAnsi="Arial"/>
          <w:sz w:val="16"/>
          <w:szCs w:val="16"/>
          <w:u w:val="single" w:color="auto"/>
          <w:color w:val="auto"/>
        </w:rPr>
        <w:t>Specified Individual Founder</w:t>
      </w:r>
      <w:r>
        <w:rPr>
          <w:rFonts w:ascii="Arial" w:cs="Arial" w:eastAsia="Arial" w:hAnsi="Arial"/>
          <w:sz w:val="16"/>
          <w:szCs w:val="16"/>
          <w:color w:val="auto"/>
        </w:rPr>
        <w:t xml:space="preserve">”), as such Founder Affiliate’s proxy and attorney-in-fact (with full power of substitution), for and in the name, place and stead of such Founder Affiliate, to vote or cause to be voted (including by written consent, if applicable) all Founder Voting Shares of such Founder Affiliate, in the manner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with respect to any matter not contemplated by </w:t>
      </w:r>
      <w:r>
        <w:rPr>
          <w:rFonts w:ascii="Arial" w:cs="Arial" w:eastAsia="Arial" w:hAnsi="Arial"/>
          <w:sz w:val="16"/>
          <w:szCs w:val="16"/>
          <w:u w:val="single" w:color="auto"/>
          <w:color w:val="auto"/>
        </w:rPr>
        <w:t>Section 2</w:t>
      </w:r>
      <w:r>
        <w:rPr>
          <w:rFonts w:ascii="Arial" w:cs="Arial" w:eastAsia="Arial" w:hAnsi="Arial"/>
          <w:sz w:val="16"/>
          <w:szCs w:val="16"/>
          <w:color w:val="auto"/>
        </w:rPr>
        <w:t>, in such manner as is determined by such Specified Individual Founder in his sole discretion, on all matters submitted to a vote of stockholders of the Company (whether at an annual or special meeting of stockholders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4"/>
          </w:cols>
          <w:pgMar w:left="316" w:top="1271" w:right="319" w:bottom="1440" w:gutter="0" w:footer="0" w:header="0"/>
        </w:sectPr>
      </w:pPr>
    </w:p>
    <w:bookmarkStart w:id="501" w:name="page502"/>
    <w:bookmarkEnd w:id="501"/>
    <w:p>
      <w:pPr>
        <w:jc w:val="both"/>
        <w:ind w:left="1144"/>
        <w:spacing w:after="0" w:line="269" w:lineRule="auto"/>
        <w:rPr>
          <w:sz w:val="20"/>
          <w:szCs w:val="20"/>
          <w:color w:val="auto"/>
        </w:rPr>
      </w:pPr>
      <w:r>
        <w:rPr>
          <w:rFonts w:ascii="Arial" w:cs="Arial" w:eastAsia="Arial" w:hAnsi="Arial"/>
          <w:sz w:val="16"/>
          <w:szCs w:val="16"/>
          <w:color w:val="auto"/>
        </w:rPr>
        <w:t xml:space="preserve">the Company or through the written consent of stockholders of the Company, and whether submitted to any individual class of stock voting separately or multiple classes of stock voting together). Each Founder Affiliate hereby affirms that an irrevocable proxy granted pursuant to this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is given in connection with the execution of this Agreement, including to secure the performance of the duties of such Founder Affiliate under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Each Founder Affiliate hereby further affirms that an irrevocable proxy granted pursuant to this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is coupled with an interest and may under no circumstances be revoked. Each Founder Affiliate hereby ratifies and confirms all that such proxy may lawfully do or cause to be done by virtue hereof. Such irrevocable proxy is executed and intended to be irrevocable in accordance with the provisions of Section 212(e) of the General Corporation Law of the State of Delaware. Notwithstanding the foregoing, a proxy and appointment granted by any Founder Affiliate of an Individual Founder pursuant to this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shall be automatically revoked, without any further action, upon the earliest to occur of (i) the Specified Individual Founder’s death or Disability, (ii) the termination of this Agreement with respect to such Founder Affiliate in accordance with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(iii) with respect to any Voting Stock of such Founder Affiliate, such Voting Stock ceasing to constitute Founder Voting Shares in compliance with this Agreement and (iv) the amendment of this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to remove the grant of such proxy and appointment.</w:t>
      </w:r>
    </w:p>
    <w:p>
      <w:pPr>
        <w:spacing w:after="0" w:line="154" w:lineRule="exact"/>
        <w:rPr>
          <w:sz w:val="20"/>
          <w:szCs w:val="20"/>
          <w:color w:val="auto"/>
        </w:rPr>
      </w:pPr>
    </w:p>
    <w:p>
      <w:pPr>
        <w:jc w:val="both"/>
        <w:ind w:left="1144" w:hanging="571"/>
        <w:spacing w:after="0" w:line="289" w:lineRule="auto"/>
        <w:tabs>
          <w:tab w:leader="none" w:pos="1136" w:val="left"/>
        </w:tabs>
        <w:numPr>
          <w:ilvl w:val="1"/>
          <w:numId w:val="281"/>
        </w:numPr>
        <w:rPr>
          <w:rFonts w:ascii="Arial" w:cs="Arial" w:eastAsia="Arial" w:hAnsi="Arial"/>
          <w:sz w:val="15"/>
          <w:szCs w:val="15"/>
          <w:color w:val="auto"/>
        </w:rPr>
      </w:pPr>
      <w:r>
        <w:rPr>
          <w:rFonts w:ascii="Arial" w:cs="Arial" w:eastAsia="Arial" w:hAnsi="Arial"/>
          <w:sz w:val="15"/>
          <w:szCs w:val="15"/>
          <w:color w:val="auto"/>
        </w:rPr>
        <w:t xml:space="preserve">Notwithstanding the foregoing in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no proxy and appointment granted pursuant to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(in the case of </w:t>
      </w:r>
      <w:r>
        <w:rPr>
          <w:rFonts w:ascii="Arial" w:cs="Arial" w:eastAsia="Arial" w:hAnsi="Arial"/>
          <w:sz w:val="15"/>
          <w:szCs w:val="15"/>
          <w:u w:val="single" w:color="auto"/>
          <w:color w:val="auto"/>
        </w:rPr>
        <w:t>Section 3(b)</w:t>
      </w:r>
      <w:r>
        <w:rPr>
          <w:rFonts w:ascii="Arial" w:cs="Arial" w:eastAsia="Arial" w:hAnsi="Arial"/>
          <w:sz w:val="15"/>
          <w:szCs w:val="15"/>
          <w:color w:val="auto"/>
        </w:rPr>
        <w:t>, only if granted after the date of this Agreement) shall become effective unless and until any Consents that the Company determines in good faith and describes in reasonable detail in writing to the applicable Founder, within eight business days after receipt by the Company of written notice of</w:t>
      </w:r>
    </w:p>
    <w:p>
      <w:pPr>
        <w:jc w:val="both"/>
        <w:ind w:left="1144" w:right="20"/>
        <w:spacing w:after="0" w:line="237" w:lineRule="auto"/>
        <w:rPr>
          <w:rFonts w:ascii="Arial" w:cs="Arial" w:eastAsia="Arial" w:hAnsi="Arial"/>
          <w:sz w:val="15"/>
          <w:szCs w:val="15"/>
          <w:color w:val="auto"/>
        </w:rPr>
      </w:pPr>
      <w:r>
        <w:rPr>
          <w:rFonts w:ascii="Arial" w:cs="Arial" w:eastAsia="Arial" w:hAnsi="Arial"/>
          <w:sz w:val="18"/>
          <w:szCs w:val="18"/>
          <w:color w:val="auto"/>
        </w:rPr>
        <w:t xml:space="preserve">(i) the death or Disability of the applicable Individual Founder if such proxy and appointment is pursuant to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or (ii) the applicable related Permitted Transfer in accordance with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if such proxy and appointment is pursuant to </w:t>
      </w:r>
      <w:r>
        <w:rPr>
          <w:rFonts w:ascii="Arial" w:cs="Arial" w:eastAsia="Arial" w:hAnsi="Arial"/>
          <w:sz w:val="18"/>
          <w:szCs w:val="18"/>
          <w:u w:val="single" w:color="auto"/>
          <w:color w:val="auto"/>
        </w:rPr>
        <w:t>Section 3(b)</w:t>
      </w:r>
      <w:r>
        <w:rPr>
          <w:rFonts w:ascii="Arial" w:cs="Arial" w:eastAsia="Arial" w:hAnsi="Arial"/>
          <w:sz w:val="18"/>
          <w:szCs w:val="18"/>
          <w:color w:val="auto"/>
        </w:rPr>
        <w:t>, are required with respect to such proxy and appointment have been made and obtained.</w:t>
      </w:r>
    </w:p>
    <w:p>
      <w:pPr>
        <w:spacing w:after="0" w:line="173" w:lineRule="exact"/>
        <w:rPr>
          <w:rFonts w:ascii="Arial" w:cs="Arial" w:eastAsia="Arial" w:hAnsi="Arial"/>
          <w:sz w:val="15"/>
          <w:szCs w:val="15"/>
          <w:color w:val="auto"/>
        </w:rPr>
      </w:pPr>
    </w:p>
    <w:p>
      <w:pPr>
        <w:ind w:left="564" w:hanging="564"/>
        <w:spacing w:after="0"/>
        <w:tabs>
          <w:tab w:leader="none" w:pos="564"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1144" w:hanging="571"/>
        <w:spacing w:after="0" w:line="269" w:lineRule="auto"/>
        <w:tabs>
          <w:tab w:leader="none" w:pos="1136" w:val="left"/>
        </w:tabs>
        <w:numPr>
          <w:ilvl w:val="1"/>
          <w:numId w:val="282"/>
        </w:numPr>
        <w:rPr>
          <w:rFonts w:ascii="Arial" w:cs="Arial" w:eastAsia="Arial" w:hAnsi="Arial"/>
          <w:sz w:val="16"/>
          <w:szCs w:val="16"/>
          <w:color w:val="auto"/>
        </w:rPr>
      </w:pPr>
      <w:r>
        <w:rPr>
          <w:rFonts w:ascii="Arial" w:cs="Arial" w:eastAsia="Arial" w:hAnsi="Arial"/>
          <w:sz w:val="16"/>
          <w:szCs w:val="16"/>
          <w:u w:val="single" w:color="auto"/>
          <w:color w:val="auto"/>
        </w:rPr>
        <w:t>Offer Notice</w:t>
      </w:r>
      <w:r>
        <w:rPr>
          <w:rFonts w:ascii="Arial" w:cs="Arial" w:eastAsia="Arial" w:hAnsi="Arial"/>
          <w:sz w:val="16"/>
          <w:szCs w:val="16"/>
          <w:color w:val="auto"/>
        </w:rPr>
        <w:t xml:space="preserve">. Unless otherwise agreed by the Individual Founders, subject to </w:t>
      </w:r>
      <w:r>
        <w:rPr>
          <w:rFonts w:ascii="Arial" w:cs="Arial" w:eastAsia="Arial" w:hAnsi="Arial"/>
          <w:sz w:val="16"/>
          <w:szCs w:val="16"/>
          <w:u w:val="single" w:color="auto"/>
          <w:color w:val="auto"/>
        </w:rPr>
        <w:t>Section 4(e)</w:t>
      </w:r>
      <w:r>
        <w:rPr>
          <w:rFonts w:ascii="Arial" w:cs="Arial" w:eastAsia="Arial" w:hAnsi="Arial"/>
          <w:sz w:val="16"/>
          <w:szCs w:val="16"/>
          <w:color w:val="auto"/>
        </w:rPr>
        <w:t>, if any Individual Founder or any Founder Affiliate of such Individual Founder (each, a “</w:t>
      </w:r>
      <w:r>
        <w:rPr>
          <w:rFonts w:ascii="Arial" w:cs="Arial" w:eastAsia="Arial" w:hAnsi="Arial"/>
          <w:sz w:val="16"/>
          <w:szCs w:val="16"/>
          <w:u w:val="single" w:color="auto"/>
          <w:color w:val="auto"/>
        </w:rPr>
        <w:t>Selling Founder</w:t>
      </w:r>
      <w:r>
        <w:rPr>
          <w:rFonts w:ascii="Arial" w:cs="Arial" w:eastAsia="Arial" w:hAnsi="Arial"/>
          <w:sz w:val="16"/>
          <w:szCs w:val="16"/>
          <w:color w:val="auto"/>
        </w:rPr>
        <w:t>”) proposes to Transfer any shares of Class B Common Stock in a Subject Transaction, the Selling Founder must first give to the other Individual Founder (the “</w:t>
      </w:r>
      <w:r>
        <w:rPr>
          <w:rFonts w:ascii="Arial" w:cs="Arial" w:eastAsia="Arial" w:hAnsi="Arial"/>
          <w:sz w:val="16"/>
          <w:szCs w:val="16"/>
          <w:u w:val="single" w:color="auto"/>
          <w:color w:val="auto"/>
        </w:rPr>
        <w:t>Offeree Founder</w:t>
      </w:r>
      <w:r>
        <w:rPr>
          <w:rFonts w:ascii="Arial" w:cs="Arial" w:eastAsia="Arial" w:hAnsi="Arial"/>
          <w:sz w:val="16"/>
          <w:szCs w:val="16"/>
          <w:color w:val="auto"/>
        </w:rPr>
        <w:t>”) a written notice (the “</w:t>
      </w:r>
      <w:r>
        <w:rPr>
          <w:rFonts w:ascii="Arial" w:cs="Arial" w:eastAsia="Arial" w:hAnsi="Arial"/>
          <w:sz w:val="16"/>
          <w:szCs w:val="16"/>
          <w:u w:val="single" w:color="auto"/>
          <w:color w:val="auto"/>
        </w:rPr>
        <w:t>ROFO Notice</w:t>
      </w:r>
      <w:r>
        <w:rPr>
          <w:rFonts w:ascii="Arial" w:cs="Arial" w:eastAsia="Arial" w:hAnsi="Arial"/>
          <w:sz w:val="16"/>
          <w:szCs w:val="16"/>
          <w:color w:val="auto"/>
        </w:rPr>
        <w:t xml:space="preserve">”), which shall (i) state that the Selling Founder has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intention to Transfer its Subject Shares in a Subject Transaction, (ii) set forth the number of Subject Shares proposed to be Transferred by the Selling Founder in such Subject Transaction and the name of the proposed transferee, if known, (iii) set forth the price per Subject Share (the “</w:t>
      </w:r>
      <w:r>
        <w:rPr>
          <w:rFonts w:ascii="Arial" w:cs="Arial" w:eastAsia="Arial" w:hAnsi="Arial"/>
          <w:sz w:val="16"/>
          <w:szCs w:val="16"/>
          <w:u w:val="single" w:color="auto"/>
          <w:color w:val="auto"/>
        </w:rPr>
        <w:t>Subject Transaction Price Per Share</w:t>
      </w:r>
      <w:r>
        <w:rPr>
          <w:rFonts w:ascii="Arial" w:cs="Arial" w:eastAsia="Arial" w:hAnsi="Arial"/>
          <w:sz w:val="16"/>
          <w:szCs w:val="16"/>
          <w:color w:val="auto"/>
        </w:rPr>
        <w:t>”) (</w:t>
      </w:r>
      <w:r>
        <w:rPr>
          <w:rFonts w:ascii="Arial" w:cs="Arial" w:eastAsia="Arial" w:hAnsi="Arial"/>
          <w:sz w:val="16"/>
          <w:szCs w:val="16"/>
          <w:u w:val="single" w:color="auto"/>
          <w:color w:val="auto"/>
        </w:rPr>
        <w:t>provided</w:t>
      </w:r>
      <w:r>
        <w:rPr>
          <w:rFonts w:ascii="Arial" w:cs="Arial" w:eastAsia="Arial" w:hAnsi="Arial"/>
          <w:sz w:val="16"/>
          <w:szCs w:val="16"/>
          <w:color w:val="auto"/>
        </w:rPr>
        <w:t>, the Subject Transaction Price Per Share for any Subject Shares to be sold on the open market or to be donated, gifted or otherwise Transferred in a Transfer for no value shall be no less than the greater of the reported closing price for the shares of the Class A Common Stock of the Company on (x) the trading day immediately preceding the date of the ROFO Notice and (y) the trading day immediately preceding the date of the ROFO Acceptance) and the other material terms and conditions upon which it intends to Transfer such Subject Shares in such Subject Transaction and (iv) include a written offer to sell all or any portion of the Subject Shares of the Selling Founder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64"/>
          </w:cols>
          <w:pgMar w:left="316" w:top="1271" w:right="319" w:bottom="1440" w:gutter="0" w:footer="0" w:header="0"/>
        </w:sectPr>
      </w:pPr>
    </w:p>
    <w:bookmarkStart w:id="502" w:name="page503"/>
    <w:bookmarkEnd w:id="502"/>
    <w:p>
      <w:pPr>
        <w:jc w:val="both"/>
        <w:ind w:left="571" w:right="20"/>
        <w:spacing w:after="0" w:line="281" w:lineRule="auto"/>
        <w:rPr>
          <w:sz w:val="20"/>
          <w:szCs w:val="20"/>
          <w:color w:val="auto"/>
        </w:rPr>
      </w:pPr>
      <w:r>
        <w:rPr>
          <w:rFonts w:ascii="Arial" w:cs="Arial" w:eastAsia="Arial" w:hAnsi="Arial"/>
          <w:sz w:val="16"/>
          <w:szCs w:val="16"/>
          <w:color w:val="auto"/>
        </w:rPr>
        <w:t>Offeree Founder at a price per share equal to the Subject Transaction Price Per Share (each, a “</w:t>
      </w:r>
      <w:r>
        <w:rPr>
          <w:rFonts w:ascii="Arial" w:cs="Arial" w:eastAsia="Arial" w:hAnsi="Arial"/>
          <w:sz w:val="16"/>
          <w:szCs w:val="16"/>
          <w:u w:val="single" w:color="auto"/>
          <w:color w:val="auto"/>
        </w:rPr>
        <w:t>ROFO Offer</w:t>
      </w:r>
      <w:r>
        <w:rPr>
          <w:rFonts w:ascii="Arial" w:cs="Arial" w:eastAsia="Arial" w:hAnsi="Arial"/>
          <w:sz w:val="16"/>
          <w:szCs w:val="16"/>
          <w:color w:val="auto"/>
        </w:rPr>
        <w:t>”). Each ROFO Offer shall constitute a valid, legally binding and enforceable offer by the Selling Founder to sell each of its Subject Shares to the Offeree Founder at the Subject Transaction Price Per Share and, upon delivery thereof, shall be irrevocable. Each ROFO Offer shall be open for acceptance by the Offeree Founder for a period of five business days after the ROFO Notice is given (the “</w:t>
      </w:r>
      <w:r>
        <w:rPr>
          <w:rFonts w:ascii="Arial" w:cs="Arial" w:eastAsia="Arial" w:hAnsi="Arial"/>
          <w:sz w:val="16"/>
          <w:szCs w:val="16"/>
          <w:u w:val="single" w:color="auto"/>
          <w:color w:val="auto"/>
        </w:rPr>
        <w:t>ROFO Period</w:t>
      </w:r>
      <w:r>
        <w:rPr>
          <w:rFonts w:ascii="Arial" w:cs="Arial" w:eastAsia="Arial" w:hAnsi="Arial"/>
          <w:sz w:val="16"/>
          <w:szCs w:val="16"/>
          <w:color w:val="auto"/>
        </w:rPr>
        <w:t>”).</w:t>
      </w:r>
    </w:p>
    <w:p>
      <w:pPr>
        <w:spacing w:after="0" w:line="142" w:lineRule="exact"/>
        <w:rPr>
          <w:sz w:val="20"/>
          <w:szCs w:val="20"/>
          <w:color w:val="auto"/>
        </w:rPr>
      </w:pPr>
    </w:p>
    <w:p>
      <w:pPr>
        <w:jc w:val="both"/>
        <w:ind w:left="571" w:hanging="571"/>
        <w:spacing w:after="0" w:line="296" w:lineRule="auto"/>
        <w:tabs>
          <w:tab w:leader="none" w:pos="560" w:val="left"/>
        </w:tabs>
        <w:numPr>
          <w:ilvl w:val="0"/>
          <w:numId w:val="283"/>
        </w:numPr>
        <w:rPr>
          <w:rFonts w:ascii="Arial" w:cs="Arial" w:eastAsia="Arial" w:hAnsi="Arial"/>
          <w:sz w:val="15"/>
          <w:szCs w:val="15"/>
          <w:color w:val="auto"/>
        </w:rPr>
      </w:pPr>
      <w:r>
        <w:rPr>
          <w:rFonts w:ascii="Arial" w:cs="Arial" w:eastAsia="Arial" w:hAnsi="Arial"/>
          <w:sz w:val="15"/>
          <w:szCs w:val="15"/>
          <w:u w:val="single" w:color="auto"/>
          <w:color w:val="auto"/>
        </w:rPr>
        <w:t>Acceptance of ROFO Offer</w:t>
      </w:r>
      <w:r>
        <w:rPr>
          <w:rFonts w:ascii="Arial" w:cs="Arial" w:eastAsia="Arial" w:hAnsi="Arial"/>
          <w:sz w:val="15"/>
          <w:szCs w:val="15"/>
          <w:color w:val="auto"/>
        </w:rPr>
        <w:t>. By written notice to the Selling Founder given during the ROFO Period (the “</w:t>
      </w:r>
      <w:r>
        <w:rPr>
          <w:rFonts w:ascii="Arial" w:cs="Arial" w:eastAsia="Arial" w:hAnsi="Arial"/>
          <w:sz w:val="15"/>
          <w:szCs w:val="15"/>
          <w:u w:val="single" w:color="auto"/>
          <w:color w:val="auto"/>
        </w:rPr>
        <w:t>ROFO Acceptance</w:t>
      </w:r>
      <w:r>
        <w:rPr>
          <w:rFonts w:ascii="Arial" w:cs="Arial" w:eastAsia="Arial" w:hAnsi="Arial"/>
          <w:sz w:val="15"/>
          <w:szCs w:val="15"/>
          <w:color w:val="auto"/>
        </w:rPr>
        <w:t>”), the Offeree Founder may elect to purchase all or any portion of the Subject Shares of the Selling Founder at a price per share equal to the Subject Transaction Price Per Share. The Offeree Founder may designate one or more other Founders, including any Person that would be a Permitted Transferee of any Founder if such Subject Shares were being Transferred to such Person by such Founder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Person executes and delivers a Joinder Agreement in accordance with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to purchase all or any portion of such Subject Shares in place of the Offeree Founder and, in such an event, the provisions of this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4(c)</w:t>
      </w:r>
      <w:r>
        <w:rPr>
          <w:rFonts w:ascii="Arial" w:cs="Arial" w:eastAsia="Arial" w:hAnsi="Arial"/>
          <w:sz w:val="15"/>
          <w:szCs w:val="15"/>
          <w:color w:val="auto"/>
        </w:rPr>
        <w:t xml:space="preserve"> shall apply </w:t>
      </w:r>
      <w:r>
        <w:rPr>
          <w:rFonts w:ascii="Arial" w:cs="Arial" w:eastAsia="Arial" w:hAnsi="Arial"/>
          <w:sz w:val="15"/>
          <w:szCs w:val="15"/>
          <w:i w:val="1"/>
          <w:iCs w:val="1"/>
          <w:color w:val="auto"/>
        </w:rPr>
        <w:t>mutatis mutandis</w:t>
      </w:r>
      <w:r>
        <w:rPr>
          <w:rFonts w:ascii="Arial" w:cs="Arial" w:eastAsia="Arial" w:hAnsi="Arial"/>
          <w:sz w:val="15"/>
          <w:szCs w:val="15"/>
          <w:color w:val="auto"/>
        </w:rPr>
        <w:t xml:space="preserve"> to such other Founders.</w:t>
      </w:r>
    </w:p>
    <w:p>
      <w:pPr>
        <w:spacing w:after="0" w:line="133" w:lineRule="exact"/>
        <w:rPr>
          <w:rFonts w:ascii="Arial" w:cs="Arial" w:eastAsia="Arial" w:hAnsi="Arial"/>
          <w:sz w:val="15"/>
          <w:szCs w:val="15"/>
          <w:color w:val="auto"/>
        </w:rPr>
      </w:pPr>
    </w:p>
    <w:p>
      <w:pPr>
        <w:jc w:val="both"/>
        <w:ind w:left="571" w:hanging="571"/>
        <w:spacing w:after="0" w:line="281" w:lineRule="auto"/>
        <w:tabs>
          <w:tab w:leader="none" w:pos="562"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ROFO Closing</w:t>
      </w:r>
      <w:r>
        <w:rPr>
          <w:rFonts w:ascii="Arial" w:cs="Arial" w:eastAsia="Arial" w:hAnsi="Arial"/>
          <w:sz w:val="16"/>
          <w:szCs w:val="16"/>
          <w:color w:val="auto"/>
        </w:rPr>
        <w:t xml:space="preserve">. Any ROFO Acceptance in accordance with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shall set forth the date (which shall be no earlier than two and no later than seven business days after the date of such ROFO Acceptance) on which the sale of Subject Shares pursuant to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shall be consummated (the “</w:t>
      </w:r>
      <w:r>
        <w:rPr>
          <w:rFonts w:ascii="Arial" w:cs="Arial" w:eastAsia="Arial" w:hAnsi="Arial"/>
          <w:sz w:val="16"/>
          <w:szCs w:val="16"/>
          <w:u w:val="single" w:color="auto"/>
          <w:color w:val="auto"/>
        </w:rPr>
        <w:t>ROFO Closing</w:t>
      </w:r>
      <w:r>
        <w:rPr>
          <w:rFonts w:ascii="Arial" w:cs="Arial" w:eastAsia="Arial" w:hAnsi="Arial"/>
          <w:sz w:val="16"/>
          <w:szCs w:val="16"/>
          <w:color w:val="auto"/>
        </w:rPr>
        <w:t>”). At the ROFO Closing, the Selling Founder and the Offeree Founder shall execute such additional documents as the Offeree Founder reasonably requests in connection with such Transfer.</w:t>
      </w:r>
    </w:p>
    <w:p>
      <w:pPr>
        <w:spacing w:after="0" w:line="142" w:lineRule="exact"/>
        <w:rPr>
          <w:rFonts w:ascii="Arial" w:cs="Arial" w:eastAsia="Arial" w:hAnsi="Arial"/>
          <w:sz w:val="16"/>
          <w:szCs w:val="16"/>
          <w:color w:val="auto"/>
        </w:rPr>
      </w:pPr>
    </w:p>
    <w:p>
      <w:pPr>
        <w:jc w:val="both"/>
        <w:ind w:left="571" w:right="20" w:hanging="571"/>
        <w:spacing w:after="0" w:line="271" w:lineRule="auto"/>
        <w:tabs>
          <w:tab w:leader="none" w:pos="560"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Subject Transaction Closing</w:t>
      </w:r>
      <w:r>
        <w:rPr>
          <w:rFonts w:ascii="Arial" w:cs="Arial" w:eastAsia="Arial" w:hAnsi="Arial"/>
          <w:sz w:val="16"/>
          <w:szCs w:val="16"/>
          <w:color w:val="auto"/>
        </w:rPr>
        <w:t xml:space="preserve">. If a ROFO Acceptance is not given during the ROFO Period in accordance with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with respect to any Subject Shares, the Selling Founder may Transfer such Subject Shares in the Subject Transaction described in the ROFO Notice, at a price per share not less than the Subject Transaction Price Per Share (</w:t>
      </w:r>
      <w:r>
        <w:rPr>
          <w:rFonts w:ascii="Arial" w:cs="Arial" w:eastAsia="Arial" w:hAnsi="Arial"/>
          <w:sz w:val="16"/>
          <w:szCs w:val="16"/>
          <w:u w:val="single" w:color="auto"/>
          <w:color w:val="auto"/>
        </w:rPr>
        <w:t>provided</w:t>
      </w:r>
      <w:r>
        <w:rPr>
          <w:rFonts w:ascii="Arial" w:cs="Arial" w:eastAsia="Arial" w:hAnsi="Arial"/>
          <w:sz w:val="16"/>
          <w:szCs w:val="16"/>
          <w:color w:val="auto"/>
        </w:rPr>
        <w:t>, in the event the Subject Transaction is (i) a sale on the open market, the Subject Shares may be sold at prevailing market prices, or (ii) a donation, gift or other Transfer for no value, the Subject Shares may be donated, gifted or otherwise Transferred for no value) and on other terms and conditions no more favorable to the transferee of such Subject Shares than those set forth in the ROFO Notice (the “</w:t>
      </w:r>
      <w:r>
        <w:rPr>
          <w:rFonts w:ascii="Arial" w:cs="Arial" w:eastAsia="Arial" w:hAnsi="Arial"/>
          <w:sz w:val="16"/>
          <w:szCs w:val="16"/>
          <w:u w:val="single" w:color="auto"/>
          <w:color w:val="auto"/>
        </w:rPr>
        <w:t>Subject Transaction Closing</w:t>
      </w:r>
      <w:r>
        <w:rPr>
          <w:rFonts w:ascii="Arial" w:cs="Arial" w:eastAsia="Arial" w:hAnsi="Arial"/>
          <w:sz w:val="16"/>
          <w:szCs w:val="16"/>
          <w:color w:val="auto"/>
        </w:rPr>
        <w:t xml:space="preserve">”) , within 60 calendar days after the ROFO Period (or, if longer, the duration of any Rule 10b5-1 trading plan under which the Subject Transaction may occur). In the event that the Subject Transaction Closing is not consummated during such period, then the Selling Founder may not Transfer such Subject Shares in any Subject Transaction unless the Selling Founder first complies again with this </w:t>
      </w:r>
      <w:r>
        <w:rPr>
          <w:rFonts w:ascii="Arial" w:cs="Arial" w:eastAsia="Arial" w:hAnsi="Arial"/>
          <w:sz w:val="16"/>
          <w:szCs w:val="16"/>
          <w:u w:val="single" w:color="auto"/>
          <w:color w:val="auto"/>
        </w:rPr>
        <w:t>Section 4</w:t>
      </w:r>
      <w:r>
        <w:rPr>
          <w:rFonts w:ascii="Arial" w:cs="Arial" w:eastAsia="Arial" w:hAnsi="Arial"/>
          <w:sz w:val="16"/>
          <w:szCs w:val="16"/>
          <w:color w:val="auto"/>
        </w:rPr>
        <w:t>.</w:t>
      </w:r>
    </w:p>
    <w:p>
      <w:pPr>
        <w:spacing w:after="0" w:line="149" w:lineRule="exact"/>
        <w:rPr>
          <w:rFonts w:ascii="Arial" w:cs="Arial" w:eastAsia="Arial" w:hAnsi="Arial"/>
          <w:sz w:val="16"/>
          <w:szCs w:val="16"/>
          <w:color w:val="auto"/>
        </w:rPr>
      </w:pPr>
    </w:p>
    <w:p>
      <w:pPr>
        <w:jc w:val="both"/>
        <w:ind w:left="571" w:hanging="571"/>
        <w:spacing w:after="0" w:line="277" w:lineRule="auto"/>
        <w:tabs>
          <w:tab w:leader="none" w:pos="562"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Exception</w:t>
      </w:r>
      <w:r>
        <w:rPr>
          <w:rFonts w:ascii="Arial" w:cs="Arial" w:eastAsia="Arial" w:hAnsi="Arial"/>
          <w:sz w:val="16"/>
          <w:szCs w:val="16"/>
          <w:color w:val="auto"/>
        </w:rPr>
        <w:t xml:space="preserve">. Notwithstanding the foregoing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anything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 right of first offer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the covenant set forth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not apply to the Transfer, in one or more Subject Transactions, or the conversion, in one or more Prohibited Actions, of up to 20 million shares of Class B Common Stock (or such greater number of shares of Class B Common Stock as may be mutually agreed by the Individual Founders) (in each case, subject to adjustment for any stock dividend, stock split, combination of shares, recapitalization, reclassification or similar capital transaction following the date of this Agreement), in the aggregate for all such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011"/>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691"/>
          </w:cols>
          <w:pgMar w:left="889" w:top="1271" w:right="319" w:bottom="1440" w:gutter="0" w:footer="0" w:header="0"/>
        </w:sectPr>
      </w:pPr>
    </w:p>
    <w:bookmarkStart w:id="503" w:name="page504"/>
    <w:bookmarkEnd w:id="503"/>
    <w:p>
      <w:pPr>
        <w:ind w:left="1144" w:right="20"/>
        <w:spacing w:after="0" w:line="253" w:lineRule="auto"/>
        <w:rPr>
          <w:sz w:val="20"/>
          <w:szCs w:val="20"/>
          <w:color w:val="auto"/>
        </w:rPr>
      </w:pPr>
      <w:r>
        <w:rPr>
          <w:rFonts w:ascii="Arial" w:cs="Arial" w:eastAsia="Arial" w:hAnsi="Arial"/>
          <w:sz w:val="18"/>
          <w:szCs w:val="18"/>
          <w:color w:val="auto"/>
        </w:rPr>
        <w:t>and conversions, by any Individual Founder and, with the prior written consent of such Individual Founder, the Founder Affiliates of such Individual Founder.</w:t>
      </w:r>
    </w:p>
    <w:p>
      <w:pPr>
        <w:spacing w:after="0" w:line="161" w:lineRule="exact"/>
        <w:rPr>
          <w:sz w:val="20"/>
          <w:szCs w:val="20"/>
          <w:color w:val="auto"/>
        </w:rPr>
      </w:pPr>
    </w:p>
    <w:p>
      <w:pPr>
        <w:ind w:left="564" w:right="20" w:hanging="564"/>
        <w:spacing w:after="0" w:line="253" w:lineRule="auto"/>
        <w:tabs>
          <w:tab w:leader="none" w:pos="564"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Prohibited Actions</w:t>
      </w:r>
      <w:r>
        <w:rPr>
          <w:rFonts w:ascii="Arial" w:cs="Arial" w:eastAsia="Arial" w:hAnsi="Arial"/>
          <w:sz w:val="18"/>
          <w:szCs w:val="18"/>
          <w:color w:val="auto"/>
        </w:rPr>
        <w:t>. Each Founder covenants and agrees that it shall not, directly or indirectly, authorize or take any Prohibited Action without the prior written consent of each of the Individual Founders.</w:t>
      </w:r>
    </w:p>
    <w:p>
      <w:pPr>
        <w:spacing w:after="0" w:line="161" w:lineRule="exact"/>
        <w:rPr>
          <w:rFonts w:ascii="Arial" w:cs="Arial" w:eastAsia="Arial" w:hAnsi="Arial"/>
          <w:sz w:val="18"/>
          <w:szCs w:val="18"/>
          <w:color w:val="auto"/>
        </w:rPr>
      </w:pPr>
    </w:p>
    <w:p>
      <w:pPr>
        <w:ind w:left="564" w:right="20" w:hanging="564"/>
        <w:spacing w:after="0" w:line="253" w:lineRule="auto"/>
        <w:tabs>
          <w:tab w:leader="none" w:pos="564"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r>
        <w:rPr>
          <w:rFonts w:ascii="Arial" w:cs="Arial" w:eastAsia="Arial" w:hAnsi="Arial"/>
          <w:sz w:val="18"/>
          <w:szCs w:val="18"/>
          <w:color w:val="auto"/>
        </w:rPr>
        <w:t>. The Founders and the Company, as appropriate, shall use reasonable efforts to make and obtain any Consents, in each case necessary or advisable to be made or obtained for any matter that relates to, or arises from, this Agreement.</w:t>
      </w:r>
    </w:p>
    <w:p>
      <w:pPr>
        <w:spacing w:after="0" w:line="161" w:lineRule="exact"/>
        <w:rPr>
          <w:rFonts w:ascii="Arial" w:cs="Arial" w:eastAsia="Arial" w:hAnsi="Arial"/>
          <w:sz w:val="18"/>
          <w:szCs w:val="18"/>
          <w:color w:val="auto"/>
        </w:rPr>
      </w:pPr>
    </w:p>
    <w:p>
      <w:pPr>
        <w:ind w:left="564" w:hanging="564"/>
        <w:spacing w:after="0"/>
        <w:tabs>
          <w:tab w:leader="none" w:pos="564"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Permitted Transfers; Additional Parties; Void Transfers and Elections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1144" w:right="20" w:hanging="571"/>
        <w:spacing w:after="0" w:line="271" w:lineRule="auto"/>
        <w:tabs>
          <w:tab w:leader="none" w:pos="113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If any Founder proposes to Transfer any shares of Class B Common Stock in a Permitted Transfer, such Founder shall notify the Individual Founders of (i) the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intention of such Founder to Transfer shares of Class B Common Stock in a Permitted Transfer and (ii) the number of such shares proposed to be transferred by such Founder in such Permitted Transfer and the name of the Permitted Transferee in such Permitted Transfer. The Permitted Transferee shall notify the Company whether it will grant a proxy and appointment to an Individual Founder pursuant to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and, if so, identify such Individual Founder in such notification. No Transfer of shares of Class B Common Stock in a Permitted Transfer shall be permitted unless the Permitted Transferee (i) is a party to this Agreement or (ii) shall have executed a joinder to this Agreement, in substantially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 “</w:t>
      </w:r>
      <w:r>
        <w:rPr>
          <w:rFonts w:ascii="Arial" w:cs="Arial" w:eastAsia="Arial" w:hAnsi="Arial"/>
          <w:sz w:val="16"/>
          <w:szCs w:val="16"/>
          <w:u w:val="single" w:color="auto"/>
          <w:color w:val="auto"/>
        </w:rPr>
        <w:t>Joinder Agreement</w:t>
      </w:r>
      <w:r>
        <w:rPr>
          <w:rFonts w:ascii="Arial" w:cs="Arial" w:eastAsia="Arial" w:hAnsi="Arial"/>
          <w:sz w:val="16"/>
          <w:szCs w:val="16"/>
          <w:color w:val="auto"/>
        </w:rPr>
        <w:t>”), agreeing to be treated as a Founder Affiliate of the applicable Individual Founder, as set forth in such Joinder Agreement, and be bound by and subject to the terms of this Agreement as a Founder Affiliate of such applicable Individual Founder, and delivered such Joinder Agreement to the Individual Founders and the Company.</w:t>
      </w:r>
    </w:p>
    <w:p>
      <w:pPr>
        <w:spacing w:after="0" w:line="149" w:lineRule="exact"/>
        <w:rPr>
          <w:rFonts w:ascii="Arial" w:cs="Arial" w:eastAsia="Arial" w:hAnsi="Arial"/>
          <w:sz w:val="16"/>
          <w:szCs w:val="16"/>
          <w:color w:val="auto"/>
        </w:rPr>
      </w:pPr>
    </w:p>
    <w:p>
      <w:pPr>
        <w:jc w:val="both"/>
        <w:ind w:left="1144" w:hanging="571"/>
        <w:spacing w:after="0" w:line="277" w:lineRule="auto"/>
        <w:tabs>
          <w:tab w:leader="none" w:pos="1133" w:val="left"/>
        </w:tabs>
        <w:numPr>
          <w:ilvl w:val="1"/>
          <w:numId w:val="284"/>
        </w:numPr>
        <w:rPr>
          <w:rFonts w:ascii="Arial" w:cs="Arial" w:eastAsia="Arial" w:hAnsi="Arial"/>
          <w:sz w:val="16"/>
          <w:szCs w:val="16"/>
          <w:color w:val="auto"/>
        </w:rPr>
      </w:pPr>
      <w:r>
        <w:rPr>
          <w:rFonts w:ascii="Arial" w:cs="Arial" w:eastAsia="Arial" w:hAnsi="Arial"/>
          <w:sz w:val="16"/>
          <w:szCs w:val="16"/>
          <w:color w:val="auto"/>
        </w:rPr>
        <w:t>If the spouse of any Founder is not a party to this Agreement and possesses or obtains an interest in such Founder’s shares of Class B Common Stock, including by reason of the application of the community property laws of any jurisdiction, such Founder shall promptly cause such spouse to (i) execute a Joinder Agreement agreeing to be treated as a Founder Affiliate of the applicable Individual Founder, as set forth in such Joinder Agreement, and be bound by and subject to the terms of this Agreement as a Founder Affiliate of such applicable Individual Founder, and (ii) deliver such Joinder Agreement to the Individual Founders and the Company.</w:t>
      </w:r>
    </w:p>
    <w:p>
      <w:pPr>
        <w:spacing w:after="0" w:line="145" w:lineRule="exact"/>
        <w:rPr>
          <w:rFonts w:ascii="Arial" w:cs="Arial" w:eastAsia="Arial" w:hAnsi="Arial"/>
          <w:sz w:val="16"/>
          <w:szCs w:val="16"/>
          <w:color w:val="auto"/>
        </w:rPr>
      </w:pPr>
    </w:p>
    <w:p>
      <w:pPr>
        <w:jc w:val="both"/>
        <w:ind w:left="1144" w:hanging="571"/>
        <w:spacing w:after="0" w:line="273" w:lineRule="auto"/>
        <w:tabs>
          <w:tab w:leader="none" w:pos="113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any attempt by a Founder to Transfer any shares of Class B Common Stock (including any such Transfer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or to elect to convert shares of Class B Common Stock into shares of Class A Common Stock, shall be null and void and shall have no force or effect, and the Company may not, and may cause its transfer agent not to, give any effect to such attempted Transfer or election, in each case unless and until (i) such Founder has notified the Individual Founders and the Company in writing of such attempted Transfer or election at least five business days prior to the consummation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 attempted Transfer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this notice requirement shall be deemed satisfied by the delivery of a ROFO Notice with a copy to the Company), (ii) (A) such Founder consummates such attempted Transfer or election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64"/>
          </w:cols>
          <w:pgMar w:left="316" w:top="1271" w:right="319" w:bottom="1440" w:gutter="0" w:footer="0" w:header="0"/>
        </w:sectPr>
      </w:pPr>
    </w:p>
    <w:bookmarkStart w:id="504" w:name="page505"/>
    <w:bookmarkEnd w:id="504"/>
    <w:p>
      <w:pPr>
        <w:jc w:val="both"/>
        <w:ind w:left="1144"/>
        <w:spacing w:after="0" w:line="239" w:lineRule="auto"/>
        <w:rPr>
          <w:sz w:val="20"/>
          <w:szCs w:val="20"/>
          <w:color w:val="auto"/>
        </w:rPr>
      </w:pPr>
      <w:r>
        <w:rPr>
          <w:rFonts w:ascii="Arial" w:cs="Arial" w:eastAsia="Arial" w:hAnsi="Arial"/>
          <w:sz w:val="18"/>
          <w:szCs w:val="18"/>
          <w:color w:val="auto"/>
        </w:rPr>
        <w:t xml:space="preserve">terms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w:t>
      </w:r>
      <w:r>
        <w:rPr>
          <w:rFonts w:ascii="Arial" w:cs="Arial" w:eastAsia="Arial" w:hAnsi="Arial"/>
          <w:sz w:val="18"/>
          <w:szCs w:val="18"/>
          <w:color w:val="auto"/>
        </w:rPr>
        <w:t xml:space="preserve">, as applicable (including as permitted by Section 4(b)), or (B) such attempted Transfer or election is mutually agreed by the Individual Founders in writing in advance and (iii) any Consents that the Company determines in good faith and describes in reasonable detail in writing to such Founder, within eight business days after receipt of the notification described in clause (i), are required with respect to such attempted Transfer or election, or any related grant of a proxy or appointment of an attorney-in-fact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have been made and obtained.</w:t>
      </w:r>
    </w:p>
    <w:p>
      <w:pPr>
        <w:spacing w:after="0" w:line="176" w:lineRule="exact"/>
        <w:rPr>
          <w:sz w:val="20"/>
          <w:szCs w:val="20"/>
          <w:color w:val="auto"/>
        </w:rPr>
      </w:pPr>
    </w:p>
    <w:p>
      <w:pPr>
        <w:jc w:val="both"/>
        <w:ind w:left="564" w:hanging="564"/>
        <w:spacing w:after="0" w:line="267" w:lineRule="auto"/>
        <w:tabs>
          <w:tab w:leader="none" w:pos="564"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Effectiveness and Termination</w:t>
      </w:r>
      <w:r>
        <w:rPr>
          <w:rFonts w:ascii="Arial" w:cs="Arial" w:eastAsia="Arial" w:hAnsi="Arial"/>
          <w:sz w:val="16"/>
          <w:szCs w:val="16"/>
          <w:color w:val="auto"/>
        </w:rPr>
        <w:t xml:space="preserve">. This Agreement shall be conditioned upon, and shall become effective as of immediately prior to, the effectiveness of the Form 8-A to be filed by the Company with the SEC in connection with the IPO. This Agreement, and all rights and obligations of the parties hereunder, shall terminate and shall have no further force or effect (a) with respect to any Founder Affiliate, upon such Founder Affiliate ceasing to hold of record or beneficially own, in compliance with this Agreement, any Voting Stock and (b) with respect to all Founders and the Company, upon the earliest to occur of (i) the effective date of any mutual written agreement of the Individual Founders to terminate this Agreement and (ii) the Final Conversion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(1) no such termination shall relieve any party hereto from liability, or otherwise limit the liability of a party hereto, for any breach of this Agreement prior to such termination and (2)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shall survive any such termination. In</w:t>
      </w:r>
    </w:p>
    <w:p>
      <w:pPr>
        <w:spacing w:after="0" w:line="3" w:lineRule="exact"/>
        <w:rPr>
          <w:sz w:val="20"/>
          <w:szCs w:val="20"/>
          <w:color w:val="auto"/>
        </w:rPr>
      </w:pPr>
    </w:p>
    <w:p>
      <w:pPr>
        <w:ind w:left="564"/>
        <w:spacing w:after="0"/>
        <w:tabs>
          <w:tab w:leader="none" w:pos="4724" w:val="left"/>
        </w:tabs>
        <w:rPr>
          <w:sz w:val="20"/>
          <w:szCs w:val="20"/>
          <w:color w:val="auto"/>
        </w:rPr>
      </w:pPr>
      <w:r>
        <w:rPr>
          <w:rFonts w:ascii="Arial" w:cs="Arial" w:eastAsia="Arial" w:hAnsi="Arial"/>
          <w:sz w:val="18"/>
          <w:szCs w:val="18"/>
          <w:color w:val="auto"/>
        </w:rPr>
        <w:t>addition, if the closing of the IPO has not occurred by</w:t>
      </w:r>
      <w:r>
        <w:rPr>
          <w:sz w:val="20"/>
          <w:szCs w:val="20"/>
          <w:color w:val="auto"/>
        </w:rPr>
        <w:tab/>
      </w:r>
      <w:r>
        <w:rPr>
          <w:rFonts w:ascii="Arial" w:cs="Arial" w:eastAsia="Arial" w:hAnsi="Arial"/>
          <w:sz w:val="15"/>
          <w:szCs w:val="15"/>
          <w:color w:val="auto"/>
        </w:rPr>
        <w:t>, this Agreement shall terminate and shall have no further force or effect.</w:t>
      </w:r>
    </w:p>
    <w:p>
      <w:pPr>
        <w:spacing w:after="0" w:line="173" w:lineRule="exact"/>
        <w:rPr>
          <w:sz w:val="20"/>
          <w:szCs w:val="20"/>
          <w:color w:val="auto"/>
        </w:rPr>
      </w:pPr>
    </w:p>
    <w:p>
      <w:pPr>
        <w:ind w:left="564" w:hanging="564"/>
        <w:spacing w:after="0"/>
        <w:tabs>
          <w:tab w:leader="none" w:pos="564"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Miscellaneous and General</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1144" w:hanging="571"/>
        <w:spacing w:after="0" w:line="268" w:lineRule="auto"/>
        <w:tabs>
          <w:tab w:leader="none" w:pos="1136"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When a reference is made in this Agreement to a Section, Schedule or Exhibit, such reference shall be to a Section, Schedule or Exhibit of this Agreement unless otherwise indicated. The headings herein are for convenience of reference only, do not constitute part of this Agreement and shall not be deemed to limit or otherwise affect any of the provisions hereof. Unless the context otherwise requires: (i) whenever the words “include,” “includes” or “including” are used in this Agreement, they shall be deemed to be followed by the words “without limitation”, (ii) the words “hereto,” “hereof,” “herein” and “hereunder” and words of similar import when used in this Agreement shall refer to this Agreement as a whole and not to any particular provision of this Agreement, (iii) the word “will” shall be construed to have the same meaning and effect as the word “shall”, (iv) the terms defined in the singular have a comparable meaning when used in the plural and vice versa, (v) any pronoun used in this Agreement shall include the corresponding masculine, feminine and neutral forms, (vi) the term “or” is not exclusive and has the meaning represented by the phrase “and/or” and (vii) all references in this Agreement to any statute include the rules and regulations promulgated thereunder, in each case as amended, re-enacted, consolidated or replaced from time to time and in the case of any such amendment, re-enactment, consolidation or replacement, reference herein to a particular provision shall be read as referring to such amended, re-enacted, consolidated or replaced provision and also include, unless the context otherwise requires, all applicable guidelines, bulletins or policies made in connection therewith. The parties hereto have participated jointly and were adequately represented by counsel in the arm’s-length negotiation and drafting of this Agreement and, in the event an ambiguity or question of intent or interpretation arises, this Agreement shall be construed as if drafted jointly by such parties and no presumption or burden of proof shall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4"/>
          </w:cols>
          <w:pgMar w:left="316" w:top="1271" w:right="319" w:bottom="1440" w:gutter="0" w:footer="0" w:header="0"/>
        </w:sectPr>
      </w:pPr>
    </w:p>
    <w:bookmarkStart w:id="505" w:name="page506"/>
    <w:bookmarkEnd w:id="505"/>
    <w:p>
      <w:pPr>
        <w:ind w:left="571"/>
        <w:spacing w:after="0"/>
        <w:rPr>
          <w:sz w:val="20"/>
          <w:szCs w:val="20"/>
          <w:color w:val="auto"/>
        </w:rPr>
      </w:pPr>
      <w:r>
        <w:rPr>
          <w:rFonts w:ascii="Arial" w:cs="Arial" w:eastAsia="Arial" w:hAnsi="Arial"/>
          <w:sz w:val="18"/>
          <w:szCs w:val="18"/>
          <w:color w:val="auto"/>
        </w:rPr>
        <w:t>favoring or disfavoring any party by virtue of the authorship of any of the provisions of this Agreement.</w:t>
      </w:r>
    </w:p>
    <w:p>
      <w:pPr>
        <w:spacing w:after="0" w:line="187" w:lineRule="exact"/>
        <w:rPr>
          <w:sz w:val="20"/>
          <w:szCs w:val="20"/>
          <w:color w:val="auto"/>
        </w:rPr>
      </w:pPr>
    </w:p>
    <w:p>
      <w:pPr>
        <w:jc w:val="both"/>
        <w:ind w:left="571" w:hanging="571"/>
        <w:spacing w:after="0" w:line="239" w:lineRule="auto"/>
        <w:tabs>
          <w:tab w:leader="none" w:pos="56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Each Founder expressly agrees that the terms and restrictions of this Agreement shall apply to all Voting Stock or Class B Common Stock, as applicable, and all corresponding interests in any successor in interest of the Company, which such Founder holds of record or beneficially owns from time to time (including as a result of any purchase, assignment, conversion or exercise of any stock option, warrant or other right, the settlement of any restricted stock unit or as a result of any stock dividend, stock split, combination of shares, recapitalization, reclassification or similar capital transaction).</w:t>
      </w:r>
    </w:p>
    <w:p>
      <w:pPr>
        <w:spacing w:after="0" w:line="176" w:lineRule="exact"/>
        <w:rPr>
          <w:rFonts w:ascii="Arial" w:cs="Arial" w:eastAsia="Arial" w:hAnsi="Arial"/>
          <w:sz w:val="18"/>
          <w:szCs w:val="18"/>
          <w:color w:val="auto"/>
        </w:rPr>
      </w:pPr>
    </w:p>
    <w:p>
      <w:pPr>
        <w:ind w:left="571" w:right="20" w:hanging="571"/>
        <w:spacing w:after="0" w:line="314" w:lineRule="auto"/>
        <w:tabs>
          <w:tab w:leader="none" w:pos="562"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Any certificates representing any shares of Class B Common Stock held of record or beneficially owned by a Founder shall, in addition to such other legends as may be required, have endorsed thereon a legend substantially to the following effect:</w:t>
      </w:r>
    </w:p>
    <w:p>
      <w:pPr>
        <w:spacing w:after="0" w:line="116" w:lineRule="exact"/>
        <w:rPr>
          <w:rFonts w:ascii="Arial" w:cs="Arial" w:eastAsia="Arial" w:hAnsi="Arial"/>
          <w:sz w:val="16"/>
          <w:szCs w:val="16"/>
          <w:color w:val="auto"/>
        </w:rPr>
      </w:pPr>
    </w:p>
    <w:p>
      <w:pPr>
        <w:jc w:val="both"/>
        <w:ind w:left="571"/>
        <w:spacing w:after="0" w:line="239" w:lineRule="auto"/>
        <w:rPr>
          <w:rFonts w:ascii="Arial" w:cs="Arial" w:eastAsia="Arial" w:hAnsi="Arial"/>
          <w:sz w:val="16"/>
          <w:szCs w:val="16"/>
          <w:color w:val="auto"/>
        </w:rPr>
      </w:pPr>
      <w:r>
        <w:rPr>
          <w:rFonts w:ascii="Arial" w:cs="Arial" w:eastAsia="Arial" w:hAnsi="Arial"/>
          <w:sz w:val="18"/>
          <w:szCs w:val="18"/>
          <w:color w:val="auto"/>
        </w:rPr>
        <w:t>“THE SECURITIES REPRESENTED BY THIS CERTIFICATE ARE SUBJECT TO A VOTING AGREEMENT, WHICH PLACES CERTAIN RESTRICTIONS ON SUCH SECURITIES, INCLUDING ON (I) THE VOTING OF SUCH SECURITIES (INCLUDING THE GRANT OF IRREVOCABLE PROXIES), (II) TRANSFERS OF SUCH SECURITIES AND (III) ACTIONS OR TRANSACTIONS THAT WOULD RESULT IN THE CONVERSION OF SUCH SECURITIES INTO SHARES OF CLASS A COMMON STOCK. A COPY OF THE VOTING AGREEMENT MAY BE OBTAINED FROM THE ISSUER UPON REQUEST.”</w:t>
      </w:r>
    </w:p>
    <w:p>
      <w:pPr>
        <w:spacing w:after="0" w:line="176" w:lineRule="exact"/>
        <w:rPr>
          <w:rFonts w:ascii="Arial" w:cs="Arial" w:eastAsia="Arial" w:hAnsi="Arial"/>
          <w:sz w:val="16"/>
          <w:szCs w:val="16"/>
          <w:color w:val="auto"/>
        </w:rPr>
      </w:pPr>
    </w:p>
    <w:p>
      <w:pPr>
        <w:jc w:val="both"/>
        <w:ind w:left="571" w:hanging="571"/>
        <w:spacing w:after="0" w:line="269" w:lineRule="auto"/>
        <w:tabs>
          <w:tab w:leader="none" w:pos="560"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Amendments; Waivers; Etc.</w:t>
      </w:r>
      <w:r>
        <w:rPr>
          <w:rFonts w:ascii="Arial" w:cs="Arial" w:eastAsia="Arial" w:hAnsi="Arial"/>
          <w:sz w:val="16"/>
          <w:szCs w:val="16"/>
          <w:color w:val="auto"/>
        </w:rPr>
        <w:t xml:space="preserve"> This Agreement may not be amended, changed, supplemented, waived or otherwise modified, except upon the execution and delivery of a written agreement executed by each of the Individual Founders;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any amendment, change, supplement, waiver or other modification of this Agreement that would adversely affect the rights or obligations of any other Founder hereunder in any material respect shall not be effective without the affirmative consent of such Founder and (ii) any amendment, change, supplement, waiver or other modification of this Agreement that would increase the obligations of the Company under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w:t>
      </w:r>
      <w:r>
        <w:rPr>
          <w:rFonts w:ascii="Arial" w:cs="Arial" w:eastAsia="Arial" w:hAnsi="Arial"/>
          <w:sz w:val="16"/>
          <w:szCs w:val="16"/>
          <w:color w:val="auto"/>
        </w:rPr>
        <w:t xml:space="preserve"> in any material respect shall not be effective without the affirmative consent of the Company. An amendment, change, supplement, waiver or other modification of this Agreement effected in accordance with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shall be binding upon each of the Founders and the Company and each of their respective successors and permitted assigns. To the extent this Agreement is amended, changed, supplemented or otherwise modified, the Individual Founders will promptly provide a copy of this Agreement, as so amended, changed, supplemented or otherwise modified, to their respective Founder Affiliates and to the Company.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51" w:lineRule="exact"/>
        <w:rPr>
          <w:rFonts w:ascii="Arial" w:cs="Arial" w:eastAsia="Arial" w:hAnsi="Arial"/>
          <w:sz w:val="16"/>
          <w:szCs w:val="16"/>
          <w:color w:val="auto"/>
        </w:rPr>
      </w:pPr>
    </w:p>
    <w:p>
      <w:pPr>
        <w:jc w:val="both"/>
        <w:ind w:left="571" w:right="20" w:hanging="571"/>
        <w:spacing w:after="0" w:line="244" w:lineRule="auto"/>
        <w:tabs>
          <w:tab w:leader="none" w:pos="562"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any number of counterparts (including by facsimile or by attachment to electronic mail in portable document format (PDF)), with each such counterpart being deemed to be an original instrument, and all such counterparts shall together constitute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11"/>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0691"/>
          </w:cols>
          <w:pgMar w:left="889" w:top="1271" w:right="319" w:bottom="1440" w:gutter="0" w:footer="0" w:header="0"/>
        </w:sectPr>
      </w:pPr>
    </w:p>
    <w:bookmarkStart w:id="506" w:name="page507"/>
    <w:bookmarkEnd w:id="506"/>
    <w:p>
      <w:pPr>
        <w:ind w:left="571" w:hanging="571"/>
        <w:spacing w:after="0"/>
        <w:tabs>
          <w:tab w:leader="none" w:pos="571"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Governing Law and Venue; Waiver of Jury Trial.</w:t>
      </w:r>
    </w:p>
    <w:p>
      <w:pPr>
        <w:spacing w:after="0" w:line="187" w:lineRule="exact"/>
        <w:rPr>
          <w:rFonts w:ascii="Arial" w:cs="Arial" w:eastAsia="Arial" w:hAnsi="Arial"/>
          <w:sz w:val="18"/>
          <w:szCs w:val="18"/>
          <w:color w:val="auto"/>
        </w:rPr>
      </w:pPr>
    </w:p>
    <w:p>
      <w:pPr>
        <w:jc w:val="both"/>
        <w:ind w:left="1151" w:hanging="577"/>
        <w:spacing w:after="0" w:line="268" w:lineRule="auto"/>
        <w:tabs>
          <w:tab w:leader="none" w:pos="1149" w:val="left"/>
        </w:tabs>
        <w:numPr>
          <w:ilvl w:val="1"/>
          <w:numId w:val="288"/>
        </w:numPr>
        <w:rPr>
          <w:rFonts w:ascii="Arial" w:cs="Arial" w:eastAsia="Arial" w:hAnsi="Arial"/>
          <w:sz w:val="16"/>
          <w:szCs w:val="16"/>
          <w:color w:val="auto"/>
        </w:rPr>
      </w:pPr>
      <w:r>
        <w:rPr>
          <w:rFonts w:ascii="Arial" w:cs="Arial" w:eastAsia="Arial" w:hAnsi="Arial"/>
          <w:sz w:val="16"/>
          <w:szCs w:val="16"/>
          <w:color w:val="auto"/>
        </w:rPr>
        <w:t xml:space="preserve">THIS AGREEMENT SHALL BE INTERPRETED, CONSTRUED AND GOVERNED BY AND IN ACCORDANCE WITH THE LAWS OF THE STATE OF DELAWARE, AND ANY CLAIM ARISING OUT OF OR RELATING TO THIS AGREEMENT AND THE TRANSACTIONS CONTEMPLATED HEREBY SHALL BE GOVERNED BY THE LAWS OF THE STATE OF DELAWARE, IN EACH CASE WITHOUT REGARD TO ANY CONFLICT OF LAW PRINCIPLES THEREOF THAT OTHERWISE WOULD RESULT IN THE APPLICATION OF THE LAWS OF ANOTHER JURISDICTION. In any action or proceeding between the parties arising out of or relating to this Agreement, each of the parties hereby (1) irrevocably and unconditionally consents and submits to the exclusive jurisdiction and venue of the Court of Chancery of the State of Delaware; (2) agrees that it will not attempt to deny or defeat such jurisdiction by motion or other request for leave from such court; and (3) agrees that it will not bring any such action or proceeding in any court other than the Court of Chancery of the State of Delaware or, if and only if the Court of Chancery of the State of Delaware dismisses any such action or proceeding for lack of subject matter jurisdiction, the federal district court for the District of Delaware, or, if and only if the federal district court for the District of Delaware dismisses any such action or proceeding for lack of subject matter jurisdiction, any other state court of the State of Delaware, and appellate courts thereof. Service of process, summons, notice or document to any party’s address and in the manner set forth in </w:t>
      </w:r>
      <w:r>
        <w:rPr>
          <w:rFonts w:ascii="Arial" w:cs="Arial" w:eastAsia="Arial" w:hAnsi="Arial"/>
          <w:sz w:val="16"/>
          <w:szCs w:val="16"/>
          <w:u w:val="single" w:color="auto"/>
          <w:color w:val="auto"/>
        </w:rPr>
        <w:t>Section 9(g)</w:t>
      </w:r>
      <w:r>
        <w:rPr>
          <w:rFonts w:ascii="Arial" w:cs="Arial" w:eastAsia="Arial" w:hAnsi="Arial"/>
          <w:sz w:val="16"/>
          <w:szCs w:val="16"/>
          <w:color w:val="auto"/>
        </w:rPr>
        <w:t xml:space="preserve"> shall be effective service of process for any such action or proceeding.</w:t>
      </w:r>
    </w:p>
    <w:p>
      <w:pPr>
        <w:spacing w:after="0" w:line="158" w:lineRule="exact"/>
        <w:rPr>
          <w:rFonts w:ascii="Arial" w:cs="Arial" w:eastAsia="Arial" w:hAnsi="Arial"/>
          <w:sz w:val="16"/>
          <w:szCs w:val="16"/>
          <w:color w:val="auto"/>
        </w:rPr>
      </w:pPr>
    </w:p>
    <w:p>
      <w:pPr>
        <w:jc w:val="both"/>
        <w:ind w:left="1151" w:hanging="577"/>
        <w:spacing w:after="0" w:line="270" w:lineRule="auto"/>
        <w:tabs>
          <w:tab w:leader="none" w:pos="1149" w:val="left"/>
        </w:tabs>
        <w:numPr>
          <w:ilvl w:val="1"/>
          <w:numId w:val="288"/>
        </w:numPr>
        <w:rPr>
          <w:rFonts w:ascii="Arial" w:cs="Arial" w:eastAsia="Arial" w:hAnsi="Arial"/>
          <w:sz w:val="16"/>
          <w:szCs w:val="16"/>
          <w:color w:val="auto"/>
        </w:rPr>
      </w:pPr>
      <w:r>
        <w:rPr>
          <w:rFonts w:ascii="Arial" w:cs="Arial" w:eastAsia="Arial" w:hAnsi="Arial"/>
          <w:sz w:val="16"/>
          <w:szCs w:val="16"/>
          <w:color w:val="auto"/>
        </w:rPr>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EACH PARTY CERTIFIES AND ACKNOWLEDGES THAT (1) NO REPRESENTATIVE, AGENT OR ATTORNEY OF ANY OTHER PARTY HAS REPRESENTED, EXPRESSLY OR OTHERWISE, THAT SUCH OTHER PARTY WOULD NOT, IN THE EVENT OF LITIGATION, SEEK TO ENFORCE THE FOREGOING WAIVER, (2)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Arial" w:cs="Arial" w:eastAsia="Arial" w:hAnsi="Arial"/>
          <w:sz w:val="16"/>
          <w:szCs w:val="16"/>
          <w:u w:val="single" w:color="auto"/>
          <w:color w:val="auto"/>
        </w:rPr>
        <w:t>SECTION 9(f)</w:t>
      </w:r>
      <w:r>
        <w:rPr>
          <w:rFonts w:ascii="Arial" w:cs="Arial" w:eastAsia="Arial" w:hAnsi="Arial"/>
          <w:sz w:val="16"/>
          <w:szCs w:val="16"/>
          <w:color w:val="auto"/>
        </w:rPr>
        <w:t>.</w:t>
      </w:r>
    </w:p>
    <w:p>
      <w:pPr>
        <w:spacing w:after="0" w:line="152" w:lineRule="exact"/>
        <w:rPr>
          <w:rFonts w:ascii="Arial" w:cs="Arial" w:eastAsia="Arial" w:hAnsi="Arial"/>
          <w:sz w:val="16"/>
          <w:szCs w:val="16"/>
          <w:color w:val="auto"/>
        </w:rPr>
      </w:pPr>
    </w:p>
    <w:p>
      <w:pPr>
        <w:jc w:val="both"/>
        <w:ind w:left="571" w:hanging="571"/>
        <w:spacing w:after="0" w:line="289" w:lineRule="auto"/>
        <w:tabs>
          <w:tab w:leader="none" w:pos="560"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requests, instructions or other documents to be given under this Agreement shall be in writing and shall be deemed given, (i) on the date sent by e-mail of a PDF document if sent during normal business hours, and on the next business day if sent after normal business hours, (ii) when delivered, if delivered personally to the intended recipient and (iii) one business day later, if sent by overnight delivery via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51"/>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691"/>
          </w:cols>
          <w:pgMar w:left="889" w:top="1271" w:right="319" w:bottom="1440" w:gutter="0" w:footer="0" w:header="0"/>
        </w:sectPr>
      </w:pPr>
    </w:p>
    <w:bookmarkStart w:id="507" w:name="page508"/>
    <w:bookmarkEnd w:id="507"/>
    <w:p>
      <w:pPr>
        <w:ind w:left="571" w:right="20"/>
        <w:spacing w:after="0" w:line="314" w:lineRule="auto"/>
        <w:rPr>
          <w:sz w:val="20"/>
          <w:szCs w:val="20"/>
          <w:color w:val="auto"/>
        </w:rPr>
      </w:pPr>
      <w:r>
        <w:rPr>
          <w:rFonts w:ascii="Arial" w:cs="Arial" w:eastAsia="Arial" w:hAnsi="Arial"/>
          <w:sz w:val="16"/>
          <w:szCs w:val="16"/>
          <w:color w:val="auto"/>
        </w:rPr>
        <w:t xml:space="preserve">national courier service (providing proof of delivery), and in each case, addressed to a party at the address for such party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to such other persons or addresses as may be designated in writing by the party to receive such notice as provided herein).</w:t>
      </w:r>
    </w:p>
    <w:p>
      <w:pPr>
        <w:spacing w:after="0" w:line="116" w:lineRule="exact"/>
        <w:rPr>
          <w:sz w:val="20"/>
          <w:szCs w:val="20"/>
          <w:color w:val="auto"/>
        </w:rPr>
      </w:pPr>
    </w:p>
    <w:p>
      <w:pPr>
        <w:ind w:left="571" w:hanging="571"/>
        <w:spacing w:after="0" w:line="314" w:lineRule="auto"/>
        <w:tabs>
          <w:tab w:leader="none" w:pos="560"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and supersedes all other prior agreements, understandings, representations and warranties both written and oral, among the parties hereto, with respect to the subject matter hereof.</w:t>
      </w:r>
    </w:p>
    <w:p>
      <w:pPr>
        <w:spacing w:after="0" w:line="116" w:lineRule="exact"/>
        <w:rPr>
          <w:rFonts w:ascii="Arial" w:cs="Arial" w:eastAsia="Arial" w:hAnsi="Arial"/>
          <w:sz w:val="16"/>
          <w:szCs w:val="16"/>
          <w:color w:val="auto"/>
        </w:rPr>
      </w:pPr>
    </w:p>
    <w:p>
      <w:pPr>
        <w:ind w:left="571" w:right="20" w:hanging="571"/>
        <w:spacing w:after="0" w:line="314" w:lineRule="auto"/>
        <w:tabs>
          <w:tab w:leader="none" w:pos="569"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Parties in Interest; No Third-Party Beneficiaries</w:t>
      </w:r>
      <w:r>
        <w:rPr>
          <w:rFonts w:ascii="Arial" w:cs="Arial" w:eastAsia="Arial" w:hAnsi="Arial"/>
          <w:sz w:val="16"/>
          <w:szCs w:val="16"/>
          <w:color w:val="auto"/>
        </w:rPr>
        <w:t>. This Agreement shall inure solely to the benefit of each party hereto. This Agreement is not intended to, and does not, confer upon any Person other than the parties hereto any rights or remedies hereunder.</w:t>
      </w:r>
    </w:p>
    <w:p>
      <w:pPr>
        <w:spacing w:after="0" w:line="116" w:lineRule="exact"/>
        <w:rPr>
          <w:rFonts w:ascii="Arial" w:cs="Arial" w:eastAsia="Arial" w:hAnsi="Arial"/>
          <w:sz w:val="16"/>
          <w:szCs w:val="16"/>
          <w:color w:val="auto"/>
        </w:rPr>
      </w:pPr>
    </w:p>
    <w:p>
      <w:pPr>
        <w:jc w:val="both"/>
        <w:ind w:left="571" w:hanging="571"/>
        <w:spacing w:after="0" w:line="273" w:lineRule="auto"/>
        <w:tabs>
          <w:tab w:leader="none" w:pos="569"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held to be invalid or unenforceable in any jurisdiction, (i) a suitable and equitable provision negotiated in good faith by the parties hereto shall be substituted therefor in order to carry out, so far as may be valid and enforceable, the intent and purpose of such invalid or unenforceable provision and (ii) the remainder of this Agreement and the application of such provision to other Persons or circumstances shall not, subject to clause (i) above, be affected by such invalidity or unenforceability, nor shall such invalidity or unenforceability affect the validity or enforceability of such provision, or the application thereof, in any other jurisdiction.</w:t>
      </w:r>
    </w:p>
    <w:p>
      <w:pPr>
        <w:spacing w:after="0" w:line="148" w:lineRule="exact"/>
        <w:rPr>
          <w:rFonts w:ascii="Arial" w:cs="Arial" w:eastAsia="Arial" w:hAnsi="Arial"/>
          <w:sz w:val="16"/>
          <w:szCs w:val="16"/>
          <w:color w:val="auto"/>
        </w:rPr>
      </w:pPr>
    </w:p>
    <w:p>
      <w:pPr>
        <w:ind w:left="571" w:hanging="571"/>
        <w:spacing w:after="0"/>
        <w:tabs>
          <w:tab w:leader="none" w:pos="571"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assignable by operation of law or otherwise. Any assignment shall be null and void.</w:t>
      </w:r>
    </w:p>
    <w:p>
      <w:pPr>
        <w:spacing w:after="0" w:line="187" w:lineRule="exact"/>
        <w:rPr>
          <w:rFonts w:ascii="Arial" w:cs="Arial" w:eastAsia="Arial" w:hAnsi="Arial"/>
          <w:sz w:val="18"/>
          <w:szCs w:val="18"/>
          <w:color w:val="auto"/>
        </w:rPr>
      </w:pPr>
    </w:p>
    <w:p>
      <w:pPr>
        <w:jc w:val="both"/>
        <w:ind w:left="571" w:hanging="571"/>
        <w:spacing w:after="0" w:line="271" w:lineRule="auto"/>
        <w:tabs>
          <w:tab w:leader="none" w:pos="569"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hereto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each party hereto shall be entitled to an injunction or injunctions to prevent breaches of this Agreement and to enforce specifically the performance of the terms and provisions hereof, without proof of actual damages (and each party hereby waives any requirement for the security or posting of any bond in connection with such remedy), this being in addition to any other remedy to which such party is entitled at law or in equity. The parties further agree not to assert that a remedy of specific enforcement is an unenforceable, invalid, contrary to applicable law or inequitable remedy for any reason, and not to assert that a remedy of monetary damages would provide an adequate remedy for any such breach or that any party hereto otherwise has an adequate remedy at law.</w:t>
      </w:r>
    </w:p>
    <w:p>
      <w:pPr>
        <w:spacing w:after="0" w:line="149" w:lineRule="exact"/>
        <w:rPr>
          <w:rFonts w:ascii="Arial" w:cs="Arial" w:eastAsia="Arial" w:hAnsi="Arial"/>
          <w:sz w:val="16"/>
          <w:szCs w:val="16"/>
          <w:color w:val="auto"/>
        </w:rPr>
      </w:pPr>
    </w:p>
    <w:p>
      <w:pPr>
        <w:jc w:val="both"/>
        <w:ind w:left="571" w:right="20" w:hanging="571"/>
        <w:spacing w:after="0" w:line="241" w:lineRule="auto"/>
        <w:tabs>
          <w:tab w:leader="none" w:pos="561"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Valid and Binding Agreement</w:t>
      </w:r>
      <w:r>
        <w:rPr>
          <w:rFonts w:ascii="Arial" w:cs="Arial" w:eastAsia="Arial" w:hAnsi="Arial"/>
          <w:sz w:val="18"/>
          <w:szCs w:val="18"/>
          <w:color w:val="auto"/>
        </w:rPr>
        <w:t>. The parties hereto acknowledge and agree that this Agreement is a valid and binding agreement, enforceable against each of the parties in accordance with its terms; that each party has been advised by counsel in the negotiation, execution and delivery of this Agreement; that no party will, directly or indirectly, contest the validity or enforceability of this Agreement on any grounds, including as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71"/>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691"/>
          </w:cols>
          <w:pgMar w:left="889" w:top="1271" w:right="319" w:bottom="1440" w:gutter="0" w:footer="0" w:header="0"/>
        </w:sectPr>
      </w:pPr>
    </w:p>
    <w:bookmarkStart w:id="508" w:name="page509"/>
    <w:bookmarkEnd w:id="508"/>
    <w:p>
      <w:pPr>
        <w:jc w:val="both"/>
        <w:ind w:left="571"/>
        <w:spacing w:after="0" w:line="289" w:lineRule="auto"/>
        <w:rPr>
          <w:sz w:val="20"/>
          <w:szCs w:val="20"/>
          <w:color w:val="auto"/>
        </w:rPr>
      </w:pPr>
      <w:r>
        <w:rPr>
          <w:rFonts w:ascii="Arial" w:cs="Arial" w:eastAsia="Arial" w:hAnsi="Arial"/>
          <w:sz w:val="16"/>
          <w:szCs w:val="16"/>
          <w:color w:val="auto"/>
        </w:rPr>
        <w:t>against public policy, as having been improperly induced or otherwise, whether by the initiation of any legal proceeding for such purpose or the intervention, participation or attempted intervention or participation in any manner in any other legal proceeding initiated by another person or otherwise; and that no party shall take, or cause any of its affiliates to take, any position or action contrary to the intent of this Agreement.</w:t>
      </w:r>
    </w:p>
    <w:p>
      <w:pPr>
        <w:spacing w:after="0" w:line="136" w:lineRule="exact"/>
        <w:rPr>
          <w:sz w:val="20"/>
          <w:szCs w:val="20"/>
          <w:color w:val="auto"/>
        </w:rPr>
      </w:pPr>
    </w:p>
    <w:p>
      <w:pPr>
        <w:jc w:val="both"/>
        <w:ind w:left="571" w:hanging="571"/>
        <w:spacing w:after="0" w:line="244" w:lineRule="auto"/>
        <w:tabs>
          <w:tab w:leader="none" w:pos="56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or from time to time after the date hereof, each Founder and the Company shall do and perform, or cause to be done and performed, such further reasonable acts as may be reasonably necessary or reasonably requested by any Founder in order to carry out the intent and accomplish the purposes of this Agreement.</w:t>
      </w:r>
    </w:p>
    <w:p>
      <w:pPr>
        <w:spacing w:after="0" w:line="169" w:lineRule="exact"/>
        <w:rPr>
          <w:rFonts w:ascii="Arial" w:cs="Arial" w:eastAsia="Arial" w:hAnsi="Arial"/>
          <w:sz w:val="18"/>
          <w:szCs w:val="18"/>
          <w:color w:val="auto"/>
        </w:rPr>
      </w:pPr>
    </w:p>
    <w:p>
      <w:pPr>
        <w:jc w:val="both"/>
        <w:ind w:left="571" w:hanging="571"/>
        <w:spacing w:after="0" w:line="281" w:lineRule="auto"/>
        <w:tabs>
          <w:tab w:leader="none" w:pos="560"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Stockholder Capacity</w:t>
      </w:r>
      <w:r>
        <w:rPr>
          <w:rFonts w:ascii="Arial" w:cs="Arial" w:eastAsia="Arial" w:hAnsi="Arial"/>
          <w:sz w:val="16"/>
          <w:szCs w:val="16"/>
          <w:color w:val="auto"/>
        </w:rPr>
        <w:t>. Notwithstanding anything to the contrary, nothing in this Agreement shall limit or restrict any party from discharging any fiduciary duty, if any, and nothing herein shall be interpreted to the contrary. This Agreement shall apply to each Founder solely in such Founder’s capacity as a holder or beneficial owner of voting securities of the Company. No Founder makes any agreement or understanding in this Agreement in such Founder’s capacity as a director or officer of the Company or any of its subsidiaries (if such Founder holds such office).</w:t>
      </w:r>
    </w:p>
    <w:p>
      <w:pPr>
        <w:spacing w:after="0" w:line="142" w:lineRule="exact"/>
        <w:rPr>
          <w:rFonts w:ascii="Arial" w:cs="Arial" w:eastAsia="Arial" w:hAnsi="Arial"/>
          <w:sz w:val="16"/>
          <w:szCs w:val="16"/>
          <w:color w:val="auto"/>
        </w:rPr>
      </w:pPr>
    </w:p>
    <w:p>
      <w:pPr>
        <w:jc w:val="both"/>
        <w:ind w:left="571" w:right="20" w:hanging="571"/>
        <w:spacing w:after="0" w:line="241" w:lineRule="auto"/>
        <w:tabs>
          <w:tab w:leader="none" w:pos="56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Death or Disability of an Individual Founder</w:t>
      </w:r>
      <w:r>
        <w:rPr>
          <w:rFonts w:ascii="Arial" w:cs="Arial" w:eastAsia="Arial" w:hAnsi="Arial"/>
          <w:sz w:val="18"/>
          <w:szCs w:val="18"/>
          <w:color w:val="auto"/>
        </w:rPr>
        <w:t xml:space="preserve">. Notwithstanding anything to the contrary, in the event of an Individual Founder’s death or Disability, any action requiring the consent or agreement of both Individual Founders under this Agreement (including any amendment, change, supplement, waiver or other modification of this Agreement pursuant to </w:t>
      </w:r>
      <w:r>
        <w:rPr>
          <w:rFonts w:ascii="Arial" w:cs="Arial" w:eastAsia="Arial" w:hAnsi="Arial"/>
          <w:sz w:val="18"/>
          <w:szCs w:val="18"/>
          <w:u w:val="single" w:color="auto"/>
          <w:color w:val="auto"/>
        </w:rPr>
        <w:t>Section 9(d)</w:t>
      </w:r>
      <w:r>
        <w:rPr>
          <w:rFonts w:ascii="Arial" w:cs="Arial" w:eastAsia="Arial" w:hAnsi="Arial"/>
          <w:sz w:val="18"/>
          <w:szCs w:val="18"/>
          <w:color w:val="auto"/>
        </w:rPr>
        <w:t>) may be taken by the other Individual Founder, acting alone.</w:t>
      </w:r>
    </w:p>
    <w:p>
      <w:pPr>
        <w:spacing w:after="0" w:line="172" w:lineRule="exact"/>
        <w:rPr>
          <w:sz w:val="20"/>
          <w:szCs w:val="20"/>
          <w:color w:val="auto"/>
        </w:rPr>
      </w:pPr>
    </w:p>
    <w:p>
      <w:pPr>
        <w:ind w:left="351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951"/>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691"/>
          </w:cols>
          <w:pgMar w:left="889" w:top="1271" w:right="319" w:bottom="1440" w:gutter="0" w:footer="0" w:header="0"/>
        </w:sectPr>
      </w:pPr>
    </w:p>
    <w:bookmarkStart w:id="509" w:name="page510"/>
    <w:bookmarkEnd w:id="509"/>
    <w:p>
      <w:pPr>
        <w:spacing w:after="0"/>
        <w:rPr>
          <w:sz w:val="20"/>
          <w:szCs w:val="20"/>
          <w:color w:val="auto"/>
        </w:rPr>
      </w:pPr>
      <w:r>
        <w:rPr>
          <w:rFonts w:ascii="Arial" w:cs="Arial" w:eastAsia="Arial" w:hAnsi="Arial"/>
          <w:sz w:val="15"/>
          <w:szCs w:val="15"/>
          <w:color w:val="auto"/>
        </w:rPr>
        <w:t>IN WITNESS WHEREOF, the undersigned have executed and caused to be effective this Agreement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529590</wp:posOffset>
            </wp:positionV>
            <wp:extent cx="161607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1616075" cy="7620"/>
                    </a:xfrm>
                    <a:prstGeom prst="rect">
                      <a:avLst/>
                    </a:prstGeom>
                    <a:noFill/>
                  </pic:spPr>
                </pic:pic>
              </a:graphicData>
            </a:graphic>
          </wp:anchor>
        </w:drawing>
      </w:r>
    </w:p>
    <w:p>
      <w:pPr>
        <w:sectPr>
          <w:pgSz w:w="11900" w:h="16838" w:orient="portrait"/>
          <w:cols w:equalWidth="0" w:num="1">
            <w:col w:w="9579"/>
          </w:cols>
          <w:pgMar w:left="880" w:top="12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Baiju Bhatt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32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ectPr>
          <w:pgSz w:w="11900" w:h="16838" w:orient="portrait"/>
          <w:cols w:equalWidth="0" w:num="1">
            <w:col w:w="9579"/>
          </w:cols>
          <w:pgMar w:left="880" w:top="1271" w:right="1440" w:bottom="1440" w:gutter="0" w:footer="0" w:header="0"/>
          <w:type w:val="continuous"/>
        </w:sectPr>
      </w:pPr>
    </w:p>
    <w:bookmarkStart w:id="510" w:name="page511"/>
    <w:bookmarkEnd w:id="510"/>
    <w:p>
      <w:pPr>
        <w:spacing w:after="0"/>
        <w:rPr>
          <w:sz w:val="20"/>
          <w:szCs w:val="20"/>
          <w:color w:val="auto"/>
        </w:rPr>
      </w:pPr>
      <w:r>
        <w:rPr>
          <w:rFonts w:ascii="Arial" w:cs="Arial" w:eastAsia="Arial" w:hAnsi="Arial"/>
          <w:sz w:val="15"/>
          <w:szCs w:val="15"/>
          <w:color w:val="auto"/>
        </w:rPr>
        <w:t>IN WITNESS WHEREOF, the undersigned have executed and caused to be effective this Agreement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529590</wp:posOffset>
            </wp:positionV>
            <wp:extent cx="161607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1616075" cy="7620"/>
                    </a:xfrm>
                    <a:prstGeom prst="rect">
                      <a:avLst/>
                    </a:prstGeom>
                    <a:noFill/>
                  </pic:spPr>
                </pic:pic>
              </a:graphicData>
            </a:graphic>
          </wp:anchor>
        </w:drawing>
      </w:r>
    </w:p>
    <w:p>
      <w:pPr>
        <w:sectPr>
          <w:pgSz w:w="11900" w:h="16838" w:orient="portrait"/>
          <w:cols w:equalWidth="0" w:num="1">
            <w:col w:w="9579"/>
          </w:cols>
          <w:pgMar w:left="880" w:top="12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Vladimir Tenev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2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ectPr>
          <w:pgSz w:w="11900" w:h="16838" w:orient="portrait"/>
          <w:cols w:equalWidth="0" w:num="1">
            <w:col w:w="9579"/>
          </w:cols>
          <w:pgMar w:left="880" w:top="1272" w:right="1440" w:bottom="1440" w:gutter="0" w:footer="0" w:header="0"/>
          <w:type w:val="continuous"/>
        </w:sectPr>
      </w:pPr>
    </w:p>
    <w:bookmarkStart w:id="511" w:name="page512"/>
    <w:bookmarkEnd w:id="511"/>
    <w:p>
      <w:pPr>
        <w:spacing w:after="0"/>
        <w:rPr>
          <w:sz w:val="20"/>
          <w:szCs w:val="20"/>
          <w:color w:val="auto"/>
        </w:rPr>
      </w:pPr>
      <w:r>
        <w:rPr>
          <w:rFonts w:ascii="Arial" w:cs="Arial" w:eastAsia="Arial" w:hAnsi="Arial"/>
          <w:sz w:val="15"/>
          <w:szCs w:val="15"/>
          <w:color w:val="auto"/>
        </w:rPr>
        <w:t>IN WITNESS WHEREOF, the undersigned have executed and caused to be effective this Agreement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628015</wp:posOffset>
            </wp:positionV>
            <wp:extent cx="161607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1616075" cy="7620"/>
                    </a:xfrm>
                    <a:prstGeom prst="rect">
                      <a:avLst/>
                    </a:prstGeom>
                    <a:noFill/>
                  </pic:spPr>
                </pic:pic>
              </a:graphicData>
            </a:graphic>
          </wp:anchor>
        </w:drawing>
      </w:r>
    </w:p>
    <w:p>
      <w:pPr>
        <w:sectPr>
          <w:pgSz w:w="11900" w:h="16838" w:orient="portrait"/>
          <w:cols w:equalWidth="0" w:num="1">
            <w:col w:w="9579"/>
          </w:cols>
          <w:pgMar w:left="880" w:top="12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Adrienne Sussman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2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ectPr>
          <w:pgSz w:w="11900" w:h="16838" w:orient="portrait"/>
          <w:cols w:equalWidth="0" w:num="1">
            <w:col w:w="9579"/>
          </w:cols>
          <w:pgMar w:left="880" w:top="1271" w:right="1440" w:bottom="1440" w:gutter="0" w:footer="0" w:header="0"/>
          <w:type w:val="continuous"/>
        </w:sectPr>
      </w:pPr>
    </w:p>
    <w:bookmarkStart w:id="512" w:name="page513"/>
    <w:bookmarkEnd w:id="512"/>
    <w:p>
      <w:pPr>
        <w:spacing w:after="0"/>
        <w:rPr>
          <w:sz w:val="20"/>
          <w:szCs w:val="20"/>
          <w:color w:val="auto"/>
        </w:rPr>
      </w:pPr>
      <w:r>
        <w:rPr>
          <w:rFonts w:ascii="Arial" w:cs="Arial" w:eastAsia="Arial" w:hAnsi="Arial"/>
          <w:sz w:val="15"/>
          <w:szCs w:val="15"/>
          <w:color w:val="auto"/>
        </w:rPr>
        <w:t>IN WITNESS WHEREOF, the undersigned have executed and caused to be effective this Agreement as of the date first written above.</w:t>
      </w:r>
    </w:p>
    <w:p>
      <w:pPr>
        <w:sectPr>
          <w:pgSz w:w="11900" w:h="16838" w:orient="portrait"/>
          <w:cols w:equalWidth="0" w:num="1">
            <w:col w:w="9579"/>
          </w:cols>
          <w:pgMar w:left="880" w:top="1271" w:right="1440" w:bottom="1440" w:gutter="0" w:footer="0" w:header="0"/>
        </w:sectPr>
      </w:pPr>
    </w:p>
    <w:p>
      <w:pPr>
        <w:spacing w:after="0" w:line="27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The Baiju Prafulkumar Bhatt Living Trust,</w:t>
      </w:r>
    </w:p>
    <w:p>
      <w:pPr>
        <w:spacing w:after="0" w:line="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w:t>
      </w:r>
    </w:p>
    <w:p>
      <w:pPr>
        <w:ind w:left="3460"/>
        <w:spacing w:after="0"/>
        <w:rPr>
          <w:sz w:val="20"/>
          <w:szCs w:val="20"/>
          <w:color w:val="auto"/>
        </w:rPr>
      </w:pPr>
      <w:r>
        <w:rPr>
          <w:rFonts w:ascii="Arial" w:cs="Arial" w:eastAsia="Arial" w:hAnsi="Arial"/>
          <w:sz w:val="18"/>
          <w:szCs w:val="18"/>
          <w:color w:val="auto"/>
        </w:rPr>
        <w:t>11/30/17</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22225</wp:posOffset>
            </wp:positionV>
            <wp:extent cx="141922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1419225" cy="7620"/>
                    </a:xfrm>
                    <a:prstGeom prst="rect">
                      <a:avLst/>
                    </a:prstGeom>
                    <a:noFill/>
                  </pic:spPr>
                </pic:pic>
              </a:graphicData>
            </a:graphic>
          </wp:anchor>
        </w:drawing>
      </w:r>
    </w:p>
    <w:p>
      <w:pPr>
        <w:spacing w:after="0" w:line="3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Voting Agreement</w:t>
      </w:r>
      <w:r>
        <w:rPr>
          <w:rFonts w:ascii="Arial" w:cs="Arial" w:eastAsia="Arial" w:hAnsi="Arial"/>
          <w:sz w:val="15"/>
          <w:szCs w:val="15"/>
          <w:color w:val="auto"/>
        </w:rPr>
        <w:t>]</w:t>
      </w:r>
    </w:p>
    <w:p>
      <w:pPr>
        <w:sectPr>
          <w:pgSz w:w="11900" w:h="16838" w:orient="portrait"/>
          <w:cols w:equalWidth="0" w:num="1">
            <w:col w:w="9579"/>
          </w:cols>
          <w:pgMar w:left="880" w:top="1271" w:right="1440" w:bottom="1440" w:gutter="0" w:footer="0" w:header="0"/>
          <w:type w:val="continuous"/>
        </w:sectPr>
      </w:pPr>
    </w:p>
    <w:bookmarkStart w:id="513" w:name="page514"/>
    <w:bookmarkEnd w:id="513"/>
    <w:p>
      <w:pPr>
        <w:spacing w:after="0"/>
        <w:rPr>
          <w:sz w:val="20"/>
          <w:szCs w:val="20"/>
          <w:color w:val="auto"/>
        </w:rPr>
      </w:pPr>
      <w:r>
        <w:rPr>
          <w:rFonts w:ascii="Arial" w:cs="Arial" w:eastAsia="Arial" w:hAnsi="Arial"/>
          <w:sz w:val="15"/>
          <w:szCs w:val="15"/>
          <w:color w:val="auto"/>
        </w:rPr>
        <w:t>IN WITNESS WHEREOF, the undersigned have executed and caused to be effective this Agreement as of the date first written above.</w:t>
      </w:r>
    </w:p>
    <w:p>
      <w:pPr>
        <w:sectPr>
          <w:pgSz w:w="11900" w:h="16838" w:orient="portrait"/>
          <w:cols w:equalWidth="0" w:num="1">
            <w:col w:w="9579"/>
          </w:cols>
          <w:pgMar w:left="880" w:top="1271" w:right="1440" w:bottom="1440" w:gutter="0" w:footer="0" w:header="0"/>
        </w:sectPr>
      </w:pPr>
    </w:p>
    <w:p>
      <w:pPr>
        <w:spacing w:after="0" w:line="27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The Baiju Prafulkumar Bhatt Grantor Retained</w:t>
      </w:r>
    </w:p>
    <w:p>
      <w:pPr>
        <w:spacing w:after="0" w:line="3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Annuity Trust, dated October 4, 2018</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22225</wp:posOffset>
            </wp:positionV>
            <wp:extent cx="141922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1419225" cy="7620"/>
                    </a:xfrm>
                    <a:prstGeom prst="rect">
                      <a:avLst/>
                    </a:prstGeom>
                    <a:noFill/>
                  </pic:spPr>
                </pic:pic>
              </a:graphicData>
            </a:graphic>
          </wp:anchor>
        </w:drawing>
      </w:r>
    </w:p>
    <w:p>
      <w:pPr>
        <w:spacing w:after="0" w:line="3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ectPr>
          <w:pgSz w:w="11900" w:h="16838" w:orient="portrait"/>
          <w:cols w:equalWidth="0" w:num="1">
            <w:col w:w="9579"/>
          </w:cols>
          <w:pgMar w:left="880" w:top="1271" w:right="1440" w:bottom="1440" w:gutter="0" w:footer="0" w:header="0"/>
          <w:type w:val="continuous"/>
        </w:sectPr>
      </w:pPr>
    </w:p>
    <w:bookmarkStart w:id="514" w:name="page515"/>
    <w:bookmarkEnd w:id="514"/>
    <w:p>
      <w:pPr>
        <w:spacing w:after="0"/>
        <w:rPr>
          <w:sz w:val="20"/>
          <w:szCs w:val="20"/>
          <w:color w:val="auto"/>
        </w:rPr>
      </w:pPr>
      <w:r>
        <w:rPr>
          <w:rFonts w:ascii="Arial" w:cs="Arial" w:eastAsia="Arial" w:hAnsi="Arial"/>
          <w:sz w:val="15"/>
          <w:szCs w:val="15"/>
          <w:color w:val="auto"/>
        </w:rPr>
        <w:t>IN WITNESS WHEREOF, the undersigned have executed and caused to be effective this Agreement as of the date first written above.</w:t>
      </w:r>
    </w:p>
    <w:p>
      <w:pPr>
        <w:sectPr>
          <w:pgSz w:w="11900" w:h="16838" w:orient="portrait"/>
          <w:cols w:equalWidth="0" w:num="1">
            <w:col w:w="9579"/>
          </w:cols>
          <w:pgMar w:left="880" w:top="1271" w:right="1440" w:bottom="1440" w:gutter="0" w:footer="0" w:header="0"/>
        </w:sectPr>
      </w:pPr>
    </w:p>
    <w:p>
      <w:pPr>
        <w:spacing w:after="0" w:line="27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The Baiju P. Bhatt 2021 GRAT Agreement,</w:t>
      </w:r>
    </w:p>
    <w:p>
      <w:pPr>
        <w:spacing w:after="0" w:line="3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March 31, 2021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22225</wp:posOffset>
            </wp:positionV>
            <wp:extent cx="141922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1419225" cy="7620"/>
                    </a:xfrm>
                    <a:prstGeom prst="rect">
                      <a:avLst/>
                    </a:prstGeom>
                    <a:noFill/>
                  </pic:spPr>
                </pic:pic>
              </a:graphicData>
            </a:graphic>
          </wp:anchor>
        </w:drawing>
      </w:r>
    </w:p>
    <w:p>
      <w:pPr>
        <w:spacing w:after="0" w:line="3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Voting Agreement</w:t>
      </w:r>
      <w:r>
        <w:rPr>
          <w:rFonts w:ascii="Arial" w:cs="Arial" w:eastAsia="Arial" w:hAnsi="Arial"/>
          <w:sz w:val="15"/>
          <w:szCs w:val="15"/>
          <w:color w:val="auto"/>
        </w:rPr>
        <w:t>]</w:t>
      </w:r>
    </w:p>
    <w:p>
      <w:pPr>
        <w:sectPr>
          <w:pgSz w:w="11900" w:h="16838" w:orient="portrait"/>
          <w:cols w:equalWidth="0" w:num="1">
            <w:col w:w="9579"/>
          </w:cols>
          <w:pgMar w:left="880" w:top="1271" w:right="1440" w:bottom="1440" w:gutter="0" w:footer="0" w:header="0"/>
          <w:type w:val="continuous"/>
        </w:sectPr>
      </w:pPr>
    </w:p>
    <w:bookmarkStart w:id="515" w:name="page516"/>
    <w:bookmarkEnd w:id="515"/>
    <w:p>
      <w:pPr>
        <w:spacing w:after="0"/>
        <w:rPr>
          <w:sz w:val="20"/>
          <w:szCs w:val="20"/>
          <w:color w:val="auto"/>
        </w:rPr>
      </w:pPr>
      <w:r>
        <w:rPr>
          <w:rFonts w:ascii="Arial" w:cs="Arial" w:eastAsia="Arial" w:hAnsi="Arial"/>
          <w:sz w:val="15"/>
          <w:szCs w:val="15"/>
          <w:color w:val="auto"/>
        </w:rPr>
        <w:t>IN WITNESS WHEREOF, the undersigned have executed and caused to be effective this Agreement as of the date first written above.</w:t>
      </w:r>
    </w:p>
    <w:p>
      <w:pPr>
        <w:sectPr>
          <w:pgSz w:w="11900" w:h="16838" w:orient="portrait"/>
          <w:cols w:equalWidth="0" w:num="1">
            <w:col w:w="9579"/>
          </w:cols>
          <w:pgMar w:left="880" w:top="1272" w:right="1440" w:bottom="1440" w:gutter="0" w:footer="0" w:header="0"/>
        </w:sectPr>
      </w:pPr>
    </w:p>
    <w:p>
      <w:pPr>
        <w:spacing w:after="0" w:line="27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The Baiju P. Bhatt 2021 Family Trust</w:t>
      </w:r>
    </w:p>
    <w:p>
      <w:pPr>
        <w:spacing w:after="0" w:line="3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Agreement, dated March 31, 2021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22225</wp:posOffset>
            </wp:positionV>
            <wp:extent cx="141922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1419225" cy="7620"/>
                    </a:xfrm>
                    <a:prstGeom prst="rect">
                      <a:avLst/>
                    </a:prstGeom>
                    <a:noFill/>
                  </pic:spPr>
                </pic:pic>
              </a:graphicData>
            </a:graphic>
          </wp:anchor>
        </w:drawing>
      </w:r>
    </w:p>
    <w:p>
      <w:pPr>
        <w:spacing w:after="0" w:line="3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2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ectPr>
          <w:pgSz w:w="11900" w:h="16838" w:orient="portrait"/>
          <w:cols w:equalWidth="0" w:num="1">
            <w:col w:w="9579"/>
          </w:cols>
          <w:pgMar w:left="880" w:top="1272" w:right="1440" w:bottom="1440" w:gutter="0" w:footer="0" w:header="0"/>
          <w:type w:val="continuous"/>
        </w:sectPr>
      </w:pPr>
    </w:p>
    <w:bookmarkStart w:id="516" w:name="page517"/>
    <w:bookmarkEnd w:id="516"/>
    <w:p>
      <w:pPr>
        <w:spacing w:after="0"/>
        <w:rPr>
          <w:sz w:val="20"/>
          <w:szCs w:val="20"/>
          <w:color w:val="auto"/>
        </w:rPr>
      </w:pPr>
      <w:r>
        <w:rPr>
          <w:rFonts w:ascii="Arial" w:cs="Arial" w:eastAsia="Arial" w:hAnsi="Arial"/>
          <w:sz w:val="15"/>
          <w:szCs w:val="15"/>
          <w:color w:val="auto"/>
        </w:rPr>
        <w:t>IN WITNESS WHEREOF, the undersigned have executed and caused to be effective this Agreement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529590</wp:posOffset>
            </wp:positionV>
            <wp:extent cx="161607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1616075" cy="7620"/>
                    </a:xfrm>
                    <a:prstGeom prst="rect">
                      <a:avLst/>
                    </a:prstGeom>
                    <a:noFill/>
                  </pic:spPr>
                </pic:pic>
              </a:graphicData>
            </a:graphic>
          </wp:anchor>
        </w:drawing>
      </w:r>
    </w:p>
    <w:p>
      <w:pPr>
        <w:sectPr>
          <w:pgSz w:w="11900" w:h="16838" w:orient="portrait"/>
          <w:cols w:equalWidth="0" w:num="1">
            <w:col w:w="9579"/>
          </w:cols>
          <w:pgMar w:left="880" w:top="12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Celina Tenev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2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ectPr>
          <w:pgSz w:w="11900" w:h="16838" w:orient="portrait"/>
          <w:cols w:equalWidth="0" w:num="1">
            <w:col w:w="9579"/>
          </w:cols>
          <w:pgMar w:left="880" w:top="1272" w:right="1440" w:bottom="1440" w:gutter="0" w:footer="0" w:header="0"/>
          <w:type w:val="continuous"/>
        </w:sectPr>
      </w:pPr>
    </w:p>
    <w:bookmarkStart w:id="517" w:name="page518"/>
    <w:bookmarkEnd w:id="517"/>
    <w:p>
      <w:pPr>
        <w:spacing w:after="0"/>
        <w:rPr>
          <w:sz w:val="20"/>
          <w:szCs w:val="20"/>
          <w:color w:val="auto"/>
        </w:rPr>
      </w:pPr>
      <w:r>
        <w:rPr>
          <w:rFonts w:ascii="Arial" w:cs="Arial" w:eastAsia="Arial" w:hAnsi="Arial"/>
          <w:sz w:val="15"/>
          <w:szCs w:val="15"/>
          <w:color w:val="auto"/>
        </w:rPr>
        <w:t>IN WITNESS WHEREOF, the undersigned have executed and caused to be effective this Agreement as of the date first written above.</w:t>
      </w:r>
    </w:p>
    <w:p>
      <w:pPr>
        <w:sectPr>
          <w:pgSz w:w="11900" w:h="16838" w:orient="portrait"/>
          <w:cols w:equalWidth="0" w:num="1">
            <w:col w:w="9579"/>
          </w:cols>
          <w:pgMar w:left="880" w:top="1271" w:right="1440" w:bottom="1440" w:gutter="0" w:footer="0" w:header="0"/>
        </w:sectPr>
      </w:pPr>
    </w:p>
    <w:p>
      <w:pPr>
        <w:spacing w:after="0" w:line="27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Butterfly Irrevocable Trust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22225</wp:posOffset>
            </wp:positionV>
            <wp:extent cx="141922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1419225" cy="7620"/>
                    </a:xfrm>
                    <a:prstGeom prst="rect">
                      <a:avLst/>
                    </a:prstGeom>
                    <a:noFill/>
                  </pic:spPr>
                </pic:pic>
              </a:graphicData>
            </a:graphic>
          </wp:anchor>
        </w:drawing>
      </w:r>
    </w:p>
    <w:p>
      <w:pPr>
        <w:spacing w:after="0" w:line="3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2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ectPr>
          <w:pgSz w:w="11900" w:h="16838" w:orient="portrait"/>
          <w:cols w:equalWidth="0" w:num="1">
            <w:col w:w="9579"/>
          </w:cols>
          <w:pgMar w:left="880" w:top="1271" w:right="1440" w:bottom="1440" w:gutter="0" w:footer="0" w:header="0"/>
          <w:type w:val="continuous"/>
        </w:sectPr>
      </w:pPr>
    </w:p>
    <w:bookmarkStart w:id="518" w:name="page519"/>
    <w:bookmarkEnd w:id="518"/>
    <w:p>
      <w:pPr>
        <w:spacing w:after="0"/>
        <w:rPr>
          <w:sz w:val="20"/>
          <w:szCs w:val="20"/>
          <w:color w:val="auto"/>
        </w:rPr>
      </w:pPr>
      <w:r>
        <w:rPr>
          <w:rFonts w:ascii="Arial" w:cs="Arial" w:eastAsia="Arial" w:hAnsi="Arial"/>
          <w:sz w:val="15"/>
          <w:szCs w:val="15"/>
          <w:color w:val="auto"/>
        </w:rPr>
        <w:t>IN WITNESS WHEREOF, the undersigned have executed and caused to be effective this Agreement as of the date first written above.</w:t>
      </w:r>
    </w:p>
    <w:p>
      <w:pPr>
        <w:sectPr>
          <w:pgSz w:w="11900" w:h="16838" w:orient="portrait"/>
          <w:cols w:equalWidth="0" w:num="1">
            <w:col w:w="9579"/>
          </w:cols>
          <w:pgMar w:left="880" w:top="1271" w:right="1440" w:bottom="1440" w:gutter="0" w:footer="0" w:header="0"/>
        </w:sectPr>
      </w:pPr>
    </w:p>
    <w:p>
      <w:pPr>
        <w:spacing w:after="0" w:line="27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Butterfly Management LLC</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22225</wp:posOffset>
            </wp:positionV>
            <wp:extent cx="141922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1419225" cy="7620"/>
                    </a:xfrm>
                    <a:prstGeom prst="rect">
                      <a:avLst/>
                    </a:prstGeom>
                    <a:noFill/>
                  </pic:spPr>
                </pic:pic>
              </a:graphicData>
            </a:graphic>
          </wp:anchor>
        </w:drawing>
      </w:r>
    </w:p>
    <w:p>
      <w:pPr>
        <w:spacing w:after="0" w:line="3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2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ectPr>
          <w:pgSz w:w="11900" w:h="16838" w:orient="portrait"/>
          <w:cols w:equalWidth="0" w:num="1">
            <w:col w:w="9579"/>
          </w:cols>
          <w:pgMar w:left="880" w:top="1271" w:right="1440" w:bottom="1440" w:gutter="0" w:footer="0" w:header="0"/>
          <w:type w:val="continuous"/>
        </w:sectPr>
      </w:pPr>
    </w:p>
    <w:bookmarkStart w:id="519" w:name="page520"/>
    <w:bookmarkEnd w:id="519"/>
    <w:p>
      <w:pPr>
        <w:spacing w:after="0"/>
        <w:rPr>
          <w:sz w:val="20"/>
          <w:szCs w:val="20"/>
          <w:color w:val="auto"/>
        </w:rPr>
      </w:pPr>
      <w:r>
        <w:rPr>
          <w:rFonts w:ascii="Arial" w:cs="Arial" w:eastAsia="Arial" w:hAnsi="Arial"/>
          <w:sz w:val="15"/>
          <w:szCs w:val="15"/>
          <w:color w:val="auto"/>
        </w:rPr>
        <w:t>IN WITNESS WHEREOF, the undersigned have executed and caused to be effective this Agreement as of the date first written above.</w:t>
      </w:r>
    </w:p>
    <w:p>
      <w:pPr>
        <w:sectPr>
          <w:pgSz w:w="11900" w:h="16838" w:orient="portrait"/>
          <w:cols w:equalWidth="0" w:num="1">
            <w:col w:w="9579"/>
          </w:cols>
          <w:pgMar w:left="880" w:top="1271" w:right="1440" w:bottom="1440" w:gutter="0" w:footer="0" w:header="0"/>
        </w:sectPr>
      </w:pPr>
    </w:p>
    <w:p>
      <w:pPr>
        <w:spacing w:after="0" w:line="27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Surfboard Management LLC</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22225</wp:posOffset>
            </wp:positionV>
            <wp:extent cx="141922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1419225" cy="7620"/>
                    </a:xfrm>
                    <a:prstGeom prst="rect">
                      <a:avLst/>
                    </a:prstGeom>
                    <a:noFill/>
                  </pic:spPr>
                </pic:pic>
              </a:graphicData>
            </a:graphic>
          </wp:anchor>
        </w:drawing>
      </w:r>
    </w:p>
    <w:p>
      <w:pPr>
        <w:spacing w:after="0" w:line="3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2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ectPr>
          <w:pgSz w:w="11900" w:h="16838" w:orient="portrait"/>
          <w:cols w:equalWidth="0" w:num="1">
            <w:col w:w="9579"/>
          </w:cols>
          <w:pgMar w:left="880" w:top="1271" w:right="1440" w:bottom="1440" w:gutter="0" w:footer="0" w:header="0"/>
          <w:type w:val="continuous"/>
        </w:sectPr>
      </w:pPr>
    </w:p>
    <w:bookmarkStart w:id="520" w:name="page521"/>
    <w:bookmarkEnd w:id="520"/>
    <w:p>
      <w:pPr>
        <w:spacing w:after="0"/>
        <w:rPr>
          <w:sz w:val="20"/>
          <w:szCs w:val="20"/>
          <w:color w:val="auto"/>
        </w:rPr>
      </w:pPr>
      <w:r>
        <w:rPr>
          <w:rFonts w:ascii="Arial" w:cs="Arial" w:eastAsia="Arial" w:hAnsi="Arial"/>
          <w:sz w:val="15"/>
          <w:szCs w:val="15"/>
          <w:color w:val="auto"/>
        </w:rPr>
        <w:t>IN WITNESS WHEREOF, the undersigned have executed and caused to be effective this Agreement as of the date first written above.</w:t>
      </w:r>
    </w:p>
    <w:p>
      <w:pPr>
        <w:sectPr>
          <w:pgSz w:w="11900" w:h="16838" w:orient="portrait"/>
          <w:cols w:equalWidth="0" w:num="1">
            <w:col w:w="9579"/>
          </w:cols>
          <w:pgMar w:left="880" w:top="1272" w:right="1440" w:bottom="1440" w:gutter="0" w:footer="0" w:header="0"/>
        </w:sectPr>
      </w:pPr>
    </w:p>
    <w:p>
      <w:pPr>
        <w:spacing w:after="0" w:line="27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Surfboard Trust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22225</wp:posOffset>
            </wp:positionV>
            <wp:extent cx="141922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1419225" cy="7620"/>
                    </a:xfrm>
                    <a:prstGeom prst="rect">
                      <a:avLst/>
                    </a:prstGeom>
                    <a:noFill/>
                  </pic:spPr>
                </pic:pic>
              </a:graphicData>
            </a:graphic>
          </wp:anchor>
        </w:drawing>
      </w:r>
    </w:p>
    <w:p>
      <w:pPr>
        <w:spacing w:after="0" w:line="3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2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ectPr>
          <w:pgSz w:w="11900" w:h="16838" w:orient="portrait"/>
          <w:cols w:equalWidth="0" w:num="1">
            <w:col w:w="9579"/>
          </w:cols>
          <w:pgMar w:left="880" w:top="1272" w:right="1440" w:bottom="1440" w:gutter="0" w:footer="0" w:header="0"/>
          <w:type w:val="continuous"/>
        </w:sectPr>
      </w:pPr>
    </w:p>
    <w:bookmarkStart w:id="521" w:name="page522"/>
    <w:bookmarkEnd w:id="521"/>
    <w:p>
      <w:pPr>
        <w:spacing w:after="0"/>
        <w:rPr>
          <w:sz w:val="20"/>
          <w:szCs w:val="20"/>
          <w:color w:val="auto"/>
        </w:rPr>
      </w:pPr>
      <w:r>
        <w:rPr>
          <w:rFonts w:ascii="Arial" w:cs="Arial" w:eastAsia="Arial" w:hAnsi="Arial"/>
          <w:sz w:val="15"/>
          <w:szCs w:val="15"/>
          <w:color w:val="auto"/>
        </w:rPr>
        <w:t>IN WITNESS WHEREOF, the undersigned have executed and caused to be effective this Agreement as of the date first written above.</w:t>
      </w:r>
    </w:p>
    <w:p>
      <w:pPr>
        <w:sectPr>
          <w:pgSz w:w="11900" w:h="16838" w:orient="portrait"/>
          <w:cols w:equalWidth="0" w:num="1">
            <w:col w:w="9579"/>
          </w:cols>
          <w:pgMar w:left="880" w:top="1272" w:right="1440" w:bottom="1440" w:gutter="0" w:footer="0" w:header="0"/>
        </w:sect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The Tenev 2017 Irrevocable Trust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22225</wp:posOffset>
            </wp:positionV>
            <wp:extent cx="141922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1419225" cy="7620"/>
                    </a:xfrm>
                    <a:prstGeom prst="rect">
                      <a:avLst/>
                    </a:prstGeom>
                    <a:noFill/>
                  </pic:spPr>
                </pic:pic>
              </a:graphicData>
            </a:graphic>
          </wp:anchor>
        </w:drawing>
      </w:r>
    </w:p>
    <w:p>
      <w:pPr>
        <w:spacing w:after="0" w:line="3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2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Agreement</w:t>
      </w:r>
      <w:r>
        <w:rPr>
          <w:rFonts w:ascii="Arial" w:cs="Arial" w:eastAsia="Arial" w:hAnsi="Arial"/>
          <w:sz w:val="16"/>
          <w:szCs w:val="16"/>
          <w:color w:val="auto"/>
        </w:rPr>
        <w:t>]</w:t>
      </w:r>
    </w:p>
    <w:p>
      <w:pPr>
        <w:sectPr>
          <w:pgSz w:w="11900" w:h="16838" w:orient="portrait"/>
          <w:cols w:equalWidth="0" w:num="1">
            <w:col w:w="9579"/>
          </w:cols>
          <w:pgMar w:left="880" w:top="1272" w:right="1440" w:bottom="1440" w:gutter="0" w:footer="0" w:header="0"/>
          <w:type w:val="continuous"/>
        </w:sectPr>
      </w:pPr>
    </w:p>
    <w:bookmarkStart w:id="522" w:name="page523"/>
    <w:bookmarkEnd w:id="522"/>
    <w:p>
      <w:pPr>
        <w:spacing w:after="0"/>
        <w:rPr>
          <w:sz w:val="20"/>
          <w:szCs w:val="20"/>
          <w:color w:val="auto"/>
        </w:rPr>
      </w:pPr>
      <w:r>
        <w:rPr>
          <w:rFonts w:ascii="Arial" w:cs="Arial" w:eastAsia="Arial" w:hAnsi="Arial"/>
          <w:sz w:val="15"/>
          <w:szCs w:val="15"/>
          <w:color w:val="auto"/>
        </w:rPr>
        <w:t>IN WITNESS WHEREOF, the undersigned have executed and caused to be effective this Agreement as of the date first written above.</w:t>
      </w:r>
    </w:p>
    <w:p>
      <w:pPr>
        <w:sectPr>
          <w:pgSz w:w="11900" w:h="16838" w:orient="portrait"/>
          <w:cols w:equalWidth="0" w:num="1">
            <w:col w:w="9579"/>
          </w:cols>
          <w:pgMar w:left="880" w:top="1271" w:right="1440" w:bottom="1440" w:gutter="0" w:footer="0" w:header="0"/>
        </w:sectPr>
      </w:pPr>
    </w:p>
    <w:p>
      <w:pPr>
        <w:spacing w:after="0" w:line="27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ROBINHOOD MARKETS, INC, solely for</w:t>
      </w:r>
    </w:p>
    <w:p>
      <w:pPr>
        <w:spacing w:after="0" w:line="33"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 xml:space="preserve">purposes of </w:t>
      </w:r>
      <w:r>
        <w:rPr>
          <w:rFonts w:ascii="Arial" w:cs="Arial" w:eastAsia="Arial" w:hAnsi="Arial"/>
          <w:sz w:val="16"/>
          <w:szCs w:val="16"/>
          <w:u w:val="single" w:color="auto"/>
          <w:color w:val="auto"/>
        </w:rPr>
        <w:t>Sections 3(c)</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8 and </w:t>
      </w:r>
      <w:r>
        <w:rPr>
          <w:rFonts w:ascii="Arial" w:cs="Arial" w:eastAsia="Arial" w:hAnsi="Arial"/>
          <w:sz w:val="16"/>
          <w:szCs w:val="16"/>
          <w:u w:val="single" w:color="auto"/>
          <w:color w:val="auto"/>
        </w:rPr>
        <w:t>9</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22225</wp:posOffset>
            </wp:positionV>
            <wp:extent cx="141922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1419225" cy="7620"/>
                    </a:xfrm>
                    <a:prstGeom prst="rect">
                      <a:avLst/>
                    </a:prstGeom>
                    <a:noFill/>
                  </pic:spPr>
                </pic:pic>
              </a:graphicData>
            </a:graphic>
          </wp:anchor>
        </w:drawing>
      </w:r>
    </w:p>
    <w:p>
      <w:pPr>
        <w:spacing w:after="0" w:line="3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Voting Agreement</w:t>
      </w:r>
      <w:r>
        <w:rPr>
          <w:rFonts w:ascii="Arial" w:cs="Arial" w:eastAsia="Arial" w:hAnsi="Arial"/>
          <w:sz w:val="15"/>
          <w:szCs w:val="15"/>
          <w:color w:val="auto"/>
        </w:rPr>
        <w:t>]</w:t>
      </w:r>
    </w:p>
    <w:p>
      <w:pPr>
        <w:sectPr>
          <w:pgSz w:w="11900" w:h="16838" w:orient="portrait"/>
          <w:cols w:equalWidth="0" w:num="1">
            <w:col w:w="9579"/>
          </w:cols>
          <w:pgMar w:left="880" w:top="1271" w:right="1440" w:bottom="1440" w:gutter="0" w:footer="0" w:header="0"/>
          <w:type w:val="continuous"/>
        </w:sectPr>
      </w:pPr>
    </w:p>
    <w:bookmarkStart w:id="523" w:name="page524"/>
    <w:bookmarkEnd w:id="523"/>
    <w:p>
      <w:pPr>
        <w:jc w:val="right"/>
        <w:spacing w:after="0"/>
        <w:rPr>
          <w:sz w:val="20"/>
          <w:szCs w:val="20"/>
          <w:color w:val="auto"/>
        </w:rPr>
      </w:pPr>
      <w:r>
        <w:rPr>
          <w:rFonts w:ascii="Arial" w:cs="Arial" w:eastAsia="Arial" w:hAnsi="Arial"/>
          <w:sz w:val="16"/>
          <w:szCs w:val="16"/>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AND SEVERANCE PLAN FOR KEY EMPLOYEES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effective as of March 10, 2021</w:t>
      </w:r>
    </w:p>
    <w:p>
      <w:pPr>
        <w:spacing w:after="0" w:line="209" w:lineRule="exact"/>
        <w:rPr>
          <w:sz w:val="20"/>
          <w:szCs w:val="20"/>
          <w:color w:val="auto"/>
        </w:rPr>
      </w:pPr>
    </w:p>
    <w:p>
      <w:pPr>
        <w:jc w:val="both"/>
        <w:ind w:firstLine="569"/>
        <w:spacing w:after="0" w:line="236" w:lineRule="auto"/>
        <w:tabs>
          <w:tab w:leader="none" w:pos="962"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Introduction</w:t>
      </w:r>
      <w:r>
        <w:rPr>
          <w:rFonts w:ascii="Arial" w:cs="Arial" w:eastAsia="Arial" w:hAnsi="Arial"/>
          <w:sz w:val="18"/>
          <w:szCs w:val="18"/>
          <w:color w:val="auto"/>
        </w:rPr>
        <w:t>. The purpose of this Robinhood Markets, Inc. Change in Control and Severance Plan for Key Employees is to provide assurances of specified benefits to key employees of the Company in the event of certain terminations of employment as described in this Plan (as such terms are defined below). This Plan is an “employee welfare benefit plan”, as defined in Section 3(1) of ERISA, established solely for the purpose of providing severance benefits to a select group of management or highly compensated employees within the meaning of regulations published by the Secretary of Labor at Title 29, Code of Federal Regulations § 2520.104-24, (i.e., a “top hat” plan), and will be construed accordingly. This document constitutes both the written instrument under which this Plan is maintained and the required summary plan description for this Plan.</w:t>
      </w:r>
    </w:p>
    <w:p>
      <w:pPr>
        <w:spacing w:after="0" w:line="188" w:lineRule="exact"/>
        <w:rPr>
          <w:rFonts w:ascii="Arial" w:cs="Arial" w:eastAsia="Arial" w:hAnsi="Arial"/>
          <w:sz w:val="18"/>
          <w:szCs w:val="18"/>
          <w:color w:val="auto"/>
        </w:rPr>
      </w:pPr>
    </w:p>
    <w:p>
      <w:pPr>
        <w:ind w:left="900" w:hanging="331"/>
        <w:spacing w:after="0"/>
        <w:tabs>
          <w:tab w:leader="none" w:pos="90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187" w:lineRule="exact"/>
        <w:rPr>
          <w:sz w:val="20"/>
          <w:szCs w:val="20"/>
          <w:color w:val="auto"/>
        </w:rPr>
      </w:pPr>
    </w:p>
    <w:p>
      <w:pPr>
        <w:jc w:val="both"/>
        <w:ind w:right="20" w:firstLine="1075"/>
        <w:spacing w:after="0" w:line="238"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(a) the Board or any committee thereof, (b) solely with respect to Participants who are not Executive Officers of the Company, the Chief Executive Officer of the Company or (c) any other officer of the Company to whom the Board has delegated any authority or responsibility with respect to this Plan pursuant to Section 11, but only to the extent of such delegation.</w:t>
      </w:r>
    </w:p>
    <w:p>
      <w:pPr>
        <w:spacing w:after="0" w:line="185" w:lineRule="exact"/>
        <w:rPr>
          <w:sz w:val="20"/>
          <w:szCs w:val="20"/>
          <w:color w:val="auto"/>
        </w:rPr>
      </w:pPr>
    </w:p>
    <w:p>
      <w:pPr>
        <w:jc w:val="both"/>
        <w:ind w:right="20" w:firstLine="1075"/>
        <w:spacing w:after="0" w:line="239"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means any corporation or any other entity (including, but not limited to, partnerships and joint ventures) controlling, controlled by, or under common control with the Company.</w:t>
      </w:r>
    </w:p>
    <w:p>
      <w:pPr>
        <w:spacing w:after="0" w:line="185" w:lineRule="exact"/>
        <w:rPr>
          <w:sz w:val="20"/>
          <w:szCs w:val="20"/>
          <w:color w:val="auto"/>
        </w:rPr>
      </w:pPr>
    </w:p>
    <w:p>
      <w:pPr>
        <w:jc w:val="both"/>
        <w:ind w:right="20" w:firstLine="1075"/>
        <w:spacing w:after="0" w:line="239"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Annual Base Salary</w:t>
      </w:r>
      <w:r>
        <w:rPr>
          <w:rFonts w:ascii="Arial" w:cs="Arial" w:eastAsia="Arial" w:hAnsi="Arial"/>
          <w:sz w:val="18"/>
          <w:szCs w:val="18"/>
          <w:color w:val="auto"/>
        </w:rPr>
        <w:t>” means the Participant’s annual base salary as in effect as of the date of the Participant’s Involuntary Termination (without regard to any reduction that would constitute Good Reason).</w:t>
      </w:r>
    </w:p>
    <w:p>
      <w:pPr>
        <w:spacing w:after="0" w:line="185" w:lineRule="exact"/>
        <w:rPr>
          <w:sz w:val="20"/>
          <w:szCs w:val="20"/>
          <w:color w:val="auto"/>
        </w:rPr>
      </w:pPr>
    </w:p>
    <w:p>
      <w:pPr>
        <w:ind w:left="1080"/>
        <w:spacing w:after="0"/>
        <w:tabs>
          <w:tab w:leader="none" w:pos="15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187" w:lineRule="exact"/>
        <w:rPr>
          <w:sz w:val="20"/>
          <w:szCs w:val="20"/>
          <w:color w:val="auto"/>
        </w:rPr>
      </w:pPr>
    </w:p>
    <w:p>
      <w:pPr>
        <w:jc w:val="both"/>
        <w:ind w:firstLine="1075"/>
        <w:spacing w:after="0" w:line="236"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Cause</w:t>
      </w:r>
      <w:r>
        <w:rPr>
          <w:rFonts w:ascii="Arial" w:cs="Arial" w:eastAsia="Arial" w:hAnsi="Arial"/>
          <w:sz w:val="18"/>
          <w:szCs w:val="18"/>
          <w:color w:val="auto"/>
        </w:rPr>
        <w:t>” means, with respect to a Participant, (a) the definition of “Cause” (or words of similar import) set forth in any Individual Agreement in effect at the time of the termination of the Participant’s employment or (b) if there is no such Individual Agreement or such term is not defined therein, as determined by the Administrator in good faith, the Participant’s: (i) unauthorized misuse of the trade secrets or proprietary information of the Company or any Affiliate; (ii) conviction of or plea of nolo contendere to a felony or a crime involving moral turpitude; (iii) commission of an act of fraud against the Company or any Affiliate; (iv) gross negligence or willful misconduct in the performance of his or her duties that has had or will have a material adverse effect on the reputation or business of the Company or any Affiliate; (v) breach of any Individual Agreement, which breach causes material harm to the Company; (vi) failure to comply with the Company’s written policies or rules, which failure causes material harm to the Company; (vii) willful failure to perform his or her assigned duties; or (viii) failure to cooperate in good faith with a governmental or internal investigation of the Company, any Affiliate or any of their respective directors, officers or employees, if the Company has requested the Participant’s cooperation.</w:t>
      </w:r>
    </w:p>
    <w:p>
      <w:pPr>
        <w:spacing w:after="0" w:line="187" w:lineRule="exact"/>
        <w:rPr>
          <w:sz w:val="20"/>
          <w:szCs w:val="20"/>
          <w:color w:val="auto"/>
        </w:rPr>
      </w:pPr>
    </w:p>
    <w:p>
      <w:pPr>
        <w:jc w:val="both"/>
        <w:ind w:firstLine="1075"/>
        <w:spacing w:after="0" w:line="239"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Company’s Amended and Restated Certificate of Incorporation,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CIC and Severance Plan for Key Employees</w:t>
      </w:r>
    </w:p>
    <w:p>
      <w:pPr>
        <w:sectPr>
          <w:pgSz w:w="11900" w:h="16838" w:orient="portrait"/>
          <w:cols w:equalWidth="0" w:num="1">
            <w:col w:w="11260"/>
          </w:cols>
          <w:pgMar w:left="320" w:top="122" w:right="319" w:bottom="1440" w:gutter="0" w:footer="0" w:header="0"/>
        </w:sectPr>
      </w:pPr>
    </w:p>
    <w:bookmarkStart w:id="524" w:name="page525"/>
    <w:bookmarkEnd w:id="524"/>
    <w:p>
      <w:pPr>
        <w:ind w:left="1080"/>
        <w:spacing w:after="0"/>
        <w:tabs>
          <w:tab w:leader="none" w:pos="15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occurrence of any of the following events:</w:t>
      </w:r>
    </w:p>
    <w:p>
      <w:pPr>
        <w:spacing w:after="0" w:line="187" w:lineRule="exact"/>
        <w:rPr>
          <w:sz w:val="20"/>
          <w:szCs w:val="20"/>
          <w:color w:val="auto"/>
        </w:rPr>
      </w:pPr>
    </w:p>
    <w:p>
      <w:pPr>
        <w:jc w:val="both"/>
        <w:ind w:firstLine="1716"/>
        <w:spacing w:after="0" w:line="236" w:lineRule="auto"/>
        <w:tabs>
          <w:tab w:leader="none" w:pos="223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 merger, reorganization, consolidation or similar form of business transaction directly involving the Company or indirectly involving the Company through one or more intermediaries, unless, immediately following such transaction, more than fifty percent (50%) of the voting power of the then-outstanding voting stock or other securities of the Person resulting from consummation of the transaction (which Person may be any Parent that as a result of the transaction owns directly or indirectly the Company and all or substantially all of the Company’s assets) entitled to vote generally in elections of directors of such Person is held by the existing Company stockholders (determined immediately prior to the transaction and related transactions);</w:t>
      </w:r>
    </w:p>
    <w:p>
      <w:pPr>
        <w:spacing w:after="0" w:line="188" w:lineRule="exact"/>
        <w:rPr>
          <w:rFonts w:ascii="Arial" w:cs="Arial" w:eastAsia="Arial" w:hAnsi="Arial"/>
          <w:sz w:val="18"/>
          <w:szCs w:val="18"/>
          <w:color w:val="auto"/>
        </w:rPr>
      </w:pPr>
    </w:p>
    <w:p>
      <w:pPr>
        <w:jc w:val="both"/>
        <w:ind w:right="20" w:firstLine="1716"/>
        <w:spacing w:after="0" w:line="237" w:lineRule="auto"/>
        <w:tabs>
          <w:tab w:leader="none" w:pos="216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 single transaction or series of related transactions in which a Person (other than any employee benefit plan of the Company or an Affiliate, or any trustee or other fiduciary holding securities under an employee benefit plan of the Company or an Affiliate) is or becomes the beneficial owner (as defined in Rule 13d-3 of the Exchange Act), directly or indirectly, of securities of the Company representing more than fifty percent (50%) of the outstanding voting power of the Company’s then-outstanding voting securities;</w:t>
      </w:r>
    </w:p>
    <w:p>
      <w:pPr>
        <w:spacing w:after="0" w:line="186" w:lineRule="exact"/>
        <w:rPr>
          <w:rFonts w:ascii="Arial" w:cs="Arial" w:eastAsia="Arial" w:hAnsi="Arial"/>
          <w:sz w:val="18"/>
          <w:szCs w:val="18"/>
          <w:color w:val="auto"/>
        </w:rPr>
      </w:pPr>
    </w:p>
    <w:p>
      <w:pPr>
        <w:ind w:right="20" w:firstLine="1716"/>
        <w:spacing w:after="0" w:line="239" w:lineRule="auto"/>
        <w:tabs>
          <w:tab w:leader="none" w:pos="223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 single transaction or series of related transactions in which the Company, directly or indirectly, sells, assigns, conveys, transfers, leases or otherwise disposes of all or substantially all of its assets to another Person other than an Affiliate;</w:t>
      </w:r>
    </w:p>
    <w:p>
      <w:pPr>
        <w:spacing w:after="0" w:line="185" w:lineRule="exact"/>
        <w:rPr>
          <w:rFonts w:ascii="Arial" w:cs="Arial" w:eastAsia="Arial" w:hAnsi="Arial"/>
          <w:sz w:val="18"/>
          <w:szCs w:val="18"/>
          <w:color w:val="auto"/>
        </w:rPr>
      </w:pPr>
    </w:p>
    <w:p>
      <w:pPr>
        <w:jc w:val="both"/>
        <w:ind w:firstLine="1716"/>
        <w:spacing w:after="0" w:line="236" w:lineRule="auto"/>
        <w:tabs>
          <w:tab w:leader="none" w:pos="223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at any time during any period of two consecutive years (not including any period prior to the Registration Date) individuals who at the beginning of such period constituted the Board (the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xml:space="preserve">”) cease for any reason to constitute at least a majority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member of the Board subsequent to the first day of such period whose election, or nomination for election, by the Company’s stockholders was approved by a vote of at least a majority of the Incumbent Directors shall be considered as though such individual were an Incumbent Director, but excluding, for purposes of this proviso, any such individual whose initial assumption of office occurs as a result of, or in connection with, an actual or threatened proxy contest with respect to the election or removal of Board members or other actual or threatened solicitation of proxies or consents by or on behalf of any Person or Persons (whether or not acting in concert) other than the Board; or</w:t>
      </w:r>
    </w:p>
    <w:p>
      <w:pPr>
        <w:spacing w:after="0" w:line="188" w:lineRule="exact"/>
        <w:rPr>
          <w:rFonts w:ascii="Arial" w:cs="Arial" w:eastAsia="Arial" w:hAnsi="Arial"/>
          <w:sz w:val="18"/>
          <w:szCs w:val="18"/>
          <w:color w:val="auto"/>
        </w:rPr>
      </w:pPr>
    </w:p>
    <w:p>
      <w:pPr>
        <w:ind w:left="2120" w:hanging="404"/>
        <w:spacing w:after="0"/>
        <w:tabs>
          <w:tab w:leader="none" w:pos="21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liquidation or dissolution of the Company.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Notwithstanding anything to the contrary herein, a Change in Control will not be deemed to have occurred by virtue of (i) the consummation of any transaction or series of related transactions immediately following which the holders of the shares of the Company immediately prior to the transaction or series of transactions continue to have substantially the same proportionate ownership and voting power in an entity which owns all or substantially all of the assets of the Company immediately following the transaction or series of transactions, (ii) any acquisition of additional securities of the Company or voting power with respect to the Common Stock by any or some combination of the Specified Stockholders (as defined below), including as a result of a Permitted Transfer (as defined in the Certificate of Incorporation) or in connection with a transaction or issuance (including pursuant to outstanding Company Equity Awards) or any other transaction approved by the Board or a committee thereof, (iii) any change in the Specified Stockholders’ voting power with respect to the Common Stock resulting from a conversion of shares of Common Stock reducing the number of shares or votes outstanding or (iv) any acquisition or disposition of shares of Class B Common Stock by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CIC and Severance Plan for Key Employees</w:t>
      </w:r>
    </w:p>
    <w:p>
      <w:pPr>
        <w:sectPr>
          <w:pgSz w:w="11900" w:h="16838" w:orient="portrait"/>
          <w:cols w:equalWidth="0" w:num="1">
            <w:col w:w="11260"/>
          </w:cols>
          <w:pgMar w:left="320" w:top="1283" w:right="319" w:bottom="1440" w:gutter="0" w:footer="0" w:header="0"/>
        </w:sectPr>
      </w:pPr>
    </w:p>
    <w:bookmarkStart w:id="525" w:name="page526"/>
    <w:bookmarkEnd w:id="525"/>
    <w:p>
      <w:pPr>
        <w:jc w:val="both"/>
        <w:spacing w:after="0" w:line="236" w:lineRule="auto"/>
        <w:rPr>
          <w:sz w:val="20"/>
          <w:szCs w:val="20"/>
          <w:color w:val="auto"/>
        </w:rPr>
      </w:pPr>
      <w:r>
        <w:rPr>
          <w:rFonts w:ascii="Arial" w:cs="Arial" w:eastAsia="Arial" w:hAnsi="Arial"/>
          <w:sz w:val="18"/>
          <w:szCs w:val="18"/>
          <w:color w:val="auto"/>
        </w:rPr>
        <w:t>the Specified Stockholders or change in the total voting power of the Common Stock held by the Specified Stockholders as a result of (x) the conversion of any shares of Common Stock into shares of Class B Common Stock, (y) the conversion of any shares of Class B Common Stock into shares of any other class of Common Stock or (z) any change in the voting power of the holders of the Class B Common Stock, including solely as a result of any decrease in the total number of shares of Common Stock or of any series of class thereof, as applicable, outstanding. For the avoidance of doubt, an initial public offering, any subsequent public offering or any other capital raising event shall not constitute a “Change in Control”.</w:t>
      </w:r>
    </w:p>
    <w:p>
      <w:pPr>
        <w:spacing w:after="0" w:line="213" w:lineRule="exact"/>
        <w:rPr>
          <w:sz w:val="20"/>
          <w:szCs w:val="20"/>
          <w:color w:val="auto"/>
        </w:rPr>
      </w:pPr>
    </w:p>
    <w:p>
      <w:pPr>
        <w:jc w:val="both"/>
        <w:ind w:right="20" w:firstLine="1075"/>
        <w:spacing w:after="0" w:line="239"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 Period</w:t>
      </w:r>
      <w:r>
        <w:rPr>
          <w:rFonts w:ascii="Arial" w:cs="Arial" w:eastAsia="Arial" w:hAnsi="Arial"/>
          <w:sz w:val="18"/>
          <w:szCs w:val="18"/>
          <w:color w:val="auto"/>
        </w:rPr>
        <w:t>” means the time period beginning on the date that is three (3) months prior to a Change in Control and ending on the date that is eighteen (18) months following a Change in Control.</w:t>
      </w:r>
    </w:p>
    <w:p>
      <w:pPr>
        <w:spacing w:after="0" w:line="185" w:lineRule="exact"/>
        <w:rPr>
          <w:sz w:val="20"/>
          <w:szCs w:val="20"/>
          <w:color w:val="auto"/>
        </w:rPr>
      </w:pPr>
    </w:p>
    <w:p>
      <w:pPr>
        <w:jc w:val="both"/>
        <w:ind w:right="20" w:firstLine="1075"/>
        <w:spacing w:after="0" w:line="239"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CIC Severance Multiplier</w:t>
      </w:r>
      <w:r>
        <w:rPr>
          <w:rFonts w:ascii="Arial" w:cs="Arial" w:eastAsia="Arial" w:hAnsi="Arial"/>
          <w:sz w:val="18"/>
          <w:szCs w:val="18"/>
          <w:color w:val="auto"/>
        </w:rPr>
        <w:t>” means the following based on the Participant’s position with the Company (if a Participant holds more than one position, only one CIC Severance Multiplier will apply, as determined by the Administrator in its sole discretion):</w:t>
      </w:r>
    </w:p>
    <w:p>
      <w:pPr>
        <w:spacing w:after="0" w:line="192" w:lineRule="exact"/>
        <w:rPr>
          <w:sz w:val="20"/>
          <w:szCs w:val="20"/>
          <w:color w:val="auto"/>
        </w:rPr>
      </w:pPr>
    </w:p>
    <w:tbl>
      <w:tblPr>
        <w:tblLayout w:type="fixed"/>
        <w:tblInd w:w="1270" w:type="dxa"/>
        <w:tblCellMar>
          <w:top w:w="0" w:type="dxa"/>
          <w:left w:w="0" w:type="dxa"/>
          <w:bottom w:w="0" w:type="dxa"/>
          <w:right w:w="0" w:type="dxa"/>
        </w:tblCellMar>
      </w:tblPr>
      <w:tr>
        <w:trPr>
          <w:trHeight w:val="255"/>
        </w:trPr>
        <w:tc>
          <w:tcPr>
            <w:tcW w:w="438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Participant’s Position</w:t>
            </w:r>
          </w:p>
        </w:tc>
        <w:tc>
          <w:tcPr>
            <w:tcW w:w="438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CIC Severance Multiplier</w:t>
            </w:r>
          </w:p>
        </w:tc>
      </w:tr>
      <w:tr>
        <w:trPr>
          <w:trHeight w:val="243"/>
        </w:trPr>
        <w:tc>
          <w:tcPr>
            <w:tcW w:w="438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Chief Executive Officer</w:t>
            </w:r>
          </w:p>
        </w:tc>
        <w:tc>
          <w:tcPr>
            <w:tcW w:w="43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w:t>
            </w:r>
          </w:p>
        </w:tc>
      </w:tr>
      <w:tr>
        <w:trPr>
          <w:trHeight w:val="243"/>
        </w:trPr>
        <w:tc>
          <w:tcPr>
            <w:tcW w:w="438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All Other Executive Officers</w:t>
            </w:r>
          </w:p>
        </w:tc>
        <w:tc>
          <w:tcPr>
            <w:tcW w:w="43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1.5</w:t>
            </w:r>
          </w:p>
        </w:tc>
      </w:tr>
      <w:tr>
        <w:trPr>
          <w:trHeight w:val="243"/>
        </w:trPr>
        <w:tc>
          <w:tcPr>
            <w:tcW w:w="438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Vice President</w:t>
            </w:r>
          </w:p>
        </w:tc>
        <w:tc>
          <w:tcPr>
            <w:tcW w:w="43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1</w:t>
            </w:r>
          </w:p>
        </w:tc>
      </w:tr>
    </w:tbl>
    <w:p>
      <w:pPr>
        <w:spacing w:after="0" w:line="272" w:lineRule="exact"/>
        <w:rPr>
          <w:sz w:val="20"/>
          <w:szCs w:val="20"/>
          <w:color w:val="auto"/>
        </w:rPr>
      </w:pPr>
    </w:p>
    <w:p>
      <w:pPr>
        <w:ind w:right="20" w:firstLine="1075"/>
        <w:spacing w:after="0" w:line="239"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CIC Severance Period</w:t>
      </w:r>
      <w:r>
        <w:rPr>
          <w:rFonts w:ascii="Arial" w:cs="Arial" w:eastAsia="Arial" w:hAnsi="Arial"/>
          <w:sz w:val="18"/>
          <w:szCs w:val="18"/>
          <w:color w:val="auto"/>
        </w:rPr>
        <w:t>” means the following based on the Participant’s position with the Company (if a Participant holds more than one position, only one Severance Period will apply, as determined by the Administrator in its sole discretion):</w:t>
      </w:r>
    </w:p>
    <w:p>
      <w:pPr>
        <w:spacing w:after="0" w:line="192" w:lineRule="exact"/>
        <w:rPr>
          <w:sz w:val="20"/>
          <w:szCs w:val="20"/>
          <w:color w:val="auto"/>
        </w:rPr>
      </w:pPr>
    </w:p>
    <w:tbl>
      <w:tblPr>
        <w:tblLayout w:type="fixed"/>
        <w:tblInd w:w="1270" w:type="dxa"/>
        <w:tblCellMar>
          <w:top w:w="0" w:type="dxa"/>
          <w:left w:w="0" w:type="dxa"/>
          <w:bottom w:w="0" w:type="dxa"/>
          <w:right w:w="0" w:type="dxa"/>
        </w:tblCellMar>
      </w:tblPr>
      <w:tr>
        <w:trPr>
          <w:trHeight w:val="255"/>
        </w:trPr>
        <w:tc>
          <w:tcPr>
            <w:tcW w:w="438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Participant’s Position</w:t>
            </w:r>
          </w:p>
        </w:tc>
        <w:tc>
          <w:tcPr>
            <w:tcW w:w="438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CIC Severance Period</w:t>
            </w:r>
          </w:p>
        </w:tc>
      </w:tr>
      <w:tr>
        <w:trPr>
          <w:trHeight w:val="243"/>
        </w:trPr>
        <w:tc>
          <w:tcPr>
            <w:tcW w:w="438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Chief Executive Officer</w:t>
            </w:r>
          </w:p>
        </w:tc>
        <w:tc>
          <w:tcPr>
            <w:tcW w:w="43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24 months</w:t>
            </w:r>
          </w:p>
        </w:tc>
      </w:tr>
      <w:tr>
        <w:trPr>
          <w:trHeight w:val="243"/>
        </w:trPr>
        <w:tc>
          <w:tcPr>
            <w:tcW w:w="438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All Other Executive Officers</w:t>
            </w:r>
          </w:p>
        </w:tc>
        <w:tc>
          <w:tcPr>
            <w:tcW w:w="43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18 months</w:t>
            </w:r>
          </w:p>
        </w:tc>
      </w:tr>
      <w:tr>
        <w:trPr>
          <w:trHeight w:val="243"/>
        </w:trPr>
        <w:tc>
          <w:tcPr>
            <w:tcW w:w="438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Vice President</w:t>
            </w:r>
          </w:p>
        </w:tc>
        <w:tc>
          <w:tcPr>
            <w:tcW w:w="43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12 months</w:t>
            </w:r>
          </w:p>
        </w:tc>
      </w:tr>
    </w:tbl>
    <w:p>
      <w:pPr>
        <w:spacing w:after="0" w:line="260"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means the Company’s Class A Common Stock, par value $0.0001 per share.</w:t>
      </w:r>
    </w:p>
    <w:p>
      <w:pPr>
        <w:spacing w:after="0" w:line="187"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means the Company’s Class B Common Stock, par value $0.0001 per share.</w:t>
      </w:r>
    </w:p>
    <w:p>
      <w:pPr>
        <w:spacing w:after="0" w:line="187"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COBRA</w:t>
      </w:r>
      <w:r>
        <w:rPr>
          <w:rFonts w:ascii="Arial" w:cs="Arial" w:eastAsia="Arial" w:hAnsi="Arial"/>
          <w:sz w:val="16"/>
          <w:szCs w:val="16"/>
          <w:color w:val="auto"/>
        </w:rPr>
        <w:t>” means the Consolidated Omnibus Budget Reconciliation Act of 1985, as amended.</w:t>
      </w:r>
    </w:p>
    <w:p>
      <w:pPr>
        <w:spacing w:after="0" w:line="187"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U.S.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CIC and Severance Plan for Key Employees</w:t>
      </w:r>
    </w:p>
    <w:p>
      <w:pPr>
        <w:sectPr>
          <w:pgSz w:w="11900" w:h="16838" w:orient="portrait"/>
          <w:cols w:equalWidth="0" w:num="1">
            <w:col w:w="11260"/>
          </w:cols>
          <w:pgMar w:left="320" w:top="1283" w:right="319" w:bottom="1440" w:gutter="0" w:footer="0" w:header="0"/>
        </w:sectPr>
      </w:pPr>
    </w:p>
    <w:bookmarkStart w:id="526" w:name="page527"/>
    <w:bookmarkEnd w:id="526"/>
    <w:p>
      <w:pPr>
        <w:jc w:val="both"/>
        <w:ind w:firstLine="1075"/>
        <w:spacing w:after="0" w:line="239"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Class A Common Stock, the Class B Common Stock or the Company’s Class C common stock, par value $0.0001 per share.</w:t>
      </w:r>
    </w:p>
    <w:p>
      <w:pPr>
        <w:spacing w:after="0" w:line="185"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Robinhood Markets, Inc., a Delaware corporation, or any successor thereto.</w:t>
      </w:r>
    </w:p>
    <w:p>
      <w:pPr>
        <w:spacing w:after="0" w:line="187" w:lineRule="exact"/>
        <w:rPr>
          <w:sz w:val="20"/>
          <w:szCs w:val="20"/>
          <w:color w:val="auto"/>
        </w:rPr>
      </w:pPr>
    </w:p>
    <w:p>
      <w:pPr>
        <w:jc w:val="both"/>
        <w:ind w:right="20" w:firstLine="1075"/>
        <w:spacing w:after="0" w:line="237"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Disability</w:t>
      </w:r>
      <w:r>
        <w:rPr>
          <w:rFonts w:ascii="Arial" w:cs="Arial" w:eastAsia="Arial" w:hAnsi="Arial"/>
          <w:sz w:val="18"/>
          <w:szCs w:val="18"/>
          <w:color w:val="auto"/>
        </w:rPr>
        <w:t>” means a Participant’s inability to perform the customary duties of his or her position of employment by reason of any medically determinable physical or mental impairment that can be expected to result in death or that can be expected to last for a continuous period of not less than 12 months. The Administrator may require such medical or other evidence as it deems necessary to judge the nature and permanency of the Participant’s condition.</w:t>
      </w:r>
    </w:p>
    <w:p>
      <w:pPr>
        <w:spacing w:after="0" w:line="186" w:lineRule="exact"/>
        <w:rPr>
          <w:sz w:val="20"/>
          <w:szCs w:val="20"/>
          <w:color w:val="auto"/>
        </w:rPr>
      </w:pPr>
    </w:p>
    <w:p>
      <w:pPr>
        <w:jc w:val="both"/>
        <w:ind w:right="20" w:firstLine="1075"/>
        <w:spacing w:after="0" w:line="239"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Equity Awards</w:t>
      </w:r>
      <w:r>
        <w:rPr>
          <w:rFonts w:ascii="Arial" w:cs="Arial" w:eastAsia="Arial" w:hAnsi="Arial"/>
          <w:sz w:val="18"/>
          <w:szCs w:val="18"/>
          <w:color w:val="auto"/>
        </w:rPr>
        <w:t>” means a Participant’s outstanding stock options, stock appreciation rights, restricted stock, restricted stock units, performance shares, performance stock units and other equity-based awards.</w:t>
      </w:r>
    </w:p>
    <w:p>
      <w:pPr>
        <w:spacing w:after="0" w:line="185" w:lineRule="exact"/>
        <w:rPr>
          <w:sz w:val="20"/>
          <w:szCs w:val="20"/>
          <w:color w:val="auto"/>
        </w:rPr>
      </w:pPr>
    </w:p>
    <w:p>
      <w:pPr>
        <w:jc w:val="both"/>
        <w:ind w:firstLine="1075"/>
        <w:spacing w:after="0" w:line="239"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including the rules and regulations promulgated thereunder.</w:t>
      </w:r>
    </w:p>
    <w:p>
      <w:pPr>
        <w:spacing w:after="0" w:line="185" w:lineRule="exact"/>
        <w:rPr>
          <w:sz w:val="20"/>
          <w:szCs w:val="20"/>
          <w:color w:val="auto"/>
        </w:rPr>
      </w:pPr>
    </w:p>
    <w:p>
      <w:pPr>
        <w:jc w:val="both"/>
        <w:ind w:right="20" w:firstLine="1075"/>
        <w:spacing w:after="0" w:line="239"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 including the rules and regulations promulgated thereunder.</w:t>
      </w:r>
    </w:p>
    <w:p>
      <w:pPr>
        <w:spacing w:after="0" w:line="185"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Executive Officer</w:t>
      </w:r>
      <w:r>
        <w:rPr>
          <w:rFonts w:ascii="Arial" w:cs="Arial" w:eastAsia="Arial" w:hAnsi="Arial"/>
          <w:sz w:val="16"/>
          <w:szCs w:val="16"/>
          <w:color w:val="auto"/>
        </w:rPr>
        <w:t>” means an “executive officer” as defined in Rule 3b-7 under the Exchange Act.</w:t>
      </w:r>
    </w:p>
    <w:p>
      <w:pPr>
        <w:spacing w:after="0" w:line="187" w:lineRule="exact"/>
        <w:rPr>
          <w:sz w:val="20"/>
          <w:szCs w:val="20"/>
          <w:color w:val="auto"/>
        </w:rPr>
      </w:pPr>
    </w:p>
    <w:p>
      <w:pPr>
        <w:jc w:val="both"/>
        <w:ind w:firstLine="1075"/>
        <w:spacing w:after="0" w:line="236"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means, with respect to a Participant, (a) the definition of “Good Reason” (or words of similar import) set forth in any Individual Agreement in effect at the time of the termination of the Participant’s employment or (b) if there is no such Individual Agreement or such term is not defined therein, the occurrence of one or more of the following (through a single action or series of actions) without the Participant’s written consent: (i) a material reduction in the Participant’s Annual Base Salary or Target Annual Bonus opportunity (which, for the avoidance of doubt, excludes one-time bonuses such as sign-on, spot, and relocation bonuses) other than as part of an across-the-board proportional reduction applicable to similarly situated employees of the Company (for illustrative purposes, a reduction of less than ten percent (10%) of the Participant’s base salary in any one year will not alone constitute Good Reason); (ii) a change in the geographic location of the Participant’s primary work facility or location by more than 30 miles from its current primary location other than travel reasonably required in the performance of the Participant’s responsibilities; (iii) in the case of the Chief Executive Officer or a Participant who reports directly to the Chief Executive Officer, a material reduction of such Participant’s duties, authority or responsibilities;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change resulting solely because the Company reorganizes one or more business units, its functional organization or its reporting relationships will not be considered a material reduction of the Participant’s duties, authority or responsibilities; or (iv) the Company’s material breach of any obligations under any Individual Agreement.</w:t>
      </w:r>
    </w:p>
    <w:p>
      <w:pPr>
        <w:spacing w:after="0" w:line="186"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Notwithstanding the foregoing, the Participant will be not entitled to resign for Good Reason without first providing the Company with written notice of the acts or omissions constituting the grounds for “Good Reason” within 60 days of the initial existence of the grounds for “Good Reason” and the Company fails to reasonably cure such grounds within a reasonable cure period of not less than 30 days following the date of such notice. In addition, the Participant’s resignation will not qualify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CIC and Severance Plan for Key Employees</w:t>
      </w:r>
    </w:p>
    <w:p>
      <w:pPr>
        <w:sectPr>
          <w:pgSz w:w="11900" w:h="16838" w:orient="portrait"/>
          <w:cols w:equalWidth="0" w:num="1">
            <w:col w:w="11260"/>
          </w:cols>
          <w:pgMar w:left="320" w:top="1283" w:right="319" w:bottom="1440" w:gutter="0" w:footer="0" w:header="0"/>
        </w:sectPr>
      </w:pPr>
    </w:p>
    <w:bookmarkStart w:id="527" w:name="page528"/>
    <w:bookmarkEnd w:id="527"/>
    <w:p>
      <w:pPr>
        <w:jc w:val="both"/>
        <w:ind w:right="20"/>
        <w:spacing w:after="0" w:line="239" w:lineRule="auto"/>
        <w:rPr>
          <w:sz w:val="20"/>
          <w:szCs w:val="20"/>
          <w:color w:val="auto"/>
        </w:rPr>
      </w:pPr>
      <w:r>
        <w:rPr>
          <w:rFonts w:ascii="Arial" w:cs="Arial" w:eastAsia="Arial" w:hAnsi="Arial"/>
          <w:sz w:val="18"/>
          <w:szCs w:val="18"/>
          <w:color w:val="auto"/>
        </w:rPr>
        <w:t>resignation for “Good Reason” unless (x) the grounds for “Good Reason” are not reasonably cured within the cure period specified in the preceding sentence and (y) the Participant resigns within 30 days following the end of such cure period.</w:t>
      </w:r>
    </w:p>
    <w:p>
      <w:pPr>
        <w:spacing w:after="0" w:line="185" w:lineRule="exact"/>
        <w:rPr>
          <w:sz w:val="20"/>
          <w:szCs w:val="20"/>
          <w:color w:val="auto"/>
        </w:rPr>
      </w:pPr>
    </w:p>
    <w:p>
      <w:pPr>
        <w:jc w:val="both"/>
        <w:ind w:right="20" w:firstLine="1075"/>
        <w:spacing w:after="0" w:line="238"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Individual Agreement</w:t>
      </w:r>
      <w:r>
        <w:rPr>
          <w:rFonts w:ascii="Arial" w:cs="Arial" w:eastAsia="Arial" w:hAnsi="Arial"/>
          <w:sz w:val="18"/>
          <w:szCs w:val="18"/>
          <w:color w:val="auto"/>
        </w:rPr>
        <w:t>” means, as to any Participant, any agreement as may be in effect from time to time between the Participant and the Company (or any Affiliate) that provides for benefits upon an Involuntary Termination or upon a change in control (or similar phrase).</w:t>
      </w:r>
    </w:p>
    <w:p>
      <w:pPr>
        <w:spacing w:after="0" w:line="185" w:lineRule="exact"/>
        <w:rPr>
          <w:sz w:val="20"/>
          <w:szCs w:val="20"/>
          <w:color w:val="auto"/>
        </w:rPr>
      </w:pPr>
    </w:p>
    <w:p>
      <w:pPr>
        <w:jc w:val="both"/>
        <w:ind w:firstLine="1075"/>
        <w:spacing w:after="0" w:line="237"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Involuntary Termination</w:t>
      </w:r>
      <w:r>
        <w:rPr>
          <w:rFonts w:ascii="Arial" w:cs="Arial" w:eastAsia="Arial" w:hAnsi="Arial"/>
          <w:sz w:val="18"/>
          <w:szCs w:val="18"/>
          <w:color w:val="auto"/>
        </w:rPr>
        <w:t>” means a termination of the Participant’s employment with the Company and its Affiliates (a) by the Participant for Good Reason, or (b) by the Company and its Affiliates for a reason other than Cause, the Participant’s death or Disability. For the avoidance of doubt, a transfer of the Participant’s employment or service from one business group, including corporate groups, or Affiliate of the Company to another business group or Affiliate of the Company shall not be considered an Involuntary Termination of the Participant’s employment with the Company and its Affiliates.</w:t>
      </w:r>
    </w:p>
    <w:p>
      <w:pPr>
        <w:spacing w:after="0" w:line="185" w:lineRule="exact"/>
        <w:rPr>
          <w:sz w:val="20"/>
          <w:szCs w:val="20"/>
          <w:color w:val="auto"/>
        </w:rPr>
      </w:pPr>
    </w:p>
    <w:p>
      <w:pPr>
        <w:jc w:val="both"/>
        <w:ind w:right="20" w:firstLine="1075"/>
        <w:spacing w:after="0" w:line="238"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Executive Officer of the Company, any employee of the Company or of any Affiliate of the Company at a level equivalent to Vice President (level 8 or future equivalent) or above and any other employee of the Company or of any Affiliate of the Company who has been designated by the Board to participate in this Plan either by position or by name.</w:t>
      </w:r>
    </w:p>
    <w:p>
      <w:pPr>
        <w:spacing w:after="0" w:line="185" w:lineRule="exact"/>
        <w:rPr>
          <w:sz w:val="20"/>
          <w:szCs w:val="20"/>
          <w:color w:val="auto"/>
        </w:rPr>
      </w:pPr>
    </w:p>
    <w:p>
      <w:pPr>
        <w:jc w:val="both"/>
        <w:ind w:right="20" w:firstLine="1075"/>
        <w:spacing w:after="0" w:line="238"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 or a “group” within the meaning of Section 13(d)(3) or Section 14(d)(2) of the Exchange Act.</w:t>
      </w:r>
    </w:p>
    <w:p>
      <w:pPr>
        <w:spacing w:after="0" w:line="185" w:lineRule="exact"/>
        <w:rPr>
          <w:sz w:val="20"/>
          <w:szCs w:val="20"/>
          <w:color w:val="auto"/>
        </w:rPr>
      </w:pPr>
    </w:p>
    <w:p>
      <w:pPr>
        <w:jc w:val="both"/>
        <w:ind w:right="20" w:firstLine="1075"/>
        <w:spacing w:after="0" w:line="239"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Plan</w:t>
      </w:r>
      <w:r>
        <w:rPr>
          <w:rFonts w:ascii="Arial" w:cs="Arial" w:eastAsia="Arial" w:hAnsi="Arial"/>
          <w:sz w:val="18"/>
          <w:szCs w:val="18"/>
          <w:color w:val="auto"/>
        </w:rPr>
        <w:t>” means the Robinhood Markets, Inc. Change in Control and Severance Plan for Key Employees, as set forth in this document, and as hereafter amended from time to time.</w:t>
      </w:r>
    </w:p>
    <w:p>
      <w:pPr>
        <w:spacing w:after="0" w:line="185" w:lineRule="exact"/>
        <w:rPr>
          <w:sz w:val="20"/>
          <w:szCs w:val="20"/>
          <w:color w:val="auto"/>
        </w:rPr>
      </w:pPr>
    </w:p>
    <w:p>
      <w:pPr>
        <w:jc w:val="both"/>
        <w:ind w:firstLine="1075"/>
        <w:spacing w:after="0" w:line="238"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Proration Factor</w:t>
      </w:r>
      <w:r>
        <w:rPr>
          <w:rFonts w:ascii="Arial" w:cs="Arial" w:eastAsia="Arial" w:hAnsi="Arial"/>
          <w:sz w:val="18"/>
          <w:szCs w:val="18"/>
          <w:color w:val="auto"/>
        </w:rPr>
        <w:t>” means a fraction, the numerator of which is the number of days between (and including) the start of the year in which the Participant’s Involuntary Termination occurs and the date of the Participant’s Involuntary Termination and the denominator of which is 365.</w:t>
      </w:r>
    </w:p>
    <w:p>
      <w:pPr>
        <w:spacing w:after="0" w:line="185"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Registration Date</w:t>
      </w:r>
      <w:r>
        <w:rPr>
          <w:rFonts w:ascii="Arial" w:cs="Arial" w:eastAsia="Arial" w:hAnsi="Arial"/>
          <w:sz w:val="16"/>
          <w:szCs w:val="16"/>
          <w:color w:val="auto"/>
        </w:rPr>
        <w:t>” means the effective date of the Registration Statement.</w:t>
      </w:r>
    </w:p>
    <w:p>
      <w:pPr>
        <w:spacing w:after="0" w:line="187" w:lineRule="exact"/>
        <w:rPr>
          <w:sz w:val="20"/>
          <w:szCs w:val="20"/>
          <w:color w:val="auto"/>
        </w:rPr>
      </w:pPr>
    </w:p>
    <w:p>
      <w:pPr>
        <w:jc w:val="both"/>
        <w:ind w:right="20" w:firstLine="1075"/>
        <w:spacing w:after="0" w:line="239"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registration statement on Form S-1 filed with the Securities and Exchange Commission for the initial public offering of the Class A Common Stock.</w:t>
      </w:r>
    </w:p>
    <w:p>
      <w:pPr>
        <w:spacing w:after="0" w:line="185"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Section 280G</w:t>
      </w:r>
      <w:r>
        <w:rPr>
          <w:rFonts w:ascii="Arial" w:cs="Arial" w:eastAsia="Arial" w:hAnsi="Arial"/>
          <w:sz w:val="16"/>
          <w:szCs w:val="16"/>
          <w:color w:val="auto"/>
        </w:rPr>
        <w:t>” means Section 280G of the Code, including the rules and regulations promulgated thereunder.</w:t>
      </w:r>
    </w:p>
    <w:p>
      <w:pPr>
        <w:spacing w:after="0" w:line="187" w:lineRule="exact"/>
        <w:rPr>
          <w:sz w:val="20"/>
          <w:szCs w:val="20"/>
          <w:color w:val="auto"/>
        </w:rPr>
      </w:pPr>
    </w:p>
    <w:p>
      <w:pPr>
        <w:jc w:val="both"/>
        <w:ind w:right="20" w:firstLine="1075"/>
        <w:spacing w:after="0" w:line="239"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Section 409A</w:t>
      </w:r>
      <w:r>
        <w:rPr>
          <w:rFonts w:ascii="Arial" w:cs="Arial" w:eastAsia="Arial" w:hAnsi="Arial"/>
          <w:sz w:val="18"/>
          <w:szCs w:val="18"/>
          <w:color w:val="auto"/>
        </w:rPr>
        <w:t>” means Section 409A of the Code, as amended, including the rules and regulations promulgated thereunder, or any state law equivalent.</w:t>
      </w:r>
    </w:p>
    <w:p>
      <w:pPr>
        <w:spacing w:after="0" w:line="185" w:lineRule="exact"/>
        <w:rPr>
          <w:sz w:val="20"/>
          <w:szCs w:val="20"/>
          <w:color w:val="auto"/>
        </w:rPr>
      </w:pPr>
    </w:p>
    <w:p>
      <w:pPr>
        <w:jc w:val="both"/>
        <w:ind w:firstLine="1075"/>
        <w:spacing w:after="0" w:line="239"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Severance Benefits</w:t>
      </w:r>
      <w:r>
        <w:rPr>
          <w:rFonts w:ascii="Arial" w:cs="Arial" w:eastAsia="Arial" w:hAnsi="Arial"/>
          <w:sz w:val="18"/>
          <w:szCs w:val="18"/>
          <w:color w:val="auto"/>
        </w:rPr>
        <w:t>” means the compensation and other benefits that the Participant will be provided in the event of an Involuntary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CIC and Severance Plan for Key Employees</w:t>
      </w:r>
    </w:p>
    <w:p>
      <w:pPr>
        <w:sectPr>
          <w:pgSz w:w="11900" w:h="16838" w:orient="portrait"/>
          <w:cols w:equalWidth="0" w:num="1">
            <w:col w:w="11260"/>
          </w:cols>
          <w:pgMar w:left="320" w:top="1282" w:right="319" w:bottom="1440" w:gutter="0" w:footer="0" w:header="0"/>
        </w:sectPr>
      </w:pPr>
    </w:p>
    <w:bookmarkStart w:id="528" w:name="page529"/>
    <w:bookmarkEnd w:id="528"/>
    <w:p>
      <w:pPr>
        <w:ind w:right="20" w:firstLine="1079"/>
        <w:spacing w:after="0" w:line="239"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Severance Multiplier</w:t>
      </w:r>
      <w:r>
        <w:rPr>
          <w:rFonts w:ascii="Arial" w:cs="Arial" w:eastAsia="Arial" w:hAnsi="Arial"/>
          <w:sz w:val="18"/>
          <w:szCs w:val="18"/>
          <w:color w:val="auto"/>
        </w:rPr>
        <w:t>” means the following based on the Participant’s position with the Company (if a Participant holds more than one position, only one Severance Multiplier will apply, as determined by the Administrator in its sole discretion):</w:t>
      </w:r>
    </w:p>
    <w:p>
      <w:pPr>
        <w:spacing w:after="0" w:line="192" w:lineRule="exact"/>
        <w:rPr>
          <w:sz w:val="20"/>
          <w:szCs w:val="20"/>
          <w:color w:val="auto"/>
        </w:rPr>
      </w:pPr>
    </w:p>
    <w:tbl>
      <w:tblPr>
        <w:tblLayout w:type="fixed"/>
        <w:tblInd w:w="1270" w:type="dxa"/>
        <w:tblCellMar>
          <w:top w:w="0" w:type="dxa"/>
          <w:left w:w="0" w:type="dxa"/>
          <w:bottom w:w="0" w:type="dxa"/>
          <w:right w:w="0" w:type="dxa"/>
        </w:tblCellMar>
      </w:tblPr>
      <w:tr>
        <w:trPr>
          <w:trHeight w:val="255"/>
        </w:trPr>
        <w:tc>
          <w:tcPr>
            <w:tcW w:w="438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Participant’s Position</w:t>
            </w:r>
          </w:p>
        </w:tc>
        <w:tc>
          <w:tcPr>
            <w:tcW w:w="438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Severance Multiplier</w:t>
            </w:r>
          </w:p>
        </w:tc>
      </w:tr>
      <w:tr>
        <w:trPr>
          <w:trHeight w:val="327"/>
        </w:trPr>
        <w:tc>
          <w:tcPr>
            <w:tcW w:w="438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Chief Executive Officer</w:t>
            </w:r>
          </w:p>
        </w:tc>
        <w:tc>
          <w:tcPr>
            <w:tcW w:w="43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1.5</w:t>
            </w:r>
          </w:p>
        </w:tc>
      </w:tr>
      <w:tr>
        <w:trPr>
          <w:trHeight w:val="115"/>
        </w:trPr>
        <w:tc>
          <w:tcPr>
            <w:tcW w:w="438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tcPr>
          <w:p>
            <w:pPr>
              <w:spacing w:after="0"/>
              <w:rPr>
                <w:sz w:val="10"/>
                <w:szCs w:val="10"/>
                <w:color w:val="auto"/>
              </w:rPr>
            </w:pPr>
          </w:p>
        </w:tc>
      </w:tr>
      <w:tr>
        <w:trPr>
          <w:trHeight w:val="319"/>
        </w:trPr>
        <w:tc>
          <w:tcPr>
            <w:tcW w:w="438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All Other Executive Officers</w:t>
            </w:r>
          </w:p>
        </w:tc>
        <w:tc>
          <w:tcPr>
            <w:tcW w:w="43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1</w:t>
            </w:r>
          </w:p>
        </w:tc>
      </w:tr>
      <w:tr>
        <w:trPr>
          <w:trHeight w:val="115"/>
        </w:trPr>
        <w:tc>
          <w:tcPr>
            <w:tcW w:w="438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tcPr>
          <w:p>
            <w:pPr>
              <w:spacing w:after="0"/>
              <w:rPr>
                <w:sz w:val="10"/>
                <w:szCs w:val="10"/>
                <w:color w:val="auto"/>
              </w:rPr>
            </w:pPr>
          </w:p>
        </w:tc>
      </w:tr>
      <w:tr>
        <w:trPr>
          <w:trHeight w:val="319"/>
        </w:trPr>
        <w:tc>
          <w:tcPr>
            <w:tcW w:w="438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Vice President</w:t>
            </w:r>
          </w:p>
        </w:tc>
        <w:tc>
          <w:tcPr>
            <w:tcW w:w="43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0.75</w:t>
            </w:r>
          </w:p>
        </w:tc>
      </w:tr>
      <w:tr>
        <w:trPr>
          <w:trHeight w:val="115"/>
        </w:trPr>
        <w:tc>
          <w:tcPr>
            <w:tcW w:w="438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tcPr>
          <w:p>
            <w:pPr>
              <w:spacing w:after="0"/>
              <w:rPr>
                <w:sz w:val="10"/>
                <w:szCs w:val="10"/>
                <w:color w:val="auto"/>
              </w:rPr>
            </w:pPr>
          </w:p>
        </w:tc>
      </w:tr>
    </w:tbl>
    <w:p>
      <w:pPr>
        <w:spacing w:after="0" w:line="272" w:lineRule="exact"/>
        <w:rPr>
          <w:sz w:val="20"/>
          <w:szCs w:val="20"/>
          <w:color w:val="auto"/>
        </w:rPr>
      </w:pPr>
    </w:p>
    <w:p>
      <w:pPr>
        <w:ind w:right="20" w:firstLine="1075"/>
        <w:spacing w:after="0" w:line="239"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Severance Period</w:t>
      </w:r>
      <w:r>
        <w:rPr>
          <w:rFonts w:ascii="Arial" w:cs="Arial" w:eastAsia="Arial" w:hAnsi="Arial"/>
          <w:sz w:val="18"/>
          <w:szCs w:val="18"/>
          <w:color w:val="auto"/>
        </w:rPr>
        <w:t>” means the following based on the Participant’s position with the Company (if a Participant holds more than one position, only one Severance Period will apply, as determined by the Administrator in its sole discretion):</w:t>
      </w:r>
    </w:p>
    <w:p>
      <w:pPr>
        <w:spacing w:after="0" w:line="192" w:lineRule="exact"/>
        <w:rPr>
          <w:sz w:val="20"/>
          <w:szCs w:val="20"/>
          <w:color w:val="auto"/>
        </w:rPr>
      </w:pPr>
    </w:p>
    <w:tbl>
      <w:tblPr>
        <w:tblLayout w:type="fixed"/>
        <w:tblInd w:w="1270" w:type="dxa"/>
        <w:tblCellMar>
          <w:top w:w="0" w:type="dxa"/>
          <w:left w:w="0" w:type="dxa"/>
          <w:bottom w:w="0" w:type="dxa"/>
          <w:right w:w="0" w:type="dxa"/>
        </w:tblCellMar>
      </w:tblPr>
      <w:tr>
        <w:trPr>
          <w:trHeight w:val="255"/>
        </w:trPr>
        <w:tc>
          <w:tcPr>
            <w:tcW w:w="438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Participant’s Position</w:t>
            </w:r>
          </w:p>
        </w:tc>
        <w:tc>
          <w:tcPr>
            <w:tcW w:w="438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Severance Period</w:t>
            </w:r>
          </w:p>
        </w:tc>
      </w:tr>
      <w:tr>
        <w:trPr>
          <w:trHeight w:val="327"/>
        </w:trPr>
        <w:tc>
          <w:tcPr>
            <w:tcW w:w="438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Chief Executive Officer</w:t>
            </w:r>
          </w:p>
        </w:tc>
        <w:tc>
          <w:tcPr>
            <w:tcW w:w="43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18 months</w:t>
            </w:r>
          </w:p>
        </w:tc>
      </w:tr>
      <w:tr>
        <w:trPr>
          <w:trHeight w:val="115"/>
        </w:trPr>
        <w:tc>
          <w:tcPr>
            <w:tcW w:w="438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tcPr>
          <w:p>
            <w:pPr>
              <w:spacing w:after="0"/>
              <w:rPr>
                <w:sz w:val="10"/>
                <w:szCs w:val="10"/>
                <w:color w:val="auto"/>
              </w:rPr>
            </w:pPr>
          </w:p>
        </w:tc>
      </w:tr>
      <w:tr>
        <w:trPr>
          <w:trHeight w:val="319"/>
        </w:trPr>
        <w:tc>
          <w:tcPr>
            <w:tcW w:w="438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All Other Executive Officers</w:t>
            </w:r>
          </w:p>
        </w:tc>
        <w:tc>
          <w:tcPr>
            <w:tcW w:w="43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12 months</w:t>
            </w:r>
          </w:p>
        </w:tc>
      </w:tr>
      <w:tr>
        <w:trPr>
          <w:trHeight w:val="115"/>
        </w:trPr>
        <w:tc>
          <w:tcPr>
            <w:tcW w:w="438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tcPr>
          <w:p>
            <w:pPr>
              <w:spacing w:after="0"/>
              <w:rPr>
                <w:sz w:val="10"/>
                <w:szCs w:val="10"/>
                <w:color w:val="auto"/>
              </w:rPr>
            </w:pPr>
          </w:p>
        </w:tc>
      </w:tr>
      <w:tr>
        <w:trPr>
          <w:trHeight w:val="319"/>
        </w:trPr>
        <w:tc>
          <w:tcPr>
            <w:tcW w:w="438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Vice President</w:t>
            </w:r>
          </w:p>
        </w:tc>
        <w:tc>
          <w:tcPr>
            <w:tcW w:w="43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9 months</w:t>
            </w:r>
          </w:p>
        </w:tc>
      </w:tr>
      <w:tr>
        <w:trPr>
          <w:trHeight w:val="115"/>
        </w:trPr>
        <w:tc>
          <w:tcPr>
            <w:tcW w:w="4380" w:type="dxa"/>
            <w:vAlign w:val="bottom"/>
            <w:tcBorders>
              <w:left w:val="single" w:sz="8" w:color="auto"/>
              <w:bottom w:val="single" w:sz="8" w:color="auto"/>
              <w:right w:val="single" w:sz="8" w:color="auto"/>
            </w:tcBorders>
          </w:tcPr>
          <w:p>
            <w:pPr>
              <w:spacing w:after="0"/>
              <w:rPr>
                <w:sz w:val="10"/>
                <w:szCs w:val="10"/>
                <w:color w:val="auto"/>
              </w:rPr>
            </w:pPr>
          </w:p>
        </w:tc>
        <w:tc>
          <w:tcPr>
            <w:tcW w:w="4380" w:type="dxa"/>
            <w:vAlign w:val="bottom"/>
            <w:tcBorders>
              <w:bottom w:val="single" w:sz="8" w:color="auto"/>
              <w:right w:val="single" w:sz="8" w:color="auto"/>
            </w:tcBorders>
          </w:tcPr>
          <w:p>
            <w:pPr>
              <w:spacing w:after="0"/>
              <w:rPr>
                <w:sz w:val="10"/>
                <w:szCs w:val="10"/>
                <w:color w:val="auto"/>
              </w:rPr>
            </w:pPr>
          </w:p>
        </w:tc>
      </w:tr>
    </w:tbl>
    <w:p>
      <w:pPr>
        <w:spacing w:after="0" w:line="260" w:lineRule="exact"/>
        <w:rPr>
          <w:sz w:val="20"/>
          <w:szCs w:val="20"/>
          <w:color w:val="auto"/>
        </w:rPr>
      </w:pPr>
    </w:p>
    <w:p>
      <w:pPr>
        <w:ind w:right="20" w:firstLine="1075"/>
        <w:spacing w:after="0" w:line="239"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Specified Stockholder</w:t>
      </w:r>
      <w:r>
        <w:rPr>
          <w:rFonts w:ascii="Arial" w:cs="Arial" w:eastAsia="Arial" w:hAnsi="Arial"/>
          <w:sz w:val="18"/>
          <w:szCs w:val="18"/>
          <w:color w:val="auto"/>
        </w:rPr>
        <w:t>” means, individually or collectively (in any combination thereof), any Founder (as defined in the Certificate of Incorporation) or a Permitted Entity (as defined in the Certificate of Incorporation) of such Founder.</w:t>
      </w:r>
    </w:p>
    <w:p>
      <w:pPr>
        <w:spacing w:after="0" w:line="185" w:lineRule="exact"/>
        <w:rPr>
          <w:sz w:val="20"/>
          <w:szCs w:val="20"/>
          <w:color w:val="auto"/>
        </w:rPr>
      </w:pPr>
    </w:p>
    <w:p>
      <w:pPr>
        <w:ind w:firstLine="1075"/>
        <w:spacing w:after="0" w:line="239"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Target Annual Bonus</w:t>
      </w:r>
      <w:r>
        <w:rPr>
          <w:rFonts w:ascii="Arial" w:cs="Arial" w:eastAsia="Arial" w:hAnsi="Arial"/>
          <w:sz w:val="18"/>
          <w:szCs w:val="18"/>
          <w:color w:val="auto"/>
        </w:rPr>
        <w:t>” means the Participant’s target annual cash bonus amount for the year of the Participant’s Involuntary Termination (without regard to any reduction that would constitute Good Reason).</w:t>
      </w:r>
    </w:p>
    <w:p>
      <w:pPr>
        <w:spacing w:after="0" w:line="185" w:lineRule="exact"/>
        <w:rPr>
          <w:sz w:val="20"/>
          <w:szCs w:val="20"/>
          <w:color w:val="auto"/>
        </w:rPr>
      </w:pPr>
    </w:p>
    <w:p>
      <w:pPr>
        <w:ind w:right="20" w:firstLine="569"/>
        <w:spacing w:after="0" w:line="239" w:lineRule="auto"/>
        <w:tabs>
          <w:tab w:leader="none" w:pos="938"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Eligibility for Severance Benefits</w:t>
      </w:r>
      <w:r>
        <w:rPr>
          <w:rFonts w:ascii="Arial" w:cs="Arial" w:eastAsia="Arial" w:hAnsi="Arial"/>
          <w:sz w:val="18"/>
          <w:szCs w:val="18"/>
          <w:color w:val="auto"/>
        </w:rPr>
        <w:t>. A Participant is eligible for Severance Benefits, as described in Sections 4 and 5, only if he or she experiences an Involuntary Termination.</w:t>
      </w:r>
    </w:p>
    <w:p>
      <w:pPr>
        <w:spacing w:after="0" w:line="185" w:lineRule="exact"/>
        <w:rPr>
          <w:rFonts w:ascii="Arial" w:cs="Arial" w:eastAsia="Arial" w:hAnsi="Arial"/>
          <w:sz w:val="18"/>
          <w:szCs w:val="18"/>
          <w:color w:val="auto"/>
        </w:rPr>
      </w:pPr>
    </w:p>
    <w:p>
      <w:pPr>
        <w:jc w:val="both"/>
        <w:ind w:right="20" w:firstLine="569"/>
        <w:spacing w:after="0" w:line="238" w:lineRule="auto"/>
        <w:tabs>
          <w:tab w:leader="none" w:pos="998"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Involuntary Termination not within the Change in Control Period</w:t>
      </w:r>
      <w:r>
        <w:rPr>
          <w:rFonts w:ascii="Arial" w:cs="Arial" w:eastAsia="Arial" w:hAnsi="Arial"/>
          <w:sz w:val="18"/>
          <w:szCs w:val="18"/>
          <w:color w:val="auto"/>
        </w:rPr>
        <w:t>. Subject to the Participant’s compliance with Section 7, upon an Involuntary Termination that is not within the Change in Control Period, the Participant will be eligible to receive the following Severance Benefits, subject to the terms and conditions of this Plan:</w:t>
      </w:r>
    </w:p>
    <w:p>
      <w:pPr>
        <w:spacing w:after="0" w:line="185" w:lineRule="exact"/>
        <w:rPr>
          <w:sz w:val="20"/>
          <w:szCs w:val="20"/>
          <w:color w:val="auto"/>
        </w:rPr>
      </w:pPr>
    </w:p>
    <w:p>
      <w:pPr>
        <w:jc w:val="both"/>
        <w:ind w:firstLine="1075"/>
        <w:spacing w:after="0" w:line="22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Cash Severance</w:t>
      </w:r>
      <w:r>
        <w:rPr>
          <w:rFonts w:ascii="Arial" w:cs="Arial" w:eastAsia="Arial" w:hAnsi="Arial"/>
          <w:sz w:val="18"/>
          <w:szCs w:val="18"/>
          <w:color w:val="auto"/>
        </w:rPr>
        <w:t>. An amount in cash equal to (a) the Participant’s Annual Base Salary multiplied by (b) the Severance Multiplier, payable, subject to Section 9, in a single lump sum on or before the 70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after the Participant’s Involuntary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the amount in cash payable to the Chief Executive Officer of the Company pursuant to this Section 4.1 will equal the greater of the amount determined based on the foregoing and $1,500,000;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CIC and Severance Plan for Key Employees</w:t>
      </w:r>
    </w:p>
    <w:p>
      <w:pPr>
        <w:sectPr>
          <w:pgSz w:w="11900" w:h="16838" w:orient="portrait"/>
          <w:cols w:equalWidth="0" w:num="1">
            <w:col w:w="11260"/>
          </w:cols>
          <w:pgMar w:left="320" w:top="1283" w:right="319" w:bottom="1440" w:gutter="0" w:footer="0" w:header="0"/>
        </w:sectPr>
      </w:pPr>
    </w:p>
    <w:bookmarkStart w:id="529" w:name="page530"/>
    <w:bookmarkEnd w:id="529"/>
    <w:p>
      <w:pPr>
        <w:jc w:val="both"/>
        <w:ind w:right="20" w:firstLine="1075"/>
        <w:spacing w:after="0" w:line="26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Bonus</w:t>
      </w:r>
      <w:r>
        <w:rPr>
          <w:rFonts w:ascii="Arial" w:cs="Arial" w:eastAsia="Arial" w:hAnsi="Arial"/>
          <w:sz w:val="18"/>
          <w:szCs w:val="18"/>
          <w:color w:val="auto"/>
        </w:rPr>
        <w:t>. An amount in cash equal to (a) the Participant’s Target Annual Bonus multiplied by (b) the Proration Factor, payable, subject to Section 9, in a single lump sum on or before the 70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after the Participant’s Involuntary Termination; and</w:t>
      </w:r>
    </w:p>
    <w:p>
      <w:pPr>
        <w:spacing w:after="0" w:line="82" w:lineRule="exact"/>
        <w:rPr>
          <w:sz w:val="20"/>
          <w:szCs w:val="20"/>
          <w:color w:val="auto"/>
        </w:rPr>
      </w:pPr>
    </w:p>
    <w:p>
      <w:pPr>
        <w:jc w:val="both"/>
        <w:ind w:right="20" w:firstLine="1075"/>
        <w:spacing w:after="0" w:line="24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COBRA Premiums</w:t>
      </w:r>
      <w:r>
        <w:rPr>
          <w:rFonts w:ascii="Arial" w:cs="Arial" w:eastAsia="Arial" w:hAnsi="Arial"/>
          <w:sz w:val="18"/>
          <w:szCs w:val="18"/>
          <w:color w:val="auto"/>
        </w:rPr>
        <w:t>. If the Participant timely elects COBRA continuation coverage, an amount in cash equal to the monthly COBRA premium (on an after-tax basis) that the Participant would be required to pay to continue the group health coverage in effect on the date of the Participant’s Involuntary Termination (which amount will be based on the premium for the first month of COBRA coverage) for the Participant and any covered dependents of the Participant, multiplied by the number of months in the Severance Period, payable, subject to Section 9, in a single lump sum on or before the 70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after the Participant’s Involuntary Termination.</w:t>
      </w:r>
    </w:p>
    <w:p>
      <w:pPr>
        <w:spacing w:after="0" w:line="104" w:lineRule="exact"/>
        <w:rPr>
          <w:sz w:val="20"/>
          <w:szCs w:val="20"/>
          <w:color w:val="auto"/>
        </w:rPr>
      </w:pPr>
    </w:p>
    <w:p>
      <w:pPr>
        <w:jc w:val="both"/>
        <w:ind w:firstLine="569"/>
        <w:spacing w:after="0" w:line="238" w:lineRule="auto"/>
        <w:tabs>
          <w:tab w:leader="none" w:pos="1046"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Involuntary Termination during the Change in Control Period</w:t>
      </w:r>
      <w:r>
        <w:rPr>
          <w:rFonts w:ascii="Arial" w:cs="Arial" w:eastAsia="Arial" w:hAnsi="Arial"/>
          <w:sz w:val="18"/>
          <w:szCs w:val="18"/>
          <w:color w:val="auto"/>
        </w:rPr>
        <w:t>. Subject to the Participant’s compliance with Section 7, upon an Involuntary Termination that is within the Change in Control Period, the Participant will be eligible to receive the following Severance Benefits, subject to the terms and conditions of this Plan:</w:t>
      </w:r>
    </w:p>
    <w:p>
      <w:pPr>
        <w:spacing w:after="0" w:line="185" w:lineRule="exact"/>
        <w:rPr>
          <w:sz w:val="20"/>
          <w:szCs w:val="20"/>
          <w:color w:val="auto"/>
        </w:rPr>
      </w:pPr>
    </w:p>
    <w:p>
      <w:pPr>
        <w:jc w:val="both"/>
        <w:ind w:firstLine="1075"/>
        <w:spacing w:after="0" w:line="22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Cash Severance</w:t>
      </w:r>
      <w:r>
        <w:rPr>
          <w:rFonts w:ascii="Arial" w:cs="Arial" w:eastAsia="Arial" w:hAnsi="Arial"/>
          <w:sz w:val="18"/>
          <w:szCs w:val="18"/>
          <w:color w:val="auto"/>
        </w:rPr>
        <w:t>. An amount in cash equal to (a) the Participant’s Annual Base Salary multiplied by (b) the CIC Severance Multiplier, payable, subject to Section 9, in a single lump sum on the 70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after the Participant’s Involuntary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the amount in cash payable to the Chief Executive Officer of the Company pursuant to this Section 5.1 will equal the greater of the amount determined based on the foregoing and $2,000,000;</w:t>
      </w:r>
    </w:p>
    <w:p>
      <w:pPr>
        <w:spacing w:after="0" w:line="184" w:lineRule="exact"/>
        <w:rPr>
          <w:sz w:val="20"/>
          <w:szCs w:val="20"/>
          <w:color w:val="auto"/>
        </w:rPr>
      </w:pPr>
    </w:p>
    <w:p>
      <w:pPr>
        <w:jc w:val="both"/>
        <w:ind w:right="20" w:firstLine="1075"/>
        <w:spacing w:after="0" w:line="221"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Bonus</w:t>
      </w:r>
      <w:r>
        <w:rPr>
          <w:rFonts w:ascii="Arial" w:cs="Arial" w:eastAsia="Arial" w:hAnsi="Arial"/>
          <w:sz w:val="18"/>
          <w:szCs w:val="18"/>
          <w:color w:val="auto"/>
        </w:rPr>
        <w:t>. An amount in cash equal to the sum of (a) the Participant’s Target Annual Bonus and (b) (i) the Participant’s Target Annual Bonus multiplied by (ii) the Proration Factor, payable, subject to Section 9, in a single lump sum on the 70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after the Participant’s Involuntary Termination;</w:t>
      </w:r>
    </w:p>
    <w:p>
      <w:pPr>
        <w:spacing w:after="0" w:line="187" w:lineRule="exact"/>
        <w:rPr>
          <w:sz w:val="20"/>
          <w:szCs w:val="20"/>
          <w:color w:val="auto"/>
        </w:rPr>
      </w:pPr>
    </w:p>
    <w:p>
      <w:pPr>
        <w:jc w:val="both"/>
        <w:ind w:firstLine="1075"/>
        <w:spacing w:after="0" w:line="24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COBRA Premiums</w:t>
      </w:r>
      <w:r>
        <w:rPr>
          <w:rFonts w:ascii="Arial" w:cs="Arial" w:eastAsia="Arial" w:hAnsi="Arial"/>
          <w:sz w:val="18"/>
          <w:szCs w:val="18"/>
          <w:color w:val="auto"/>
        </w:rPr>
        <w:t>. If the Participant timely elects COBRA continuation coverage, an amount in cash equal to the monthly COBRA premium (on an after-tax basis) that the Participant would be required to pay to continue the group health coverage in effect on the date of the Participant’s Involuntary Termination (which amount will be based on the premium for the first month of COBRA coverage) for the Participant and any covered dependents of the Participant, multiplied by the number of months in the CIC Severance Period, payable, subject to Section 9, in a single lump sum on the 70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after the Participant’s Involuntary Termination; and</w:t>
      </w:r>
    </w:p>
    <w:p>
      <w:pPr>
        <w:spacing w:after="0" w:line="104" w:lineRule="exact"/>
        <w:rPr>
          <w:sz w:val="20"/>
          <w:szCs w:val="20"/>
          <w:color w:val="auto"/>
        </w:rPr>
      </w:pPr>
    </w:p>
    <w:p>
      <w:pPr>
        <w:jc w:val="both"/>
        <w:ind w:firstLine="1075"/>
        <w:spacing w:after="0" w:line="22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Equity Award Vesting Acceleration Benefit</w:t>
      </w:r>
      <w:r>
        <w:rPr>
          <w:rFonts w:ascii="Arial" w:cs="Arial" w:eastAsia="Arial" w:hAnsi="Arial"/>
          <w:sz w:val="18"/>
          <w:szCs w:val="18"/>
          <w:color w:val="auto"/>
        </w:rPr>
        <w:t>. The Participant’s Equity Awards that remain unvested as of the date of the Participant’s Involuntary Termination will accelerate in full and, to the extent applicable, become immediately exercisable, with any performance-based awards deemed earned based on target performance. Subject to Section 9, any vested restricted stock units will be settled on the 70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after the Participant’s Involuntary Termination. The provisions of this Section 5.4 will not apply to any performance-based Equity Awards that vest based on the achievement of stock price goals and that were granted to the Participant prior to the Registration Date (the “</w:t>
      </w:r>
      <w:r>
        <w:rPr>
          <w:rFonts w:ascii="Arial" w:cs="Arial" w:eastAsia="Arial" w:hAnsi="Arial"/>
          <w:sz w:val="18"/>
          <w:szCs w:val="18"/>
          <w:u w:val="single" w:color="auto"/>
          <w:color w:val="auto"/>
        </w:rPr>
        <w:t>Pre-IPO Performance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187" w:lineRule="exact"/>
        <w:rPr>
          <w:sz w:val="20"/>
          <w:szCs w:val="20"/>
          <w:color w:val="auto"/>
        </w:rPr>
      </w:pPr>
    </w:p>
    <w:p>
      <w:pPr>
        <w:jc w:val="both"/>
        <w:ind w:right="20" w:firstLine="1075"/>
        <w:spacing w:after="0" w:line="238"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Coordination with Severance Benefits Payable Pursuant to Section 4</w:t>
      </w:r>
      <w:r>
        <w:rPr>
          <w:rFonts w:ascii="Arial" w:cs="Arial" w:eastAsia="Arial" w:hAnsi="Arial"/>
          <w:sz w:val="18"/>
          <w:szCs w:val="18"/>
          <w:color w:val="auto"/>
        </w:rPr>
        <w:t>. Notwithstanding the foregoing, in the event the Participant experiences an Involuntary Termination prior to a Change in Control and becomes entitled to receive Severance Benefits pursuant to Section 4, (a) the cash Severance Benefits the Participant will be eligible to receive pursuant to Sections 5.1,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CIC and Severance Plan for Key Employees</w:t>
      </w:r>
    </w:p>
    <w:p>
      <w:pPr>
        <w:sectPr>
          <w:pgSz w:w="11900" w:h="16838" w:orient="portrait"/>
          <w:cols w:equalWidth="0" w:num="1">
            <w:col w:w="11260"/>
          </w:cols>
          <w:pgMar w:left="320" w:top="1283" w:right="319" w:bottom="1440" w:gutter="0" w:footer="0" w:header="0"/>
        </w:sectPr>
      </w:pPr>
    </w:p>
    <w:bookmarkStart w:id="530" w:name="page531"/>
    <w:bookmarkEnd w:id="530"/>
    <w:p>
      <w:pPr>
        <w:jc w:val="both"/>
        <w:spacing w:after="0" w:line="236" w:lineRule="auto"/>
        <w:rPr>
          <w:sz w:val="20"/>
          <w:szCs w:val="20"/>
          <w:color w:val="auto"/>
        </w:rPr>
      </w:pPr>
      <w:r>
        <w:rPr>
          <w:rFonts w:ascii="Arial" w:cs="Arial" w:eastAsia="Arial" w:hAnsi="Arial"/>
          <w:sz w:val="18"/>
          <w:szCs w:val="18"/>
          <w:color w:val="auto"/>
        </w:rPr>
        <w:t>and 5.3 will be reduced (but not below zero) by the cash Severance Benefits the Participant received or is entitled to receive pursuant to Sections 4.1., 4.2 and 4.3 and (b) any Equity Awards (other than the Pre-IPO Performance Awards) that were unvested as of the date of the Participant’s Involuntary Termination and would have been forfeited pursuant to their terms will instead accelerate in full as of the Change in Control, with any performance-based awards deemed earned based on target performance. Any excess cash Severance Benefits that become payable to the Participant and any additional restricted stock units that accelerate vesting, in each case pursuant to this Section 5.5, will, subject to Section 9, be paid or settled, as applicable, as soon as practicable following the Change in Control and in no event later than 30 days following the Change in Control.</w:t>
      </w:r>
    </w:p>
    <w:p>
      <w:pPr>
        <w:spacing w:after="0" w:line="188" w:lineRule="exact"/>
        <w:rPr>
          <w:sz w:val="20"/>
          <w:szCs w:val="20"/>
          <w:color w:val="auto"/>
        </w:rPr>
      </w:pPr>
    </w:p>
    <w:p>
      <w:pPr>
        <w:jc w:val="both"/>
        <w:ind w:right="20" w:firstLine="569"/>
        <w:spacing w:after="0" w:line="238" w:lineRule="auto"/>
        <w:tabs>
          <w:tab w:leader="none" w:pos="1022"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Limitation on Payments</w:t>
      </w:r>
      <w:r>
        <w:rPr>
          <w:rFonts w:ascii="Arial" w:cs="Arial" w:eastAsia="Arial" w:hAnsi="Arial"/>
          <w:sz w:val="18"/>
          <w:szCs w:val="18"/>
          <w:color w:val="auto"/>
        </w:rPr>
        <w:t>. In the event that the Severance Benefits and any other severance or benefits otherwise payable to a Participant (i) constitute “parachute payments” within the meaning of Section 280G (the “</w:t>
      </w:r>
      <w:r>
        <w:rPr>
          <w:rFonts w:ascii="Arial" w:cs="Arial" w:eastAsia="Arial" w:hAnsi="Arial"/>
          <w:sz w:val="18"/>
          <w:szCs w:val="18"/>
          <w:u w:val="single" w:color="auto"/>
          <w:color w:val="auto"/>
        </w:rPr>
        <w:t>280G Payments</w:t>
      </w:r>
      <w:r>
        <w:rPr>
          <w:rFonts w:ascii="Arial" w:cs="Arial" w:eastAsia="Arial" w:hAnsi="Arial"/>
          <w:sz w:val="18"/>
          <w:szCs w:val="18"/>
          <w:color w:val="auto"/>
        </w:rPr>
        <w:t>”) and (ii) but for this Section 6, would be subject to the excise tax imposed by Section 4999 of the Code (the “</w:t>
      </w:r>
      <w:r>
        <w:rPr>
          <w:rFonts w:ascii="Arial" w:cs="Arial" w:eastAsia="Arial" w:hAnsi="Arial"/>
          <w:sz w:val="18"/>
          <w:szCs w:val="18"/>
          <w:u w:val="single" w:color="auto"/>
          <w:color w:val="auto"/>
        </w:rPr>
        <w:t>Excise Tax</w:t>
      </w:r>
      <w:r>
        <w:rPr>
          <w:rFonts w:ascii="Arial" w:cs="Arial" w:eastAsia="Arial" w:hAnsi="Arial"/>
          <w:sz w:val="18"/>
          <w:szCs w:val="18"/>
          <w:color w:val="auto"/>
        </w:rPr>
        <w:t>”), then the 280G Payments will be either:</w:t>
      </w:r>
    </w:p>
    <w:p>
      <w:pPr>
        <w:spacing w:after="0" w:line="184" w:lineRule="exact"/>
        <w:rPr>
          <w:rFonts w:ascii="Arial" w:cs="Arial" w:eastAsia="Arial" w:hAnsi="Arial"/>
          <w:sz w:val="18"/>
          <w:szCs w:val="18"/>
          <w:color w:val="auto"/>
        </w:rPr>
      </w:pPr>
    </w:p>
    <w:p>
      <w:pPr>
        <w:ind w:left="2120" w:hanging="404"/>
        <w:spacing w:after="0"/>
        <w:tabs>
          <w:tab w:leader="none" w:pos="212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187" w:lineRule="exact"/>
        <w:rPr>
          <w:rFonts w:ascii="Arial" w:cs="Arial" w:eastAsia="Arial" w:hAnsi="Arial"/>
          <w:sz w:val="18"/>
          <w:szCs w:val="18"/>
          <w:color w:val="auto"/>
        </w:rPr>
      </w:pPr>
    </w:p>
    <w:p>
      <w:pPr>
        <w:jc w:val="both"/>
        <w:ind w:firstLine="1716"/>
        <w:spacing w:after="0" w:line="236" w:lineRule="auto"/>
        <w:tabs>
          <w:tab w:leader="none" w:pos="2171" w:val="left"/>
        </w:tabs>
        <w:numPr>
          <w:ilvl w:val="1"/>
          <w:numId w:val="295"/>
        </w:numPr>
        <w:rPr>
          <w:rFonts w:ascii="Arial" w:cs="Arial" w:eastAsia="Arial" w:hAnsi="Arial"/>
          <w:sz w:val="18"/>
          <w:szCs w:val="18"/>
          <w:color w:val="auto"/>
        </w:rPr>
      </w:pPr>
      <w:r>
        <w:rPr>
          <w:rFonts w:ascii="Arial" w:cs="Arial" w:eastAsia="Arial" w:hAnsi="Arial"/>
          <w:sz w:val="18"/>
          <w:szCs w:val="18"/>
          <w:color w:val="auto"/>
        </w:rPr>
        <w:t xml:space="preserve">delivered as to such lesser extent which would result in no portion of such benefits being subject to the Excise Tax, whichever of the foregoing amounts, taking into account the applicable federal, state and local income taxes and the excise tax imposed by Section 4999 of the Code, results in the receipt by the Participant on an after-tax basis, of the greatest amount of benefits, notwithstanding that all or some portion of such benefits may be taxable under Section 4999 of the Code. If a reduction in the 280G Payments is necessary so that no portion of such benefits is subject to the Excise Tax, such reduction will be first applied to reduce any cash payments and will thereafter be applied to reduce noncash payments and benefits, in each case, in reverse order beginning with the payments or benefits that are to be paid the furthest in time from the date of such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may the 280G Payments be reduced in a manner that would result in subjecting the Participant to additional taxation or penalties under Section 409A.</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Unless the Participant and the Company otherwise agree in writing, any determination required under this Section 6 will be made in writing by the Company’s independent public accountants immediately prior to the Change in Control or such other person or entity as determined in good faith by the Company (the “</w:t>
      </w:r>
      <w:r>
        <w:rPr>
          <w:rFonts w:ascii="Arial" w:cs="Arial" w:eastAsia="Arial" w:hAnsi="Arial"/>
          <w:sz w:val="18"/>
          <w:szCs w:val="18"/>
          <w:u w:val="single" w:color="auto"/>
          <w:color w:val="auto"/>
        </w:rPr>
        <w:t>Accounting Firm</w:t>
      </w:r>
      <w:r>
        <w:rPr>
          <w:rFonts w:ascii="Arial" w:cs="Arial" w:eastAsia="Arial" w:hAnsi="Arial"/>
          <w:sz w:val="18"/>
          <w:szCs w:val="18"/>
          <w:color w:val="auto"/>
        </w:rPr>
        <w:t>”), whose determination will be conclusive and binding upon the Participant and the Company. For purposes of making the calculations required by this Section 6, the Accounting Firm may make reasonable assumptions and approximations concerning applicable taxes and may rely on reasonable, good faith interpretations concerning the application of Sections 280G and 4999 of the Code. The Participant and the Company will furnish to the Accounting Firm such information and documents as the Accounting Firm may reasonably request in order to make a determination under this Section 6. The Company will bear all costs the Accounting Firm may incur in connection with any calculations contemplated by this Section 6.</w:t>
      </w:r>
    </w:p>
    <w:p>
      <w:pPr>
        <w:spacing w:after="0" w:line="188" w:lineRule="exact"/>
        <w:rPr>
          <w:sz w:val="20"/>
          <w:szCs w:val="20"/>
          <w:color w:val="auto"/>
        </w:rPr>
      </w:pPr>
    </w:p>
    <w:p>
      <w:pPr>
        <w:ind w:left="900" w:hanging="331"/>
        <w:spacing w:after="0"/>
        <w:tabs>
          <w:tab w:leader="none" w:pos="90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r>
        <w:rPr>
          <w:rFonts w:ascii="Arial" w:cs="Arial" w:eastAsia="Arial" w:hAnsi="Arial"/>
          <w:sz w:val="18"/>
          <w:szCs w:val="18"/>
          <w:color w:val="auto"/>
        </w:rPr>
        <w:t>.</w:t>
      </w:r>
    </w:p>
    <w:p>
      <w:pPr>
        <w:spacing w:after="0" w:line="187" w:lineRule="exact"/>
        <w:rPr>
          <w:sz w:val="20"/>
          <w:szCs w:val="20"/>
          <w:color w:val="auto"/>
        </w:rPr>
      </w:pPr>
    </w:p>
    <w:p>
      <w:pPr>
        <w:jc w:val="both"/>
        <w:ind w:right="20" w:firstLine="1075"/>
        <w:spacing w:after="0" w:line="23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Release Agreement</w:t>
      </w:r>
      <w:r>
        <w:rPr>
          <w:rFonts w:ascii="Arial" w:cs="Arial" w:eastAsia="Arial" w:hAnsi="Arial"/>
          <w:sz w:val="18"/>
          <w:szCs w:val="18"/>
          <w:color w:val="auto"/>
        </w:rPr>
        <w:t>. As a condition to receiving the Severance Benefits, each Participant will be required to sign and not revoke a separation and release of claims agreement in a form reasonably satisfactory to the Company (the “</w:t>
      </w:r>
      <w:r>
        <w:rPr>
          <w:rFonts w:ascii="Arial" w:cs="Arial" w:eastAsia="Arial" w:hAnsi="Arial"/>
          <w:sz w:val="18"/>
          <w:szCs w:val="18"/>
          <w:u w:val="single" w:color="auto"/>
          <w:color w:val="auto"/>
        </w:rPr>
        <w:t>Release</w:t>
      </w:r>
      <w:r>
        <w:rPr>
          <w:rFonts w:ascii="Arial" w:cs="Arial" w:eastAsia="Arial" w:hAnsi="Arial"/>
          <w:sz w:val="18"/>
          <w:szCs w:val="18"/>
          <w:color w:val="auto"/>
        </w:rPr>
        <w:t>”). In all cases, the Release must become effective and irrevocable no later than the 60th day following the Participant’s Involuntary Termination (the “</w:t>
      </w:r>
      <w:r>
        <w:rPr>
          <w:rFonts w:ascii="Arial" w:cs="Arial" w:eastAsia="Arial" w:hAnsi="Arial"/>
          <w:sz w:val="18"/>
          <w:szCs w:val="18"/>
          <w:u w:val="single" w:color="auto"/>
          <w:color w:val="auto"/>
        </w:rPr>
        <w:t>Release Deadline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If the Release does not become effective and irrevocable by the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CIC and Severance Plan for Key Employees</w:t>
      </w:r>
    </w:p>
    <w:p>
      <w:pPr>
        <w:sectPr>
          <w:pgSz w:w="11900" w:h="16838" w:orient="portrait"/>
          <w:cols w:equalWidth="0" w:num="1">
            <w:col w:w="11260"/>
          </w:cols>
          <w:pgMar w:left="320" w:top="1283" w:right="319" w:bottom="1440" w:gutter="0" w:footer="0" w:header="0"/>
        </w:sectPr>
      </w:pPr>
    </w:p>
    <w:bookmarkStart w:id="531" w:name="page532"/>
    <w:bookmarkEnd w:id="531"/>
    <w:p>
      <w:pPr>
        <w:jc w:val="both"/>
        <w:ind w:right="20"/>
        <w:spacing w:after="0" w:line="239" w:lineRule="auto"/>
        <w:rPr>
          <w:sz w:val="20"/>
          <w:szCs w:val="20"/>
          <w:color w:val="auto"/>
        </w:rPr>
      </w:pPr>
      <w:r>
        <w:rPr>
          <w:rFonts w:ascii="Arial" w:cs="Arial" w:eastAsia="Arial" w:hAnsi="Arial"/>
          <w:sz w:val="18"/>
          <w:szCs w:val="18"/>
          <w:color w:val="auto"/>
        </w:rPr>
        <w:t>Deadline Date, the Participant will forfeit any right to the Severance Benefits. In no event will the Severance Benefits be paid or provided until the Release becomes effective and irrevocable.</w:t>
      </w:r>
    </w:p>
    <w:p>
      <w:pPr>
        <w:spacing w:after="0" w:line="185" w:lineRule="exact"/>
        <w:rPr>
          <w:sz w:val="20"/>
          <w:szCs w:val="20"/>
          <w:color w:val="auto"/>
        </w:rPr>
      </w:pPr>
    </w:p>
    <w:p>
      <w:pPr>
        <w:jc w:val="both"/>
        <w:ind w:right="20" w:firstLine="1075"/>
        <w:spacing w:after="0" w:line="23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Confidential Information and Other Requirements</w:t>
      </w:r>
      <w:r>
        <w:rPr>
          <w:rFonts w:ascii="Arial" w:cs="Arial" w:eastAsia="Arial" w:hAnsi="Arial"/>
          <w:sz w:val="18"/>
          <w:szCs w:val="18"/>
          <w:color w:val="auto"/>
        </w:rPr>
        <w:t>. A Participant’s receipt of Severance Benefits will be subject to the Participant continuing to comply with the terms of any employee invention and confidentiality agreement or similar agreement, including any Individual Agreement that includes restrictive covenant obligations, between the Participant and the Company. Any unpaid Severance Benefits under this Plan will be forfeited immediately if the Participant violates any such agreement and/or the provisions of this Section 7.</w:t>
      </w:r>
    </w:p>
    <w:p>
      <w:pPr>
        <w:spacing w:after="0" w:line="186" w:lineRule="exact"/>
        <w:rPr>
          <w:sz w:val="20"/>
          <w:szCs w:val="20"/>
          <w:color w:val="auto"/>
        </w:rPr>
      </w:pPr>
    </w:p>
    <w:p>
      <w:pPr>
        <w:jc w:val="both"/>
        <w:ind w:firstLine="569"/>
        <w:spacing w:after="0" w:line="267" w:lineRule="auto"/>
        <w:tabs>
          <w:tab w:leader="none" w:pos="914"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Other Arrangements</w:t>
      </w:r>
      <w:r>
        <w:rPr>
          <w:rFonts w:ascii="Arial" w:cs="Arial" w:eastAsia="Arial" w:hAnsi="Arial"/>
          <w:sz w:val="16"/>
          <w:szCs w:val="16"/>
          <w:color w:val="auto"/>
        </w:rPr>
        <w:t xml:space="preserve">. Notwithstanding any provision of this Plan, but subject to the limitation on 280G Payments set forth in Section 6, in the case of an Involuntary Termination of a Participant who is party to one or more Individual Agreements, such Participant will be entitled under this Plan to receive (a) either (i) the aggregate cash severance payments provided under the circumstances of the termination by Sections 4.1, 4.2, 4.3, 5.1, 5.2, and 5.3, but subject to Section 5.5, of this Plan or (ii) the aggregate cash severance payments provided under the circumstances of the termination by such Individual Agreements, whichever of clauses (a)(i) and (a)(ii) is greater (but not both); and (b) either (i) the equity award acceleration benefits provided under the circumstances of the termination by Sections 5.4 and 5.5. of this Plan or (ii) the aggregate equity award acceleration benefits provided under the circumstances of the termination by such Individual Agreements, whichever of clauses (b)(i) and (b)(ii) is greater, determined based on the fair market value of a share of Class A Common Stock (as determined pursuant to the applicable equity plan under which such Equity Award was granted) at the time of termination (but not both), and by accepting benefits under clause (a)(i) and/or clause (b)(i), the Participant agrees, and shall be deemed to have agreed, to amend each Individual Agreement so as to waive its cash severance and/or equity acceleration (as applicable) benefits in favor of this Plan’s cash severance and/or equity acceleration (as applicable) benefits;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severance payments and other benefits provided herein or under such Individual Agreement will be made at the time and in the form necessary to comply with, and not trigger any taxes or penalties under, Section 409A. For the avoidance of doubt, any Severance Benefits payable hereunder will not result in a duplication of the amount the Participant is eligible to receive pursuant to any Individual Agreement. If a Participant was otherwise eligible to participate in any other Company severance and/or change in control plan (whether or not subject to ERISA), then participation in this Plan will supersede and replace eligibility in such other plan.</w:t>
      </w:r>
    </w:p>
    <w:p>
      <w:pPr>
        <w:spacing w:after="0" w:line="371" w:lineRule="exact"/>
        <w:rPr>
          <w:rFonts w:ascii="Arial" w:cs="Arial" w:eastAsia="Arial" w:hAnsi="Arial"/>
          <w:sz w:val="16"/>
          <w:szCs w:val="16"/>
          <w:color w:val="auto"/>
        </w:rPr>
      </w:pPr>
    </w:p>
    <w:p>
      <w:pPr>
        <w:ind w:left="900" w:hanging="331"/>
        <w:spacing w:after="0"/>
        <w:tabs>
          <w:tab w:leader="none" w:pos="90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87" w:lineRule="exact"/>
        <w:rPr>
          <w:sz w:val="20"/>
          <w:szCs w:val="20"/>
          <w:color w:val="auto"/>
        </w:rPr>
      </w:pPr>
    </w:p>
    <w:p>
      <w:pPr>
        <w:jc w:val="both"/>
        <w:ind w:right="20" w:firstLine="1075"/>
        <w:spacing w:after="0" w:line="237" w:lineRule="auto"/>
        <w:rPr>
          <w:sz w:val="20"/>
          <w:szCs w:val="20"/>
          <w:color w:val="auto"/>
        </w:rPr>
      </w:pPr>
      <w:r>
        <w:rPr>
          <w:rFonts w:ascii="Arial" w:cs="Arial" w:eastAsia="Arial" w:hAnsi="Arial"/>
          <w:sz w:val="18"/>
          <w:szCs w:val="18"/>
          <w:color w:val="auto"/>
        </w:rPr>
        <w:t>9.1. This Plan and the Severance Benefits are intended to comply with or be exempt from the requirements of Section 409A and will be construed and interpreted in accordance with such intent. To the extent that any Severance Benefit is subject to Section 409A, the Severance Benefit will be granted, paid, settled or deferred in a manner that will meet the requirements of Section 409A in order to avoid taxes or penalties under Section 409A</w:t>
      </w:r>
    </w:p>
    <w:p>
      <w:pPr>
        <w:spacing w:after="0" w:line="186" w:lineRule="exact"/>
        <w:rPr>
          <w:sz w:val="20"/>
          <w:szCs w:val="20"/>
          <w:color w:val="auto"/>
        </w:rPr>
      </w:pPr>
    </w:p>
    <w:p>
      <w:pPr>
        <w:jc w:val="both"/>
        <w:ind w:firstLine="1075"/>
        <w:spacing w:after="0" w:line="237" w:lineRule="auto"/>
        <w:rPr>
          <w:sz w:val="20"/>
          <w:szCs w:val="20"/>
          <w:color w:val="auto"/>
        </w:rPr>
      </w:pPr>
      <w:r>
        <w:rPr>
          <w:rFonts w:ascii="Arial" w:cs="Arial" w:eastAsia="Arial" w:hAnsi="Arial"/>
          <w:sz w:val="18"/>
          <w:szCs w:val="18"/>
          <w:color w:val="auto"/>
        </w:rPr>
        <w:t>9.2. No Participant or the creditors or beneficiaries of a Participant will have the right to subject any deferred compensation (within the meaning of Section 409A) payable under this Plan to any anticipation, alienation, sale, transfer, assignment, pledge, encumbrance, attachment or garnishment. Except as permitted under Section 409A, any deferred compensation (within the meaning of Section 409A) payable to any Participant or for the benefit of any Participant under this Plan may not be reduced by, or offset against, any amount owing by any such Participant to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CIC and Severance Plan for Key Employees</w:t>
      </w:r>
    </w:p>
    <w:p>
      <w:pPr>
        <w:sectPr>
          <w:pgSz w:w="11900" w:h="16838" w:orient="portrait"/>
          <w:cols w:equalWidth="0" w:num="1">
            <w:col w:w="11260"/>
          </w:cols>
          <w:pgMar w:left="320" w:top="1283" w:right="319" w:bottom="1440" w:gutter="0" w:footer="0" w:header="0"/>
        </w:sectPr>
      </w:pPr>
    </w:p>
    <w:bookmarkStart w:id="532" w:name="page533"/>
    <w:bookmarkEnd w:id="532"/>
    <w:p>
      <w:pPr>
        <w:jc w:val="both"/>
        <w:ind w:left="4" w:firstLine="1075"/>
        <w:spacing w:after="0" w:line="236" w:lineRule="auto"/>
        <w:rPr>
          <w:sz w:val="20"/>
          <w:szCs w:val="20"/>
          <w:color w:val="auto"/>
        </w:rPr>
      </w:pPr>
      <w:r>
        <w:rPr>
          <w:rFonts w:ascii="Arial" w:cs="Arial" w:eastAsia="Arial" w:hAnsi="Arial"/>
          <w:sz w:val="18"/>
          <w:szCs w:val="18"/>
          <w:color w:val="auto"/>
        </w:rPr>
        <w:t>9.3. If, at the time of a Participant’s separation from service (within the meaning of Section 409A), (a) such Participant is a specified employee (within the meaning of Section 409A and using the identification methodology selected by the Company from time to time) and (b) the Company makes a good-faith determination that an amount payable pursuant to this Plan constitutes deferred compensation (within the meaning of Section 409A), the payment of which is required to be delayed pursuant to the six-month delay rule set forth in Section 409A in order to avoid taxes or penalties under Section 409A, then the Company will not pay such amount on the otherwise scheduled payment date but will instead pay it on the first business day after such six-month period. Such amount will be paid without interest, unless otherwise determined by the Administrator, in its discretion, or as otherwise provided in any Individual Agreement.</w:t>
      </w:r>
    </w:p>
    <w:p>
      <w:pPr>
        <w:spacing w:after="0" w:line="188" w:lineRule="exact"/>
        <w:rPr>
          <w:sz w:val="20"/>
          <w:szCs w:val="20"/>
          <w:color w:val="auto"/>
        </w:rPr>
      </w:pPr>
    </w:p>
    <w:p>
      <w:pPr>
        <w:jc w:val="both"/>
        <w:ind w:left="4" w:firstLine="1075"/>
        <w:spacing w:after="0" w:line="236" w:lineRule="auto"/>
        <w:rPr>
          <w:sz w:val="20"/>
          <w:szCs w:val="20"/>
          <w:color w:val="auto"/>
        </w:rPr>
      </w:pPr>
      <w:r>
        <w:rPr>
          <w:rFonts w:ascii="Arial" w:cs="Arial" w:eastAsia="Arial" w:hAnsi="Arial"/>
          <w:sz w:val="18"/>
          <w:szCs w:val="18"/>
          <w:color w:val="auto"/>
        </w:rPr>
        <w:t>9.4. Notwithstanding any provision of this Plan to the contrary, in light of the uncertainty with respect to the proper application of Section 409A, the Company reserves the right to make amendments to this Plan as the Company deems necessary or desirable, in its sole discretion and without the consent of the Participants, to avoid the imposition of taxes or penalties under Section 409A. In any case, a Participant will be solely responsible and liable for the satisfaction of all taxes and penalties that may be imposed on such Participant or for such Participant’s account in connection with any Severance Benefits (including any taxes and penalties under Section 409A), and neither the Company nor any of its Affiliates will have any obligation to indemnify or otherwise hold such Participant harmless from any or all of such taxes or penalties.</w:t>
      </w:r>
    </w:p>
    <w:p>
      <w:pPr>
        <w:spacing w:after="0" w:line="188" w:lineRule="exact"/>
        <w:rPr>
          <w:sz w:val="20"/>
          <w:szCs w:val="20"/>
          <w:color w:val="auto"/>
        </w:rPr>
      </w:pPr>
    </w:p>
    <w:p>
      <w:pPr>
        <w:jc w:val="both"/>
        <w:ind w:left="4" w:right="20" w:firstLine="1075"/>
        <w:spacing w:after="0" w:line="238" w:lineRule="auto"/>
        <w:rPr>
          <w:sz w:val="20"/>
          <w:szCs w:val="20"/>
          <w:color w:val="auto"/>
        </w:rPr>
      </w:pPr>
      <w:r>
        <w:rPr>
          <w:rFonts w:ascii="Arial" w:cs="Arial" w:eastAsia="Arial" w:hAnsi="Arial"/>
          <w:sz w:val="18"/>
          <w:szCs w:val="18"/>
          <w:color w:val="auto"/>
        </w:rPr>
        <w:t>9.5. Each payment and benefit payable under this Plan is intended to constitute a separate payment for purposes of Section 409A. In addition, to the extent necessary to comply with Section 409A of the Code, if the period during which a Release must be executed and become irrevocable spans two calendar years, payment of the Severance Benefits will commence in the second calendar year.</w:t>
      </w:r>
    </w:p>
    <w:p>
      <w:pPr>
        <w:spacing w:after="0" w:line="163" w:lineRule="exact"/>
        <w:rPr>
          <w:sz w:val="20"/>
          <w:szCs w:val="20"/>
          <w:color w:val="auto"/>
        </w:rPr>
      </w:pPr>
    </w:p>
    <w:p>
      <w:pPr>
        <w:jc w:val="both"/>
        <w:ind w:left="4" w:right="20" w:firstLine="569"/>
        <w:spacing w:after="0" w:line="245" w:lineRule="auto"/>
        <w:tabs>
          <w:tab w:leader="none" w:pos="1064" w:val="left"/>
        </w:tabs>
        <w:numPr>
          <w:ilvl w:val="1"/>
          <w:numId w:val="298"/>
        </w:numPr>
        <w:rPr>
          <w:rFonts w:ascii="Arial" w:cs="Arial" w:eastAsia="Arial" w:hAnsi="Arial"/>
          <w:sz w:val="18"/>
          <w:szCs w:val="18"/>
          <w:color w:val="auto"/>
        </w:rPr>
      </w:pPr>
      <w:r>
        <w:rPr>
          <w:rFonts w:ascii="Arial" w:cs="Arial" w:eastAsia="Arial" w:hAnsi="Arial"/>
          <w:sz w:val="18"/>
          <w:szCs w:val="18"/>
          <w:u w:val="single" w:color="auto"/>
          <w:color w:val="auto"/>
        </w:rPr>
        <w:t>Withholdings</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or any Affiliate will have the right and is hereby authorized to withhold from any Severance Benefits due under this Plan or from any compensation or other amount owing to a Participant, the amount (in cash, shares, other securities or other property) of any applicable withholding taxes in respect of the amounts payable under this Plan and to take such other action as may be necessary in the opinion of the Administrator or the Company to satisfy all obligations for the payment of such taxes.</w:t>
      </w:r>
    </w:p>
    <w:p>
      <w:pPr>
        <w:spacing w:after="0" w:line="158" w:lineRule="exact"/>
        <w:rPr>
          <w:rFonts w:ascii="Arial" w:cs="Arial" w:eastAsia="Arial" w:hAnsi="Arial"/>
          <w:sz w:val="18"/>
          <w:szCs w:val="18"/>
          <w:color w:val="auto"/>
        </w:rPr>
      </w:pPr>
    </w:p>
    <w:p>
      <w:pPr>
        <w:jc w:val="both"/>
        <w:ind w:left="4" w:firstLine="569"/>
        <w:spacing w:after="0" w:line="269" w:lineRule="auto"/>
        <w:tabs>
          <w:tab w:leader="none" w:pos="1040" w:val="left"/>
        </w:tabs>
        <w:numPr>
          <w:ilvl w:val="1"/>
          <w:numId w:val="298"/>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b w:val="1"/>
          <w:bCs w:val="1"/>
          <w:color w:val="auto"/>
        </w:rPr>
        <w:t>.</w:t>
      </w:r>
      <w:r>
        <w:rPr>
          <w:rFonts w:ascii="Arial" w:cs="Arial" w:eastAsia="Arial" w:hAnsi="Arial"/>
          <w:sz w:val="16"/>
          <w:szCs w:val="16"/>
          <w:color w:val="auto"/>
        </w:rPr>
        <w:t xml:space="preserve"> This Plan will be administered and interpreted by the Administrator (in his or her sole discretion). The Administrator is the “named fiduciary” of this Plan for purposes of ERISA and will be subject to the fiduciary standards of ERISA when acting in such capacity. Any decision made or other action taken by the Administrator with respect to this Plan, and any interpretation by the Administrator of any term or condition of this Plan, or any related document, will be conclusive and binding on all persons and be given the maximum possible deference allowed by law. In accordance with Section 2.1, the Administrator (a) may, in its sole discretion and on such terms and conditions as it may provide, delegate in writing to one or more officers of the Company all or any portion of its authority or responsibility with respect to this Plan and</w:t>
      </w:r>
    </w:p>
    <w:p>
      <w:pPr>
        <w:spacing w:after="0" w:line="3" w:lineRule="exact"/>
        <w:rPr>
          <w:rFonts w:ascii="Arial" w:cs="Arial" w:eastAsia="Arial" w:hAnsi="Arial"/>
          <w:sz w:val="16"/>
          <w:szCs w:val="16"/>
          <w:color w:val="auto"/>
        </w:rPr>
      </w:pPr>
    </w:p>
    <w:p>
      <w:pPr>
        <w:jc w:val="both"/>
        <w:ind w:left="4" w:right="20" w:hanging="4"/>
        <w:spacing w:after="0" w:line="238" w:lineRule="auto"/>
        <w:tabs>
          <w:tab w:leader="none" w:pos="26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has the authority to act for the Company (in a non-fiduciary capacity) as to any matter pertaining to this Plan;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any Plan amendment or termination or any other action that reasonably could be expected to increase materially the cost of this Plan must be approved by the Board.</w:t>
      </w:r>
    </w:p>
    <w:p>
      <w:pPr>
        <w:spacing w:after="0" w:line="184" w:lineRule="exact"/>
        <w:rPr>
          <w:rFonts w:ascii="Arial" w:cs="Arial" w:eastAsia="Arial" w:hAnsi="Arial"/>
          <w:sz w:val="18"/>
          <w:szCs w:val="18"/>
          <w:color w:val="auto"/>
        </w:rPr>
      </w:pPr>
    </w:p>
    <w:p>
      <w:pPr>
        <w:ind w:left="4" w:firstLine="569"/>
        <w:spacing w:after="0" w:line="239" w:lineRule="auto"/>
        <w:tabs>
          <w:tab w:leader="none" w:pos="1052"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 To the extent that the Administrator has delegated administrative authority or responsibility to one or more officers of the Company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auto"/>
        </w:rPr>
        <w:t>CIC and Severance Plan for Key Employees</w:t>
      </w:r>
    </w:p>
    <w:p>
      <w:pPr>
        <w:sectPr>
          <w:pgSz w:w="11900" w:h="16838" w:orient="portrait"/>
          <w:cols w:equalWidth="0" w:num="1">
            <w:col w:w="11264"/>
          </w:cols>
          <w:pgMar w:left="316" w:top="1282" w:right="319" w:bottom="1440" w:gutter="0" w:footer="0" w:header="0"/>
        </w:sectPr>
      </w:pPr>
    </w:p>
    <w:bookmarkStart w:id="533" w:name="page534"/>
    <w:bookmarkEnd w:id="533"/>
    <w:p>
      <w:pPr>
        <w:jc w:val="both"/>
        <w:spacing w:after="0" w:line="237" w:lineRule="auto"/>
        <w:rPr>
          <w:sz w:val="20"/>
          <w:szCs w:val="20"/>
          <w:color w:val="auto"/>
        </w:rPr>
      </w:pPr>
      <w:r>
        <w:rPr>
          <w:rFonts w:ascii="Arial" w:cs="Arial" w:eastAsia="Arial" w:hAnsi="Arial"/>
          <w:sz w:val="18"/>
          <w:szCs w:val="18"/>
          <w:color w:val="auto"/>
        </w:rPr>
        <w:t>Sections 2.1 and 11, each such officer will not be excluded from participating in this Plan if otherwise eligible, but he or she is not entitled to act upon or make determinations regarding any matters pertaining specifically to his or her own benefit or eligibility under this Plan. The Administrator will act upon and make determinations regarding any matters pertaining specifically to the benefit or eligibility of each such officer under this Plan.</w:t>
      </w:r>
    </w:p>
    <w:p>
      <w:pPr>
        <w:spacing w:after="0" w:line="186" w:lineRule="exact"/>
        <w:rPr>
          <w:sz w:val="20"/>
          <w:szCs w:val="20"/>
          <w:color w:val="auto"/>
        </w:rPr>
      </w:pPr>
    </w:p>
    <w:p>
      <w:pPr>
        <w:jc w:val="both"/>
        <w:ind w:firstLine="569"/>
        <w:spacing w:after="0" w:line="236" w:lineRule="auto"/>
        <w:tabs>
          <w:tab w:leader="none" w:pos="1083"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xml:space="preserve">. The Board, by action of the Administrator, reserves the right to amend or terminate this Plan or the benefits provided hereunder at any time, subject to the provisions of this Section 13. Any amendment or termination will be effective as of the date determined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set forth in Section 9, any such amendment or termination will not affect any right of any Participant to claim benefits under this Plan for events occurring prior to the effective date of such amendment or termination. Any amendment or termination of this Plan will be in writing. Notwithstanding the foregoing, beginning on the date that a Change in Control occurs, the Company may not, without a Participant’s written consent, amend or terminate this Plan in any way, nor take any other action under this Plan, which (a) prevents the Participant from becoming eligible for Severance Benefits or (b) reduces or alters to the detriment of the Participant the Severance Benefits payable, or potentially payable, to the Participant (including, without limitation, imposing additional conditions). Any action of the Company in amending or terminating this Plan will be taken in a non-fiduciary capacity.</w:t>
      </w:r>
    </w:p>
    <w:p>
      <w:pPr>
        <w:spacing w:after="0" w:line="187" w:lineRule="exact"/>
        <w:rPr>
          <w:rFonts w:ascii="Arial" w:cs="Arial" w:eastAsia="Arial" w:hAnsi="Arial"/>
          <w:sz w:val="18"/>
          <w:szCs w:val="18"/>
          <w:color w:val="auto"/>
        </w:rPr>
      </w:pPr>
    </w:p>
    <w:p>
      <w:pPr>
        <w:ind w:left="1000" w:hanging="431"/>
        <w:spacing w:after="0"/>
        <w:tabs>
          <w:tab w:leader="none" w:pos="100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Claims and Appeals</w:t>
      </w:r>
      <w:r>
        <w:rPr>
          <w:rFonts w:ascii="Arial" w:cs="Arial" w:eastAsia="Arial" w:hAnsi="Arial"/>
          <w:sz w:val="18"/>
          <w:szCs w:val="18"/>
          <w:color w:val="auto"/>
        </w:rPr>
        <w:t>.</w:t>
      </w:r>
    </w:p>
    <w:p>
      <w:pPr>
        <w:spacing w:after="0" w:line="187" w:lineRule="exact"/>
        <w:rPr>
          <w:sz w:val="20"/>
          <w:szCs w:val="20"/>
          <w:color w:val="auto"/>
        </w:rPr>
      </w:pPr>
    </w:p>
    <w:p>
      <w:pPr>
        <w:jc w:val="both"/>
        <w:ind w:firstLine="1075"/>
        <w:spacing w:after="0" w:line="269"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Claims Procedure</w:t>
      </w:r>
      <w:r>
        <w:rPr>
          <w:rFonts w:ascii="Arial" w:cs="Arial" w:eastAsia="Arial" w:hAnsi="Arial"/>
          <w:sz w:val="16"/>
          <w:szCs w:val="16"/>
          <w:color w:val="auto"/>
        </w:rPr>
        <w:t>. Any employee or other person who believes he or she is entitled to any Severance Benefits may submit a claim in writing to the Administrator within 90 days of the earlier of (a) the date the claimant learned the amount of his or her Severance Benefits or (b) the date the claimant learned that he or she will not be entitled to any Severance Benefits. If the claim is denied (in full or in part), the claimant will be provided a written notice explaining the specific reasons for the denial and referring to the provisions of this Plan on which the denial is based. The notice also will describe any additional information needed to support the claim and this Plan’s procedures for appealing the denial. The denial notice will be provided within 90 days after the claim is received. If special circumstances require an extension of time (up to 90 days), written notice of the extension will be given within the initial 90-day period. This notice of extension will indicate the special circumstances requiring the extension of time and the date by which the Administrator expects to render its decision on the claim.</w:t>
      </w:r>
    </w:p>
    <w:p>
      <w:pPr>
        <w:spacing w:after="0" w:line="167" w:lineRule="exact"/>
        <w:rPr>
          <w:sz w:val="20"/>
          <w:szCs w:val="20"/>
          <w:color w:val="auto"/>
        </w:rPr>
      </w:pPr>
    </w:p>
    <w:p>
      <w:pPr>
        <w:jc w:val="both"/>
        <w:ind w:firstLine="1075"/>
        <w:spacing w:after="0" w:line="269"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Appeal Procedure</w:t>
      </w:r>
      <w:r>
        <w:rPr>
          <w:rFonts w:ascii="Arial" w:cs="Arial" w:eastAsia="Arial" w:hAnsi="Arial"/>
          <w:sz w:val="16"/>
          <w:szCs w:val="16"/>
          <w:color w:val="auto"/>
        </w:rPr>
        <w:t>. If the claimant’s claim is denied, the claimant (or his or her authorized representative) may apply in writing to the Administrator for a review of the decision denying the claim. Review must be requested within 60 days following the date the claimant received the written notice of their claim denial or else the claimant loses the right to review. The claimant (or representative) then has the right to review and obtain copies of all documents and other information relevant to the claim, upon request and at no charge, and to submit issues and comments in writing. The Administrator will provide written notice of its decision on review within 60 days after it receives a review request. If additional time (up to 60 days) is needed to review the request, the claimant (or representative) will be given written notice of the reason for the delay. This notice of extension will indicate the special circumstances requiring the extension of time and the date by which the Administrator expects to render its decision. If the claim is denied (in full or in part), the claimant will be provided a written notice explaining the specific reasons for the denial and referring to the provisions of this Plan on which the denial is based. The notice also will include a statement that the claimant will be provided, upon request and free of charge, reasonable access to, and copies of, all documents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CIC and Severance Plan for Key Employees</w:t>
      </w:r>
    </w:p>
    <w:p>
      <w:pPr>
        <w:sectPr>
          <w:pgSz w:w="11900" w:h="16838" w:orient="portrait"/>
          <w:cols w:equalWidth="0" w:num="1">
            <w:col w:w="11260"/>
          </w:cols>
          <w:pgMar w:left="320" w:top="1283" w:right="319" w:bottom="1440" w:gutter="0" w:footer="0" w:header="0"/>
        </w:sectPr>
      </w:pPr>
    </w:p>
    <w:bookmarkStart w:id="534" w:name="page535"/>
    <w:bookmarkEnd w:id="534"/>
    <w:p>
      <w:pPr>
        <w:ind w:right="20"/>
        <w:spacing w:after="0" w:line="239" w:lineRule="auto"/>
        <w:rPr>
          <w:sz w:val="20"/>
          <w:szCs w:val="20"/>
          <w:color w:val="auto"/>
        </w:rPr>
      </w:pPr>
      <w:r>
        <w:rPr>
          <w:rFonts w:ascii="Arial" w:cs="Arial" w:eastAsia="Arial" w:hAnsi="Arial"/>
          <w:sz w:val="18"/>
          <w:szCs w:val="18"/>
          <w:color w:val="auto"/>
        </w:rPr>
        <w:t>information relevant to the claim and a statement regarding the claimant’s right to bring an action under Section 502(a) of ERISA. The decision of the Administrator is final and binding on all parties.</w:t>
      </w:r>
    </w:p>
    <w:p>
      <w:pPr>
        <w:spacing w:after="0" w:line="185" w:lineRule="exact"/>
        <w:rPr>
          <w:sz w:val="20"/>
          <w:szCs w:val="20"/>
          <w:color w:val="auto"/>
        </w:rPr>
      </w:pPr>
    </w:p>
    <w:p>
      <w:pPr>
        <w:ind w:left="1000" w:hanging="431"/>
        <w:spacing w:after="0"/>
        <w:tabs>
          <w:tab w:leader="none" w:pos="100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The parties will each bear their own expenses, legal fees and other fees incurred in connection with this Plan.</w:t>
      </w:r>
    </w:p>
    <w:p>
      <w:pPr>
        <w:spacing w:after="0" w:line="187" w:lineRule="exact"/>
        <w:rPr>
          <w:rFonts w:ascii="Arial" w:cs="Arial" w:eastAsia="Arial" w:hAnsi="Arial"/>
          <w:sz w:val="18"/>
          <w:szCs w:val="18"/>
          <w:color w:val="auto"/>
        </w:rPr>
      </w:pPr>
    </w:p>
    <w:p>
      <w:pPr>
        <w:jc w:val="both"/>
        <w:ind w:right="20" w:firstLine="569"/>
        <w:spacing w:after="0" w:line="238" w:lineRule="auto"/>
        <w:tabs>
          <w:tab w:leader="none" w:pos="1071"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Source of Payments</w:t>
      </w:r>
      <w:r>
        <w:rPr>
          <w:rFonts w:ascii="Arial" w:cs="Arial" w:eastAsia="Arial" w:hAnsi="Arial"/>
          <w:sz w:val="18"/>
          <w:szCs w:val="18"/>
          <w:color w:val="auto"/>
        </w:rPr>
        <w:t>. All payments under this Plan will be paid from the general funds of the Company; no separate fund will be established under this Plan, and this Plan will have no assets. No right of any person to receive any payment under this Plan will be any greater than the right of any other general unsecured creditor of the Company.</w:t>
      </w:r>
    </w:p>
    <w:p>
      <w:pPr>
        <w:spacing w:after="0" w:line="184" w:lineRule="exact"/>
        <w:rPr>
          <w:rFonts w:ascii="Arial" w:cs="Arial" w:eastAsia="Arial" w:hAnsi="Arial"/>
          <w:sz w:val="18"/>
          <w:szCs w:val="18"/>
          <w:color w:val="auto"/>
        </w:rPr>
      </w:pPr>
    </w:p>
    <w:p>
      <w:pPr>
        <w:jc w:val="both"/>
        <w:ind w:firstLine="569"/>
        <w:spacing w:after="0" w:line="238" w:lineRule="auto"/>
        <w:tabs>
          <w:tab w:leader="none" w:pos="1083"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Benefits Nontransferable</w:t>
      </w:r>
      <w:r>
        <w:rPr>
          <w:rFonts w:ascii="Arial" w:cs="Arial" w:eastAsia="Arial" w:hAnsi="Arial"/>
          <w:sz w:val="18"/>
          <w:szCs w:val="18"/>
          <w:color w:val="auto"/>
        </w:rPr>
        <w:t>. In no event may any current or former employee of the Company or any of its Affiliates sell, transfer, anticipate, assign or otherwise dispose of any right or interest under this Plan. At no time will any such right or interest be subject to the claims of creditors nor liable to attachment, execution or other legal process.</w:t>
      </w:r>
    </w:p>
    <w:p>
      <w:pPr>
        <w:spacing w:after="0" w:line="184" w:lineRule="exact"/>
        <w:rPr>
          <w:rFonts w:ascii="Arial" w:cs="Arial" w:eastAsia="Arial" w:hAnsi="Arial"/>
          <w:sz w:val="18"/>
          <w:szCs w:val="18"/>
          <w:color w:val="auto"/>
        </w:rPr>
      </w:pPr>
    </w:p>
    <w:p>
      <w:pPr>
        <w:jc w:val="both"/>
        <w:ind w:firstLine="569"/>
        <w:spacing w:after="0" w:line="237" w:lineRule="auto"/>
        <w:tabs>
          <w:tab w:leader="none" w:pos="1059"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Neither the establishment or maintenance or amendment of this Plan, nor the making of any benefit payment hereunder, will be construed to confer upon any individual any right to continue to be an employee of the Company. This Plan in no way alters a Participant’s at-will employment arrangement with the Company, and the Company expressly reserves the right to discharge any of its employees, including the Participant, at any time, with or without cause. However, as described in this Plan, a Participant may be entitled to Severance Benefits depending upon the circumstances of his or her termination of employment.</w:t>
      </w:r>
    </w:p>
    <w:p>
      <w:pPr>
        <w:spacing w:after="0" w:line="184" w:lineRule="exact"/>
        <w:rPr>
          <w:rFonts w:ascii="Arial" w:cs="Arial" w:eastAsia="Arial" w:hAnsi="Arial"/>
          <w:sz w:val="18"/>
          <w:szCs w:val="18"/>
          <w:color w:val="auto"/>
        </w:rPr>
      </w:pPr>
    </w:p>
    <w:p>
      <w:pPr>
        <w:jc w:val="both"/>
        <w:ind w:firstLine="569"/>
        <w:spacing w:after="0" w:line="237" w:lineRule="auto"/>
        <w:tabs>
          <w:tab w:leader="none" w:pos="1059"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Any successor to the Company of all or substantially all of the Company’s business and/or assets (whether direct or indirect and whether by purchase, merger, consolidation, liquidation or other transaction) will assume the obligations under this Plan and agree expressly to perform the obligations under this Plan in the same manner and to the same extent as the Company would be required to perform such obligations in the absence of a succession. For all purposes under this Plan, the term “Company” will include any successor to the Company’s business and/or assets which become bound by the terms of this Plan by operation of law, or otherwise.</w:t>
      </w:r>
    </w:p>
    <w:p>
      <w:pPr>
        <w:spacing w:after="0" w:line="184" w:lineRule="exact"/>
        <w:rPr>
          <w:rFonts w:ascii="Arial" w:cs="Arial" w:eastAsia="Arial" w:hAnsi="Arial"/>
          <w:sz w:val="18"/>
          <w:szCs w:val="18"/>
          <w:color w:val="auto"/>
        </w:rPr>
      </w:pPr>
    </w:p>
    <w:p>
      <w:pPr>
        <w:jc w:val="both"/>
        <w:ind w:firstLine="569"/>
        <w:spacing w:after="0" w:line="237" w:lineRule="auto"/>
        <w:tabs>
          <w:tab w:leader="none" w:pos="1036"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Plan will be governed by, and construed in accordance with, ERISA, and, to the extent applicable, the laws of the State of Delaware, as such laws are applied to contracts entered into and performed in such State. For purposes of any action, lawsuit or other proceedings brought to enforce this Plan, relating to it, or arising from it, the parties hereby submit to and consent to the sole and exclusive jurisdiction of the courts of San Mateo County, California, or the federal courts for the United States for the Northern District of California, and no other courts, where this grant is made and/or to be performed.</w:t>
      </w:r>
    </w:p>
    <w:p>
      <w:pPr>
        <w:spacing w:after="0" w:line="184" w:lineRule="exact"/>
        <w:rPr>
          <w:rFonts w:ascii="Arial" w:cs="Arial" w:eastAsia="Arial" w:hAnsi="Arial"/>
          <w:sz w:val="18"/>
          <w:szCs w:val="18"/>
          <w:color w:val="auto"/>
        </w:rPr>
      </w:pPr>
    </w:p>
    <w:p>
      <w:pPr>
        <w:jc w:val="both"/>
        <w:ind w:firstLine="569"/>
        <w:spacing w:after="0" w:line="238" w:lineRule="auto"/>
        <w:tabs>
          <w:tab w:leader="none" w:pos="1059"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Plan is or becomes or is deemed to be invalid, illegal, or unenforceable for any reason in any jurisdiction or as to any Participant, such invalidity, illegality or unenforceability will not affect the remaining parts of this Plan, and this Plan will be construed and enforced as to such jurisdiction or Participant as if the invalid, illegal or unenforceable provision had not been included.</w:t>
      </w:r>
    </w:p>
    <w:p>
      <w:pPr>
        <w:spacing w:after="0" w:line="184" w:lineRule="exact"/>
        <w:rPr>
          <w:rFonts w:ascii="Arial" w:cs="Arial" w:eastAsia="Arial" w:hAnsi="Arial"/>
          <w:sz w:val="18"/>
          <w:szCs w:val="18"/>
          <w:color w:val="auto"/>
        </w:rPr>
      </w:pPr>
    </w:p>
    <w:p>
      <w:pPr>
        <w:jc w:val="both"/>
        <w:ind w:firstLine="569"/>
        <w:spacing w:after="0" w:line="238" w:lineRule="auto"/>
        <w:tabs>
          <w:tab w:leader="none" w:pos="1059"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Headings and Construction</w:t>
      </w:r>
      <w:r>
        <w:rPr>
          <w:rFonts w:ascii="Arial" w:cs="Arial" w:eastAsia="Arial" w:hAnsi="Arial"/>
          <w:sz w:val="18"/>
          <w:szCs w:val="18"/>
          <w:color w:val="auto"/>
        </w:rPr>
        <w:t>. Headings are given to the Sections and subsections of this Plan solely as a convenience to facilitate reference. Such headings will not be deemed in any way material or relevant to the construction or interpretation of this Plan or any provision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CIC and Severance Plan for Key Employees</w:t>
      </w:r>
    </w:p>
    <w:p>
      <w:pPr>
        <w:sectPr>
          <w:pgSz w:w="11900" w:h="16838" w:orient="portrait"/>
          <w:cols w:equalWidth="0" w:num="1">
            <w:col w:w="11260"/>
          </w:cols>
          <w:pgMar w:left="320" w:top="1283" w:right="319" w:bottom="1440" w:gutter="0" w:footer="0" w:header="0"/>
        </w:sectPr>
      </w:pPr>
    </w:p>
    <w:bookmarkStart w:id="535" w:name="page536"/>
    <w:bookmarkEnd w:id="535"/>
    <w:p>
      <w:pPr>
        <w:jc w:val="both"/>
        <w:spacing w:after="0" w:line="238" w:lineRule="auto"/>
        <w:rPr>
          <w:sz w:val="20"/>
          <w:szCs w:val="20"/>
          <w:color w:val="auto"/>
        </w:rPr>
      </w:pPr>
      <w:r>
        <w:rPr>
          <w:rFonts w:ascii="Arial" w:cs="Arial" w:eastAsia="Arial" w:hAnsi="Arial"/>
          <w:sz w:val="18"/>
          <w:szCs w:val="18"/>
          <w:color w:val="auto"/>
        </w:rPr>
        <w:t>Whenever the words “include”, “includes” or “including” are used in this Plan, they will be deemed to be followed by the words “but not limited to”, and the word “or” will not be deemed to be exclusive. Pronouns and other words of gender will be read as gender neutral. Words importing the plural will include the singular and the singular will include the plural.</w:t>
      </w:r>
    </w:p>
    <w:p>
      <w:pPr>
        <w:spacing w:after="0" w:line="185" w:lineRule="exact"/>
        <w:rPr>
          <w:sz w:val="20"/>
          <w:szCs w:val="20"/>
          <w:color w:val="auto"/>
        </w:rPr>
      </w:pPr>
    </w:p>
    <w:p>
      <w:pPr>
        <w:jc w:val="both"/>
        <w:ind w:right="20" w:firstLine="569"/>
        <w:spacing w:after="0" w:line="273" w:lineRule="auto"/>
        <w:tabs>
          <w:tab w:leader="none" w:pos="1036"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hereby agrees to indemnify and hold harmless the officers and employees of the Company, and the members of its Board, from all losses, claims, costs or other liabilities arising from their acts or omissions in connection with the administration, amendment or termination of this Plan, to the maximum extent permitted by applicable law. This indemnity will cover all such liabilities, including judgments, settlements and costs of defense. The Company will provide this indemnity from its own funds to the extent that insurance does not cover such liabilities. This indemnity is in addition to and not in lieu of any other indemnity provided to such person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CIC and Severance Plan for Key Employees</w:t>
      </w:r>
    </w:p>
    <w:p>
      <w:pPr>
        <w:sectPr>
          <w:pgSz w:w="11900" w:h="16838" w:orient="portrait"/>
          <w:cols w:equalWidth="0" w:num="1">
            <w:col w:w="11260"/>
          </w:cols>
          <w:pgMar w:left="320" w:top="1283" w:right="319" w:bottom="1440" w:gutter="0" w:footer="0" w:header="0"/>
        </w:sectPr>
      </w:pPr>
    </w:p>
    <w:bookmarkStart w:id="536" w:name="page537"/>
    <w:bookmarkEnd w:id="536"/>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333333"/>
        </w:rPr>
        <w:t>Consent of Independent Registered Public Accounting Firm</w:t>
      </w:r>
    </w:p>
    <w:p>
      <w:pPr>
        <w:spacing w:after="0" w:line="397" w:lineRule="exact"/>
        <w:rPr>
          <w:sz w:val="20"/>
          <w:szCs w:val="20"/>
          <w:color w:val="auto"/>
        </w:rPr>
      </w:pPr>
    </w:p>
    <w:p>
      <w:pPr>
        <w:ind w:right="20"/>
        <w:spacing w:after="0" w:line="336" w:lineRule="auto"/>
        <w:rPr>
          <w:sz w:val="20"/>
          <w:szCs w:val="20"/>
          <w:color w:val="auto"/>
        </w:rPr>
      </w:pPr>
      <w:r>
        <w:rPr>
          <w:rFonts w:ascii="Arial" w:cs="Arial" w:eastAsia="Arial" w:hAnsi="Arial"/>
          <w:sz w:val="17"/>
          <w:szCs w:val="17"/>
          <w:color w:val="333333"/>
        </w:rPr>
        <w:t>We consent to the reference to our firm under the caption "Experts" and to the use of our report dated March 22, 2021, in Amendment No. 1 to the Registration Statement (Form S-1) and related Prospectus of Robinhood Markets, Inc. for the registration of shares of its Class A common stock.</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July 19, 2021</w:t>
      </w:r>
    </w:p>
    <w:sectPr>
      <w:pgSz w:w="11900" w:h="16838" w:orient="portrait"/>
      <w:cols w:equalWidth="0" w:num="1">
        <w:col w:w="11260"/>
      </w:cols>
      <w:pgMar w:left="320" w:top="12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6F2E30"/>
    <w:multiLevelType w:val="hybridMultilevel"/>
    <w:lvl w:ilvl="0">
      <w:lvlJc w:val="left"/>
      <w:lvlText w:val="%1."/>
      <w:numFmt w:val="decimal"/>
      <w:start w:val="1"/>
    </w:lvl>
  </w:abstractNum>
  <w:abstractNum w:abstractNumId="1">
    <w:nsid w:val="6FDE8AF6"/>
    <w:multiLevelType w:val="hybridMultilevel"/>
    <w:lvl w:ilvl="0">
      <w:lvlJc w:val="left"/>
      <w:lvlText w:val="(%1)"/>
      <w:numFmt w:val="decimal"/>
      <w:start w:val="1"/>
    </w:lvl>
  </w:abstractNum>
  <w:abstractNum w:abstractNumId="2">
    <w:nsid w:val="3FC32E20"/>
    <w:multiLevelType w:val="hybridMultilevel"/>
    <w:lvl w:ilvl="0">
      <w:lvlJc w:val="left"/>
      <w:lvlText w:val="•"/>
      <w:numFmt w:val="bullet"/>
      <w:start w:val="1"/>
    </w:lvl>
  </w:abstractNum>
  <w:abstractNum w:abstractNumId="3">
    <w:nsid w:val="49C0E823"/>
    <w:multiLevelType w:val="hybridMultilevel"/>
    <w:lvl w:ilvl="0">
      <w:lvlJc w:val="left"/>
      <w:lvlText w:val="•"/>
      <w:numFmt w:val="bullet"/>
      <w:start w:val="1"/>
    </w:lvl>
  </w:abstractNum>
  <w:abstractNum w:abstractNumId="4">
    <w:nsid w:val="14D53685"/>
    <w:multiLevelType w:val="hybridMultilevel"/>
    <w:lvl w:ilvl="0">
      <w:lvlJc w:val="left"/>
      <w:lvlText w:val="•"/>
      <w:numFmt w:val="bullet"/>
      <w:start w:val="1"/>
    </w:lvl>
  </w:abstractNum>
  <w:abstractNum w:abstractNumId="5">
    <w:nsid w:val="230F856C"/>
    <w:multiLevelType w:val="hybridMultilevel"/>
    <w:lvl w:ilvl="0">
      <w:lvlJc w:val="left"/>
      <w:lvlText w:val="•"/>
      <w:numFmt w:val="bullet"/>
      <w:start w:val="1"/>
    </w:lvl>
  </w:abstractNum>
  <w:abstractNum w:abstractNumId="6">
    <w:nsid w:val="6EAA85FB"/>
    <w:multiLevelType w:val="hybridMultilevel"/>
    <w:lvl w:ilvl="0">
      <w:lvlJc w:val="left"/>
      <w:lvlText w:val="•"/>
      <w:numFmt w:val="bullet"/>
      <w:start w:val="1"/>
    </w:lvl>
  </w:abstractNum>
  <w:abstractNum w:abstractNumId="7">
    <w:nsid w:val="3F06ECB2"/>
    <w:multiLevelType w:val="hybridMultilevel"/>
    <w:lvl w:ilvl="0">
      <w:lvlJc w:val="left"/>
      <w:lvlText w:val="•"/>
      <w:numFmt w:val="bullet"/>
      <w:start w:val="1"/>
    </w:lvl>
  </w:abstractNum>
  <w:abstractNum w:abstractNumId="8">
    <w:nsid w:val="3B594807"/>
    <w:multiLevelType w:val="hybridMultilevel"/>
    <w:lvl w:ilvl="0">
      <w:lvlJc w:val="left"/>
      <w:lvlText w:val="•"/>
      <w:numFmt w:val="bullet"/>
      <w:start w:val="1"/>
    </w:lvl>
  </w:abstractNum>
  <w:abstractNum w:abstractNumId="9">
    <w:nsid w:val="6CAA2304"/>
    <w:multiLevelType w:val="hybridMultilevel"/>
    <w:lvl w:ilvl="0">
      <w:lvlJc w:val="left"/>
      <w:lvlText w:val="•"/>
      <w:numFmt w:val="bullet"/>
      <w:start w:val="1"/>
    </w:lvl>
  </w:abstractNum>
  <w:abstractNum w:abstractNumId="10">
    <w:nsid w:val="3F7C2FF4"/>
    <w:multiLevelType w:val="hybridMultilevel"/>
    <w:lvl w:ilvl="0">
      <w:lvlJc w:val="left"/>
      <w:lvlText w:val="•"/>
      <w:numFmt w:val="bullet"/>
      <w:start w:val="1"/>
    </w:lvl>
  </w:abstractNum>
  <w:abstractNum w:abstractNumId="11">
    <w:nsid w:val="25413BEC"/>
    <w:multiLevelType w:val="hybridMultilevel"/>
    <w:lvl w:ilvl="0">
      <w:lvlJc w:val="left"/>
      <w:lvlText w:val="•"/>
      <w:numFmt w:val="bullet"/>
      <w:start w:val="1"/>
    </w:lvl>
  </w:abstractNum>
  <w:abstractNum w:abstractNumId="12">
    <w:nsid w:val="17180B0B"/>
    <w:multiLevelType w:val="hybridMultilevel"/>
    <w:lvl w:ilvl="0">
      <w:lvlJc w:val="left"/>
      <w:lvlText w:val="•"/>
      <w:numFmt w:val="bullet"/>
      <w:start w:val="1"/>
    </w:lvl>
  </w:abstractNum>
  <w:abstractNum w:abstractNumId="13">
    <w:nsid w:val="579328B9"/>
    <w:multiLevelType w:val="hybridMultilevel"/>
    <w:lvl w:ilvl="0">
      <w:lvlJc w:val="left"/>
      <w:lvlText w:val="•"/>
      <w:numFmt w:val="bullet"/>
      <w:start w:val="1"/>
    </w:lvl>
  </w:abstractNum>
  <w:abstractNum w:abstractNumId="14">
    <w:nsid w:val="5D205E20"/>
    <w:multiLevelType w:val="hybridMultilevel"/>
    <w:lvl w:ilvl="0">
      <w:lvlJc w:val="left"/>
      <w:lvlText w:val="•"/>
      <w:numFmt w:val="bullet"/>
      <w:start w:val="1"/>
    </w:lvl>
  </w:abstractNum>
  <w:abstractNum w:abstractNumId="15">
    <w:nsid w:val="11CCA8BA"/>
    <w:multiLevelType w:val="hybridMultilevel"/>
    <w:lvl w:ilvl="0">
      <w:lvlJc w:val="left"/>
      <w:lvlText w:val="(%1)"/>
      <w:numFmt w:val="lowerRoman"/>
      <w:start w:val="2"/>
    </w:lvl>
  </w:abstractNum>
  <w:abstractNum w:abstractNumId="16">
    <w:nsid w:val="4D32AB86"/>
    <w:multiLevelType w:val="hybridMultilevel"/>
    <w:lvl w:ilvl="0">
      <w:lvlJc w:val="left"/>
      <w:lvlText w:val="•"/>
      <w:numFmt w:val="bullet"/>
      <w:start w:val="1"/>
    </w:lvl>
  </w:abstractNum>
  <w:abstractNum w:abstractNumId="17">
    <w:nsid w:val="3F07ACC3"/>
    <w:multiLevelType w:val="hybridMultilevel"/>
    <w:lvl w:ilvl="0">
      <w:lvlJc w:val="left"/>
      <w:lvlText w:val="•"/>
      <w:numFmt w:val="bullet"/>
      <w:start w:val="1"/>
    </w:lvl>
    <w:lvl w:ilvl="1">
      <w:lvlJc w:val="left"/>
      <w:lvlText w:val="◦"/>
      <w:numFmt w:val="bullet"/>
      <w:start w:val="1"/>
    </w:lvl>
  </w:abstractNum>
  <w:abstractNum w:abstractNumId="18">
    <w:nsid w:val="6B47F63E"/>
    <w:multiLevelType w:val="hybridMultilevel"/>
    <w:lvl w:ilvl="0">
      <w:lvlJc w:val="left"/>
      <w:lvlText w:val="•"/>
      <w:numFmt w:val="bullet"/>
      <w:start w:val="1"/>
    </w:lvl>
  </w:abstractNum>
  <w:abstractNum w:abstractNumId="19">
    <w:nsid w:val="5CB44A05"/>
    <w:multiLevelType w:val="hybridMultilevel"/>
    <w:lvl w:ilvl="0">
      <w:lvlJc w:val="left"/>
      <w:lvlText w:val="•"/>
      <w:numFmt w:val="bullet"/>
      <w:start w:val="1"/>
    </w:lvl>
  </w:abstractNum>
  <w:abstractNum w:abstractNumId="20">
    <w:nsid w:val="16CF80F1"/>
    <w:multiLevelType w:val="hybridMultilevel"/>
    <w:lvl w:ilvl="0">
      <w:lvlJc w:val="left"/>
      <w:lvlText w:val="(%1)"/>
      <w:numFmt w:val="decimal"/>
      <w:start w:val="1"/>
    </w:lvl>
  </w:abstractNum>
  <w:abstractNum w:abstractNumId="21">
    <w:nsid w:val="1C695DEC"/>
    <w:multiLevelType w:val="hybridMultilevel"/>
    <w:lvl w:ilvl="0">
      <w:lvlJc w:val="left"/>
      <w:lvlText w:val="(%1)"/>
      <w:numFmt w:val="decimal"/>
      <w:start w:val="2"/>
    </w:lvl>
  </w:abstractNum>
  <w:abstractNum w:abstractNumId="22">
    <w:nsid w:val="3FCFAED9"/>
    <w:multiLevelType w:val="hybridMultilevel"/>
    <w:lvl w:ilvl="0">
      <w:lvlJc w:val="left"/>
      <w:lvlText w:val="(%1)"/>
      <w:numFmt w:val="decimal"/>
      <w:start w:val="1"/>
    </w:lvl>
  </w:abstractNum>
  <w:abstractNum w:abstractNumId="23">
    <w:nsid w:val="F856867"/>
    <w:multiLevelType w:val="hybridMultilevel"/>
    <w:lvl w:ilvl="0">
      <w:lvlJc w:val="left"/>
      <w:lvlText w:val="(%1)"/>
      <w:numFmt w:val="decimal"/>
      <w:start w:val="2"/>
    </w:lvl>
  </w:abstractNum>
  <w:abstractNum w:abstractNumId="24">
    <w:nsid w:val="11B1CC33"/>
    <w:multiLevelType w:val="hybridMultilevel"/>
    <w:lvl w:ilvl="0">
      <w:lvlJc w:val="left"/>
      <w:lvlText w:val="(%1)"/>
      <w:numFmt w:val="decimal"/>
      <w:start w:val="1"/>
    </w:lvl>
  </w:abstractNum>
  <w:abstractNum w:abstractNumId="25">
    <w:nsid w:val="2E22FBB7"/>
    <w:multiLevelType w:val="hybridMultilevel"/>
    <w:lvl w:ilvl="0">
      <w:lvlJc w:val="left"/>
      <w:lvlText w:val="(%1)"/>
      <w:numFmt w:val="decimal"/>
      <w:start w:val="2"/>
    </w:lvl>
  </w:abstractNum>
  <w:abstractNum w:abstractNumId="26">
    <w:nsid w:val="29934699"/>
    <w:multiLevelType w:val="hybridMultilevel"/>
    <w:lvl w:ilvl="0">
      <w:lvlJc w:val="left"/>
      <w:lvlText w:val="(%1)"/>
      <w:numFmt w:val="decimal"/>
      <w:start w:val="4"/>
    </w:lvl>
  </w:abstractNum>
  <w:abstractNum w:abstractNumId="27">
    <w:nsid w:val="77485850"/>
    <w:multiLevelType w:val="hybridMultilevel"/>
    <w:lvl w:ilvl="0">
      <w:lvlJc w:val="left"/>
      <w:lvlText w:val="(%1)"/>
      <w:numFmt w:val="lowerRoman"/>
      <w:start w:val="3"/>
    </w:lvl>
  </w:abstractNum>
  <w:abstractNum w:abstractNumId="28">
    <w:nsid w:val="744939A3"/>
    <w:multiLevelType w:val="hybridMultilevel"/>
    <w:lvl w:ilvl="0">
      <w:lvlJc w:val="left"/>
      <w:lvlText w:val="(%1)"/>
      <w:numFmt w:val="decimal"/>
      <w:start w:val="1"/>
    </w:lvl>
  </w:abstractNum>
  <w:abstractNum w:abstractNumId="29">
    <w:nsid w:val="4FA0D2E3"/>
    <w:multiLevelType w:val="hybridMultilevel"/>
    <w:lvl w:ilvl="0">
      <w:lvlJc w:val="left"/>
      <w:lvlText w:val="(%1)"/>
      <w:numFmt w:val="decimal"/>
      <w:start w:val="1"/>
    </w:lvl>
  </w:abstractNum>
  <w:abstractNum w:abstractNumId="30">
    <w:nsid w:val="6B1D2C14"/>
    <w:multiLevelType w:val="hybridMultilevel"/>
    <w:lvl w:ilvl="0">
      <w:lvlJc w:val="left"/>
      <w:lvlText w:val="(%1)"/>
      <w:numFmt w:val="decimal"/>
      <w:start w:val="2"/>
    </w:lvl>
  </w:abstractNum>
  <w:abstractNum w:abstractNumId="31">
    <w:nsid w:val="68B867D3"/>
    <w:multiLevelType w:val="hybridMultilevel"/>
    <w:lvl w:ilvl="0">
      <w:lvlJc w:val="left"/>
      <w:lvlText w:val="(%1)"/>
      <w:numFmt w:val="lowerRoman"/>
      <w:start w:val="2"/>
    </w:lvl>
  </w:abstractNum>
  <w:abstractNum w:abstractNumId="32">
    <w:nsid w:val="3F7F5DD9"/>
    <w:multiLevelType w:val="hybridMultilevel"/>
    <w:lvl w:ilvl="0">
      <w:lvlJc w:val="left"/>
      <w:lvlText w:val="•"/>
      <w:numFmt w:val="bullet"/>
      <w:start w:val="1"/>
    </w:lvl>
  </w:abstractNum>
  <w:abstractNum w:abstractNumId="33">
    <w:nsid w:val="2AE05A34"/>
    <w:multiLevelType w:val="hybridMultilevel"/>
    <w:lvl w:ilvl="0">
      <w:lvlJc w:val="left"/>
      <w:lvlText w:val="•"/>
      <w:numFmt w:val="bullet"/>
      <w:start w:val="1"/>
    </w:lvl>
  </w:abstractNum>
  <w:abstractNum w:abstractNumId="34">
    <w:nsid w:val="32794FF7"/>
    <w:multiLevelType w:val="hybridMultilevel"/>
    <w:lvl w:ilvl="0">
      <w:lvlJc w:val="left"/>
      <w:lvlText w:val="•"/>
      <w:numFmt w:val="bullet"/>
      <w:start w:val="1"/>
    </w:lvl>
  </w:abstractNum>
  <w:abstractNum w:abstractNumId="35">
    <w:nsid w:val="5454945E"/>
    <w:multiLevelType w:val="hybridMultilevel"/>
    <w:lvl w:ilvl="0">
      <w:lvlJc w:val="left"/>
      <w:lvlText w:val="•"/>
      <w:numFmt w:val="bullet"/>
      <w:start w:val="1"/>
    </w:lvl>
  </w:abstractNum>
  <w:abstractNum w:abstractNumId="36">
    <w:nsid w:val="4DEFDFA0"/>
    <w:multiLevelType w:val="hybridMultilevel"/>
    <w:lvl w:ilvl="0">
      <w:lvlJc w:val="left"/>
      <w:lvlText w:val="•"/>
      <w:numFmt w:val="bullet"/>
      <w:start w:val="1"/>
    </w:lvl>
  </w:abstractNum>
  <w:abstractNum w:abstractNumId="37">
    <w:nsid w:val="2123D5F2"/>
    <w:multiLevelType w:val="hybridMultilevel"/>
    <w:lvl w:ilvl="0">
      <w:lvlJc w:val="left"/>
      <w:lvlText w:val="•"/>
      <w:numFmt w:val="bullet"/>
      <w:start w:val="1"/>
    </w:lvl>
  </w:abstractNum>
  <w:abstractNum w:abstractNumId="38">
    <w:nsid w:val="135B8110"/>
    <w:multiLevelType w:val="hybridMultilevel"/>
    <w:lvl w:ilvl="0">
      <w:lvlJc w:val="left"/>
      <w:lvlText w:val="(%1)"/>
      <w:numFmt w:val="lowerRoman"/>
      <w:start w:val="1"/>
    </w:lvl>
  </w:abstractNum>
  <w:abstractNum w:abstractNumId="39">
    <w:nsid w:val="94927A8"/>
    <w:multiLevelType w:val="hybridMultilevel"/>
    <w:lvl w:ilvl="0">
      <w:lvlJc w:val="left"/>
      <w:lvlText w:val="•"/>
      <w:numFmt w:val="bullet"/>
      <w:start w:val="1"/>
    </w:lvl>
  </w:abstractNum>
  <w:abstractNum w:abstractNumId="40">
    <w:nsid w:val="DCDF8F6"/>
    <w:multiLevelType w:val="hybridMultilevel"/>
    <w:lvl w:ilvl="0">
      <w:lvlJc w:val="left"/>
      <w:lvlText w:val="•"/>
      <w:numFmt w:val="bullet"/>
      <w:start w:val="1"/>
    </w:lvl>
  </w:abstractNum>
  <w:abstractNum w:abstractNumId="41">
    <w:nsid w:val="52D7B105"/>
    <w:multiLevelType w:val="hybridMultilevel"/>
    <w:lvl w:ilvl="0">
      <w:lvlJc w:val="left"/>
      <w:lvlText w:val="•"/>
      <w:numFmt w:val="bullet"/>
      <w:start w:val="1"/>
    </w:lvl>
  </w:abstractNum>
  <w:abstractNum w:abstractNumId="42">
    <w:nsid w:val="2E8A6394"/>
    <w:multiLevelType w:val="hybridMultilevel"/>
    <w:lvl w:ilvl="0">
      <w:lvlJc w:val="left"/>
      <w:lvlText w:val="•"/>
      <w:numFmt w:val="bullet"/>
      <w:start w:val="1"/>
    </w:lvl>
  </w:abstractNum>
  <w:abstractNum w:abstractNumId="43">
    <w:nsid w:val="24E60401"/>
    <w:multiLevelType w:val="hybridMultilevel"/>
    <w:lvl w:ilvl="0">
      <w:lvlJc w:val="left"/>
      <w:lvlText w:val="•"/>
      <w:numFmt w:val="bullet"/>
      <w:start w:val="1"/>
    </w:lvl>
  </w:abstractNum>
  <w:abstractNum w:abstractNumId="44">
    <w:nsid w:val="2A6AD9BE"/>
    <w:multiLevelType w:val="hybridMultilevel"/>
    <w:lvl w:ilvl="0">
      <w:lvlJc w:val="left"/>
      <w:lvlText w:val="•"/>
      <w:numFmt w:val="bullet"/>
      <w:start w:val="1"/>
    </w:lvl>
  </w:abstractNum>
  <w:abstractNum w:abstractNumId="45">
    <w:nsid w:val="BAAC1B4"/>
    <w:multiLevelType w:val="hybridMultilevel"/>
    <w:lvl w:ilvl="0">
      <w:lvlJc w:val="left"/>
      <w:lvlText w:val="•"/>
      <w:numFmt w:val="bullet"/>
      <w:start w:val="1"/>
    </w:lvl>
  </w:abstractNum>
  <w:abstractNum w:abstractNumId="46">
    <w:nsid w:val="36B2ACBC"/>
    <w:multiLevelType w:val="hybridMultilevel"/>
    <w:lvl w:ilvl="0">
      <w:lvlJc w:val="left"/>
      <w:lvlText w:val="•"/>
      <w:numFmt w:val="bullet"/>
      <w:start w:val="1"/>
    </w:lvl>
    <w:lvl w:ilvl="1">
      <w:lvlJc w:val="left"/>
      <w:lvlText w:val="◦"/>
      <w:numFmt w:val="bullet"/>
      <w:start w:val="1"/>
    </w:lvl>
  </w:abstractNum>
  <w:abstractNum w:abstractNumId="47">
    <w:nsid w:val="779D8544"/>
    <w:multiLevelType w:val="hybridMultilevel"/>
    <w:lvl w:ilvl="0">
      <w:lvlJc w:val="left"/>
      <w:lvlText w:val="•"/>
      <w:numFmt w:val="bullet"/>
      <w:start w:val="1"/>
    </w:lvl>
  </w:abstractNum>
  <w:abstractNum w:abstractNumId="48">
    <w:nsid w:val="4AB26E78"/>
    <w:multiLevelType w:val="hybridMultilevel"/>
    <w:lvl w:ilvl="0">
      <w:lvlJc w:val="left"/>
      <w:lvlText w:val="•"/>
      <w:numFmt w:val="bullet"/>
      <w:start w:val="1"/>
    </w:lvl>
  </w:abstractNum>
  <w:abstractNum w:abstractNumId="49">
    <w:nsid w:val="21FAA2FA"/>
    <w:multiLevelType w:val="hybridMultilevel"/>
    <w:lvl w:ilvl="0">
      <w:lvlJc w:val="left"/>
      <w:lvlText w:val="•"/>
      <w:numFmt w:val="bullet"/>
      <w:start w:val="1"/>
    </w:lvl>
  </w:abstractNum>
  <w:abstractNum w:abstractNumId="50">
    <w:nsid w:val="5451CF49"/>
    <w:multiLevelType w:val="hybridMultilevel"/>
    <w:lvl w:ilvl="0">
      <w:lvlJc w:val="left"/>
      <w:lvlText w:val="•"/>
      <w:numFmt w:val="bullet"/>
      <w:start w:val="1"/>
    </w:lvl>
  </w:abstractNum>
  <w:abstractNum w:abstractNumId="51">
    <w:nsid w:val="6181EF69"/>
    <w:multiLevelType w:val="hybridMultilevel"/>
    <w:lvl w:ilvl="0">
      <w:lvlJc w:val="left"/>
      <w:lvlText w:val="•"/>
      <w:numFmt w:val="bullet"/>
      <w:start w:val="1"/>
    </w:lvl>
  </w:abstractNum>
  <w:abstractNum w:abstractNumId="52">
    <w:nsid w:val="3E6400E6"/>
    <w:multiLevelType w:val="hybridMultilevel"/>
    <w:lvl w:ilvl="0">
      <w:lvlJc w:val="left"/>
      <w:lvlText w:val="(%1)"/>
      <w:numFmt w:val="decimal"/>
      <w:start w:val="1"/>
    </w:lvl>
  </w:abstractNum>
  <w:abstractNum w:abstractNumId="53">
    <w:nsid w:val="14217E23"/>
    <w:multiLevelType w:val="hybridMultilevel"/>
    <w:lvl w:ilvl="0">
      <w:lvlJc w:val="left"/>
      <w:lvlText w:val="(%1)"/>
      <w:numFmt w:val="decimal"/>
      <w:start w:val="2"/>
    </w:lvl>
  </w:abstractNum>
  <w:abstractNum w:abstractNumId="54">
    <w:nsid w:val="710757D0"/>
    <w:multiLevelType w:val="hybridMultilevel"/>
    <w:lvl w:ilvl="0">
      <w:lvlJc w:val="left"/>
      <w:lvlText w:val="•"/>
      <w:numFmt w:val="bullet"/>
      <w:start w:val="1"/>
    </w:lvl>
    <w:lvl w:ilvl="1">
      <w:lvlJc w:val="left"/>
      <w:lvlText w:val="◦"/>
      <w:numFmt w:val="bullet"/>
      <w:start w:val="1"/>
    </w:lvl>
  </w:abstractNum>
  <w:abstractNum w:abstractNumId="55">
    <w:nsid w:val="5015CD1A"/>
    <w:multiLevelType w:val="hybridMultilevel"/>
    <w:lvl w:ilvl="0">
      <w:lvlJc w:val="left"/>
      <w:lvlText w:val="◦"/>
      <w:numFmt w:val="bullet"/>
      <w:start w:val="1"/>
    </w:lvl>
  </w:abstractNum>
  <w:abstractNum w:abstractNumId="56">
    <w:nsid w:val="424479DA"/>
    <w:multiLevelType w:val="hybridMultilevel"/>
    <w:lvl w:ilvl="0">
      <w:lvlJc w:val="left"/>
      <w:lvlText w:val="•"/>
      <w:numFmt w:val="bullet"/>
      <w:start w:val="1"/>
    </w:lvl>
    <w:lvl w:ilvl="1">
      <w:lvlJc w:val="left"/>
      <w:lvlText w:val="◦"/>
      <w:numFmt w:val="bullet"/>
      <w:start w:val="1"/>
    </w:lvl>
  </w:abstractNum>
  <w:abstractNum w:abstractNumId="57">
    <w:nsid w:val="1A9A9E69"/>
    <w:multiLevelType w:val="hybridMultilevel"/>
    <w:lvl w:ilvl="0">
      <w:lvlJc w:val="left"/>
      <w:lvlText w:val="◦"/>
      <w:numFmt w:val="bullet"/>
      <w:start w:val="1"/>
    </w:lvl>
  </w:abstractNum>
  <w:abstractNum w:abstractNumId="58">
    <w:nsid w:val="475E256A"/>
    <w:multiLevelType w:val="hybridMultilevel"/>
    <w:lvl w:ilvl="0">
      <w:lvlJc w:val="left"/>
      <w:lvlText w:val="•"/>
      <w:numFmt w:val="bullet"/>
      <w:start w:val="1"/>
    </w:lvl>
  </w:abstractNum>
  <w:abstractNum w:abstractNumId="59">
    <w:nsid w:val="368DB37E"/>
    <w:multiLevelType w:val="hybridMultilevel"/>
    <w:lvl w:ilvl="0">
      <w:lvlJc w:val="left"/>
      <w:lvlText w:val="•"/>
      <w:numFmt w:val="bullet"/>
      <w:start w:val="1"/>
    </w:lvl>
  </w:abstractNum>
  <w:abstractNum w:abstractNumId="60">
    <w:nsid w:val="6A3B714C"/>
    <w:multiLevelType w:val="hybridMultilevel"/>
    <w:lvl w:ilvl="0">
      <w:lvlJc w:val="left"/>
      <w:lvlText w:val="•"/>
      <w:numFmt w:val="bullet"/>
      <w:start w:val="1"/>
    </w:lvl>
  </w:abstractNum>
  <w:abstractNum w:abstractNumId="61">
    <w:nsid w:val="327B517E"/>
    <w:multiLevelType w:val="hybridMultilevel"/>
    <w:lvl w:ilvl="0">
      <w:lvlJc w:val="left"/>
      <w:lvlText w:val="(%1)"/>
      <w:numFmt w:val="decimal"/>
      <w:start w:val="1"/>
    </w:lvl>
  </w:abstractNum>
  <w:abstractNum w:abstractNumId="62">
    <w:nsid w:val="1F461B51"/>
    <w:multiLevelType w:val="hybridMultilevel"/>
    <w:lvl w:ilvl="0">
      <w:lvlJc w:val="left"/>
      <w:lvlText w:val="(%1)"/>
      <w:numFmt w:val="decimal"/>
      <w:start w:val="1"/>
    </w:lvl>
  </w:abstractNum>
  <w:abstractNum w:abstractNumId="63">
    <w:nsid w:val="29BACF25"/>
    <w:multiLevelType w:val="hybridMultilevel"/>
    <w:lvl w:ilvl="0">
      <w:lvlJc w:val="left"/>
      <w:lvlText w:val="•"/>
      <w:numFmt w:val="bullet"/>
      <w:start w:val="1"/>
    </w:lvl>
  </w:abstractNum>
  <w:abstractNum w:abstractNumId="64">
    <w:nsid w:val="5D5BABB3"/>
    <w:multiLevelType w:val="hybridMultilevel"/>
    <w:lvl w:ilvl="0">
      <w:lvlJc w:val="left"/>
      <w:lvlText w:val="•"/>
      <w:numFmt w:val="bullet"/>
      <w:start w:val="1"/>
    </w:lvl>
  </w:abstractNum>
  <w:abstractNum w:abstractNumId="65">
    <w:nsid w:val="51BF6B48"/>
    <w:multiLevelType w:val="hybridMultilevel"/>
    <w:lvl w:ilvl="0">
      <w:lvlJc w:val="left"/>
      <w:lvlText w:val="(%1)"/>
      <w:numFmt w:val="decimal"/>
      <w:start w:val="1"/>
    </w:lvl>
  </w:abstractNum>
  <w:abstractNum w:abstractNumId="66">
    <w:nsid w:val="7E0F6384"/>
    <w:multiLevelType w:val="hybridMultilevel"/>
    <w:lvl w:ilvl="0">
      <w:lvlJc w:val="left"/>
      <w:lvlText w:val="(%1)"/>
      <w:numFmt w:val="decimal"/>
      <w:start w:val="2"/>
    </w:lvl>
  </w:abstractNum>
  <w:abstractNum w:abstractNumId="67">
    <w:nsid w:val="2B4B8B53"/>
    <w:multiLevelType w:val="hybridMultilevel"/>
    <w:lvl w:ilvl="0">
      <w:lvlJc w:val="left"/>
      <w:lvlText w:val="(%1)"/>
      <w:numFmt w:val="decimal"/>
      <w:start w:val="4"/>
    </w:lvl>
    <w:lvl w:ilvl="1">
      <w:lvlJc w:val="left"/>
      <w:lvlText w:val="•"/>
      <w:numFmt w:val="bullet"/>
      <w:start w:val="1"/>
    </w:lvl>
  </w:abstractNum>
  <w:abstractNum w:abstractNumId="68">
    <w:nsid w:val="72E3413A"/>
    <w:multiLevelType w:val="hybridMultilevel"/>
    <w:lvl w:ilvl="0">
      <w:lvlJc w:val="left"/>
      <w:lvlText w:val="(%1)"/>
      <w:numFmt w:val="decimal"/>
      <w:start w:val="1"/>
    </w:lvl>
  </w:abstractNum>
  <w:abstractNum w:abstractNumId="69">
    <w:nsid w:val="116AE494"/>
    <w:multiLevelType w:val="hybridMultilevel"/>
    <w:lvl w:ilvl="0">
      <w:lvlJc w:val="left"/>
      <w:lvlText w:val="•"/>
      <w:numFmt w:val="bullet"/>
      <w:start w:val="1"/>
    </w:lvl>
  </w:abstractNum>
  <w:abstractNum w:abstractNumId="70">
    <w:nsid w:val="3494B2FB"/>
    <w:multiLevelType w:val="hybridMultilevel"/>
    <w:lvl w:ilvl="0">
      <w:lvlJc w:val="left"/>
      <w:lvlText w:val="(%1)"/>
      <w:numFmt w:val="decimal"/>
      <w:start w:val="1"/>
    </w:lvl>
  </w:abstractNum>
  <w:abstractNum w:abstractNumId="71">
    <w:nsid w:val="B13A31"/>
    <w:multiLevelType w:val="hybridMultilevel"/>
    <w:lvl w:ilvl="0">
      <w:lvlJc w:val="left"/>
      <w:lvlText w:val="•"/>
      <w:numFmt w:val="bullet"/>
      <w:start w:val="1"/>
    </w:lvl>
  </w:abstractNum>
  <w:abstractNum w:abstractNumId="72">
    <w:nsid w:val="64429599"/>
    <w:multiLevelType w:val="hybridMultilevel"/>
    <w:lvl w:ilvl="0">
      <w:lvlJc w:val="left"/>
      <w:lvlText w:val="•"/>
      <w:numFmt w:val="bullet"/>
      <w:start w:val="1"/>
    </w:lvl>
  </w:abstractNum>
  <w:abstractNum w:abstractNumId="73">
    <w:nsid w:val="631F1690"/>
    <w:multiLevelType w:val="hybridMultilevel"/>
    <w:lvl w:ilvl="0">
      <w:lvlJc w:val="left"/>
      <w:lvlText w:val="•"/>
      <w:numFmt w:val="bullet"/>
      <w:start w:val="1"/>
    </w:lvl>
  </w:abstractNum>
  <w:abstractNum w:abstractNumId="74">
    <w:nsid w:val="25973E32"/>
    <w:multiLevelType w:val="hybridMultilevel"/>
    <w:lvl w:ilvl="0">
      <w:lvlJc w:val="left"/>
      <w:lvlText w:val="•"/>
      <w:numFmt w:val="bullet"/>
      <w:start w:val="1"/>
    </w:lvl>
  </w:abstractNum>
  <w:abstractNum w:abstractNumId="75">
    <w:nsid w:val="EAD6F57"/>
    <w:multiLevelType w:val="hybridMultilevel"/>
    <w:lvl w:ilvl="0">
      <w:lvlJc w:val="left"/>
      <w:lvlText w:val="•"/>
      <w:numFmt w:val="bullet"/>
      <w:start w:val="1"/>
    </w:lvl>
  </w:abstractNum>
  <w:abstractNum w:abstractNumId="76">
    <w:nsid w:val="6EC9D844"/>
    <w:multiLevelType w:val="hybridMultilevel"/>
    <w:lvl w:ilvl="0">
      <w:lvlJc w:val="left"/>
      <w:lvlText w:val="•"/>
      <w:numFmt w:val="bullet"/>
      <w:start w:val="1"/>
    </w:lvl>
  </w:abstractNum>
  <w:abstractNum w:abstractNumId="77">
    <w:nsid w:val="5C49EAEE"/>
    <w:multiLevelType w:val="hybridMultilevel"/>
    <w:lvl w:ilvl="0">
      <w:lvlJc w:val="left"/>
      <w:lvlText w:val="•"/>
      <w:numFmt w:val="bullet"/>
      <w:start w:val="1"/>
    </w:lvl>
  </w:abstractNum>
  <w:abstractNum w:abstractNumId="78">
    <w:nsid w:val="64AF49B"/>
    <w:multiLevelType w:val="hybridMultilevel"/>
    <w:lvl w:ilvl="0">
      <w:lvlJc w:val="left"/>
      <w:lvlText w:val="•"/>
      <w:numFmt w:val="bullet"/>
      <w:start w:val="1"/>
    </w:lvl>
  </w:abstractNum>
  <w:abstractNum w:abstractNumId="79">
    <w:nsid w:val="397C46BC"/>
    <w:multiLevelType w:val="hybridMultilevel"/>
    <w:lvl w:ilvl="0">
      <w:lvlJc w:val="left"/>
      <w:lvlText w:val="•"/>
      <w:numFmt w:val="bullet"/>
      <w:start w:val="1"/>
    </w:lvl>
  </w:abstractNum>
  <w:abstractNum w:abstractNumId="80">
    <w:nsid w:val="7E448DE9"/>
    <w:multiLevelType w:val="hybridMultilevel"/>
    <w:lvl w:ilvl="0">
      <w:lvlJc w:val="left"/>
      <w:lvlText w:val="•"/>
      <w:numFmt w:val="bullet"/>
      <w:start w:val="1"/>
    </w:lvl>
  </w:abstractNum>
  <w:abstractNum w:abstractNumId="81">
    <w:nsid w:val="5A9CC3E5"/>
    <w:multiLevelType w:val="hybridMultilevel"/>
    <w:lvl w:ilvl="0">
      <w:lvlJc w:val="left"/>
      <w:lvlText w:val="•"/>
      <w:numFmt w:val="bullet"/>
      <w:start w:val="1"/>
    </w:lvl>
  </w:abstractNum>
  <w:abstractNum w:abstractNumId="82">
    <w:nsid w:val="1AFE3625"/>
    <w:multiLevelType w:val="hybridMultilevel"/>
    <w:lvl w:ilvl="0">
      <w:lvlJc w:val="left"/>
      <w:lvlText w:val="•"/>
      <w:numFmt w:val="bullet"/>
      <w:start w:val="1"/>
    </w:lvl>
  </w:abstractNum>
  <w:abstractNum w:abstractNumId="83">
    <w:nsid w:val="3CA88ECF"/>
    <w:multiLevelType w:val="hybridMultilevel"/>
    <w:lvl w:ilvl="0">
      <w:lvlJc w:val="left"/>
      <w:lvlText w:val="•"/>
      <w:numFmt w:val="bullet"/>
      <w:start w:val="1"/>
    </w:lvl>
  </w:abstractNum>
  <w:abstractNum w:abstractNumId="84">
    <w:nsid w:val="6EBE4208"/>
    <w:multiLevelType w:val="hybridMultilevel"/>
    <w:lvl w:ilvl="0">
      <w:lvlJc w:val="left"/>
      <w:lvlText w:val="•"/>
      <w:numFmt w:val="bullet"/>
      <w:start w:val="1"/>
    </w:lvl>
  </w:abstractNum>
  <w:abstractNum w:abstractNumId="85">
    <w:nsid w:val="C058DF5"/>
    <w:multiLevelType w:val="hybridMultilevel"/>
    <w:lvl w:ilvl="0">
      <w:lvlJc w:val="left"/>
      <w:lvlText w:val="•"/>
      <w:numFmt w:val="bullet"/>
      <w:start w:val="1"/>
    </w:lvl>
  </w:abstractNum>
  <w:abstractNum w:abstractNumId="86">
    <w:nsid w:val="CBE5BE9"/>
    <w:multiLevelType w:val="hybridMultilevel"/>
    <w:lvl w:ilvl="0">
      <w:lvlJc w:val="left"/>
      <w:lvlText w:val="•"/>
      <w:numFmt w:val="bullet"/>
      <w:start w:val="1"/>
    </w:lvl>
  </w:abstractNum>
  <w:abstractNum w:abstractNumId="87">
    <w:nsid w:val="3102BBE2"/>
    <w:multiLevelType w:val="hybridMultilevel"/>
    <w:lvl w:ilvl="0">
      <w:lvlJc w:val="left"/>
      <w:lvlText w:val="(%1)"/>
      <w:numFmt w:val="lowerRoman"/>
      <w:start w:val="2"/>
    </w:lvl>
  </w:abstractNum>
  <w:abstractNum w:abstractNumId="88">
    <w:nsid w:val="26A02C5E"/>
    <w:multiLevelType w:val="hybridMultilevel"/>
    <w:lvl w:ilvl="0">
      <w:lvlJc w:val="left"/>
      <w:lvlText w:val="(%1)"/>
      <w:numFmt w:val="upperLetter"/>
      <w:start w:val="9"/>
    </w:lvl>
  </w:abstractNum>
  <w:abstractNum w:abstractNumId="89">
    <w:nsid w:val="541C8153"/>
    <w:multiLevelType w:val="hybridMultilevel"/>
    <w:lvl w:ilvl="0">
      <w:lvlJc w:val="left"/>
      <w:lvlText w:val="(%1)"/>
      <w:numFmt w:val="lowerRoman"/>
      <w:start w:val="3"/>
    </w:lvl>
  </w:abstractNum>
  <w:abstractNum w:abstractNumId="90">
    <w:nsid w:val="67906F60"/>
    <w:multiLevelType w:val="hybridMultilevel"/>
    <w:lvl w:ilvl="0">
      <w:lvlJc w:val="left"/>
      <w:lvlText w:val="•"/>
      <w:numFmt w:val="bullet"/>
      <w:start w:val="1"/>
    </w:lvl>
  </w:abstractNum>
  <w:abstractNum w:abstractNumId="91">
    <w:nsid w:val="10DB9DAA"/>
    <w:multiLevelType w:val="hybridMultilevel"/>
    <w:lvl w:ilvl="0">
      <w:lvlJc w:val="left"/>
      <w:lvlText w:val="•"/>
      <w:numFmt w:val="bullet"/>
      <w:start w:val="1"/>
    </w:lvl>
  </w:abstractNum>
  <w:abstractNum w:abstractNumId="92">
    <w:nsid w:val="697D2D2"/>
    <w:multiLevelType w:val="hybridMultilevel"/>
    <w:lvl w:ilvl="0">
      <w:lvlJc w:val="left"/>
      <w:lvlText w:val="•"/>
      <w:numFmt w:val="bullet"/>
      <w:start w:val="1"/>
    </w:lvl>
  </w:abstractNum>
  <w:abstractNum w:abstractNumId="93">
    <w:nsid w:val="6D68AB2"/>
    <w:multiLevelType w:val="hybridMultilevel"/>
    <w:lvl w:ilvl="0">
      <w:lvlJc w:val="left"/>
      <w:lvlText w:val="•"/>
      <w:numFmt w:val="bullet"/>
      <w:start w:val="1"/>
    </w:lvl>
  </w:abstractNum>
  <w:abstractNum w:abstractNumId="94">
    <w:nsid w:val="3A966CD0"/>
    <w:multiLevelType w:val="hybridMultilevel"/>
    <w:lvl w:ilvl="0">
      <w:lvlJc w:val="left"/>
      <w:lvlText w:val="•"/>
      <w:numFmt w:val="bullet"/>
      <w:start w:val="1"/>
    </w:lvl>
  </w:abstractNum>
  <w:abstractNum w:abstractNumId="95">
    <w:nsid w:val="63F37E85"/>
    <w:multiLevelType w:val="hybridMultilevel"/>
    <w:lvl w:ilvl="0">
      <w:lvlJc w:val="left"/>
      <w:lvlText w:val="•"/>
      <w:numFmt w:val="bullet"/>
      <w:start w:val="1"/>
    </w:lvl>
  </w:abstractNum>
  <w:abstractNum w:abstractNumId="96">
    <w:nsid w:val="5895F5FA"/>
    <w:multiLevelType w:val="hybridMultilevel"/>
    <w:lvl w:ilvl="0">
      <w:lvlJc w:val="left"/>
      <w:lvlText w:val="•"/>
      <w:numFmt w:val="bullet"/>
      <w:start w:val="1"/>
    </w:lvl>
  </w:abstractNum>
  <w:abstractNum w:abstractNumId="97">
    <w:nsid w:val="38A5D054"/>
    <w:multiLevelType w:val="hybridMultilevel"/>
    <w:lvl w:ilvl="0">
      <w:lvlJc w:val="left"/>
      <w:lvlText w:val="•"/>
      <w:numFmt w:val="bullet"/>
      <w:start w:val="1"/>
    </w:lvl>
  </w:abstractNum>
  <w:abstractNum w:abstractNumId="98">
    <w:nsid w:val="F3F09D8"/>
    <w:multiLevelType w:val="hybridMultilevel"/>
    <w:lvl w:ilvl="0">
      <w:lvlJc w:val="left"/>
      <w:lvlText w:val="(%1)"/>
      <w:numFmt w:val="decimal"/>
      <w:start w:val="1"/>
    </w:lvl>
  </w:abstractNum>
  <w:abstractNum w:abstractNumId="99">
    <w:nsid w:val="4B793735"/>
    <w:multiLevelType w:val="hybridMultilevel"/>
    <w:lvl w:ilvl="0">
      <w:lvlJc w:val="left"/>
      <w:lvlText w:val="(%1)"/>
      <w:numFmt w:val="decimal"/>
      <w:start w:val="5"/>
    </w:lvl>
  </w:abstractNum>
  <w:abstractNum w:abstractNumId="100">
    <w:nsid w:val="4A10B4E8"/>
    <w:multiLevelType w:val="hybridMultilevel"/>
    <w:lvl w:ilvl="0">
      <w:lvlJc w:val="left"/>
      <w:lvlText w:val="(%1)"/>
      <w:numFmt w:val="decimal"/>
      <w:start w:val="1"/>
    </w:lvl>
  </w:abstractNum>
  <w:abstractNum w:abstractNumId="101">
    <w:nsid w:val="43D3BCD4"/>
    <w:multiLevelType w:val="hybridMultilevel"/>
    <w:lvl w:ilvl="0">
      <w:lvlJc w:val="left"/>
      <w:lvlText w:val="(%1)"/>
      <w:numFmt w:val="lowerRoman"/>
      <w:start w:val="2"/>
    </w:lvl>
  </w:abstractNum>
  <w:abstractNum w:abstractNumId="102">
    <w:nsid w:val="4C2A7166"/>
    <w:multiLevelType w:val="hybridMultilevel"/>
    <w:lvl w:ilvl="0">
      <w:lvlJc w:val="left"/>
      <w:lvlText w:val="•"/>
      <w:numFmt w:val="bullet"/>
      <w:start w:val="1"/>
    </w:lvl>
  </w:abstractNum>
  <w:abstractNum w:abstractNumId="103">
    <w:nsid w:val="2E534A82"/>
    <w:multiLevelType w:val="hybridMultilevel"/>
    <w:lvl w:ilvl="0">
      <w:lvlJc w:val="left"/>
      <w:lvlText w:val="•"/>
      <w:numFmt w:val="bullet"/>
      <w:start w:val="1"/>
    </w:lvl>
  </w:abstractNum>
  <w:abstractNum w:abstractNumId="104">
    <w:nsid w:val="26F2D364"/>
    <w:multiLevelType w:val="hybridMultilevel"/>
    <w:lvl w:ilvl="0">
      <w:lvlJc w:val="left"/>
      <w:lvlText w:val="•"/>
      <w:numFmt w:val="bullet"/>
      <w:start w:val="1"/>
    </w:lvl>
  </w:abstractNum>
  <w:abstractNum w:abstractNumId="105">
    <w:nsid w:val="71C1AF98"/>
    <w:multiLevelType w:val="hybridMultilevel"/>
    <w:lvl w:ilvl="0">
      <w:lvlJc w:val="left"/>
      <w:lvlText w:val="•"/>
      <w:numFmt w:val="bullet"/>
      <w:start w:val="1"/>
    </w:lvl>
  </w:abstractNum>
  <w:abstractNum w:abstractNumId="106">
    <w:nsid w:val="3D00B9D9"/>
    <w:multiLevelType w:val="hybridMultilevel"/>
    <w:lvl w:ilvl="0">
      <w:lvlJc w:val="left"/>
      <w:lvlText w:val="•"/>
      <w:numFmt w:val="bullet"/>
      <w:start w:val="1"/>
    </w:lvl>
  </w:abstractNum>
  <w:abstractNum w:abstractNumId="107">
    <w:nsid w:val="15BCABA8"/>
    <w:multiLevelType w:val="hybridMultilevel"/>
    <w:lvl w:ilvl="0">
      <w:lvlJc w:val="left"/>
      <w:lvlText w:val="•"/>
      <w:numFmt w:val="bullet"/>
      <w:start w:val="1"/>
    </w:lvl>
  </w:abstractNum>
  <w:abstractNum w:abstractNumId="108">
    <w:nsid w:val="4E0B9A87"/>
    <w:multiLevelType w:val="hybridMultilevel"/>
    <w:lvl w:ilvl="0">
      <w:lvlJc w:val="left"/>
      <w:lvlText w:val="•"/>
      <w:numFmt w:val="bullet"/>
      <w:start w:val="1"/>
    </w:lvl>
  </w:abstractNum>
  <w:abstractNum w:abstractNumId="109">
    <w:nsid w:val="434BAE75"/>
    <w:multiLevelType w:val="hybridMultilevel"/>
    <w:lvl w:ilvl="0">
      <w:lvlJc w:val="left"/>
      <w:lvlText w:val="(%1)"/>
      <w:numFmt w:val="lowerRoman"/>
      <w:start w:val="7"/>
    </w:lvl>
  </w:abstractNum>
  <w:abstractNum w:abstractNumId="110">
    <w:nsid w:val="4F38F265"/>
    <w:multiLevelType w:val="hybridMultilevel"/>
    <w:lvl w:ilvl="0">
      <w:lvlJc w:val="left"/>
      <w:lvlText w:val="*"/>
      <w:numFmt w:val="bullet"/>
      <w:start w:val="1"/>
    </w:lvl>
  </w:abstractNum>
  <w:abstractNum w:abstractNumId="111">
    <w:nsid w:val="4C502870"/>
    <w:multiLevelType w:val="hybridMultilevel"/>
    <w:lvl w:ilvl="0">
      <w:lvlJc w:val="left"/>
      <w:lvlText w:val="(%1)"/>
      <w:numFmt w:val="decimal"/>
      <w:start w:val="1"/>
    </w:lvl>
  </w:abstractNum>
  <w:abstractNum w:abstractNumId="112">
    <w:nsid w:val="1DE8725A"/>
    <w:multiLevelType w:val="hybridMultilevel"/>
    <w:lvl w:ilvl="0">
      <w:lvlJc w:val="left"/>
      <w:lvlText w:val="(%1)"/>
      <w:numFmt w:val="decimal"/>
      <w:start w:val="2"/>
    </w:lvl>
  </w:abstractNum>
  <w:abstractNum w:abstractNumId="113">
    <w:nsid w:val="6A37288A"/>
    <w:multiLevelType w:val="hybridMultilevel"/>
    <w:lvl w:ilvl="0">
      <w:lvlJc w:val="left"/>
      <w:lvlText w:val="(%1)"/>
      <w:numFmt w:val="decimal"/>
      <w:start w:val="11"/>
    </w:lvl>
  </w:abstractNum>
  <w:abstractNum w:abstractNumId="114">
    <w:nsid w:val="8F8B73F"/>
    <w:multiLevelType w:val="hybridMultilevel"/>
    <w:lvl w:ilvl="0">
      <w:lvlJc w:val="left"/>
      <w:lvlText w:val="•"/>
      <w:numFmt w:val="bullet"/>
      <w:start w:val="1"/>
    </w:lvl>
  </w:abstractNum>
  <w:abstractNum w:abstractNumId="115">
    <w:nsid w:val="CA6B462"/>
    <w:multiLevelType w:val="hybridMultilevel"/>
    <w:lvl w:ilvl="0">
      <w:lvlJc w:val="left"/>
      <w:lvlText w:val="(%1)"/>
      <w:numFmt w:val="decimal"/>
      <w:start w:val="1"/>
    </w:lvl>
  </w:abstractNum>
  <w:abstractNum w:abstractNumId="116">
    <w:nsid w:val="763CB680"/>
    <w:multiLevelType w:val="hybridMultilevel"/>
    <w:lvl w:ilvl="0">
      <w:lvlJc w:val="left"/>
      <w:lvlText w:val="(%1)"/>
      <w:numFmt w:val="decimal"/>
      <w:start w:val="1"/>
    </w:lvl>
  </w:abstractNum>
  <w:abstractNum w:abstractNumId="117">
    <w:nsid w:val="15B71329"/>
    <w:multiLevelType w:val="hybridMultilevel"/>
    <w:lvl w:ilvl="0">
      <w:lvlJc w:val="left"/>
      <w:lvlText w:val="(%1)"/>
      <w:numFmt w:val="decimal"/>
      <w:start w:val="1"/>
    </w:lvl>
  </w:abstractNum>
  <w:abstractNum w:abstractNumId="118">
    <w:nsid w:val="3DA97044"/>
    <w:multiLevelType w:val="hybridMultilevel"/>
    <w:lvl w:ilvl="0">
      <w:lvlJc w:val="left"/>
      <w:lvlText w:val="(%1)"/>
      <w:numFmt w:val="decimal"/>
      <w:start w:val="1"/>
    </w:lvl>
  </w:abstractNum>
  <w:abstractNum w:abstractNumId="119">
    <w:nsid w:val="1CDCE2DE"/>
    <w:multiLevelType w:val="hybridMultilevel"/>
    <w:lvl w:ilvl="0">
      <w:lvlJc w:val="left"/>
      <w:lvlText w:val="(%1)"/>
      <w:numFmt w:val="decimal"/>
      <w:start w:val="1"/>
    </w:lvl>
  </w:abstractNum>
  <w:abstractNum w:abstractNumId="120">
    <w:nsid w:val="69D3947C"/>
    <w:multiLevelType w:val="hybridMultilevel"/>
    <w:lvl w:ilvl="0">
      <w:lvlJc w:val="left"/>
      <w:lvlText w:val="•"/>
      <w:numFmt w:val="bullet"/>
      <w:start w:val="1"/>
    </w:lvl>
  </w:abstractNum>
  <w:abstractNum w:abstractNumId="121">
    <w:nsid w:val="2539DFA5"/>
    <w:multiLevelType w:val="hybridMultilevel"/>
    <w:lvl w:ilvl="0">
      <w:lvlJc w:val="left"/>
      <w:lvlText w:val="•"/>
      <w:numFmt w:val="bullet"/>
      <w:start w:val="1"/>
    </w:lvl>
  </w:abstractNum>
  <w:abstractNum w:abstractNumId="122">
    <w:nsid w:val="2DB88089"/>
    <w:multiLevelType w:val="hybridMultilevel"/>
    <w:lvl w:ilvl="0">
      <w:lvlJc w:val="left"/>
      <w:lvlText w:val="•"/>
      <w:numFmt w:val="bullet"/>
      <w:start w:val="1"/>
    </w:lvl>
  </w:abstractNum>
  <w:abstractNum w:abstractNumId="123">
    <w:nsid w:val="706B674E"/>
    <w:multiLevelType w:val="hybridMultilevel"/>
    <w:lvl w:ilvl="0">
      <w:lvlJc w:val="left"/>
      <w:lvlText w:val="•"/>
      <w:numFmt w:val="bullet"/>
      <w:start w:val="1"/>
    </w:lvl>
  </w:abstractNum>
  <w:abstractNum w:abstractNumId="124">
    <w:nsid w:val="2C106A57"/>
    <w:multiLevelType w:val="hybridMultilevel"/>
    <w:lvl w:ilvl="0">
      <w:lvlJc w:val="left"/>
      <w:lvlText w:val="•"/>
      <w:numFmt w:val="bullet"/>
      <w:start w:val="1"/>
    </w:lvl>
  </w:abstractNum>
  <w:abstractNum w:abstractNumId="125">
    <w:nsid w:val="684EED59"/>
    <w:multiLevelType w:val="hybridMultilevel"/>
    <w:lvl w:ilvl="0">
      <w:lvlJc w:val="left"/>
      <w:lvlText w:val="•"/>
      <w:numFmt w:val="bullet"/>
      <w:start w:val="1"/>
    </w:lvl>
  </w:abstractNum>
  <w:abstractNum w:abstractNumId="126">
    <w:nsid w:val="545EE5D3"/>
    <w:multiLevelType w:val="hybridMultilevel"/>
    <w:lvl w:ilvl="0">
      <w:lvlJc w:val="left"/>
      <w:lvlText w:val="(%1)"/>
      <w:numFmt w:val="decimal"/>
      <w:start w:val="1"/>
    </w:lvl>
  </w:abstractNum>
  <w:abstractNum w:abstractNumId="127">
    <w:nsid w:val="4A66051"/>
    <w:multiLevelType w:val="hybridMultilevel"/>
    <w:lvl w:ilvl="0">
      <w:lvlJc w:val="left"/>
      <w:lvlText w:val="(%1)"/>
      <w:numFmt w:val="decimal"/>
      <w:start w:val="2"/>
    </w:lvl>
  </w:abstractNum>
  <w:abstractNum w:abstractNumId="128">
    <w:nsid w:val="20F4BDAD"/>
    <w:multiLevelType w:val="hybridMultilevel"/>
    <w:lvl w:ilvl="0">
      <w:lvlJc w:val="left"/>
      <w:lvlText w:val="•"/>
      <w:numFmt w:val="bullet"/>
      <w:start w:val="1"/>
    </w:lvl>
    <w:lvl w:ilvl="1">
      <w:lvlJc w:val="left"/>
      <w:lvlText w:val="◦"/>
      <w:numFmt w:val="bullet"/>
      <w:start w:val="1"/>
    </w:lvl>
  </w:abstractNum>
  <w:abstractNum w:abstractNumId="129">
    <w:nsid w:val="639DEFAC"/>
    <w:multiLevelType w:val="hybridMultilevel"/>
    <w:lvl w:ilvl="0">
      <w:lvlJc w:val="left"/>
      <w:lvlText w:val="•"/>
      <w:numFmt w:val="bullet"/>
      <w:start w:val="1"/>
    </w:lvl>
    <w:lvl w:ilvl="1">
      <w:lvlJc w:val="left"/>
      <w:lvlText w:val="◦"/>
      <w:numFmt w:val="bullet"/>
      <w:start w:val="1"/>
    </w:lvl>
  </w:abstractNum>
  <w:abstractNum w:abstractNumId="130">
    <w:nsid w:val="501F9786"/>
    <w:multiLevelType w:val="hybridMultilevel"/>
    <w:lvl w:ilvl="0">
      <w:lvlJc w:val="left"/>
      <w:lvlText w:val="•"/>
      <w:numFmt w:val="bullet"/>
      <w:start w:val="1"/>
    </w:lvl>
  </w:abstractNum>
  <w:abstractNum w:abstractNumId="131">
    <w:nsid w:val="6B057295"/>
    <w:multiLevelType w:val="hybridMultilevel"/>
    <w:lvl w:ilvl="0">
      <w:lvlJc w:val="left"/>
      <w:lvlText w:val="•"/>
      <w:numFmt w:val="bullet"/>
      <w:start w:val="1"/>
    </w:lvl>
  </w:abstractNum>
  <w:abstractNum w:abstractNumId="132">
    <w:nsid w:val="2771AC80"/>
    <w:multiLevelType w:val="hybridMultilevel"/>
    <w:lvl w:ilvl="0">
      <w:lvlJc w:val="left"/>
      <w:lvlText w:val="•"/>
      <w:numFmt w:val="bullet"/>
      <w:start w:val="1"/>
    </w:lvl>
  </w:abstractNum>
  <w:abstractNum w:abstractNumId="133">
    <w:nsid w:val="1C4A08EC"/>
    <w:multiLevelType w:val="hybridMultilevel"/>
    <w:lvl w:ilvl="0">
      <w:lvlJc w:val="left"/>
      <w:lvlText w:val="•"/>
      <w:numFmt w:val="bullet"/>
      <w:start w:val="1"/>
    </w:lvl>
  </w:abstractNum>
  <w:abstractNum w:abstractNumId="134">
    <w:nsid w:val="1958BD17"/>
    <w:multiLevelType w:val="hybridMultilevel"/>
    <w:lvl w:ilvl="0">
      <w:lvlJc w:val="left"/>
      <w:lvlText w:val="(%1)"/>
      <w:numFmt w:val="decimal"/>
      <w:start w:val="1"/>
    </w:lvl>
  </w:abstractNum>
  <w:abstractNum w:abstractNumId="135">
    <w:nsid w:val="4E647FE4"/>
    <w:multiLevelType w:val="hybridMultilevel"/>
    <w:lvl w:ilvl="0">
      <w:lvlJc w:val="left"/>
      <w:lvlText w:val="•"/>
      <w:numFmt w:val="bullet"/>
      <w:start w:val="1"/>
    </w:lvl>
  </w:abstractNum>
  <w:abstractNum w:abstractNumId="136">
    <w:nsid w:val="E0BB885"/>
    <w:multiLevelType w:val="hybridMultilevel"/>
    <w:lvl w:ilvl="0">
      <w:lvlJc w:val="left"/>
      <w:lvlText w:val="•"/>
      <w:numFmt w:val="bullet"/>
      <w:start w:val="1"/>
    </w:lvl>
    <w:lvl w:ilvl="1">
      <w:lvlJc w:val="left"/>
      <w:lvlText w:val="◦"/>
      <w:numFmt w:val="bullet"/>
      <w:start w:val="1"/>
    </w:lvl>
  </w:abstractNum>
  <w:abstractNum w:abstractNumId="137">
    <w:nsid w:val="565976F1"/>
    <w:multiLevelType w:val="hybridMultilevel"/>
    <w:lvl w:ilvl="0">
      <w:lvlJc w:val="left"/>
      <w:lvlText w:val="(%1)"/>
      <w:numFmt w:val="lowerRoman"/>
      <w:start w:val="1"/>
    </w:lvl>
  </w:abstractNum>
  <w:abstractNum w:abstractNumId="138">
    <w:nsid w:val="64212B8C"/>
    <w:multiLevelType w:val="hybridMultilevel"/>
    <w:lvl w:ilvl="0">
      <w:lvlJc w:val="left"/>
      <w:lvlText w:val="%1"/>
      <w:numFmt w:val="lowerRoman"/>
      <w:start w:val="1"/>
    </w:lvl>
    <w:lvl w:ilvl="1">
      <w:lvlJc w:val="left"/>
      <w:lvlText w:val="(%2)"/>
      <w:numFmt w:val="lowerRoman"/>
      <w:start w:val="7"/>
    </w:lvl>
  </w:abstractNum>
  <w:abstractNum w:abstractNumId="139">
    <w:nsid w:val="5C17530C"/>
    <w:multiLevelType w:val="hybridMultilevel"/>
    <w:lvl w:ilvl="0">
      <w:lvlJc w:val="left"/>
      <w:lvlText w:val="(%1)"/>
      <w:numFmt w:val="lowerRoman"/>
      <w:start w:val="8"/>
    </w:lvl>
    <w:lvl w:ilvl="1">
      <w:lvlJc w:val="left"/>
      <w:lvlText w:val="(%2)"/>
      <w:numFmt w:val="lowerRoman"/>
      <w:start w:val="10"/>
    </w:lvl>
  </w:abstractNum>
  <w:abstractNum w:abstractNumId="140">
    <w:nsid w:val="19A52566"/>
    <w:multiLevelType w:val="hybridMultilevel"/>
    <w:lvl w:ilvl="0">
      <w:lvlJc w:val="left"/>
      <w:lvlText w:val="(%1)"/>
      <w:numFmt w:val="lowerRoman"/>
      <w:start w:val="13"/>
    </w:lvl>
  </w:abstractNum>
  <w:abstractNum w:abstractNumId="141">
    <w:nsid w:val="335A1DF1"/>
    <w:multiLevelType w:val="hybridMultilevel"/>
    <w:lvl w:ilvl="0">
      <w:lvlJc w:val="left"/>
      <w:lvlText w:val="•"/>
      <w:numFmt w:val="bullet"/>
      <w:start w:val="1"/>
    </w:lvl>
  </w:abstractNum>
  <w:abstractNum w:abstractNumId="142">
    <w:nsid w:val="28677B7C"/>
    <w:multiLevelType w:val="hybridMultilevel"/>
    <w:lvl w:ilvl="0">
      <w:lvlJc w:val="left"/>
      <w:lvlText w:val="•"/>
      <w:numFmt w:val="bullet"/>
      <w:start w:val="1"/>
    </w:lvl>
  </w:abstractNum>
  <w:abstractNum w:abstractNumId="143">
    <w:nsid w:val="378D97C0"/>
    <w:multiLevelType w:val="hybridMultilevel"/>
    <w:lvl w:ilvl="0">
      <w:lvlJc w:val="left"/>
      <w:lvlText w:val="%1"/>
      <w:numFmt w:val="lowerRoman"/>
      <w:start w:val="1"/>
    </w:lvl>
    <w:lvl w:ilvl="1">
      <w:lvlJc w:val="left"/>
      <w:lvlText w:val="(%2)"/>
      <w:numFmt w:val="lowerRoman"/>
      <w:start w:val="1"/>
    </w:lvl>
  </w:abstractNum>
  <w:abstractNum w:abstractNumId="144">
    <w:nsid w:val="1D91467C"/>
    <w:multiLevelType w:val="hybridMultilevel"/>
    <w:lvl w:ilvl="0">
      <w:lvlJc w:val="left"/>
      <w:lvlText w:val="(%1)"/>
      <w:numFmt w:val="lowerRoman"/>
      <w:start w:val="8"/>
    </w:lvl>
    <w:lvl w:ilvl="1">
      <w:lvlJc w:val="left"/>
      <w:lvlText w:val="%2"/>
      <w:numFmt w:val="lowerRoman"/>
      <w:start w:val="1"/>
    </w:lvl>
  </w:abstractNum>
  <w:abstractNum w:abstractNumId="145">
    <w:nsid w:val="316032BB"/>
    <w:multiLevelType w:val="hybridMultilevel"/>
    <w:lvl w:ilvl="0">
      <w:lvlJc w:val="left"/>
      <w:lvlText w:val="(%1)"/>
      <w:numFmt w:val="lowerLetter"/>
      <w:start w:val="1"/>
    </w:lvl>
  </w:abstractNum>
  <w:abstractNum w:abstractNumId="146">
    <w:nsid w:val="44344C22"/>
    <w:multiLevelType w:val="hybridMultilevel"/>
    <w:lvl w:ilvl="0">
      <w:lvlJc w:val="left"/>
      <w:lvlText w:val="(%1)"/>
      <w:numFmt w:val="lowerLetter"/>
      <w:start w:val="1"/>
    </w:lvl>
  </w:abstractNum>
  <w:abstractNum w:abstractNumId="147">
    <w:nsid w:val="13CDFCFC"/>
    <w:multiLevelType w:val="hybridMultilevel"/>
    <w:lvl w:ilvl="0">
      <w:lvlJc w:val="left"/>
      <w:lvlText w:val="(%1)"/>
      <w:numFmt w:val="lowerLetter"/>
      <w:start w:val="1"/>
    </w:lvl>
  </w:abstractNum>
  <w:abstractNum w:abstractNumId="148">
    <w:nsid w:val="471745E4"/>
    <w:multiLevelType w:val="hybridMultilevel"/>
    <w:lvl w:ilvl="0">
      <w:lvlJc w:val="left"/>
      <w:lvlText w:val="(%1)"/>
      <w:numFmt w:val="decimal"/>
      <w:start w:val="1"/>
    </w:lvl>
  </w:abstractNum>
  <w:abstractNum w:abstractNumId="149">
    <w:nsid w:val="1DDBC66"/>
    <w:multiLevelType w:val="hybridMultilevel"/>
    <w:lvl w:ilvl="0">
      <w:lvlJc w:val="left"/>
      <w:lvlText w:val="•"/>
      <w:numFmt w:val="bullet"/>
      <w:start w:val="1"/>
    </w:lvl>
  </w:abstractNum>
  <w:abstractNum w:abstractNumId="150">
    <w:nsid w:val="30AADFDA"/>
    <w:multiLevelType w:val="hybridMultilevel"/>
    <w:lvl w:ilvl="0">
      <w:lvlJc w:val="left"/>
      <w:lvlText w:val="(%1)"/>
      <w:numFmt w:val="decimal"/>
      <w:start w:val="1"/>
    </w:lvl>
  </w:abstractNum>
  <w:abstractNum w:abstractNumId="151">
    <w:nsid w:val="30EADA61"/>
    <w:multiLevelType w:val="hybridMultilevel"/>
    <w:lvl w:ilvl="0">
      <w:lvlJc w:val="left"/>
      <w:lvlText w:val="(%1)"/>
      <w:numFmt w:val="lowerRoman"/>
      <w:start w:val="2"/>
    </w:lvl>
  </w:abstractNum>
  <w:abstractNum w:abstractNumId="152">
    <w:nsid w:val="27179C0B"/>
    <w:multiLevelType w:val="hybridMultilevel"/>
    <w:lvl w:ilvl="0">
      <w:lvlJc w:val="left"/>
      <w:lvlText w:val="•"/>
      <w:numFmt w:val="bullet"/>
      <w:start w:val="1"/>
    </w:lvl>
  </w:abstractNum>
  <w:abstractNum w:abstractNumId="153">
    <w:nsid w:val="5E636063"/>
    <w:multiLevelType w:val="hybridMultilevel"/>
    <w:lvl w:ilvl="0">
      <w:lvlJc w:val="left"/>
      <w:lvlText w:val="(%1)"/>
      <w:numFmt w:val="decimal"/>
      <w:start w:val="1"/>
    </w:lvl>
  </w:abstractNum>
  <w:abstractNum w:abstractNumId="154">
    <w:nsid w:val="215641AF"/>
    <w:multiLevelType w:val="hybridMultilevel"/>
    <w:lvl w:ilvl="0">
      <w:lvlJc w:val="left"/>
      <w:lvlText w:val="(%1)"/>
      <w:numFmt w:val="decimal"/>
      <w:start w:val="1"/>
    </w:lvl>
  </w:abstractNum>
  <w:abstractNum w:abstractNumId="155">
    <w:nsid w:val="53280662"/>
    <w:multiLevelType w:val="hybridMultilevel"/>
    <w:lvl w:ilvl="0">
      <w:lvlJc w:val="left"/>
      <w:lvlText w:val="(%1)"/>
      <w:numFmt w:val="decimal"/>
      <w:start w:val="1"/>
    </w:lvl>
  </w:abstractNum>
  <w:abstractNum w:abstractNumId="156">
    <w:nsid w:val="46B24DBC"/>
    <w:multiLevelType w:val="hybridMultilevel"/>
    <w:lvl w:ilvl="0">
      <w:lvlJc w:val="left"/>
      <w:lvlText w:val="†"/>
      <w:numFmt w:val="bullet"/>
      <w:start w:val="1"/>
    </w:lvl>
  </w:abstractNum>
  <w:abstractNum w:abstractNumId="157">
    <w:nsid w:val="75B52783"/>
    <w:multiLevelType w:val="hybridMultilevel"/>
    <w:lvl w:ilvl="0">
      <w:lvlJc w:val="left"/>
      <w:lvlText w:val="%1."/>
      <w:numFmt w:val="decimal"/>
      <w:start w:val="1"/>
    </w:lvl>
    <w:lvl w:ilvl="1">
      <w:lvlJc w:val="left"/>
      <w:lvlText w:val="(%2)"/>
      <w:numFmt w:val="lowerRoman"/>
      <w:start w:val="1"/>
    </w:lvl>
  </w:abstractNum>
  <w:abstractNum w:abstractNumId="158">
    <w:nsid w:val="57CE66B4"/>
    <w:multiLevelType w:val="hybridMultilevel"/>
    <w:lvl w:ilvl="0">
      <w:lvlJc w:val="left"/>
      <w:lvlText w:val="(%1)"/>
      <w:numFmt w:val="lowerRoman"/>
      <w:start w:val="2"/>
    </w:lvl>
  </w:abstractNum>
  <w:abstractNum w:abstractNumId="159">
    <w:nsid w:val="67A70B69"/>
    <w:multiLevelType w:val="hybridMultilevel"/>
    <w:lvl w:ilvl="0">
      <w:lvlJc w:val="left"/>
      <w:lvlText w:val="%1"/>
      <w:numFmt w:val="lowerLetter"/>
      <w:start w:val="1"/>
    </w:lvl>
    <w:lvl w:ilvl="1">
      <w:lvlJc w:val="left"/>
      <w:lvlText w:val="(%2)"/>
      <w:numFmt w:val="lowerRoman"/>
      <w:start w:val="4"/>
    </w:lvl>
  </w:abstractNum>
  <w:abstractNum w:abstractNumId="160">
    <w:nsid w:val="5953172F"/>
    <w:multiLevelType w:val="hybridMultilevel"/>
    <w:lvl w:ilvl="0">
      <w:lvlJc w:val="left"/>
      <w:lvlText w:val="(%1)"/>
      <w:numFmt w:val="lowerLetter"/>
      <w:start w:val="25"/>
    </w:lvl>
    <w:lvl w:ilvl="1">
      <w:lvlJc w:val="left"/>
      <w:lvlText w:val="%2"/>
      <w:numFmt w:val="lowerRoman"/>
      <w:start w:val="1"/>
    </w:lvl>
  </w:abstractNum>
  <w:abstractNum w:abstractNumId="161">
    <w:nsid w:val="27EDFE3A"/>
    <w:multiLevelType w:val="hybridMultilevel"/>
    <w:lvl w:ilvl="0">
      <w:lvlJc w:val="left"/>
      <w:lvlText w:val="%1"/>
      <w:numFmt w:val="lowerRoman"/>
      <w:start w:val="1"/>
    </w:lvl>
    <w:lvl w:ilvl="1">
      <w:lvlJc w:val="left"/>
      <w:lvlText w:val="(%2)"/>
      <w:numFmt w:val="lowerRoman"/>
      <w:start w:val="7"/>
    </w:lvl>
  </w:abstractNum>
  <w:abstractNum w:abstractNumId="162">
    <w:nsid w:val="52AC7DFF"/>
    <w:multiLevelType w:val="hybridMultilevel"/>
    <w:lvl w:ilvl="0">
      <w:lvlJc w:val="left"/>
      <w:lvlText w:val="(%1)"/>
      <w:numFmt w:val="lowerRoman"/>
      <w:start w:val="25"/>
    </w:lvl>
    <w:lvl w:ilvl="1">
      <w:lvlJc w:val="left"/>
      <w:lvlText w:val="(%2)"/>
      <w:numFmt w:val="lowerRoman"/>
      <w:start w:val="8"/>
    </w:lvl>
  </w:abstractNum>
  <w:abstractNum w:abstractNumId="163">
    <w:nsid w:val="C4C3AF"/>
    <w:multiLevelType w:val="hybridMultilevel"/>
    <w:lvl w:ilvl="0">
      <w:lvlJc w:val="left"/>
      <w:lvlText w:val="(%1)"/>
      <w:numFmt w:val="lowerRoman"/>
      <w:start w:val="11"/>
    </w:lvl>
  </w:abstractNum>
  <w:abstractNum w:abstractNumId="164">
    <w:nsid w:val="44380727"/>
    <w:multiLevelType w:val="hybridMultilevel"/>
    <w:lvl w:ilvl="0">
      <w:lvlJc w:val="left"/>
      <w:lvlText w:val="%1"/>
      <w:numFmt w:val="upperLetter"/>
      <w:start w:val="1"/>
    </w:lvl>
    <w:lvl w:ilvl="1">
      <w:lvlJc w:val="left"/>
      <w:lvlText w:val="(%2)"/>
      <w:numFmt w:val="lowerRoman"/>
      <w:start w:val="14"/>
    </w:lvl>
  </w:abstractNum>
  <w:abstractNum w:abstractNumId="165">
    <w:nsid w:val="6C053B16"/>
    <w:multiLevelType w:val="hybridMultilevel"/>
    <w:lvl w:ilvl="0">
      <w:lvlJc w:val="left"/>
      <w:lvlText w:val="(%1)"/>
      <w:numFmt w:val="upperLetter"/>
      <w:start w:val="1"/>
    </w:lvl>
    <w:lvl w:ilvl="1">
      <w:lvlJc w:val="left"/>
      <w:lvlText w:val="%2"/>
      <w:numFmt w:val="lowerRoman"/>
      <w:start w:val="1"/>
    </w:lvl>
  </w:abstractNum>
  <w:abstractNum w:abstractNumId="166">
    <w:nsid w:val="4F294393"/>
    <w:multiLevelType w:val="hybridMultilevel"/>
    <w:lvl w:ilvl="0">
      <w:lvlJc w:val="left"/>
      <w:lvlText w:val="(%1)"/>
      <w:numFmt w:val="upperLetter"/>
      <w:start w:val="4"/>
    </w:lvl>
    <w:lvl w:ilvl="1">
      <w:lvlJc w:val="left"/>
      <w:lvlText w:val="%2"/>
      <w:numFmt w:val="lowerRoman"/>
      <w:start w:val="1"/>
    </w:lvl>
  </w:abstractNum>
  <w:abstractNum w:abstractNumId="167">
    <w:nsid w:val="5243BFAC"/>
    <w:multiLevelType w:val="hybridMultilevel"/>
    <w:lvl w:ilvl="0">
      <w:lvlJc w:val="left"/>
      <w:lvlText w:val="(%1)"/>
      <w:numFmt w:val="lowerRoman"/>
      <w:start w:val="18"/>
    </w:lvl>
  </w:abstractNum>
  <w:abstractNum w:abstractNumId="168">
    <w:nsid w:val="425EB207"/>
    <w:multiLevelType w:val="hybridMultilevel"/>
    <w:lvl w:ilvl="0">
      <w:lvlJc w:val="left"/>
      <w:lvlText w:val="(%1)"/>
      <w:numFmt w:val="lowerRoman"/>
      <w:start w:val="24"/>
    </w:lvl>
  </w:abstractNum>
  <w:abstractNum w:abstractNumId="169">
    <w:nsid w:val="334A6F1F"/>
    <w:multiLevelType w:val="hybridMultilevel"/>
    <w:lvl w:ilvl="0">
      <w:lvlJc w:val="left"/>
      <w:lvlText w:val="(%1)"/>
      <w:numFmt w:val="decimal"/>
      <w:start w:val="1"/>
    </w:lvl>
    <w:lvl w:ilvl="1">
      <w:lvlJc w:val="left"/>
      <w:lvlText w:val="(%2)"/>
      <w:numFmt w:val="lowerRoman"/>
      <w:start w:val="26"/>
    </w:lvl>
  </w:abstractNum>
  <w:abstractNum w:abstractNumId="170">
    <w:nsid w:val="2E5B12B8"/>
    <w:multiLevelType w:val="hybridMultilevel"/>
    <w:lvl w:ilvl="0">
      <w:lvlJc w:val="left"/>
      <w:lvlText w:val="(%1)"/>
      <w:numFmt w:val="lowerRoman"/>
      <w:start w:val="27"/>
    </w:lvl>
  </w:abstractNum>
  <w:abstractNum w:abstractNumId="171">
    <w:nsid w:val="5C03D76D"/>
    <w:multiLevelType w:val="hybridMultilevel"/>
    <w:lvl w:ilvl="0">
      <w:lvlJc w:val="left"/>
      <w:lvlText w:val="(%1)"/>
      <w:numFmt w:val="lowerRoman"/>
      <w:start w:val="28"/>
    </w:lvl>
  </w:abstractNum>
  <w:abstractNum w:abstractNumId="172">
    <w:nsid w:val="66A48D11"/>
    <w:multiLevelType w:val="hybridMultilevel"/>
    <w:lvl w:ilvl="0">
      <w:lvlJc w:val="left"/>
      <w:lvlText w:val="(%1)"/>
      <w:numFmt w:val="lowerRoman"/>
      <w:start w:val="36"/>
    </w:lvl>
  </w:abstractNum>
  <w:abstractNum w:abstractNumId="173">
    <w:nsid w:val="56C28E34"/>
    <w:multiLevelType w:val="hybridMultilevel"/>
    <w:lvl w:ilvl="0">
      <w:lvlJc w:val="left"/>
      <w:lvlText w:val="(%1)"/>
      <w:numFmt w:val="lowerRoman"/>
      <w:start w:val="39"/>
    </w:lvl>
  </w:abstractNum>
  <w:abstractNum w:abstractNumId="174">
    <w:nsid w:val="13916F2D"/>
    <w:multiLevelType w:val="hybridMultilevel"/>
    <w:lvl w:ilvl="0">
      <w:lvlJc w:val="left"/>
      <w:lvlText w:val="(%1)"/>
      <w:numFmt w:val="lowerLetter"/>
      <w:start w:val="2"/>
    </w:lvl>
  </w:abstractNum>
  <w:abstractNum w:abstractNumId="175">
    <w:nsid w:val="435D38D"/>
    <w:multiLevelType w:val="hybridMultilevel"/>
    <w:lvl w:ilvl="0">
      <w:lvlJc w:val="left"/>
      <w:lvlText w:val="(%1)"/>
      <w:numFmt w:val="lowerRoman"/>
      <w:start w:val="1"/>
    </w:lvl>
  </w:abstractNum>
  <w:abstractNum w:abstractNumId="176">
    <w:nsid w:val="822C0EF"/>
    <w:multiLevelType w:val="hybridMultilevel"/>
    <w:lvl w:ilvl="0">
      <w:lvlJc w:val="left"/>
      <w:lvlText w:val="%1"/>
      <w:numFmt w:val="upperLetter"/>
      <w:start w:val="1"/>
    </w:lvl>
    <w:lvl w:ilvl="1">
      <w:lvlJc w:val="left"/>
      <w:lvlText w:val="(%2)"/>
      <w:numFmt w:val="lowerRoman"/>
      <w:start w:val="4"/>
    </w:lvl>
  </w:abstractNum>
  <w:abstractNum w:abstractNumId="177">
    <w:nsid w:val="57C5BB4F"/>
    <w:multiLevelType w:val="hybridMultilevel"/>
    <w:lvl w:ilvl="0">
      <w:lvlJc w:val="left"/>
      <w:lvlText w:val="(%1)"/>
      <w:numFmt w:val="upperLetter"/>
      <w:start w:val="2"/>
    </w:lvl>
    <w:lvl w:ilvl="1">
      <w:lvlJc w:val="left"/>
      <w:lvlText w:val="(%2)"/>
      <w:numFmt w:val="lowerRoman"/>
      <w:start w:val="7"/>
    </w:lvl>
  </w:abstractNum>
  <w:abstractNum w:abstractNumId="178">
    <w:nsid w:val="1803D089"/>
    <w:multiLevelType w:val="hybridMultilevel"/>
    <w:lvl w:ilvl="0">
      <w:lvlJc w:val="left"/>
      <w:lvlText w:val="%1"/>
      <w:numFmt w:val="decimal"/>
      <w:start w:val="1"/>
    </w:lvl>
    <w:lvl w:ilvl="1">
      <w:lvlJc w:val="left"/>
      <w:lvlText w:val="(%2)"/>
      <w:numFmt w:val="lowerRoman"/>
      <w:start w:val="9"/>
    </w:lvl>
  </w:abstractNum>
  <w:abstractNum w:abstractNumId="179">
    <w:nsid w:val="4F3A06D4"/>
    <w:multiLevelType w:val="hybridMultilevel"/>
    <w:lvl w:ilvl="0">
      <w:lvlJc w:val="left"/>
      <w:lvlText w:val="%1."/>
      <w:numFmt w:val="decimal"/>
      <w:start w:val="2"/>
    </w:lvl>
    <w:lvl w:ilvl="1">
      <w:lvlJc w:val="left"/>
      <w:lvlText w:val="%2"/>
      <w:numFmt w:val="lowerRoman"/>
      <w:start w:val="1"/>
    </w:lvl>
  </w:abstractNum>
  <w:abstractNum w:abstractNumId="180">
    <w:nsid w:val="59A377B6"/>
    <w:multiLevelType w:val="hybridMultilevel"/>
    <w:lvl w:ilvl="0">
      <w:lvlJc w:val="left"/>
      <w:lvlText w:val="%1."/>
      <w:numFmt w:val="decimal"/>
      <w:start w:val="3"/>
    </w:lvl>
  </w:abstractNum>
  <w:abstractNum w:abstractNumId="181">
    <w:nsid w:val="48AEB063"/>
    <w:multiLevelType w:val="hybridMultilevel"/>
    <w:lvl w:ilvl="0">
      <w:lvlJc w:val="left"/>
      <w:lvlText w:val="(%1)"/>
      <w:numFmt w:val="lowerLetter"/>
      <w:start w:val="2"/>
    </w:lvl>
  </w:abstractNum>
  <w:abstractNum w:abstractNumId="182">
    <w:nsid w:val="24E135"/>
    <w:multiLevelType w:val="hybridMultilevel"/>
    <w:lvl w:ilvl="0">
      <w:lvlJc w:val="left"/>
      <w:lvlText w:val="%1"/>
      <w:numFmt w:val="lowerLetter"/>
      <w:start w:val="1"/>
    </w:lvl>
    <w:lvl w:ilvl="1">
      <w:lvlJc w:val="left"/>
      <w:lvlText w:val="%2."/>
      <w:numFmt w:val="decimal"/>
      <w:start w:val="5"/>
    </w:lvl>
  </w:abstractNum>
  <w:abstractNum w:abstractNumId="183">
    <w:nsid w:val="BB13C1"/>
    <w:multiLevelType w:val="hybridMultilevel"/>
    <w:lvl w:ilvl="0">
      <w:lvlJc w:val="left"/>
      <w:lvlText w:val="(%1)"/>
      <w:numFmt w:val="lowerLetter"/>
      <w:start w:val="1"/>
    </w:lvl>
    <w:lvl w:ilvl="1">
      <w:lvlJc w:val="left"/>
      <w:lvlText w:val="%2"/>
      <w:numFmt w:val="decimal"/>
      <w:start w:val="1"/>
    </w:lvl>
  </w:abstractNum>
  <w:abstractNum w:abstractNumId="184">
    <w:nsid w:val="271210C7"/>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5"/>
    </w:lvl>
  </w:abstractNum>
  <w:abstractNum w:abstractNumId="185">
    <w:nsid w:val="217B22E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86">
    <w:nsid w:val="53E31A24"/>
    <w:multiLevelType w:val="hybridMultilevel"/>
    <w:lvl w:ilvl="0">
      <w:lvlJc w:val="left"/>
      <w:lvlText w:val="(%1)"/>
      <w:numFmt w:val="lowerRoman"/>
      <w:start w:val="2"/>
    </w:lvl>
  </w:abstractNum>
  <w:abstractNum w:abstractNumId="187">
    <w:nsid w:val="6DC45E8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lvl w:ilvl="3">
      <w:lvlJc w:val="left"/>
      <w:lvlText w:val="(%4)"/>
      <w:numFmt w:val="lowerLetter"/>
      <w:start w:val="7"/>
    </w:lvl>
  </w:abstractNum>
  <w:abstractNum w:abstractNumId="188">
    <w:nsid w:val="17304A6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8"/>
    </w:lvl>
    <w:lvl w:ilvl="3">
      <w:lvlJc w:val="left"/>
      <w:lvlText w:val="%4"/>
      <w:numFmt w:val="lowerLetter"/>
      <w:start w:val="1"/>
    </w:lvl>
  </w:abstractNum>
  <w:abstractNum w:abstractNumId="189">
    <w:nsid w:val="2BB180D8"/>
    <w:multiLevelType w:val="hybridMultilevel"/>
    <w:lvl w:ilvl="0">
      <w:lvlJc w:val="left"/>
      <w:lvlText w:val="(%1)"/>
      <w:numFmt w:val="lowerLetter"/>
      <w:start w:val="9"/>
    </w:lvl>
    <w:lvl w:ilvl="1">
      <w:lvlJc w:val="left"/>
      <w:lvlText w:val="(%2)"/>
      <w:numFmt w:val="lowerLetter"/>
      <w:start w:val="11"/>
    </w:lvl>
    <w:lvl w:ilvl="2">
      <w:lvlJc w:val="left"/>
      <w:lvlText w:val="%3"/>
      <w:numFmt w:val="lowerLetter"/>
      <w:start w:val="1"/>
    </w:lvl>
    <w:lvl w:ilvl="3">
      <w:lvlJc w:val="left"/>
      <w:lvlText w:val="(%4)"/>
      <w:numFmt w:val="lowerLetter"/>
      <w:start w:val="13"/>
    </w:lvl>
  </w:abstractNum>
  <w:abstractNum w:abstractNumId="190">
    <w:nsid w:val="556B69ED"/>
    <w:multiLevelType w:val="hybridMultilevel"/>
    <w:lvl w:ilvl="0">
      <w:lvlJc w:val="left"/>
      <w:lvlText w:val="%1."/>
      <w:numFmt w:val="decimal"/>
      <w:start w:val="6"/>
    </w:lvl>
    <w:lvl w:ilvl="1">
      <w:lvlJc w:val="left"/>
      <w:lvlText w:val="(%2)"/>
      <w:numFmt w:val="lowerLetter"/>
      <w:start w:val="2"/>
    </w:lvl>
  </w:abstractNum>
  <w:abstractNum w:abstractNumId="191">
    <w:nsid w:val="70836196"/>
    <w:multiLevelType w:val="hybridMultilevel"/>
    <w:lvl w:ilvl="0">
      <w:lvlJc w:val="left"/>
      <w:lvlText w:val="(%1)"/>
      <w:numFmt w:val="lowerLetter"/>
      <w:start w:val="3"/>
    </w:lvl>
    <w:lvl w:ilvl="1">
      <w:lvlJc w:val="left"/>
      <w:lvlText w:val="(%2)"/>
      <w:numFmt w:val="lowerLetter"/>
      <w:start w:val="5"/>
    </w:lvl>
  </w:abstractNum>
  <w:abstractNum w:abstractNumId="192">
    <w:nsid w:val="539F7F12"/>
    <w:multiLevelType w:val="hybridMultilevel"/>
    <w:lvl w:ilvl="0">
      <w:lvlJc w:val="left"/>
      <w:lvlText w:val="%1"/>
      <w:numFmt w:val="lowerLetter"/>
      <w:start w:val="1"/>
    </w:lvl>
    <w:lvl w:ilvl="1">
      <w:lvlJc w:val="left"/>
      <w:lvlText w:val="%2."/>
      <w:numFmt w:val="decimal"/>
      <w:start w:val="7"/>
    </w:lvl>
  </w:abstractNum>
  <w:abstractNum w:abstractNumId="193">
    <w:nsid w:val="2817E7EC"/>
    <w:multiLevelType w:val="hybridMultilevel"/>
    <w:lvl w:ilvl="0">
      <w:lvlJc w:val="left"/>
      <w:lvlText w:val="(%1)"/>
      <w:numFmt w:val="lowerLetter"/>
      <w:start w:val="1"/>
    </w:lvl>
    <w:lvl w:ilvl="1">
      <w:lvlJc w:val="left"/>
      <w:lvlText w:val="%2"/>
      <w:numFmt w:val="decimal"/>
      <w:start w:val="1"/>
    </w:lvl>
  </w:abstractNum>
  <w:abstractNum w:abstractNumId="194">
    <w:nsid w:val="7148254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95">
    <w:nsid w:val="17D78639"/>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lvl w:ilvl="3">
      <w:lvlJc w:val="left"/>
      <w:lvlText w:val="(%4)"/>
      <w:numFmt w:val="lowerLetter"/>
      <w:start w:val="4"/>
    </w:lvl>
  </w:abstractNum>
  <w:abstractNum w:abstractNumId="196">
    <w:nsid w:val="141D2302"/>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lowerLetter"/>
      <w:start w:val="1"/>
    </w:lvl>
  </w:abstractNum>
  <w:abstractNum w:abstractNumId="197">
    <w:nsid w:val="407168D8"/>
    <w:multiLevelType w:val="hybridMultilevel"/>
    <w:lvl w:ilvl="0">
      <w:lvlJc w:val="left"/>
      <w:lvlText w:val="(%1)"/>
      <w:numFmt w:val="lowerLetter"/>
      <w:start w:val="8"/>
    </w:lvl>
    <w:lvl w:ilvl="1">
      <w:lvlJc w:val="left"/>
      <w:lvlText w:val="(%2)"/>
      <w:numFmt w:val="lowerLetter"/>
      <w:start w:val="9"/>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198">
    <w:nsid w:val="6A1B45E5"/>
    <w:multiLevelType w:val="hybridMultilevel"/>
    <w:lvl w:ilvl="0">
      <w:lvlJc w:val="left"/>
      <w:lvlText w:val="(%1)"/>
      <w:numFmt w:val="lowerLetter"/>
      <w:start w:val="10"/>
    </w:lvl>
    <w:lvl w:ilvl="1">
      <w:lvlJc w:val="left"/>
      <w:lvlText w:val="%2"/>
      <w:numFmt w:val="lowerLetter"/>
      <w:start w:val="1"/>
    </w:lvl>
    <w:lvl w:ilvl="2">
      <w:lvlJc w:val="left"/>
      <w:lvlText w:val="(%3)"/>
      <w:numFmt w:val="lowerLetter"/>
      <w:start w:val="11"/>
    </w:lvl>
    <w:lvl w:ilvl="3">
      <w:lvlJc w:val="left"/>
      <w:lvlText w:val="(%4)"/>
      <w:numFmt w:val="lowerLetter"/>
      <w:start w:val="13"/>
    </w:lvl>
    <w:lvl w:ilvl="4">
      <w:lvlJc w:val="left"/>
      <w:lvlText w:val="%5."/>
      <w:numFmt w:val="decimal"/>
      <w:start w:val="9"/>
    </w:lvl>
  </w:abstractNum>
  <w:abstractNum w:abstractNumId="199">
    <w:nsid w:val="567BD50A"/>
    <w:multiLevelType w:val="hybridMultilevel"/>
    <w:lvl w:ilvl="0">
      <w:lvlJc w:val="left"/>
      <w:lvlText w:val="(%1)"/>
      <w:numFmt w:val="lowerLetter"/>
      <w:start w:val="2"/>
    </w:lvl>
  </w:abstractNum>
  <w:abstractNum w:abstractNumId="200">
    <w:nsid w:val="73BBD7F8"/>
    <w:multiLevelType w:val="hybridMultilevel"/>
    <w:lvl w:ilvl="0">
      <w:lvlJc w:val="left"/>
      <w:lvlText w:val="(%1)"/>
      <w:numFmt w:val="lowerLetter"/>
      <w:start w:val="4"/>
    </w:lvl>
  </w:abstractNum>
  <w:abstractNum w:abstractNumId="201">
    <w:nsid w:val="1876589D"/>
    <w:multiLevelType w:val="hybridMultilevel"/>
    <w:lvl w:ilvl="0">
      <w:lvlJc w:val="left"/>
      <w:lvlText w:val="(%1)"/>
      <w:numFmt w:val="lowerLetter"/>
      <w:start w:val="5"/>
    </w:lvl>
  </w:abstractNum>
  <w:abstractNum w:abstractNumId="202">
    <w:nsid w:val="327FAC77"/>
    <w:multiLevelType w:val="hybridMultilevel"/>
    <w:lvl w:ilvl="0">
      <w:lvlJc w:val="left"/>
      <w:lvlText w:val="(%1)"/>
      <w:numFmt w:val="lowerLetter"/>
      <w:start w:val="6"/>
    </w:lvl>
  </w:abstractNum>
  <w:abstractNum w:abstractNumId="203">
    <w:nsid w:val="5A606509"/>
    <w:multiLevelType w:val="hybridMultilevel"/>
    <w:lvl w:ilvl="0">
      <w:lvlJc w:val="left"/>
      <w:lvlText w:val="%1."/>
      <w:numFmt w:val="decimal"/>
      <w:start w:val="10"/>
    </w:lvl>
  </w:abstractNum>
  <w:abstractNum w:abstractNumId="204">
    <w:nsid w:val="6F38E6D1"/>
    <w:multiLevelType w:val="hybridMultilevel"/>
    <w:lvl w:ilvl="0">
      <w:lvlJc w:val="left"/>
      <w:lvlText w:val="(%1)"/>
      <w:numFmt w:val="lowerLetter"/>
      <w:start w:val="2"/>
    </w:lvl>
  </w:abstractNum>
  <w:abstractNum w:abstractNumId="205">
    <w:nsid w:val="46111BA5"/>
    <w:multiLevelType w:val="hybridMultilevel"/>
    <w:lvl w:ilvl="0">
      <w:lvlJc w:val="left"/>
      <w:lvlText w:val="(%1)"/>
      <w:numFmt w:val="lowerLetter"/>
      <w:start w:val="3"/>
    </w:lvl>
  </w:abstractNum>
  <w:abstractNum w:abstractNumId="206">
    <w:nsid w:val="5E963896"/>
    <w:multiLevelType w:val="hybridMultilevel"/>
    <w:lvl w:ilvl="0">
      <w:lvlJc w:val="left"/>
      <w:lvlText w:val="%1."/>
      <w:numFmt w:val="decimal"/>
      <w:start w:val="11"/>
    </w:lvl>
  </w:abstractNum>
  <w:abstractNum w:abstractNumId="207">
    <w:nsid w:val="775BA7C1"/>
    <w:multiLevelType w:val="hybridMultilevel"/>
    <w:lvl w:ilvl="0">
      <w:lvlJc w:val="left"/>
      <w:lvlText w:val="%1."/>
      <w:numFmt w:val="decimal"/>
      <w:start w:val="14"/>
    </w:lvl>
  </w:abstractNum>
  <w:abstractNum w:abstractNumId="208">
    <w:nsid w:val="1DD6D6F4"/>
    <w:multiLevelType w:val="hybridMultilevel"/>
    <w:lvl w:ilvl="0">
      <w:lvlJc w:val="left"/>
      <w:lvlText w:val="%1."/>
      <w:numFmt w:val="decimal"/>
      <w:start w:val="17"/>
    </w:lvl>
  </w:abstractNum>
  <w:abstractNum w:abstractNumId="209">
    <w:nsid w:val="769A091F"/>
    <w:multiLevelType w:val="hybridMultilevel"/>
    <w:lvl w:ilvl="0">
      <w:lvlJc w:val="left"/>
      <w:lvlText w:val="%1."/>
      <w:numFmt w:val="decimal"/>
      <w:start w:val="22"/>
    </w:lvl>
  </w:abstractNum>
  <w:abstractNum w:abstractNumId="210">
    <w:nsid w:val="4695AE95"/>
    <w:multiLevelType w:val="hybridMultilevel"/>
    <w:lvl w:ilvl="0">
      <w:lvlJc w:val="left"/>
      <w:lvlText w:val="(%1)"/>
      <w:numFmt w:val="lowerLetter"/>
      <w:start w:val="1"/>
    </w:lvl>
  </w:abstractNum>
  <w:abstractNum w:abstractNumId="211">
    <w:nsid w:val="777A4EAA"/>
    <w:multiLevelType w:val="hybridMultilevel"/>
    <w:lvl w:ilvl="0">
      <w:lvlJc w:val="left"/>
      <w:lvlText w:val="(%1)"/>
      <w:numFmt w:val="lowerRoman"/>
      <w:start w:val="1"/>
    </w:lvl>
  </w:abstractNum>
  <w:abstractNum w:abstractNumId="212">
    <w:nsid w:val="3F48B982"/>
    <w:multiLevelType w:val="hybridMultilevel"/>
    <w:lvl w:ilvl="0">
      <w:lvlJc w:val="left"/>
      <w:lvlText w:val="(%1)"/>
      <w:numFmt w:val="lowerLetter"/>
      <w:start w:val="1"/>
    </w:lvl>
  </w:abstractNum>
  <w:abstractNum w:abstractNumId="213">
    <w:nsid w:val="46BA8FCA"/>
    <w:multiLevelType w:val="hybridMultilevel"/>
    <w:lvl w:ilvl="0">
      <w:lvlJc w:val="left"/>
      <w:lvlText w:val="(%1)"/>
      <w:numFmt w:val="lowerLetter"/>
      <w:start w:val="1"/>
    </w:lvl>
  </w:abstractNum>
  <w:abstractNum w:abstractNumId="214">
    <w:nsid w:val="7835626C"/>
    <w:multiLevelType w:val="hybridMultilevel"/>
    <w:lvl w:ilvl="0">
      <w:lvlJc w:val="left"/>
      <w:lvlText w:val="1"/>
      <w:numFmt w:val="bullet"/>
      <w:start w:val="1"/>
    </w:lvl>
  </w:abstractNum>
  <w:abstractNum w:abstractNumId="215">
    <w:nsid w:val="665ACA49"/>
    <w:multiLevelType w:val="hybridMultilevel"/>
    <w:lvl w:ilvl="0">
      <w:lvlJc w:val="left"/>
      <w:lvlText w:val="(%1)"/>
      <w:numFmt w:val="upperLetter"/>
      <w:start w:val="2"/>
    </w:lvl>
  </w:abstractNum>
  <w:abstractNum w:abstractNumId="216">
    <w:nsid w:val="6835B2AE"/>
    <w:multiLevelType w:val="hybridMultilevel"/>
    <w:lvl w:ilvl="0">
      <w:lvlJc w:val="left"/>
      <w:lvlText w:val="2"/>
      <w:numFmt w:val="bullet"/>
      <w:start w:val="1"/>
    </w:lvl>
  </w:abstractNum>
  <w:abstractNum w:abstractNumId="217">
    <w:nsid w:val="4C187C90"/>
    <w:multiLevelType w:val="hybridMultilevel"/>
    <w:lvl w:ilvl="0">
      <w:lvlJc w:val="left"/>
      <w:lvlText w:val="3"/>
      <w:numFmt w:val="bullet"/>
      <w:start w:val="1"/>
    </w:lvl>
  </w:abstractNum>
  <w:abstractNum w:abstractNumId="218">
    <w:nsid w:val="541F28CD"/>
    <w:multiLevelType w:val="hybridMultilevel"/>
    <w:lvl w:ilvl="0">
      <w:lvlJc w:val="left"/>
      <w:lvlText w:val="4"/>
      <w:numFmt w:val="bullet"/>
      <w:start w:val="1"/>
    </w:lvl>
  </w:abstractNum>
  <w:abstractNum w:abstractNumId="219">
    <w:nsid w:val="7F65FD16"/>
    <w:multiLevelType w:val="hybridMultilevel"/>
    <w:lvl w:ilvl="0">
      <w:lvlJc w:val="left"/>
      <w:lvlText w:val="(%1)"/>
      <w:numFmt w:val="decimal"/>
      <w:start w:val="4"/>
    </w:lvl>
  </w:abstractNum>
  <w:abstractNum w:abstractNumId="220">
    <w:nsid w:val="77C9FD68"/>
    <w:multiLevelType w:val="hybridMultilevel"/>
    <w:lvl w:ilvl="0">
      <w:lvlJc w:val="left"/>
      <w:lvlText w:val="%1."/>
      <w:numFmt w:val="lowerRoman"/>
      <w:start w:val="1"/>
    </w:lvl>
  </w:abstractNum>
  <w:abstractNum w:abstractNumId="221">
    <w:nsid w:val="298A92BA"/>
    <w:multiLevelType w:val="hybridMultilevel"/>
    <w:lvl w:ilvl="0">
      <w:lvlJc w:val="left"/>
      <w:lvlText w:val="%1."/>
      <w:numFmt w:val="lowerRoman"/>
      <w:start w:val="3"/>
    </w:lvl>
  </w:abstractNum>
  <w:abstractNum w:abstractNumId="222">
    <w:nsid w:val="6FE95EAC"/>
    <w:multiLevelType w:val="hybridMultilevel"/>
    <w:lvl w:ilvl="0">
      <w:lvlJc w:val="left"/>
      <w:lvlText w:val="%1."/>
      <w:numFmt w:val="lowerRoman"/>
      <w:start w:val="7"/>
    </w:lvl>
  </w:abstractNum>
  <w:abstractNum w:abstractNumId="223">
    <w:nsid w:val="4B697C7A"/>
    <w:multiLevelType w:val="hybridMultilevel"/>
    <w:lvl w:ilvl="0">
      <w:lvlJc w:val="left"/>
      <w:lvlText w:val="%1."/>
      <w:numFmt w:val="lowerRoman"/>
      <w:start w:val="10"/>
    </w:lvl>
  </w:abstractNum>
  <w:abstractNum w:abstractNumId="224">
    <w:nsid w:val="51A27AA6"/>
    <w:multiLevelType w:val="hybridMultilevel"/>
    <w:lvl w:ilvl="0">
      <w:lvlJc w:val="left"/>
      <w:lvlText w:val="%1."/>
      <w:numFmt w:val="lowerRoman"/>
      <w:start w:val="16"/>
    </w:lvl>
  </w:abstractNum>
  <w:abstractNum w:abstractNumId="225">
    <w:nsid w:val="613183F2"/>
    <w:multiLevelType w:val="hybridMultilevel"/>
    <w:lvl w:ilvl="0">
      <w:lvlJc w:val="left"/>
      <w:lvlText w:val="5"/>
      <w:numFmt w:val="bullet"/>
      <w:start w:val="1"/>
    </w:lvl>
  </w:abstractNum>
  <w:abstractNum w:abstractNumId="226">
    <w:nsid w:val="634102B4"/>
    <w:multiLevelType w:val="hybridMultilevel"/>
    <w:lvl w:ilvl="0">
      <w:lvlJc w:val="left"/>
      <w:lvlText w:val="%1."/>
      <w:numFmt w:val="decimal"/>
      <w:start w:val="1"/>
    </w:lvl>
    <w:lvl w:ilvl="1">
      <w:lvlJc w:val="left"/>
      <w:lvlText w:val="(%2)"/>
      <w:numFmt w:val="lowerLetter"/>
      <w:start w:val="1"/>
    </w:lvl>
  </w:abstractNum>
  <w:abstractNum w:abstractNumId="227">
    <w:nsid w:val="65BF9DA8"/>
    <w:multiLevelType w:val="hybridMultilevel"/>
    <w:lvl w:ilvl="0">
      <w:lvlJc w:val="left"/>
      <w:lvlText w:val="(%1)"/>
      <w:numFmt w:val="lowerLetter"/>
      <w:start w:val="2"/>
    </w:lvl>
  </w:abstractNum>
  <w:abstractNum w:abstractNumId="228">
    <w:nsid w:val="21A2EC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229">
    <w:nsid w:val="4D5C489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1"/>
    </w:lvl>
  </w:abstractNum>
  <w:abstractNum w:abstractNumId="230">
    <w:nsid w:val="3C3B72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1">
    <w:nsid w:val="155EC4C2"/>
    <w:multiLevelType w:val="hybridMultilevel"/>
    <w:lvl w:ilvl="0">
      <w:lvlJc w:val="left"/>
      <w:lvlText w:val="%1"/>
      <w:numFmt w:val="decimal"/>
      <w:start w:val="1"/>
    </w:lvl>
    <w:lvl w:ilvl="1">
      <w:lvlJc w:val="left"/>
      <w:lvlText w:val="(%2)"/>
      <w:numFmt w:val="lowerLetter"/>
      <w:start w:val="3"/>
    </w:lvl>
  </w:abstractNum>
  <w:abstractNum w:abstractNumId="232">
    <w:nsid w:val="65D2A137"/>
    <w:multiLevelType w:val="hybridMultilevel"/>
    <w:lvl w:ilvl="0">
      <w:lvlJc w:val="left"/>
      <w:lvlText w:val="%1."/>
      <w:numFmt w:val="decimal"/>
      <w:start w:val="3"/>
    </w:lvl>
    <w:lvl w:ilvl="1">
      <w:lvlJc w:val="left"/>
      <w:lvlText w:val="(%2)"/>
      <w:numFmt w:val="lowerLetter"/>
      <w:start w:val="1"/>
    </w:lvl>
  </w:abstractNum>
  <w:abstractNum w:abstractNumId="233">
    <w:nsid w:val="6EBB1F2A"/>
    <w:multiLevelType w:val="hybridMultilevel"/>
    <w:lvl w:ilvl="0">
      <w:lvlJc w:val="left"/>
      <w:lvlText w:val="%1"/>
      <w:numFmt w:val="decimal"/>
      <w:start w:val="1"/>
    </w:lvl>
    <w:lvl w:ilvl="1">
      <w:lvlJc w:val="left"/>
      <w:lvlText w:val="(%2)"/>
      <w:numFmt w:val="lowerLetter"/>
      <w:start w:val="3"/>
    </w:lvl>
  </w:abstractNum>
  <w:abstractNum w:abstractNumId="234">
    <w:nsid w:val="6FBF29CB"/>
    <w:multiLevelType w:val="hybridMultilevel"/>
    <w:lvl w:ilvl="0">
      <w:lvlJc w:val="left"/>
      <w:lvlText w:val="%1."/>
      <w:numFmt w:val="decimal"/>
      <w:start w:val="4"/>
    </w:lvl>
    <w:lvl w:ilvl="1">
      <w:lvlJc w:val="left"/>
      <w:lvlText w:val="(%2)"/>
      <w:numFmt w:val="lowerLetter"/>
      <w:start w:val="1"/>
    </w:lvl>
  </w:abstractNum>
  <w:abstractNum w:abstractNumId="235">
    <w:nsid w:val="550B8808"/>
    <w:multiLevelType w:val="hybridMultilevel"/>
    <w:lvl w:ilvl="0">
      <w:lvlJc w:val="left"/>
      <w:lvlText w:val="%1"/>
      <w:numFmt w:val="decimal"/>
      <w:start w:val="1"/>
    </w:lvl>
    <w:lvl w:ilvl="1">
      <w:lvlJc w:val="left"/>
      <w:lvlText w:val="(%2)"/>
      <w:numFmt w:val="lowerLetter"/>
      <w:start w:val="3"/>
    </w:lvl>
  </w:abstractNum>
  <w:abstractNum w:abstractNumId="236">
    <w:nsid w:val="34CC3ACF"/>
    <w:multiLevelType w:val="hybridMultilevel"/>
    <w:lvl w:ilvl="0">
      <w:lvlJc w:val="left"/>
      <w:lvlText w:val="(%1)"/>
      <w:numFmt w:val="decimal"/>
      <w:start w:val="20"/>
    </w:lvl>
    <w:lvl w:ilvl="1">
      <w:lvlJc w:val="left"/>
      <w:lvlText w:val="(%2)"/>
      <w:numFmt w:val="lowerLetter"/>
      <w:start w:val="4"/>
    </w:lvl>
  </w:abstractNum>
  <w:abstractNum w:abstractNumId="237">
    <w:nsid w:val="4E556261"/>
    <w:multiLevelType w:val="hybridMultilevel"/>
    <w:lvl w:ilvl="0">
      <w:lvlJc w:val="left"/>
      <w:lvlText w:val="(%1)"/>
      <w:numFmt w:val="lowerLetter"/>
      <w:start w:val="6"/>
    </w:lvl>
  </w:abstractNum>
  <w:abstractNum w:abstractNumId="238">
    <w:nsid w:val="4C672FC9"/>
    <w:multiLevelType w:val="hybridMultilevel"/>
    <w:lvl w:ilvl="0">
      <w:lvlJc w:val="left"/>
      <w:lvlText w:val="%1"/>
      <w:numFmt w:val="decimal"/>
      <w:start w:val="1"/>
    </w:lvl>
    <w:lvl w:ilvl="1">
      <w:lvlJc w:val="left"/>
      <w:lvlText w:val="(%2)"/>
      <w:numFmt w:val="lowerLetter"/>
      <w:start w:val="11"/>
    </w:lvl>
  </w:abstractNum>
  <w:abstractNum w:abstractNumId="239">
    <w:nsid w:val="52A311C3"/>
    <w:multiLevelType w:val="hybridMultilevel"/>
    <w:lvl w:ilvl="0">
      <w:lvlJc w:val="left"/>
      <w:lvlText w:val="%1."/>
      <w:numFmt w:val="decimal"/>
      <w:start w:val="7"/>
    </w:lvl>
    <w:lvl w:ilvl="1">
      <w:lvlJc w:val="left"/>
      <w:lvlText w:val="(%2)"/>
      <w:numFmt w:val="lowerLetter"/>
      <w:start w:val="1"/>
    </w:lvl>
  </w:abstractNum>
  <w:abstractNum w:abstractNumId="240">
    <w:nsid w:val="44EF6B80"/>
    <w:multiLevelType w:val="hybridMultilevel"/>
    <w:lvl w:ilvl="0">
      <w:lvlJc w:val="left"/>
      <w:lvlText w:val="%1"/>
      <w:numFmt w:val="decimal"/>
      <w:start w:val="1"/>
    </w:lvl>
    <w:lvl w:ilvl="1">
      <w:lvlJc w:val="left"/>
      <w:lvlText w:val="(%2)"/>
      <w:numFmt w:val="lowerLetter"/>
      <w:start w:val="5"/>
    </w:lvl>
  </w:abstractNum>
  <w:abstractNum w:abstractNumId="241">
    <w:nsid w:val="12FCDE5E"/>
    <w:multiLevelType w:val="hybridMultilevel"/>
    <w:lvl w:ilvl="0">
      <w:lvlJc w:val="left"/>
      <w:lvlText w:val="%1."/>
      <w:numFmt w:val="decimal"/>
      <w:start w:val="8"/>
    </w:lvl>
    <w:lvl w:ilvl="1">
      <w:lvlJc w:val="left"/>
      <w:lvlText w:val="(%2)"/>
      <w:numFmt w:val="lowerLetter"/>
      <w:start w:val="1"/>
    </w:lvl>
  </w:abstractNum>
  <w:abstractNum w:abstractNumId="242">
    <w:nsid w:val="4A1D606E"/>
    <w:multiLevelType w:val="hybridMultilevel"/>
    <w:lvl w:ilvl="0">
      <w:lvlJc w:val="left"/>
      <w:lvlText w:val="%1."/>
      <w:numFmt w:val="decimal"/>
      <w:start w:val="9"/>
    </w:lvl>
    <w:lvl w:ilvl="1">
      <w:lvlJc w:val="left"/>
      <w:lvlText w:val="(%2)"/>
      <w:numFmt w:val="lowerLetter"/>
      <w:start w:val="1"/>
    </w:lvl>
  </w:abstractNum>
  <w:abstractNum w:abstractNumId="243">
    <w:nsid w:val="4382503"/>
    <w:multiLevelType w:val="hybridMultilevel"/>
    <w:lvl w:ilvl="0">
      <w:lvlJc w:val="left"/>
      <w:lvlText w:val="%1."/>
      <w:numFmt w:val="decimal"/>
      <w:start w:val="15"/>
    </w:lvl>
    <w:lvl w:ilvl="1">
      <w:lvlJc w:val="left"/>
      <w:lvlText w:val="%2."/>
      <w:numFmt w:val="decimal"/>
      <w:start w:val="1"/>
    </w:lvl>
  </w:abstractNum>
  <w:abstractNum w:abstractNumId="244">
    <w:nsid w:val="59B76E28"/>
    <w:multiLevelType w:val="hybridMultilevel"/>
    <w:lvl w:ilvl="0">
      <w:lvlJc w:val="left"/>
      <w:lvlText w:val="%1."/>
      <w:numFmt w:val="decimal"/>
      <w:start w:val="16"/>
    </w:lvl>
  </w:abstractNum>
  <w:abstractNum w:abstractNumId="245">
    <w:nsid w:val="4252C2DA"/>
    <w:multiLevelType w:val="hybridMultilevel"/>
    <w:lvl w:ilvl="0">
      <w:lvlJc w:val="left"/>
      <w:lvlText w:val="["/>
      <w:numFmt w:val="bullet"/>
      <w:start w:val="1"/>
    </w:lvl>
  </w:abstractNum>
  <w:abstractNum w:abstractNumId="246">
    <w:nsid w:val="6A92EF4C"/>
    <w:multiLevelType w:val="hybridMultilevel"/>
    <w:lvl w:ilvl="0">
      <w:lvlJc w:val="left"/>
      <w:lvlText w:val="["/>
      <w:numFmt w:val="bullet"/>
      <w:start w:val="1"/>
    </w:lvl>
  </w:abstractNum>
  <w:abstractNum w:abstractNumId="247">
    <w:nsid w:val="41ED20D7"/>
    <w:multiLevelType w:val="hybridMultilevel"/>
    <w:lvl w:ilvl="0">
      <w:lvlJc w:val="left"/>
      <w:lvlText w:val="%1."/>
      <w:numFmt w:val="decimal"/>
      <w:start w:val="1"/>
    </w:lvl>
    <w:lvl w:ilvl="1">
      <w:lvlJc w:val="left"/>
      <w:lvlText w:val="(%2)"/>
      <w:numFmt w:val="lowerLetter"/>
      <w:start w:val="1"/>
    </w:lvl>
  </w:abstractNum>
  <w:abstractNum w:abstractNumId="248">
    <w:nsid w:val="E6B3F6A"/>
    <w:multiLevelType w:val="hybridMultilevel"/>
    <w:lvl w:ilvl="0">
      <w:lvlJc w:val="left"/>
      <w:lvlText w:val="%1"/>
      <w:numFmt w:val="decimal"/>
      <w:start w:val="1"/>
    </w:lvl>
    <w:lvl w:ilvl="1">
      <w:lvlJc w:val="left"/>
      <w:lvlText w:val="(%2)"/>
      <w:numFmt w:val="lowerLetter"/>
      <w:start w:val="2"/>
    </w:lvl>
  </w:abstractNum>
  <w:abstractNum w:abstractNumId="249">
    <w:nsid w:val="3EB21819"/>
    <w:multiLevelType w:val="hybridMultilevel"/>
    <w:lvl w:ilvl="0">
      <w:lvlJc w:val="left"/>
      <w:lvlText w:val="%1."/>
      <w:numFmt w:val="decimal"/>
      <w:start w:val="2"/>
    </w:lvl>
    <w:lvl w:ilvl="1">
      <w:lvlJc w:val="left"/>
      <w:lvlText w:val="%2"/>
      <w:numFmt w:val="lowerLetter"/>
      <w:start w:val="1"/>
    </w:lvl>
  </w:abstractNum>
  <w:abstractNum w:abstractNumId="250">
    <w:nsid w:val="41531DED"/>
    <w:multiLevelType w:val="hybridMultilevel"/>
    <w:lvl w:ilvl="0">
      <w:lvlJc w:val="left"/>
      <w:lvlText w:val="%1."/>
      <w:numFmt w:val="decimal"/>
      <w:start w:val="3"/>
    </w:lvl>
    <w:lvl w:ilvl="1">
      <w:lvlJc w:val="left"/>
      <w:lvlText w:val="(%2)"/>
      <w:numFmt w:val="lowerLetter"/>
      <w:start w:val="1"/>
    </w:lvl>
  </w:abstractNum>
  <w:abstractNum w:abstractNumId="251">
    <w:nsid w:val="6353CD2"/>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252">
    <w:nsid w:val="683CAAD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53">
    <w:nsid w:val="313C7C99"/>
    <w:multiLevelType w:val="hybridMultilevel"/>
    <w:lvl w:ilvl="0">
      <w:lvlJc w:val="left"/>
      <w:lvlText w:val="(%1)"/>
      <w:numFmt w:val="decimal"/>
      <w:start w:val="30"/>
    </w:lvl>
    <w:lvl w:ilvl="1">
      <w:lvlJc w:val="left"/>
      <w:lvlText w:val="%2."/>
      <w:numFmt w:val="decimal"/>
      <w:start w:val="6"/>
    </w:lvl>
    <w:lvl w:ilvl="2">
      <w:lvlJc w:val="left"/>
      <w:lvlText w:val="(%3)"/>
      <w:numFmt w:val="lowerLetter"/>
      <w:start w:val="1"/>
    </w:lvl>
  </w:abstractNum>
  <w:abstractNum w:abstractNumId="254">
    <w:nsid w:val="519EB94C"/>
    <w:multiLevelType w:val="hybridMultilevel"/>
    <w:lvl w:ilvl="0">
      <w:lvlJc w:val="left"/>
      <w:lvlText w:val="(%1)"/>
      <w:numFmt w:val="lowerLetter"/>
      <w:start w:val="2"/>
    </w:lvl>
  </w:abstractNum>
  <w:abstractNum w:abstractNumId="255">
    <w:nsid w:val="39DF2579"/>
    <w:multiLevelType w:val="hybridMultilevel"/>
    <w:lvl w:ilvl="0">
      <w:lvlJc w:val="left"/>
      <w:lvlText w:val="(%1)"/>
      <w:numFmt w:val="lowerLetter"/>
      <w:start w:val="4"/>
    </w:lvl>
  </w:abstractNum>
  <w:abstractNum w:abstractNumId="256">
    <w:nsid w:val="126E008B"/>
    <w:multiLevelType w:val="hybridMultilevel"/>
    <w:lvl w:ilvl="0">
      <w:lvlJc w:val="left"/>
      <w:lvlText w:val="(%1)"/>
      <w:numFmt w:val="lowerLetter"/>
      <w:start w:val="7"/>
    </w:lvl>
  </w:abstractNum>
  <w:abstractNum w:abstractNumId="257">
    <w:nsid w:val="34DFBC00"/>
    <w:multiLevelType w:val="hybridMultilevel"/>
    <w:lvl w:ilvl="0">
      <w:lvlJc w:val="left"/>
      <w:lvlText w:val="%1."/>
      <w:numFmt w:val="decimal"/>
      <w:start w:val="7"/>
    </w:lvl>
    <w:lvl w:ilvl="1">
      <w:lvlJc w:val="left"/>
      <w:lvlText w:val="(%2)"/>
      <w:numFmt w:val="lowerLetter"/>
      <w:start w:val="1"/>
    </w:lvl>
  </w:abstractNum>
  <w:abstractNum w:abstractNumId="258">
    <w:nsid w:val="1F9EC322"/>
    <w:multiLevelType w:val="hybridMultilevel"/>
    <w:lvl w:ilvl="0">
      <w:lvlJc w:val="left"/>
      <w:lvlText w:val="%1"/>
      <w:numFmt w:val="decimal"/>
      <w:start w:val="1"/>
    </w:lvl>
    <w:lvl w:ilvl="1">
      <w:lvlJc w:val="left"/>
      <w:lvlText w:val="(%2)"/>
      <w:numFmt w:val="lowerLetter"/>
      <w:start w:val="5"/>
    </w:lvl>
  </w:abstractNum>
  <w:abstractNum w:abstractNumId="259">
    <w:nsid w:val="3410ED56"/>
    <w:multiLevelType w:val="hybridMultilevel"/>
    <w:lvl w:ilvl="0">
      <w:lvlJc w:val="left"/>
      <w:lvlText w:val="%1."/>
      <w:numFmt w:val="decimal"/>
      <w:start w:val="8"/>
    </w:lvl>
    <w:lvl w:ilvl="1">
      <w:lvlJc w:val="left"/>
      <w:lvlText w:val="(%2)"/>
      <w:numFmt w:val="lowerLetter"/>
      <w:start w:val="1"/>
    </w:lvl>
  </w:abstractNum>
  <w:abstractNum w:abstractNumId="260">
    <w:nsid w:val="23C049A"/>
    <w:multiLevelType w:val="hybridMultilevel"/>
    <w:lvl w:ilvl="0">
      <w:lvlJc w:val="left"/>
      <w:lvlText w:val="%1"/>
      <w:numFmt w:val="decimal"/>
      <w:start w:val="1"/>
    </w:lvl>
    <w:lvl w:ilvl="1">
      <w:lvlJc w:val="left"/>
      <w:lvlText w:val="(%2)"/>
      <w:numFmt w:val="lowerLetter"/>
      <w:start w:val="3"/>
    </w:lvl>
  </w:abstractNum>
  <w:abstractNum w:abstractNumId="261">
    <w:nsid w:val="5BDA35D4"/>
    <w:multiLevelType w:val="hybridMultilevel"/>
    <w:lvl w:ilvl="0">
      <w:lvlJc w:val="left"/>
      <w:lvlText w:val="%1."/>
      <w:numFmt w:val="decimal"/>
      <w:start w:val="9"/>
    </w:lvl>
    <w:lvl w:ilvl="1">
      <w:lvlJc w:val="left"/>
      <w:lvlText w:val="(%2)"/>
      <w:numFmt w:val="lowerLetter"/>
      <w:start w:val="1"/>
    </w:lvl>
  </w:abstractNum>
  <w:abstractNum w:abstractNumId="262">
    <w:nsid w:val="496FB218"/>
    <w:multiLevelType w:val="hybridMultilevel"/>
    <w:lvl w:ilvl="0">
      <w:lvlJc w:val="left"/>
      <w:lvlText w:val="%1"/>
      <w:numFmt w:val="decimal"/>
      <w:start w:val="1"/>
    </w:lvl>
    <w:lvl w:ilvl="1">
      <w:lvlJc w:val="left"/>
      <w:lvlText w:val="(%2)"/>
      <w:numFmt w:val="lowerLetter"/>
      <w:start w:val="2"/>
    </w:lvl>
  </w:abstractNum>
  <w:abstractNum w:abstractNumId="263">
    <w:nsid w:val="680EA5D1"/>
    <w:multiLevelType w:val="hybridMultilevel"/>
    <w:lvl w:ilvl="0">
      <w:lvlJc w:val="left"/>
      <w:lvlText w:val="%1."/>
      <w:numFmt w:val="decimal"/>
      <w:start w:val="10"/>
    </w:lvl>
    <w:lvl w:ilvl="1">
      <w:lvlJc w:val="left"/>
      <w:lvlText w:val="%2"/>
      <w:numFmt w:val="lowerLetter"/>
      <w:start w:val="1"/>
    </w:lvl>
  </w:abstractNum>
  <w:abstractNum w:abstractNumId="264">
    <w:nsid w:val="4A9554FE"/>
    <w:multiLevelType w:val="hybridMultilevel"/>
    <w:lvl w:ilvl="0">
      <w:lvlJc w:val="left"/>
      <w:lvlText w:val="%1."/>
      <w:numFmt w:val="decimal"/>
      <w:start w:val="14"/>
    </w:lvl>
    <w:lvl w:ilvl="1">
      <w:lvlJc w:val="left"/>
      <w:lvlText w:val="(%2)"/>
      <w:numFmt w:val="lowerLetter"/>
      <w:start w:val="1"/>
    </w:lvl>
  </w:abstractNum>
  <w:abstractNum w:abstractNumId="265">
    <w:nsid w:val="392EDBE4"/>
    <w:multiLevelType w:val="hybridMultilevel"/>
    <w:lvl w:ilvl="0">
      <w:lvlJc w:val="left"/>
      <w:lvlText w:val="(%1)"/>
      <w:numFmt w:val="lowerLetter"/>
      <w:start w:val="2"/>
    </w:lvl>
  </w:abstractNum>
  <w:abstractNum w:abstractNumId="266">
    <w:nsid w:val="3D1A2DD9"/>
    <w:multiLevelType w:val="hybridMultilevel"/>
    <w:lvl w:ilvl="0">
      <w:lvlJc w:val="left"/>
      <w:lvlText w:val="%1"/>
      <w:numFmt w:val="decimal"/>
      <w:start w:val="1"/>
    </w:lvl>
    <w:lvl w:ilvl="1">
      <w:lvlJc w:val="left"/>
      <w:lvlText w:val="(%2)"/>
      <w:numFmt w:val="lowerLetter"/>
      <w:start w:val="6"/>
    </w:lvl>
  </w:abstractNum>
  <w:abstractNum w:abstractNumId="267">
    <w:nsid w:val="7F618FCD"/>
    <w:multiLevelType w:val="hybridMultilevel"/>
    <w:lvl w:ilvl="0">
      <w:lvlJc w:val="left"/>
      <w:lvlText w:val="%1."/>
      <w:numFmt w:val="decimal"/>
      <w:start w:val="19"/>
    </w:lvl>
    <w:lvl w:ilvl="1">
      <w:lvlJc w:val="left"/>
      <w:lvlText w:val="%2"/>
      <w:numFmt w:val="lowerLetter"/>
      <w:start w:val="1"/>
    </w:lvl>
  </w:abstractNum>
  <w:abstractNum w:abstractNumId="268">
    <w:nsid w:val="7843E45"/>
    <w:multiLevelType w:val="hybridMultilevel"/>
    <w:lvl w:ilvl="0">
      <w:lvlJc w:val="left"/>
      <w:lvlText w:val="%1."/>
      <w:numFmt w:val="decimal"/>
      <w:start w:val="22"/>
    </w:lvl>
    <w:lvl w:ilvl="1">
      <w:lvlJc w:val="left"/>
      <w:lvlText w:val="(%2)"/>
      <w:numFmt w:val="lowerLetter"/>
      <w:start w:val="1"/>
    </w:lvl>
  </w:abstractNum>
  <w:abstractNum w:abstractNumId="269">
    <w:nsid w:val="9815DA3"/>
    <w:multiLevelType w:val="hybridMultilevel"/>
    <w:lvl w:ilvl="0">
      <w:lvlJc w:val="left"/>
      <w:lvlText w:val="%1."/>
      <w:numFmt w:val="decimal"/>
      <w:start w:val="23"/>
    </w:lvl>
  </w:abstractNum>
  <w:abstractNum w:abstractNumId="270">
    <w:nsid w:val="5204A191"/>
    <w:multiLevelType w:val="hybridMultilevel"/>
    <w:lvl w:ilvl="0">
      <w:lvlJc w:val="left"/>
      <w:lvlText w:val="(%1)"/>
      <w:numFmt w:val="lowerLetter"/>
      <w:start w:val="1"/>
    </w:lvl>
  </w:abstractNum>
  <w:abstractNum w:abstractNumId="271">
    <w:nsid w:val="4C73A9C6"/>
    <w:multiLevelType w:val="hybridMultilevel"/>
    <w:lvl w:ilvl="0">
      <w:lvlJc w:val="left"/>
      <w:lvlText w:val="(%1)"/>
      <w:numFmt w:val="lowerLetter"/>
      <w:start w:val="1"/>
    </w:lvl>
  </w:abstractNum>
  <w:abstractNum w:abstractNumId="272">
    <w:nsid w:val="1C7E3C01"/>
    <w:multiLevelType w:val="hybridMultilevel"/>
    <w:lvl w:ilvl="0">
      <w:lvlJc w:val="left"/>
      <w:lvlText w:val="(%1)"/>
      <w:numFmt w:val="lowerLetter"/>
      <w:start w:val="1"/>
    </w:lvl>
  </w:abstractNum>
  <w:abstractNum w:abstractNumId="273">
    <w:nsid w:val="1C2201FF"/>
    <w:multiLevelType w:val="hybridMultilevel"/>
    <w:lvl w:ilvl="0">
      <w:lvlJc w:val="left"/>
      <w:lvlText w:val="(%1)"/>
      <w:numFmt w:val="lowerLetter"/>
      <w:start w:val="1"/>
    </w:lvl>
    <w:lvl w:ilvl="1">
      <w:lvlJc w:val="left"/>
      <w:lvlText w:val="(%2)"/>
      <w:numFmt w:val="lowerRoman"/>
      <w:start w:val="1"/>
    </w:lvl>
  </w:abstractNum>
  <w:abstractNum w:abstractNumId="274">
    <w:nsid w:val="50ABCEC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5">
    <w:nsid w:val="7635AA2A"/>
    <w:multiLevelType w:val="hybridMultilevel"/>
    <w:lvl w:ilvl="0">
      <w:lvlJc w:val="left"/>
      <w:lvlText w:val="(%1)"/>
      <w:numFmt w:val="lowerLetter"/>
      <w:start w:val="2"/>
    </w:lvl>
  </w:abstractNum>
  <w:abstractNum w:abstractNumId="276">
    <w:nsid w:val="5E74C4D9"/>
    <w:multiLevelType w:val="hybridMultilevel"/>
    <w:lvl w:ilvl="0">
      <w:lvlJc w:val="left"/>
      <w:lvlText w:val="(%1)"/>
      <w:numFmt w:val="lowerLetter"/>
      <w:start w:val="4"/>
    </w:lvl>
  </w:abstractNum>
  <w:abstractNum w:abstractNumId="277">
    <w:nsid w:val="3B3EBE15"/>
    <w:multiLevelType w:val="hybridMultilevel"/>
    <w:lvl w:ilvl="0">
      <w:lvlJc w:val="left"/>
      <w:lvlText w:val="%1"/>
      <w:numFmt w:val="decimal"/>
      <w:start w:val="1"/>
    </w:lvl>
    <w:lvl w:ilvl="1">
      <w:lvlJc w:val="left"/>
      <w:lvlText w:val="(%2)"/>
      <w:numFmt w:val="lowerLetter"/>
      <w:start w:val="14"/>
    </w:lvl>
  </w:abstractNum>
  <w:abstractNum w:abstractNumId="278">
    <w:nsid w:val="3822CB01"/>
    <w:multiLevelType w:val="hybridMultilevel"/>
    <w:lvl w:ilvl="0">
      <w:lvlJc w:val="left"/>
      <w:lvlText w:val="%1."/>
      <w:numFmt w:val="decimal"/>
      <w:start w:val="2"/>
    </w:lvl>
    <w:lvl w:ilvl="1">
      <w:lvlJc w:val="left"/>
      <w:lvlText w:val="(%2)"/>
      <w:numFmt w:val="lowerLetter"/>
      <w:start w:val="1"/>
    </w:lvl>
  </w:abstractNum>
  <w:abstractNum w:abstractNumId="279">
    <w:nsid w:val="6CE00443"/>
    <w:multiLevelType w:val="hybridMultilevel"/>
    <w:lvl w:ilvl="0">
      <w:lvlJc w:val="left"/>
      <w:lvlText w:val="%1."/>
      <w:numFmt w:val="decimal"/>
      <w:start w:val="3"/>
    </w:lvl>
    <w:lvl w:ilvl="1">
      <w:lvlJc w:val="left"/>
      <w:lvlText w:val="(%2)"/>
      <w:numFmt w:val="lowerLetter"/>
      <w:start w:val="1"/>
    </w:lvl>
  </w:abstractNum>
  <w:abstractNum w:abstractNumId="280">
    <w:nsid w:val="79F0D62F"/>
    <w:multiLevelType w:val="hybridMultilevel"/>
    <w:lvl w:ilvl="0">
      <w:lvlJc w:val="left"/>
      <w:lvlText w:val="%1"/>
      <w:numFmt w:val="decimal"/>
      <w:start w:val="1"/>
    </w:lvl>
    <w:lvl w:ilvl="1">
      <w:lvlJc w:val="left"/>
      <w:lvlText w:val="(%2)"/>
      <w:numFmt w:val="lowerLetter"/>
      <w:start w:val="3"/>
    </w:lvl>
  </w:abstractNum>
  <w:abstractNum w:abstractNumId="281">
    <w:nsid w:val="7975E8EE"/>
    <w:multiLevelType w:val="hybridMultilevel"/>
    <w:lvl w:ilvl="0">
      <w:lvlJc w:val="left"/>
      <w:lvlText w:val="%1."/>
      <w:numFmt w:val="decimal"/>
      <w:start w:val="4"/>
    </w:lvl>
    <w:lvl w:ilvl="1">
      <w:lvlJc w:val="left"/>
      <w:lvlText w:val="(%2)"/>
      <w:numFmt w:val="lowerLetter"/>
      <w:start w:val="1"/>
    </w:lvl>
  </w:abstractNum>
  <w:abstractNum w:abstractNumId="282">
    <w:nsid w:val="73154115"/>
    <w:multiLevelType w:val="hybridMultilevel"/>
    <w:lvl w:ilvl="0">
      <w:lvlJc w:val="left"/>
      <w:lvlText w:val="(%1)"/>
      <w:numFmt w:val="lowerLetter"/>
      <w:start w:val="2"/>
    </w:lvl>
  </w:abstractNum>
  <w:abstractNum w:abstractNumId="283">
    <w:nsid w:val="622D8102"/>
    <w:multiLevelType w:val="hybridMultilevel"/>
    <w:lvl w:ilvl="0">
      <w:lvlJc w:val="left"/>
      <w:lvlText w:val="%1."/>
      <w:numFmt w:val="decimal"/>
      <w:start w:val="5"/>
    </w:lvl>
    <w:lvl w:ilvl="1">
      <w:lvlJc w:val="left"/>
      <w:lvlText w:val="(%2)"/>
      <w:numFmt w:val="lowerLetter"/>
      <w:start w:val="1"/>
    </w:lvl>
  </w:abstractNum>
  <w:abstractNum w:abstractNumId="284">
    <w:nsid w:val="2AB26587"/>
    <w:multiLevelType w:val="hybridMultilevel"/>
    <w:lvl w:ilvl="0">
      <w:lvlJc w:val="left"/>
      <w:lvlText w:val="%1."/>
      <w:numFmt w:val="decimal"/>
      <w:start w:val="8"/>
    </w:lvl>
  </w:abstractNum>
  <w:abstractNum w:abstractNumId="285">
    <w:nsid w:val="44B3FA61"/>
    <w:multiLevelType w:val="hybridMultilevel"/>
    <w:lvl w:ilvl="0">
      <w:lvlJc w:val="left"/>
      <w:lvlText w:val="%1."/>
      <w:numFmt w:val="decimal"/>
      <w:start w:val="9"/>
    </w:lvl>
    <w:lvl w:ilvl="1">
      <w:lvlJc w:val="left"/>
      <w:lvlText w:val="(%2)"/>
      <w:numFmt w:val="lowerLetter"/>
      <w:start w:val="1"/>
    </w:lvl>
  </w:abstractNum>
  <w:abstractNum w:abstractNumId="286">
    <w:nsid w:val="1C0CA67C"/>
    <w:multiLevelType w:val="hybridMultilevel"/>
    <w:lvl w:ilvl="0">
      <w:lvlJc w:val="left"/>
      <w:lvlText w:val="(%1)"/>
      <w:numFmt w:val="lowerLetter"/>
      <w:start w:val="2"/>
    </w:lvl>
  </w:abstractNum>
  <w:abstractNum w:abstractNumId="287">
    <w:nsid w:val="3D206613"/>
    <w:multiLevelType w:val="hybridMultilevel"/>
    <w:lvl w:ilvl="0">
      <w:lvlJc w:val="left"/>
      <w:lvlText w:val="(%1)"/>
      <w:numFmt w:val="lowerLetter"/>
      <w:start w:val="6"/>
    </w:lvl>
    <w:lvl w:ilvl="1">
      <w:lvlJc w:val="left"/>
      <w:lvlText w:val="(%2)"/>
      <w:numFmt w:val="lowerRoman"/>
      <w:start w:val="1"/>
    </w:lvl>
  </w:abstractNum>
  <w:abstractNum w:abstractNumId="288">
    <w:nsid w:val="7993B662"/>
    <w:multiLevelType w:val="hybridMultilevel"/>
    <w:lvl w:ilvl="0">
      <w:lvlJc w:val="left"/>
      <w:lvlText w:val="(%1)"/>
      <w:numFmt w:val="lowerLetter"/>
      <w:start w:val="8"/>
    </w:lvl>
  </w:abstractNum>
  <w:abstractNum w:abstractNumId="289">
    <w:nsid w:val="3BAB699E"/>
    <w:multiLevelType w:val="hybridMultilevel"/>
    <w:lvl w:ilvl="0">
      <w:lvlJc w:val="left"/>
      <w:lvlText w:val="(%1)"/>
      <w:numFmt w:val="lowerLetter"/>
      <w:start w:val="14"/>
    </w:lvl>
  </w:abstractNum>
  <w:abstractNum w:abstractNumId="290">
    <w:nsid w:val="71315369"/>
    <w:multiLevelType w:val="hybridMultilevel"/>
    <w:lvl w:ilvl="0">
      <w:lvlJc w:val="left"/>
      <w:lvlText w:val="%1."/>
      <w:numFmt w:val="decimal"/>
      <w:start w:val="1"/>
    </w:lvl>
  </w:abstractNum>
  <w:abstractNum w:abstractNumId="291">
    <w:nsid w:val="7BCFBAFC"/>
    <w:multiLevelType w:val="hybridMultilevel"/>
    <w:lvl w:ilvl="0">
      <w:lvlJc w:val="left"/>
      <w:lvlText w:val="(%1)"/>
      <w:numFmt w:val="lowerLetter"/>
      <w:start w:val="1"/>
    </w:lvl>
  </w:abstractNum>
  <w:abstractNum w:abstractNumId="292">
    <w:nsid w:val="17859F72"/>
    <w:multiLevelType w:val="hybridMultilevel"/>
    <w:lvl w:ilvl="0">
      <w:lvlJc w:val="left"/>
      <w:lvlText w:val="%1."/>
      <w:numFmt w:val="decimal"/>
      <w:start w:val="3"/>
    </w:lvl>
  </w:abstractNum>
  <w:abstractNum w:abstractNumId="293">
    <w:nsid w:val="3AA10581"/>
    <w:multiLevelType w:val="hybridMultilevel"/>
    <w:lvl w:ilvl="0">
      <w:lvlJc w:val="left"/>
      <w:lvlText w:val="%1."/>
      <w:numFmt w:val="decimal"/>
      <w:start w:val="5"/>
    </w:lvl>
  </w:abstractNum>
  <w:abstractNum w:abstractNumId="294">
    <w:nsid w:val="63DE60CD"/>
    <w:multiLevelType w:val="hybridMultilevel"/>
    <w:lvl w:ilvl="0">
      <w:lvlJc w:val="left"/>
      <w:lvlText w:val="%1."/>
      <w:numFmt w:val="decimal"/>
      <w:start w:val="6"/>
    </w:lvl>
    <w:lvl w:ilvl="1">
      <w:lvlJc w:val="left"/>
      <w:lvlText w:val="(%2)"/>
      <w:numFmt w:val="lowerLetter"/>
      <w:start w:val="1"/>
    </w:lvl>
  </w:abstractNum>
  <w:abstractNum w:abstractNumId="295">
    <w:nsid w:val="621AF471"/>
    <w:multiLevelType w:val="hybridMultilevel"/>
    <w:lvl w:ilvl="0">
      <w:lvlJc w:val="left"/>
      <w:lvlText w:val="%1."/>
      <w:numFmt w:val="decimal"/>
      <w:start w:val="7"/>
    </w:lvl>
  </w:abstractNum>
  <w:abstractNum w:abstractNumId="296">
    <w:nsid w:val="73CFE165"/>
    <w:multiLevelType w:val="hybridMultilevel"/>
    <w:lvl w:ilvl="0">
      <w:lvlJc w:val="left"/>
      <w:lvlText w:val="%1."/>
      <w:numFmt w:val="decimal"/>
      <w:start w:val="8"/>
    </w:lvl>
  </w:abstractNum>
  <w:abstractNum w:abstractNumId="297">
    <w:nsid w:val="20F88EA6"/>
    <w:multiLevelType w:val="hybridMultilevel"/>
    <w:lvl w:ilvl="0">
      <w:lvlJc w:val="left"/>
      <w:lvlText w:val="%1"/>
      <w:numFmt w:val="lowerLetter"/>
      <w:start w:val="1"/>
    </w:lvl>
    <w:lvl w:ilvl="1">
      <w:lvlJc w:val="left"/>
      <w:lvlText w:val="%2."/>
      <w:numFmt w:val="decimal"/>
      <w:start w:val="10"/>
    </w:lvl>
  </w:abstractNum>
  <w:abstractNum w:abstractNumId="298">
    <w:nsid w:val="617C843E"/>
    <w:multiLevelType w:val="hybridMultilevel"/>
    <w:lvl w:ilvl="0">
      <w:lvlJc w:val="left"/>
      <w:lvlText w:val="(%1)"/>
      <w:numFmt w:val="lowerLetter"/>
      <w:start w:val="2"/>
    </w:lvl>
    <w:lvl w:ilvl="1">
      <w:lvlJc w:val="left"/>
      <w:lvlText w:val="%2."/>
      <w:numFmt w:val="decimal"/>
      <w:start w:val="12"/>
    </w:lvl>
  </w:abstractNum>
  <w:abstractNum w:abstractNumId="299">
    <w:nsid w:val="7B541FAB"/>
    <w:multiLevelType w:val="hybridMultilevel"/>
    <w:lvl w:ilvl="0">
      <w:lvlJc w:val="left"/>
      <w:lvlText w:val="%1."/>
      <w:numFmt w:val="decimal"/>
      <w:start w:val="13"/>
    </w:lvl>
  </w:abstractNum>
  <w:abstractNum w:abstractNumId="300">
    <w:nsid w:val="2A79EC49"/>
    <w:multiLevelType w:val="hybridMultilevel"/>
    <w:lvl w:ilvl="0">
      <w:lvlJc w:val="left"/>
      <w:lvlText w:val="%1."/>
      <w:numFmt w:val="decimal"/>
      <w:start w:val="15"/>
    </w:lvl>
  </w:abstractNum>
  <w:abstractNum w:abstractNumId="301">
    <w:nsid w:val="338125CF"/>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jpeg"/><Relationship Id="rId189" Type="http://schemas.openxmlformats.org/officeDocument/2006/relationships/image" Target="media/image161.jpeg"/><Relationship Id="rId190" Type="http://schemas.openxmlformats.org/officeDocument/2006/relationships/image" Target="media/image162.jpe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154" Type="http://schemas.openxmlformats.org/officeDocument/2006/relationships/hyperlink" Target="https://www.sec.gov/Archives/edgar/data/1783879/000162828021013318/exhibit31-sx1.htm" TargetMode="External"/><Relationship Id="rId155" Type="http://schemas.openxmlformats.org/officeDocument/2006/relationships/hyperlink" Target="https://www.sec.gov/Archives/edgar/data/1783879/000162828021013318/exhibit32-sx1.htm" TargetMode="External"/><Relationship Id="rId156" Type="http://schemas.openxmlformats.org/officeDocument/2006/relationships/hyperlink" Target="https://www.sec.gov/Archives/edgar/data/1783879/000162828021013318/exhibit42-sx1.htm" TargetMode="External"/><Relationship Id="rId157" Type="http://schemas.openxmlformats.org/officeDocument/2006/relationships/hyperlink" Target="https://www.sec.gov/Archives/edgar/data/1783879/000162828021013318/exhibit102-sx1.htm" TargetMode="External"/><Relationship Id="rId158" Type="http://schemas.openxmlformats.org/officeDocument/2006/relationships/hyperlink" Target="https://www.sec.gov/Archives/edgar/data/1783879/000162828021013318/exhibit103-sx1.htm" TargetMode="External"/><Relationship Id="rId159" Type="http://schemas.openxmlformats.org/officeDocument/2006/relationships/hyperlink" Target="https://www.sec.gov/Archives/edgar/data/1783879/000162828021013318/exhibit104-sx1.htm" TargetMode="External"/><Relationship Id="rId160" Type="http://schemas.openxmlformats.org/officeDocument/2006/relationships/hyperlink" Target="https://www.sec.gov/Archives/edgar/data/1783879/000162828021013318/exhibit105-sx1.htm" TargetMode="External"/><Relationship Id="rId161" Type="http://schemas.openxmlformats.org/officeDocument/2006/relationships/hyperlink" Target="https://www.sec.gov/Archives/edgar/data/1783879/000162828021013318/exhibit106-sx1.htm" TargetMode="External"/><Relationship Id="rId162" Type="http://schemas.openxmlformats.org/officeDocument/2006/relationships/hyperlink" Target="https://www.sec.gov/Archives/edgar/data/1783879/000162828021013318/exhibit107-sx1.htm" TargetMode="External"/><Relationship Id="rId163" Type="http://schemas.openxmlformats.org/officeDocument/2006/relationships/hyperlink" Target="https://www.sec.gov/Archives/edgar/data/1783879/000162828021013318/exhibit108-sx1.htm" TargetMode="External"/><Relationship Id="rId164" Type="http://schemas.openxmlformats.org/officeDocument/2006/relationships/hyperlink" Target="https://www.sec.gov/Archives/edgar/data/1783879/000162828021013318/exhibit109-sx1.htm" TargetMode="External"/><Relationship Id="rId165" Type="http://schemas.openxmlformats.org/officeDocument/2006/relationships/hyperlink" Target="https://www.sec.gov/Archives/edgar/data/1783879/000162828021013318/exhibit1010-sx1.htm" TargetMode="External"/><Relationship Id="rId166" Type="http://schemas.openxmlformats.org/officeDocument/2006/relationships/hyperlink" Target="https://www.sec.gov/Archives/edgar/data/1783879/000162828021013318/exhibit1014-sx1.htm" TargetMode="External"/><Relationship Id="rId167" Type="http://schemas.openxmlformats.org/officeDocument/2006/relationships/hyperlink" Target="https://www.sec.gov/Archives/edgar/data/1783879/000162828021013318/exhibit1015-sx1.htm" TargetMode="External"/><Relationship Id="rId168" Type="http://schemas.openxmlformats.org/officeDocument/2006/relationships/hyperlink" Target="https://www.sec.gov/Archives/edgar/data/1783879/000162828021013318/exhibit1016-sx1.htm" TargetMode="External"/><Relationship Id="rId169" Type="http://schemas.openxmlformats.org/officeDocument/2006/relationships/hyperlink" Target="https://www.sec.gov/Archives/edgar/data/1783879/000162828021013318/exhibit1017-sx1.htm" TargetMode="External"/><Relationship Id="rId170" Type="http://schemas.openxmlformats.org/officeDocument/2006/relationships/hyperlink" Target="https://www.sec.gov/Archives/edgar/data/1783879/000162828021013318/exhibit1018-sx1.htm" TargetMode="External"/><Relationship Id="rId171" Type="http://schemas.openxmlformats.org/officeDocument/2006/relationships/hyperlink" Target="https://www.sec.gov/Archives/edgar/data/1783879/000162828021013318/exhibit1019-sx1.htm" TargetMode="External"/><Relationship Id="rId172" Type="http://schemas.openxmlformats.org/officeDocument/2006/relationships/hyperlink" Target="https://www.sec.gov/Archives/edgar/data/1783879/000162828021013318/exhibit1020-sx1.htm" TargetMode="External"/><Relationship Id="rId173" Type="http://schemas.openxmlformats.org/officeDocument/2006/relationships/hyperlink" Target="https://www.sec.gov/Archives/edgar/data/1783879/000162828021013318/exhibit211-sx1.htm" TargetMode="External"/><Relationship Id="rId174" Type="http://schemas.openxmlformats.org/officeDocument/2006/relationships/hyperlink" Target="https://www.sec.gov/Archives/edgar/data/0001783879/000162828021013318/robinhoods-1.htm#ib5a32e8afc3b422193a2f2891a49e0c9_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2021-07-19T05:57:12Z</dcterms:created>
  <dcterms:modified xsi:type="dcterms:W3CDTF">2021-07-19T05:57:12Z</dcterms:modified>
</cp:coreProperties>
</file>