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8625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2520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Bhatt Baiju</w:t>
              </w:r>
            </w:hyperlink>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Robinhood Markets,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HOOD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03/20/2026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ROBINHOOD MARKETS,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85 WILLOW ROAD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03/20/2026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67,422</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ind w:left="153"/>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67,422</w:t>
            </w:r>
          </w:p>
        </w:tc>
        <w:tc>
          <w:tcPr>
            <w:tcW w:w="280" w:type="dxa"/>
            <w:vAlign w:val="bottom"/>
          </w:tcPr>
          <w:p>
            <w:pPr>
              <w:spacing w:after="0"/>
              <w:rPr>
                <w:sz w:val="17"/>
                <w:szCs w:val="17"/>
                <w:color w:val="auto"/>
              </w:rPr>
            </w:pPr>
          </w:p>
        </w:tc>
        <w:tc>
          <w:tcPr>
            <w:tcW w:w="6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70.5593</w:t>
            </w:r>
            <w:r>
              <w:rPr>
                <w:rFonts w:ascii="Times New Roman" w:cs="Times New Roman" w:eastAsia="Times New Roman" w:hAnsi="Times New Roman"/>
                <w:sz w:val="21"/>
                <w:szCs w:val="21"/>
                <w:color w:val="008000"/>
                <w:w w:val="93"/>
                <w:vertAlign w:val="superscript"/>
              </w:rPr>
              <w:t>(3)</w:t>
            </w: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03/20/2026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28,945</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continue"/>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38,477</w:t>
            </w:r>
          </w:p>
        </w:tc>
        <w:tc>
          <w:tcPr>
            <w:tcW w:w="280" w:type="dxa"/>
            <w:vAlign w:val="bottom"/>
          </w:tcPr>
          <w:p>
            <w:pPr>
              <w:spacing w:after="0"/>
              <w:rPr>
                <w:sz w:val="17"/>
                <w:szCs w:val="17"/>
                <w:color w:val="auto"/>
              </w:rPr>
            </w:pPr>
          </w:p>
        </w:tc>
        <w:tc>
          <w:tcPr>
            <w:tcW w:w="6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71.4686</w:t>
            </w:r>
            <w:r>
              <w:rPr>
                <w:rFonts w:ascii="Times New Roman" w:cs="Times New Roman" w:eastAsia="Times New Roman" w:hAnsi="Times New Roman"/>
                <w:sz w:val="21"/>
                <w:szCs w:val="21"/>
                <w:color w:val="008000"/>
                <w:w w:val="93"/>
                <w:vertAlign w:val="superscript"/>
              </w:rPr>
              <w:t>(4)</w:t>
            </w: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03/20/2026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18,666</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continue"/>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19,811</w:t>
            </w:r>
          </w:p>
        </w:tc>
        <w:tc>
          <w:tcPr>
            <w:tcW w:w="280" w:type="dxa"/>
            <w:vAlign w:val="bottom"/>
          </w:tcPr>
          <w:p>
            <w:pPr>
              <w:spacing w:after="0"/>
              <w:rPr>
                <w:sz w:val="17"/>
                <w:szCs w:val="17"/>
                <w:color w:val="auto"/>
              </w:rPr>
            </w:pPr>
          </w:p>
        </w:tc>
        <w:tc>
          <w:tcPr>
            <w:tcW w:w="6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72.2869</w:t>
            </w:r>
            <w:r>
              <w:rPr>
                <w:rFonts w:ascii="Times New Roman" w:cs="Times New Roman" w:eastAsia="Times New Roman" w:hAnsi="Times New Roman"/>
                <w:sz w:val="21"/>
                <w:szCs w:val="21"/>
                <w:color w:val="008000"/>
                <w:w w:val="93"/>
                <w:vertAlign w:val="superscript"/>
              </w:rPr>
              <w:t>(5)</w:t>
            </w: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03/20/2026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19,711</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100</w:t>
            </w:r>
          </w:p>
        </w:tc>
        <w:tc>
          <w:tcPr>
            <w:tcW w:w="280" w:type="dxa"/>
            <w:vAlign w:val="bottom"/>
          </w:tcPr>
          <w:p>
            <w:pPr>
              <w:spacing w:after="0"/>
              <w:rPr>
                <w:sz w:val="17"/>
                <w:szCs w:val="17"/>
                <w:color w:val="auto"/>
              </w:rPr>
            </w:pPr>
          </w:p>
        </w:tc>
        <w:tc>
          <w:tcPr>
            <w:tcW w:w="6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2"/>
            <w:vMerge w:val="restart"/>
          </w:tcPr>
          <w:p>
            <w:pPr>
              <w:jc w:val="center"/>
              <w:ind w:left="9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73.09</w:t>
            </w:r>
            <w:r>
              <w:rPr>
                <w:rFonts w:ascii="Times New Roman" w:cs="Times New Roman" w:eastAsia="Times New Roman" w:hAnsi="Times New Roman"/>
                <w:sz w:val="21"/>
                <w:szCs w:val="21"/>
                <w:color w:val="008000"/>
                <w:w w:val="93"/>
                <w:vertAlign w:val="superscript"/>
              </w:rPr>
              <w:t>(6)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03/20/2026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17"/>
                <w:szCs w:val="17"/>
                <w:color w:val="auto"/>
              </w:rPr>
            </w:pPr>
          </w:p>
        </w:tc>
        <w:tc>
          <w:tcPr>
            <w:tcW w:w="6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1,798</w:t>
            </w:r>
          </w:p>
        </w:tc>
        <w:tc>
          <w:tcPr>
            <w:tcW w:w="28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8"/>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jc w:val="center"/>
              <w:ind w:right="5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By Living</w:t>
            </w:r>
          </w:p>
        </w:tc>
        <w:tc>
          <w:tcPr>
            <w:tcW w:w="0" w:type="dxa"/>
            <w:vAlign w:val="bottom"/>
          </w:tcPr>
          <w:p>
            <w:pPr>
              <w:spacing w:after="0"/>
              <w:rPr>
                <w:sz w:val="1"/>
                <w:szCs w:val="1"/>
                <w:color w:val="auto"/>
              </w:rPr>
            </w:pPr>
          </w:p>
        </w:tc>
      </w:tr>
      <w:tr>
        <w:trPr>
          <w:trHeight w:val="78"/>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03/20/2026</w:t>
            </w:r>
          </w:p>
        </w:tc>
        <w:tc>
          <w:tcPr>
            <w:tcW w:w="13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67,422</w:t>
            </w:r>
          </w:p>
        </w:tc>
        <w:tc>
          <w:tcPr>
            <w:tcW w:w="64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w:t>
            </w:r>
          </w:p>
        </w:tc>
        <w:tc>
          <w:tcPr>
            <w:tcW w:w="1440" w:type="dxa"/>
            <w:vAlign w:val="bottom"/>
            <w:vMerge w:val="restart"/>
          </w:tcPr>
          <w:p>
            <w:pPr>
              <w:ind w:left="180"/>
              <w:spacing w:after="0" w:line="155"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67,422</w:t>
            </w:r>
          </w:p>
        </w:tc>
        <w:tc>
          <w:tcPr>
            <w:tcW w:w="54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color w:val="0000FF"/>
              </w:rPr>
              <w:t>47,131,060</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90"/>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40" w:type="dxa"/>
            <w:vAlign w:val="bottom"/>
            <w:vMerge w:val="restart"/>
          </w:tcPr>
          <w:p>
            <w:pPr>
              <w:jc w:val="center"/>
              <w:ind w:right="51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right="140" w:firstLine="2"/>
        <w:spacing w:after="0" w:line="291" w:lineRule="auto"/>
        <w:tabs>
          <w:tab w:leader="none" w:pos="1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part of the transactions effected on March 20, 2026 pursuant to the Rule 10b5-1 trading plan adopted by the Baiju Bhatt Living Trust ("Living Trust") on November 13, 2025 ("Bhatt 10b5-1 plan"), the Living Trust sold an aggregate of 67,422 shares of its Class B Common Stock, resulting in an automatic conversion of the same amount of shares into Class A Common Stock upon execution of the sales.</w:t>
      </w:r>
    </w:p>
    <w:p>
      <w:pPr>
        <w:spacing w:after="0" w:line="1" w:lineRule="exact"/>
        <w:rPr>
          <w:rFonts w:ascii="Times New Roman" w:cs="Times New Roman" w:eastAsia="Times New Roman" w:hAnsi="Times New Roman"/>
          <w:sz w:val="12"/>
          <w:szCs w:val="12"/>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the Bhatt 10b5-1 plan.</w:t>
      </w:r>
    </w:p>
    <w:p>
      <w:pPr>
        <w:spacing w:after="0" w:line="44" w:lineRule="exact"/>
        <w:rPr>
          <w:rFonts w:ascii="Times New Roman" w:cs="Times New Roman" w:eastAsia="Times New Roman" w:hAnsi="Times New Roman"/>
          <w:sz w:val="13"/>
          <w:szCs w:val="13"/>
          <w:color w:val="008000"/>
        </w:rPr>
      </w:pPr>
    </w:p>
    <w:p>
      <w:pPr>
        <w:ind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$69.92 to $70.90.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6" w:lineRule="exact"/>
        <w:rPr>
          <w:rFonts w:ascii="Times New Roman" w:cs="Times New Roman" w:eastAsia="Times New Roman" w:hAnsi="Times New Roman"/>
          <w:sz w:val="13"/>
          <w:szCs w:val="13"/>
          <w:color w:val="008000"/>
        </w:rPr>
      </w:pPr>
    </w:p>
    <w:p>
      <w:pPr>
        <w:ind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$70.94 to $71.93.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6" w:lineRule="exact"/>
        <w:rPr>
          <w:rFonts w:ascii="Times New Roman" w:cs="Times New Roman" w:eastAsia="Times New Roman" w:hAnsi="Times New Roman"/>
          <w:sz w:val="13"/>
          <w:szCs w:val="13"/>
          <w:color w:val="008000"/>
        </w:rPr>
      </w:pPr>
    </w:p>
    <w:p>
      <w:pPr>
        <w:ind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$71.94 to $72.86.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6" w:lineRule="exact"/>
        <w:rPr>
          <w:rFonts w:ascii="Times New Roman" w:cs="Times New Roman" w:eastAsia="Times New Roman" w:hAnsi="Times New Roman"/>
          <w:sz w:val="13"/>
          <w:szCs w:val="13"/>
          <w:color w:val="008000"/>
        </w:rPr>
      </w:pPr>
    </w:p>
    <w:p>
      <w:pPr>
        <w:ind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$73.09 to $73.09.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Matthew Yorkavich,</w:t>
            </w:r>
          </w:p>
        </w:tc>
        <w:tc>
          <w:tcPr>
            <w:tcW w:w="62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03/24/2026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140" w:type="dxa"/>
            <w:vAlign w:val="bottom"/>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attorney-in- fact for Baiju Bhatt</w:t>
            </w:r>
          </w:p>
        </w:tc>
        <w:tc>
          <w:tcPr>
            <w:tcW w:w="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2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0914"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2026-03-24T15:37:22Z</dcterms:created>
  <dcterms:modified xsi:type="dcterms:W3CDTF">2026-03-24T15:37:22Z</dcterms:modified>
</cp:coreProperties>
</file>