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6256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560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Malka Meyer</w:t>
              </w:r>
            </w:hyperlink>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Robinhood Markets,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HOOD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03/31/2026</w:t>
            </w:r>
          </w:p>
        </w:tc>
        <w:tc>
          <w:tcPr>
            <w:tcW w:w="1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RIBBIT CAPITAL</w:t>
            </w:r>
          </w:p>
        </w:tc>
        <w:tc>
          <w:tcPr>
            <w:tcW w:w="156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364 UNIVERSITY AVE.</w:t>
            </w: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94301</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03/31/2026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211</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29"/>
              <w:spacing w:after="0"/>
              <w:rPr>
                <w:sz w:val="20"/>
                <w:szCs w:val="20"/>
                <w:color w:val="auto"/>
              </w:rPr>
            </w:pPr>
            <w:r>
              <w:rPr>
                <w:rFonts w:ascii="Times New Roman" w:cs="Times New Roman" w:eastAsia="Times New Roman" w:hAnsi="Times New Roman"/>
                <w:sz w:val="17"/>
                <w:szCs w:val="17"/>
                <w:color w:val="0000FF"/>
                <w:w w:val="99"/>
              </w:rPr>
              <w:t>9,053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6"/>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04/01/2026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800</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29"/>
              <w:spacing w:after="0"/>
              <w:rPr>
                <w:sz w:val="20"/>
                <w:szCs w:val="20"/>
                <w:color w:val="auto"/>
              </w:rPr>
            </w:pPr>
            <w:r>
              <w:rPr>
                <w:rFonts w:ascii="Times New Roman" w:cs="Times New Roman" w:eastAsia="Times New Roman" w:hAnsi="Times New Roman"/>
                <w:sz w:val="17"/>
                <w:szCs w:val="17"/>
                <w:color w:val="0000FF"/>
                <w:w w:val="99"/>
              </w:rPr>
              <w:t>9,853</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16"/>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9"/>
              </w:rPr>
              <w:t>3,976,234</w:t>
            </w:r>
          </w:p>
        </w:tc>
        <w:tc>
          <w:tcPr>
            <w:tcW w:w="260" w:type="dxa"/>
            <w:vAlign w:val="bottom"/>
          </w:tcPr>
          <w:p>
            <w:pPr>
              <w:spacing w:after="0"/>
              <w:rPr>
                <w:sz w:val="21"/>
                <w:szCs w:val="21"/>
                <w:color w:val="auto"/>
              </w:rPr>
            </w:pPr>
          </w:p>
        </w:tc>
        <w:tc>
          <w:tcPr>
            <w:tcW w:w="700" w:type="dxa"/>
            <w:vAlign w:val="bottom"/>
            <w:vMerge w:val="restart"/>
          </w:tcPr>
          <w:p>
            <w:pPr>
              <w:jc w:val="center"/>
              <w:ind w:right="29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Trusts</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rPr>
              <w:t>102,183</w:t>
            </w:r>
          </w:p>
        </w:tc>
        <w:tc>
          <w:tcPr>
            <w:tcW w:w="260" w:type="dxa"/>
            <w:vAlign w:val="bottom"/>
          </w:tcPr>
          <w:p>
            <w:pPr>
              <w:spacing w:after="0"/>
              <w:rPr>
                <w:sz w:val="21"/>
                <w:szCs w:val="21"/>
                <w:color w:val="auto"/>
              </w:rPr>
            </w:pPr>
          </w:p>
        </w:tc>
        <w:tc>
          <w:tcPr>
            <w:tcW w:w="700" w:type="dxa"/>
            <w:vAlign w:val="bottom"/>
            <w:vMerge w:val="restart"/>
          </w:tcPr>
          <w:p>
            <w:pPr>
              <w:jc w:val="center"/>
              <w:ind w:right="29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gridSpan w:val="3"/>
            <w:vMerge w:val="restart"/>
          </w:tcPr>
          <w:p>
            <w:pPr>
              <w:jc w:val="center"/>
              <w:ind w:left="9"/>
              <w:spacing w:after="0"/>
              <w:rPr>
                <w:sz w:val="20"/>
                <w:szCs w:val="20"/>
                <w:color w:val="auto"/>
              </w:rPr>
            </w:pPr>
            <w:r>
              <w:rPr>
                <w:rFonts w:ascii="Times New Roman" w:cs="Times New Roman" w:eastAsia="Times New Roman" w:hAnsi="Times New Roman"/>
                <w:sz w:val="17"/>
                <w:szCs w:val="17"/>
                <w:color w:val="0000FF"/>
                <w:w w:val="99"/>
              </w:rPr>
              <w:t>3,235,585</w:t>
            </w:r>
          </w:p>
        </w:tc>
        <w:tc>
          <w:tcPr>
            <w:tcW w:w="260" w:type="dxa"/>
            <w:vAlign w:val="bottom"/>
          </w:tcPr>
          <w:p>
            <w:pPr>
              <w:spacing w:after="0"/>
              <w:rPr>
                <w:sz w:val="21"/>
                <w:szCs w:val="21"/>
                <w:color w:val="auto"/>
              </w:rPr>
            </w:pPr>
          </w:p>
        </w:tc>
        <w:tc>
          <w:tcPr>
            <w:tcW w:w="700" w:type="dxa"/>
            <w:vAlign w:val="bottom"/>
            <w:vMerge w:val="restart"/>
          </w:tcPr>
          <w:p>
            <w:pPr>
              <w:jc w:val="center"/>
              <w:ind w:right="29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Fund</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(7)</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800</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(7)</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6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440"/>
              <w:spacing w:after="0" w:line="144" w:lineRule="exact"/>
              <w:rPr>
                <w:sz w:val="20"/>
                <w:szCs w:val="20"/>
                <w:color w:val="auto"/>
              </w:rPr>
            </w:pPr>
            <w:r>
              <w:rPr>
                <w:rFonts w:ascii="Times New Roman" w:cs="Times New Roman" w:eastAsia="Times New Roman" w:hAnsi="Times New Roman"/>
                <w:sz w:val="13"/>
                <w:szCs w:val="13"/>
                <w:color w:val="0000FF"/>
              </w:rPr>
              <w:t>800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801</w:t>
            </w:r>
          </w:p>
        </w:tc>
        <w:tc>
          <w:tcPr>
            <w:tcW w:w="2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18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2026, the Reporting Person was automatically granted 211 shares of Class A Common Stock under the Non-Employee Director Compensation Program of Robinhood Markets, Inc. ("Robinhood"), which permits directors to elect to receive payment of quarterly director fees in the form of stock, and Robinhood's 2021 Omnibus Incentive Plan (the "2021 Plan"). This grant was made in lieu of cash fees, based on the March 31, 2026 closing price of $69.30 per share of Class A Common Stock, and these shares were fully vested upon grant.</w:t>
      </w:r>
    </w:p>
    <w:p>
      <w:pPr>
        <w:spacing w:after="0" w:line="24" w:lineRule="exact"/>
        <w:rPr>
          <w:rFonts w:ascii="Times New Roman" w:cs="Times New Roman" w:eastAsia="Times New Roman" w:hAnsi="Times New Roman"/>
          <w:sz w:val="13"/>
          <w:szCs w:val="13"/>
          <w:color w:val="008000"/>
        </w:rPr>
      </w:pPr>
    </w:p>
    <w:p>
      <w:pPr>
        <w:ind w:left="40" w:right="200" w:firstLine="3"/>
        <w:spacing w:after="0"/>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founder and managing partner of the Ribbit Capital family of funds, and is contractually obligated to transfer and/or remit the proceeds of any sale of shares issued pursuant to stock awards or upon vesting and settlement of restricted stock units ("RSUs") to certain entities affiliated with such funds. The Reporting Person disclaims beneficial ownership of such shares for purposes of Section 16 of the Securities Exchange Act of 1934 ("Section 16") except to the extent of his pecuniary interest therein, if any, and this report shall not be deemed an admission that such shares are beneficially owned by him for Section 16 or any other purpose.</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Class A Common Stock on a one-for-one basis upon vesting and settlement.</w:t>
      </w:r>
    </w:p>
    <w:p>
      <w:pPr>
        <w:spacing w:after="0" w:line="45" w:lineRule="exact"/>
        <w:rPr>
          <w:rFonts w:ascii="Times New Roman" w:cs="Times New Roman" w:eastAsia="Times New Roman" w:hAnsi="Times New Roman"/>
          <w:sz w:val="13"/>
          <w:szCs w:val="13"/>
          <w:color w:val="008000"/>
        </w:rPr>
      </w:pPr>
    </w:p>
    <w:p>
      <w:pPr>
        <w:ind w:left="40" w:right="160" w:firstLine="3"/>
        <w:spacing w:after="0" w:line="23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 325,411 shares held by each of the Aphrodite EM Trust, the Aphrodite MM Trust and the Aphrodite SM Trust (collectively, the "Aphrodite Trusts"), (ii) 2,000,000 shares held by the Malka Kleiner Revocable Trust dated July 16, 2012 (the "Malka Trust"), (iii) one share held by the Tibbir Trust and (iv) 1,000,000 shares held by Lassen Residential LLC, an entity controlled by the Malka Trust. The Reporting Person serves as trustee of the Malka Trust, and the Reporting Person's immediate family member serves as trustee of the Tibbir Trust and each of the Aphrodite Trusts.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p>
      <w:pPr>
        <w:spacing w:after="0" w:line="27" w:lineRule="exact"/>
        <w:rPr>
          <w:rFonts w:ascii="Times New Roman" w:cs="Times New Roman" w:eastAsia="Times New Roman" w:hAnsi="Times New Roman"/>
          <w:sz w:val="13"/>
          <w:szCs w:val="13"/>
          <w:color w:val="008000"/>
        </w:rPr>
      </w:pPr>
    </w:p>
    <w:p>
      <w:pPr>
        <w:ind w:left="40" w:right="20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Tibbir Holdings LLC, of which the Reporting Person serves as investment manager.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p>
      <w:pPr>
        <w:spacing w:after="0" w:line="14" w:lineRule="exact"/>
        <w:rPr>
          <w:rFonts w:ascii="Times New Roman" w:cs="Times New Roman" w:eastAsia="Times New Roman" w:hAnsi="Times New Roman"/>
          <w:sz w:val="13"/>
          <w:szCs w:val="13"/>
          <w:color w:val="008000"/>
        </w:rPr>
      </w:pPr>
    </w:p>
    <w:p>
      <w:pPr>
        <w:ind w:left="40" w:right="280" w:firstLine="3"/>
        <w:spacing w:after="0" w:line="261"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held by Bullfrog Capital, L.P. ("Bullfrog"), for itself and as nominee for Bullfrog Founder Fund, L.P. ("Bullfrog FF"). Bullfrog Capital GP, L.P. ("BF GP") is the general partner of Bullfrog and Bullfrog FF, and Bullfrog Capital GP, Ltd. ("BF UGP") is the general partner of BF GP. The Reporting Person is a director BF UGP and disclaims beneficial ownership of such shares for purposes of Section</w:t>
      </w:r>
    </w:p>
    <w:p>
      <w:pPr>
        <w:ind w:left="200" w:hanging="157"/>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except to the extent of his pecuniary interest therein, if any, and this report shall not be deemed an admission that such shares are beneficially owned by him for Section 16 or any other purpose.</w:t>
      </w:r>
    </w:p>
    <w:p>
      <w:pPr>
        <w:spacing w:after="0" w:line="31" w:lineRule="exact"/>
        <w:rPr>
          <w:rFonts w:ascii="Times New Roman" w:cs="Times New Roman" w:eastAsia="Times New Roman" w:hAnsi="Times New Roman"/>
          <w:sz w:val="13"/>
          <w:szCs w:val="13"/>
          <w:color w:val="008000"/>
        </w:rPr>
      </w:pPr>
    </w:p>
    <w:p>
      <w:pPr>
        <w:ind w:left="40" w:right="280" w:firstLine="3"/>
        <w:spacing w:after="0" w:line="245" w:lineRule="auto"/>
        <w:tabs>
          <w:tab w:leader="none" w:pos="17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25, 2025, the Reporting Person was granted 3,202 RSUs under the 2021 Plan. One-fourth (1/4) of these RSUs vested on October 1, 2025, with the remainder scheduled to vest in three (3) equal quarterly installments thereafter (except the final installment will vest no later than the day before Robinhood's 2026 annual meeting of stockholders), in each case subject to the Reporting Person's continued service with Robinhood through the applicable vesting date and subject to accelerated vesting in certain circumstances.</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Meyer Malka</w:t>
            </w:r>
          </w:p>
        </w:tc>
        <w:tc>
          <w:tcPr>
            <w:tcW w:w="92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8"/>
              </w:rPr>
              <w:t>04/02/2026</w:t>
            </w: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6"/>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1355" TargetMode="External"/><Relationship Id="rId14"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2026-04-02T16:11:19Z</dcterms:created>
  <dcterms:modified xsi:type="dcterms:W3CDTF">2026-04-02T16:11:19Z</dcterms:modified>
</cp:coreProperties>
</file>