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0"/>
          <w:szCs w:val="20"/>
          <w:b w:val="1"/>
          <w:bCs w:val="1"/>
          <w:color w:val="auto"/>
        </w:rPr>
        <w:t>UNITED STATES</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SECURITIES AND EXCHANGE COMMISSION</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Washington, D.C. 20549</w:t>
      </w:r>
    </w:p>
    <w:p>
      <w:pPr>
        <w:spacing w:after="0" w:line="173"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FORM 8-K</w:t>
      </w:r>
    </w:p>
    <w:p>
      <w:pPr>
        <w:spacing w:after="0" w:line="217"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CURRENT REPORT</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Pursuant to Section 13 or 15(d) of the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Securities Exchange Act of 1934</w:t>
      </w:r>
    </w:p>
    <w:p>
      <w:pPr>
        <w:spacing w:after="0" w:line="8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Date of Report (Date of earliest event reported): June 22, 2026</w:t>
      </w:r>
    </w:p>
    <w:p>
      <w:pPr>
        <w:spacing w:after="0" w:line="189"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Robinhood Markets, Inc.</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(Exact name of registrant as specified in its charter)</w:t>
      </w:r>
    </w:p>
    <w:p>
      <w:pPr>
        <w:spacing w:after="0" w:line="200" w:lineRule="exact"/>
        <w:rPr>
          <w:sz w:val="24"/>
          <w:szCs w:val="24"/>
          <w:color w:val="auto"/>
        </w:rPr>
      </w:pP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Delaware</w:t>
            </w:r>
          </w:p>
        </w:tc>
        <w:tc>
          <w:tcPr>
            <w:tcW w:w="440" w:type="dxa"/>
            <w:vAlign w:val="bottom"/>
          </w:tcPr>
          <w:p>
            <w:pPr>
              <w:spacing w:after="0"/>
              <w:rPr>
                <w:sz w:val="17"/>
                <w:szCs w:val="17"/>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001-40691</w:t>
            </w:r>
          </w:p>
        </w:tc>
        <w:tc>
          <w:tcPr>
            <w:tcW w:w="440" w:type="dxa"/>
            <w:vAlign w:val="bottom"/>
          </w:tcPr>
          <w:p>
            <w:pPr>
              <w:spacing w:after="0"/>
              <w:rPr>
                <w:sz w:val="17"/>
                <w:szCs w:val="17"/>
                <w:color w:val="auto"/>
              </w:rPr>
            </w:pP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46-4364776</w:t>
            </w:r>
          </w:p>
        </w:tc>
      </w:tr>
      <w:tr>
        <w:trPr>
          <w:trHeight w:val="410"/>
        </w:trPr>
        <w:tc>
          <w:tcPr>
            <w:tcW w:w="3520" w:type="dxa"/>
            <w:vAlign w:val="bottom"/>
          </w:tcPr>
          <w:p>
            <w:pPr>
              <w:jc w:val="center"/>
              <w:spacing w:after="0"/>
              <w:rPr>
                <w:sz w:val="20"/>
                <w:szCs w:val="20"/>
                <w:color w:val="auto"/>
              </w:rPr>
            </w:pPr>
            <w:r>
              <w:rPr>
                <w:rFonts w:ascii="Arial" w:cs="Arial" w:eastAsia="Arial" w:hAnsi="Arial"/>
                <w:sz w:val="13"/>
                <w:szCs w:val="13"/>
                <w:color w:val="auto"/>
                <w:w w:val="98"/>
              </w:rPr>
              <w:t>(State or other jurisdiction</w:t>
            </w:r>
          </w:p>
        </w:tc>
        <w:tc>
          <w:tcPr>
            <w:tcW w:w="440" w:type="dxa"/>
            <w:vAlign w:val="bottom"/>
          </w:tcPr>
          <w:p>
            <w:pPr>
              <w:spacing w:after="0"/>
              <w:rPr>
                <w:sz w:val="24"/>
                <w:szCs w:val="24"/>
                <w:color w:val="auto"/>
              </w:rPr>
            </w:pPr>
          </w:p>
        </w:tc>
        <w:tc>
          <w:tcPr>
            <w:tcW w:w="3820" w:type="dxa"/>
            <w:vAlign w:val="bottom"/>
            <w:gridSpan w:val="2"/>
          </w:tcPr>
          <w:p>
            <w:pPr>
              <w:jc w:val="center"/>
              <w:ind w:right="440"/>
              <w:spacing w:after="0"/>
              <w:rPr>
                <w:sz w:val="20"/>
                <w:szCs w:val="20"/>
                <w:color w:val="auto"/>
              </w:rPr>
            </w:pPr>
            <w:r>
              <w:rPr>
                <w:rFonts w:ascii="Arial" w:cs="Arial" w:eastAsia="Arial" w:hAnsi="Arial"/>
                <w:sz w:val="13"/>
                <w:szCs w:val="13"/>
                <w:color w:val="auto"/>
                <w:w w:val="97"/>
              </w:rPr>
              <w:t>(Commission</w:t>
            </w:r>
          </w:p>
        </w:tc>
        <w:tc>
          <w:tcPr>
            <w:tcW w:w="3500" w:type="dxa"/>
            <w:vAlign w:val="bottom"/>
          </w:tcPr>
          <w:p>
            <w:pPr>
              <w:jc w:val="center"/>
              <w:spacing w:after="0"/>
              <w:rPr>
                <w:sz w:val="20"/>
                <w:szCs w:val="20"/>
                <w:color w:val="auto"/>
              </w:rPr>
            </w:pPr>
            <w:r>
              <w:rPr>
                <w:rFonts w:ascii="Arial" w:cs="Arial" w:eastAsia="Arial" w:hAnsi="Arial"/>
                <w:sz w:val="13"/>
                <w:szCs w:val="13"/>
                <w:color w:val="auto"/>
                <w:w w:val="96"/>
              </w:rPr>
              <w:t>(IRS Employer</w:t>
            </w:r>
          </w:p>
        </w:tc>
      </w:tr>
      <w:tr>
        <w:trPr>
          <w:trHeight w:val="167"/>
        </w:trPr>
        <w:tc>
          <w:tcPr>
            <w:tcW w:w="3520" w:type="dxa"/>
            <w:vAlign w:val="bottom"/>
          </w:tcPr>
          <w:p>
            <w:pPr>
              <w:jc w:val="center"/>
              <w:spacing w:after="0"/>
              <w:rPr>
                <w:sz w:val="20"/>
                <w:szCs w:val="20"/>
                <w:color w:val="auto"/>
              </w:rPr>
            </w:pPr>
            <w:r>
              <w:rPr>
                <w:rFonts w:ascii="Arial" w:cs="Arial" w:eastAsia="Arial" w:hAnsi="Arial"/>
                <w:sz w:val="13"/>
                <w:szCs w:val="13"/>
                <w:color w:val="auto"/>
                <w:w w:val="97"/>
              </w:rPr>
              <w:t>of incorporation)</w:t>
            </w:r>
          </w:p>
        </w:tc>
        <w:tc>
          <w:tcPr>
            <w:tcW w:w="440" w:type="dxa"/>
            <w:vAlign w:val="bottom"/>
          </w:tcPr>
          <w:p>
            <w:pPr>
              <w:spacing w:after="0"/>
              <w:rPr>
                <w:sz w:val="14"/>
                <w:szCs w:val="14"/>
                <w:color w:val="auto"/>
              </w:rPr>
            </w:pPr>
          </w:p>
        </w:tc>
        <w:tc>
          <w:tcPr>
            <w:tcW w:w="3820" w:type="dxa"/>
            <w:vAlign w:val="bottom"/>
            <w:gridSpan w:val="2"/>
          </w:tcPr>
          <w:p>
            <w:pPr>
              <w:jc w:val="center"/>
              <w:ind w:right="440"/>
              <w:spacing w:after="0"/>
              <w:rPr>
                <w:sz w:val="20"/>
                <w:szCs w:val="20"/>
                <w:color w:val="auto"/>
              </w:rPr>
            </w:pPr>
            <w:r>
              <w:rPr>
                <w:rFonts w:ascii="Arial" w:cs="Arial" w:eastAsia="Arial" w:hAnsi="Arial"/>
                <w:sz w:val="13"/>
                <w:szCs w:val="13"/>
                <w:color w:val="auto"/>
                <w:w w:val="98"/>
              </w:rPr>
              <w:t>File Number)</w:t>
            </w:r>
          </w:p>
        </w:tc>
        <w:tc>
          <w:tcPr>
            <w:tcW w:w="3500" w:type="dxa"/>
            <w:vAlign w:val="bottom"/>
          </w:tcPr>
          <w:p>
            <w:pPr>
              <w:jc w:val="center"/>
              <w:spacing w:after="0"/>
              <w:rPr>
                <w:sz w:val="20"/>
                <w:szCs w:val="20"/>
                <w:color w:val="auto"/>
              </w:rPr>
            </w:pPr>
            <w:r>
              <w:rPr>
                <w:rFonts w:ascii="Arial" w:cs="Arial" w:eastAsia="Arial" w:hAnsi="Arial"/>
                <w:sz w:val="13"/>
                <w:szCs w:val="13"/>
                <w:color w:val="auto"/>
                <w:w w:val="96"/>
              </w:rPr>
              <w:t>Identification No.)</w:t>
            </w:r>
          </w:p>
        </w:tc>
      </w:tr>
      <w:tr>
        <w:trPr>
          <w:trHeight w:val="561"/>
        </w:trPr>
        <w:tc>
          <w:tcPr>
            <w:tcW w:w="3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85 Willow Road</w:t>
            </w:r>
          </w:p>
        </w:tc>
        <w:tc>
          <w:tcPr>
            <w:tcW w:w="3500" w:type="dxa"/>
            <w:vAlign w:val="bottom"/>
          </w:tcPr>
          <w:p>
            <w:pPr>
              <w:spacing w:after="0"/>
              <w:rPr>
                <w:sz w:val="24"/>
                <w:szCs w:val="24"/>
                <w:color w:val="auto"/>
              </w:rPr>
            </w:pPr>
          </w:p>
        </w:tc>
      </w:tr>
      <w:tr>
        <w:trPr>
          <w:trHeight w:val="174"/>
        </w:trPr>
        <w:tc>
          <w:tcPr>
            <w:tcW w:w="3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Menlo Park, CA 94025</w:t>
            </w:r>
          </w:p>
        </w:tc>
        <w:tc>
          <w:tcPr>
            <w:tcW w:w="3500" w:type="dxa"/>
            <w:vAlign w:val="bottom"/>
          </w:tcPr>
          <w:p>
            <w:pPr>
              <w:spacing w:after="0"/>
              <w:rPr>
                <w:sz w:val="15"/>
                <w:szCs w:val="15"/>
                <w:color w:val="auto"/>
              </w:rPr>
            </w:pPr>
          </w:p>
        </w:tc>
      </w:tr>
      <w:tr>
        <w:trPr>
          <w:trHeight w:val="167"/>
        </w:trPr>
        <w:tc>
          <w:tcPr>
            <w:tcW w:w="3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20" w:type="dxa"/>
            <w:vAlign w:val="bottom"/>
            <w:gridSpan w:val="2"/>
          </w:tcPr>
          <w:p>
            <w:pPr>
              <w:jc w:val="center"/>
              <w:ind w:right="440"/>
              <w:spacing w:after="0"/>
              <w:rPr>
                <w:sz w:val="20"/>
                <w:szCs w:val="20"/>
                <w:color w:val="auto"/>
              </w:rPr>
            </w:pPr>
            <w:r>
              <w:rPr>
                <w:rFonts w:ascii="Arial" w:cs="Arial" w:eastAsia="Arial" w:hAnsi="Arial"/>
                <w:sz w:val="13"/>
                <w:szCs w:val="13"/>
                <w:color w:val="auto"/>
                <w:w w:val="98"/>
              </w:rPr>
              <w:t>(Address of principal executive offices) (Zip Code)</w:t>
            </w:r>
          </w:p>
        </w:tc>
        <w:tc>
          <w:tcPr>
            <w:tcW w:w="3500" w:type="dxa"/>
            <w:vAlign w:val="bottom"/>
          </w:tcPr>
          <w:p>
            <w:pPr>
              <w:spacing w:after="0"/>
              <w:rPr>
                <w:sz w:val="14"/>
                <w:szCs w:val="14"/>
                <w:color w:val="auto"/>
              </w:rPr>
            </w:pPr>
          </w:p>
        </w:tc>
      </w:tr>
      <w:tr>
        <w:trPr>
          <w:trHeight w:val="342"/>
        </w:trPr>
        <w:tc>
          <w:tcPr>
            <w:tcW w:w="3520" w:type="dxa"/>
            <w:vAlign w:val="bottom"/>
          </w:tcPr>
          <w:p>
            <w:pPr>
              <w:spacing w:after="0"/>
              <w:rPr>
                <w:sz w:val="24"/>
                <w:szCs w:val="24"/>
                <w:color w:val="auto"/>
              </w:rPr>
            </w:pPr>
          </w:p>
        </w:tc>
        <w:tc>
          <w:tcPr>
            <w:tcW w:w="3820" w:type="dxa"/>
            <w:vAlign w:val="bottom"/>
            <w:gridSpan w:val="2"/>
          </w:tcPr>
          <w:p>
            <w:pPr>
              <w:jc w:val="center"/>
              <w:ind w:left="353"/>
              <w:spacing w:after="0"/>
              <w:rPr>
                <w:sz w:val="20"/>
                <w:szCs w:val="20"/>
                <w:color w:val="auto"/>
              </w:rPr>
            </w:pPr>
            <w:r>
              <w:rPr>
                <w:rFonts w:ascii="Arial" w:cs="Arial" w:eastAsia="Arial" w:hAnsi="Arial"/>
                <w:sz w:val="14"/>
                <w:szCs w:val="14"/>
                <w:b w:val="1"/>
                <w:bCs w:val="1"/>
                <w:color w:val="auto"/>
              </w:rPr>
              <w:t>(844) 428-5411</w:t>
            </w:r>
          </w:p>
        </w:tc>
        <w:tc>
          <w:tcPr>
            <w:tcW w:w="44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167"/>
        </w:trPr>
        <w:tc>
          <w:tcPr>
            <w:tcW w:w="3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20" w:type="dxa"/>
            <w:vAlign w:val="bottom"/>
            <w:gridSpan w:val="2"/>
          </w:tcPr>
          <w:p>
            <w:pPr>
              <w:jc w:val="center"/>
              <w:ind w:right="440"/>
              <w:spacing w:after="0"/>
              <w:rPr>
                <w:sz w:val="20"/>
                <w:szCs w:val="20"/>
                <w:color w:val="auto"/>
              </w:rPr>
            </w:pPr>
            <w:r>
              <w:rPr>
                <w:rFonts w:ascii="Arial" w:cs="Arial" w:eastAsia="Arial" w:hAnsi="Arial"/>
                <w:sz w:val="13"/>
                <w:szCs w:val="13"/>
                <w:color w:val="auto"/>
                <w:w w:val="97"/>
              </w:rPr>
              <w:t>(Registrant’s telephone number, including area code)</w:t>
            </w:r>
          </w:p>
        </w:tc>
        <w:tc>
          <w:tcPr>
            <w:tcW w:w="3500" w:type="dxa"/>
            <w:vAlign w:val="bottom"/>
          </w:tcPr>
          <w:p>
            <w:pPr>
              <w:spacing w:after="0"/>
              <w:rPr>
                <w:sz w:val="14"/>
                <w:szCs w:val="14"/>
                <w:color w:val="auto"/>
              </w:rPr>
            </w:pPr>
          </w:p>
        </w:tc>
      </w:tr>
      <w:tr>
        <w:trPr>
          <w:trHeight w:val="342"/>
        </w:trPr>
        <w:tc>
          <w:tcPr>
            <w:tcW w:w="3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Not Applicable</w:t>
            </w:r>
          </w:p>
        </w:tc>
        <w:tc>
          <w:tcPr>
            <w:tcW w:w="3500" w:type="dxa"/>
            <w:vAlign w:val="bottom"/>
          </w:tcPr>
          <w:p>
            <w:pPr>
              <w:spacing w:after="0"/>
              <w:rPr>
                <w:sz w:val="24"/>
                <w:szCs w:val="24"/>
                <w:color w:val="auto"/>
              </w:rPr>
            </w:pPr>
          </w:p>
        </w:tc>
      </w:tr>
      <w:tr>
        <w:trPr>
          <w:trHeight w:val="167"/>
        </w:trPr>
        <w:tc>
          <w:tcPr>
            <w:tcW w:w="3520" w:type="dxa"/>
            <w:vAlign w:val="bottom"/>
          </w:tcPr>
          <w:p>
            <w:pPr>
              <w:spacing w:after="0"/>
              <w:rPr>
                <w:sz w:val="14"/>
                <w:szCs w:val="14"/>
                <w:color w:val="auto"/>
              </w:rPr>
            </w:pPr>
          </w:p>
        </w:tc>
        <w:tc>
          <w:tcPr>
            <w:tcW w:w="4260" w:type="dxa"/>
            <w:vAlign w:val="bottom"/>
            <w:gridSpan w:val="3"/>
          </w:tcPr>
          <w:p>
            <w:pPr>
              <w:jc w:val="center"/>
              <w:ind w:right="20"/>
              <w:spacing w:after="0"/>
              <w:rPr>
                <w:sz w:val="20"/>
                <w:szCs w:val="20"/>
                <w:color w:val="auto"/>
              </w:rPr>
            </w:pPr>
            <w:r>
              <w:rPr>
                <w:rFonts w:ascii="Arial" w:cs="Arial" w:eastAsia="Arial" w:hAnsi="Arial"/>
                <w:sz w:val="13"/>
                <w:szCs w:val="13"/>
                <w:color w:val="auto"/>
                <w:w w:val="97"/>
              </w:rPr>
              <w:t>(Former name or former address, if changed since last report)</w:t>
            </w:r>
          </w:p>
        </w:tc>
        <w:tc>
          <w:tcPr>
            <w:tcW w:w="3500" w:type="dxa"/>
            <w:vAlign w:val="bottom"/>
          </w:tcPr>
          <w:p>
            <w:pPr>
              <w:spacing w:after="0"/>
              <w:rPr>
                <w:sz w:val="14"/>
                <w:szCs w:val="14"/>
                <w:color w:val="auto"/>
              </w:rPr>
            </w:pPr>
          </w:p>
        </w:tc>
      </w:tr>
    </w:tbl>
    <w:p>
      <w:pPr>
        <w:spacing w:after="0" w:line="274"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83" w:lineRule="exact"/>
        <w:rPr>
          <w:sz w:val="24"/>
          <w:szCs w:val="24"/>
          <w:color w:val="auto"/>
        </w:rPr>
      </w:pPr>
    </w:p>
    <w:p>
      <w:pPr>
        <w:ind w:left="740" w:hanging="721"/>
        <w:spacing w:after="0"/>
        <w:tabs>
          <w:tab w:leader="none" w:pos="74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Written communications pursuant to Rule 425 under the Securities Act (17 CFR 230.425)</w:t>
      </w:r>
    </w:p>
    <w:p>
      <w:pPr>
        <w:spacing w:after="0" w:line="274" w:lineRule="exact"/>
        <w:rPr>
          <w:rFonts w:ascii="MS PGothic" w:cs="MS PGothic" w:eastAsia="MS PGothic" w:hAnsi="MS PGothic"/>
          <w:sz w:val="14"/>
          <w:szCs w:val="14"/>
          <w:color w:val="auto"/>
        </w:rPr>
      </w:pPr>
    </w:p>
    <w:p>
      <w:pPr>
        <w:ind w:left="740" w:hanging="721"/>
        <w:spacing w:after="0"/>
        <w:tabs>
          <w:tab w:leader="none" w:pos="74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Soliciting material pursuant to Rule 14a-12 under the Exchange Act (17 CFR 240.14a-12)</w:t>
      </w:r>
    </w:p>
    <w:p>
      <w:pPr>
        <w:spacing w:after="0" w:line="274" w:lineRule="exact"/>
        <w:rPr>
          <w:rFonts w:ascii="MS PGothic" w:cs="MS PGothic" w:eastAsia="MS PGothic" w:hAnsi="MS PGothic"/>
          <w:sz w:val="14"/>
          <w:szCs w:val="14"/>
          <w:color w:val="auto"/>
        </w:rPr>
      </w:pPr>
    </w:p>
    <w:p>
      <w:pPr>
        <w:ind w:left="740" w:hanging="721"/>
        <w:spacing w:after="0"/>
        <w:tabs>
          <w:tab w:leader="none" w:pos="74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Pre-commencement communications pursuant to Rule 14d-2(b) under the Exchange Act (17 CFR 240.14d-2(b))</w:t>
      </w:r>
    </w:p>
    <w:p>
      <w:pPr>
        <w:spacing w:after="0" w:line="274" w:lineRule="exact"/>
        <w:rPr>
          <w:rFonts w:ascii="MS PGothic" w:cs="MS PGothic" w:eastAsia="MS PGothic" w:hAnsi="MS PGothic"/>
          <w:sz w:val="14"/>
          <w:szCs w:val="14"/>
          <w:color w:val="auto"/>
        </w:rPr>
      </w:pPr>
    </w:p>
    <w:p>
      <w:pPr>
        <w:ind w:left="740" w:hanging="721"/>
        <w:spacing w:after="0"/>
        <w:tabs>
          <w:tab w:leader="none" w:pos="74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Pre-commencement communications pursuant to Rule 13e-4(c) under the Exchange Act (17 CFR 240.13e-4(c))</w:t>
      </w:r>
    </w:p>
    <w:p>
      <w:pPr>
        <w:spacing w:after="0" w:line="238" w:lineRule="exact"/>
        <w:rPr>
          <w:rFonts w:ascii="MS PGothic" w:cs="MS PGothic" w:eastAsia="MS PGothic" w:hAnsi="MS PGothic"/>
          <w:sz w:val="14"/>
          <w:szCs w:val="14"/>
          <w:color w:val="auto"/>
        </w:rPr>
      </w:pPr>
    </w:p>
    <w:p>
      <w:pPr>
        <w:ind w:left="3840"/>
        <w:spacing w:after="0"/>
        <w:rPr>
          <w:rFonts w:ascii="MS PGothic" w:cs="MS PGothic" w:eastAsia="MS PGothic" w:hAnsi="MS PGothic"/>
          <w:sz w:val="14"/>
          <w:szCs w:val="14"/>
          <w:color w:val="auto"/>
        </w:rPr>
      </w:pPr>
      <w:r>
        <w:rPr>
          <w:rFonts w:ascii="Arial" w:cs="Arial" w:eastAsia="Arial" w:hAnsi="Arial"/>
          <w:sz w:val="14"/>
          <w:szCs w:val="14"/>
          <w:color w:val="auto"/>
        </w:rPr>
        <w:t>Securities registered pursuant to Section 12(b) of the Act:</w:t>
      </w:r>
    </w:p>
    <w:p>
      <w:pPr>
        <w:spacing w:after="0" w:line="25" w:lineRule="exact"/>
        <w:rPr>
          <w:sz w:val="24"/>
          <w:szCs w:val="24"/>
          <w:color w:val="auto"/>
        </w:rPr>
      </w:pPr>
    </w:p>
    <w:tbl>
      <w:tblPr>
        <w:tblLayout w:type="fixed"/>
        <w:tblInd w:w="10" w:type="dxa"/>
        <w:tblCellMar>
          <w:top w:w="0" w:type="dxa"/>
          <w:left w:w="0" w:type="dxa"/>
          <w:bottom w:w="0" w:type="dxa"/>
          <w:right w:w="0" w:type="dxa"/>
        </w:tblCellMar>
      </w:tblPr>
      <w:tr>
        <w:trPr>
          <w:trHeight w:val="182"/>
        </w:trPr>
        <w:tc>
          <w:tcPr>
            <w:tcW w:w="4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Title of each class</w:t>
            </w:r>
          </w:p>
        </w:tc>
        <w:tc>
          <w:tcPr>
            <w:tcW w:w="2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Trading Symbol(s)</w:t>
            </w:r>
          </w:p>
        </w:tc>
        <w:tc>
          <w:tcPr>
            <w:tcW w:w="4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Name of each exchange on which registered</w:t>
            </w:r>
          </w:p>
        </w:tc>
      </w:tr>
      <w:tr>
        <w:trPr>
          <w:trHeight w:val="174"/>
        </w:trPr>
        <w:tc>
          <w:tcPr>
            <w:tcW w:w="4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Class A Common Stock, $0.0001 par value per share</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HOOD</w:t>
            </w:r>
          </w:p>
        </w:tc>
        <w:tc>
          <w:tcPr>
            <w:tcW w:w="4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The Nasdaq Stock Market LLC</w:t>
            </w:r>
          </w:p>
        </w:tc>
      </w:tr>
    </w:tbl>
    <w:p>
      <w:pPr>
        <w:spacing w:after="0" w:line="297" w:lineRule="exact"/>
        <w:rPr>
          <w:sz w:val="24"/>
          <w:szCs w:val="24"/>
          <w:color w:val="auto"/>
        </w:rPr>
      </w:pPr>
    </w:p>
    <w:p>
      <w:pPr>
        <w:ind w:left="20" w:right="1020"/>
        <w:spacing w:after="0" w:line="283"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10460" w:type="dxa"/>
            <w:vAlign w:val="bottom"/>
          </w:tcPr>
          <w:p>
            <w:pPr>
              <w:ind w:left="8760"/>
              <w:spacing w:after="0"/>
              <w:rPr>
                <w:sz w:val="20"/>
                <w:szCs w:val="20"/>
                <w:color w:val="auto"/>
              </w:rPr>
            </w:pPr>
            <w:r>
              <w:rPr>
                <w:rFonts w:ascii="Arial" w:cs="Arial" w:eastAsia="Arial" w:hAnsi="Arial"/>
                <w:sz w:val="13"/>
                <w:szCs w:val="13"/>
                <w:color w:val="auto"/>
              </w:rPr>
              <w:t>Emerging growth company</w:t>
            </w:r>
          </w:p>
        </w:tc>
        <w:tc>
          <w:tcPr>
            <w:tcW w:w="82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r>
      <w:tr>
        <w:trPr>
          <w:trHeight w:val="356"/>
        </w:trPr>
        <w:tc>
          <w:tcPr>
            <w:tcW w:w="10460" w:type="dxa"/>
            <w:vAlign w:val="bottom"/>
          </w:tcPr>
          <w:p>
            <w:pPr>
              <w:ind w:left="20"/>
              <w:spacing w:after="0"/>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w:t>
            </w:r>
          </w:p>
        </w:tc>
        <w:tc>
          <w:tcPr>
            <w:tcW w:w="82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r>
      <w:tr>
        <w:trPr>
          <w:trHeight w:val="167"/>
        </w:trPr>
        <w:tc>
          <w:tcPr>
            <w:tcW w:w="10460" w:type="dxa"/>
            <w:vAlign w:val="bottom"/>
          </w:tcPr>
          <w:p>
            <w:pPr>
              <w:ind w:left="20"/>
              <w:spacing w:after="0"/>
              <w:rPr>
                <w:sz w:val="20"/>
                <w:szCs w:val="20"/>
                <w:color w:val="auto"/>
              </w:rPr>
            </w:pPr>
            <w:r>
              <w:rPr>
                <w:rFonts w:ascii="Arial" w:cs="Arial" w:eastAsia="Arial" w:hAnsi="Arial"/>
                <w:sz w:val="13"/>
                <w:szCs w:val="13"/>
                <w:color w:val="auto"/>
              </w:rPr>
              <w:t>accounting standards provided pursuant to Section 13(a) of the Exchange Act.</w:t>
            </w:r>
          </w:p>
        </w:tc>
        <w:tc>
          <w:tcPr>
            <w:tcW w:w="820" w:type="dxa"/>
            <w:vAlign w:val="bottom"/>
          </w:tcPr>
          <w:p>
            <w:pPr>
              <w:spacing w:after="0"/>
              <w:rPr>
                <w:sz w:val="14"/>
                <w:szCs w:val="14"/>
                <w:color w:val="auto"/>
              </w:rPr>
            </w:pPr>
          </w:p>
        </w:tc>
      </w:tr>
      <w:tr>
        <w:trPr>
          <w:trHeight w:val="863"/>
        </w:trPr>
        <w:tc>
          <w:tcPr>
            <w:tcW w:w="104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00"/>
          </w:cols>
          <w:pgMar w:left="300" w:top="810" w:right="29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1.01 Entry into a Material Agreement.</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Indenture and Notes</w:t>
      </w:r>
    </w:p>
    <w:p>
      <w:pPr>
        <w:spacing w:after="0" w:line="187"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4"/>
          <w:szCs w:val="14"/>
          <w:color w:val="auto"/>
        </w:rPr>
        <w:t>On June 25, 2026, Robinhood Markets, Inc. (the “Company”) completed its previously announced private offering of 0.00% convertible senior notes due 2029 (the “Notes”). The Notes were sold in a private placement under a purchase agreement, dated as of June 22, 2026 (the “Purchase Agreement”), between the Company and Goldman Sachs &amp; Co. LLC and J.P. Morgan Securities LLC, as representatives of the several initial purchasers named therein (collectively, the “Initial Purchasers”), for resale to persons reasonably believed to be qualified institutional buyers pursuant to Rule 144A under the Securities Act of 1933, as amended (the “Securities Act”). The aggregate principal amount of the Notes sold in the offering was $2.2 billion, which includes $200 million in aggregate principal amount of Notes issued pursuant to the Initial Purchasers’ option to purchase additional Notes</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on the same terms and conditions, which the Initial Purchasers exercised in full on June 23, 2026. The Notes were issued pursuant to an indenture, dated June 25, 2026 (the “Indenture”), between the Company and U.S. Bank Trust Company, National Association, as trustee.</w:t>
      </w:r>
    </w:p>
    <w:p>
      <w:pPr>
        <w:spacing w:after="0" w:line="17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4"/>
          <w:szCs w:val="14"/>
          <w:color w:val="auto"/>
        </w:rPr>
        <w:t>The Notes are senior unsecured obligations of the Company and will mature on October 1, 2029, unless earlier converted, redeemed or repurchased. The Notes will not bear regular interest, and the principal amount of the Notes will not accrete.</w:t>
      </w:r>
    </w:p>
    <w:p>
      <w:pPr>
        <w:spacing w:after="0" w:line="1"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4"/>
          <w:szCs w:val="14"/>
          <w:color w:val="auto"/>
        </w:rPr>
        <w:t>At any time prior to the close of business on the business day immediately preceding July 1, 2029, the Notes are convertible at the option of the holders only under the following circumstances: (1) during any calendar quarter commencing after the calendar quarter ending on September 30, 2026 (and only during such calendar quarter), if the last reported sale price of the Company’s Class A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 (2) during the five business day period after any ten consecutive trading day period (the “measurement period”) in which the trading price (as defined in the Indenture) per $1,000 principal amount of Notes for each trading day of the measurement period was less than 98% of the product of the last reported sale price of the Company’s Class A common stock and the conversion rate for the Notes on each such trading day; (3) if the Company calls such Notes for redemption, at any time prior to the close of business on the second scheduled trading day immediately preceding the redemption date, but only with respect to the Notes called (or deemed called) for redemption; or (4) upon the occurrence of specified corporate events as described in the Indenture. On or after July 1, 2029 until the close of business on the second scheduled trading day immediately preceding the maturity date, holders of the Notes may convert all or any portion of their Notes at any time regardless of the foregoing circumstances. Upon conversion of the Notes, the Company will pay cash up to the aggregate principal amount of the Notes to be converted and pay or deliver, as the case may be, cash, shares of the Company’s Class A common stock or a combination of cash and shares of the Company’s Class A common stock, at the Company’s election, in respect of the remainder, if any, of the Company’s conversion obligation in excess of the aggregate principal amount of the Notes being converted.</w:t>
      </w:r>
    </w:p>
    <w:p>
      <w:pPr>
        <w:spacing w:after="0" w:line="169"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The Company may redeem (an “Optional Redemption”) for cash all or any portion of the Notes, at its option, on or after July 1, 2028 and prior to the 21st scheduled trading day immediately preceding the maturity date, if the last reported sale price of the Company’s Class A common stock has been at least 120%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Notes to be redeemed, plus any accrued and unpaid special interest to, but excluding, the redemption date. If the Company redeems less than all the outstanding Notes, at least $200 million in aggregate principal amount of Notes must be outstanding and not subject to redemption as of the date of the relevant notice of redemption. In addition, the Notes will be redeemable, in whole but not in part, at any time if the aggregate principal amount of the Notes that remains outstanding is less than $100 million and certain other conditions are satisfied. No sinking fund is provided for the Notes.</w:t>
      </w:r>
    </w:p>
    <w:p>
      <w:pPr>
        <w:spacing w:after="0" w:line="16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The conversion rate for the Notes will initially be 5.7332 shares of the Company’s Class A common stock per $1,000 principal amount of Notes, which is equivalent to an initial conversion price of approximately $174.42 per share of Class A common stock. The initial conversion price of the Notes represents a premium of approximately 65% to the last reported sale price of the Company’s Class A common stock on the Nasdaq Global Select Market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411480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2" w:name="page3"/>
    <w:bookmarkEnd w:id="2"/>
    <w:p>
      <w:pPr>
        <w:spacing w:after="0"/>
        <w:rPr>
          <w:sz w:val="20"/>
          <w:szCs w:val="20"/>
          <w:color w:val="auto"/>
        </w:rPr>
      </w:pPr>
      <w:r>
        <w:rPr>
          <w:rFonts w:ascii="Arial" w:cs="Arial" w:eastAsia="Arial" w:hAnsi="Arial"/>
          <w:sz w:val="14"/>
          <w:szCs w:val="14"/>
          <w:color w:val="auto"/>
        </w:rPr>
        <w:t>June 22, 2026. The conversion rate for the Notes is subject to adjustment under certain circumstances in accordance with the terms of the Indenture.</w:t>
      </w:r>
    </w:p>
    <w:p>
      <w:pPr>
        <w:spacing w:after="0" w:line="20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In addition, following certain corporate events that occur prior to the maturity date of the Notes or if the Company delivers a notice of redemption in respect of the Notes, the Company will, under certain circumstances, increase the conversion rate of the Notes for a holder who elects to convert its Notes (or any portion thereof) in connection with such a corporate event or convert its Notes called (or deemed called) for redemption during the related Redemption Period (as defined in the Indenture), as the case may be.</w:t>
      </w:r>
    </w:p>
    <w:p>
      <w:pPr>
        <w:spacing w:after="0" w:line="15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If the Company undergoes a Fundamental Change (as defined in the Indenture), holders may require, subject to certain conditions and exceptions, the Company to repurchase for cash all or any portion of their Notes at a Fundamental Change Repurchase Price (as defined in the Indenture) equal to 100% of the principal amount of the Notes to be repurchased, plus any accrued and unpaid special interest, to, but excluding, the Fundamental Change Repurchase Date (as defined in the Indenture).</w:t>
      </w:r>
    </w:p>
    <w:p>
      <w:pPr>
        <w:spacing w:after="0" w:line="155"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The Indenture includes customary covenants and sets forth certain events of default (including non-payment of principal or interest when due, breach of other obligations under the Indenture, and certain cross-acceleration events, in each case subject to grace periods and other terms specified in the Indenture) after which the Notes may be declared immediately due and payable and sets forth certain types of bankruptcy or insolvency events of default involving the Company after which the Notes become automatically due and payable.</w:t>
      </w:r>
    </w:p>
    <w:p>
      <w:pPr>
        <w:spacing w:after="0" w:line="159"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The Indenture also provides for certain (i) limitations on mergers, consolidations and sales of all or substantially all assets of the Company and (ii) reporting obligations, among other things.</w:t>
      </w:r>
    </w:p>
    <w:p>
      <w:pPr>
        <w:spacing w:after="0" w:line="141"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A copy of the Indenture is attached hereto as Exhibit 4.1 (including the form of the Notes attached hereto as Exhibit 4.2) and is incorporated herein by reference (and this description is qualified in its entirety by reference to such documents).</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Capped Call Transactions</w:t>
      </w:r>
    </w:p>
    <w:p>
      <w:pPr>
        <w:spacing w:after="0" w:line="198"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On June 22, 2026, in connection with the pricing of the Notes, and on June 23, 2026, in connection with the Initial Purchasers’ exercise in full of their option to purchase additional Notes, the Company also entered into privately negotiated capped call transactions (the “Capped Calls”) with certain of the Initial Purchasers or their respective affiliates and certain other financial institutions. The Capped Calls each have an initial strike price of $174.4227 per share, subject to certain adjustments, which corresponds to the initial conversion price of the Notes. The Capped Calls have initial cap prices of $237.8475 per share, subject to certain adjustments. The Capped Calls cover, subject to anti-dilution adjustments, approximately 12,613,040 shares of the Company’s Class A common stock. The Capped Calls are expected generally to reduce potential dilution to the Class A common stock upon conversion of any Notes and/or offset any cash payments the Company is required to make in excess of the principal amount of converted Notes, as the case may be, with such reduction and/or offset subject to a cap based on the cap price. The Capped Calls are subject to either adjustment or termination upon the occurrence of specified extraordinary events affecting the Company, including a merger event; a tender offer; and a nationalization, insolvency or delisting involving the Company. In addition, the Capped Calls are subject to certain specified additional disruption events that may give rise to terminations of the Capped Calls, including changes in law; failures to deliver; and hedging disruptions.</w:t>
      </w:r>
    </w:p>
    <w:p>
      <w:pPr>
        <w:spacing w:after="0" w:line="165"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The summary of the foregoing transactions is qualified in its entirety by reference to the text of the Capped Call Confirmations, a form of which is attached as Exhibit 10.1 to this Current Report on Form 8-K and is incorporated herein by reference.</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2.03 Creation of a Direct Financial Obligation or an Obligation under an Off-Balance Sheet Arrangement of a Registrant.</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information set forth under Item 1.01 of this Current Report on Form 8-K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682625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color w:val="auto"/>
        </w:rPr>
        <w:t>Item 3.02 Unregistered Sale of Equity Securities.</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information set forth under Item 1.01 of this Current Report on Form 8-K is incorporated herein by reference.</w:t>
      </w:r>
    </w:p>
    <w:p>
      <w:pPr>
        <w:spacing w:after="0" w:line="20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The Company offered and sold the Notes to the Initial Purchasers in reliance on the exemption from registration provided by Section 4(a)(2) of the Securities Act, and for resale by the Initial Purchasers to persons reasonably believed to be qualified institutional buyers pursuant to Rule 144A under the Securities Act. The Company relied on these exemptions from registration based in part on representations made by the Initial Purchasers in the Purchase Agreement.</w:t>
      </w:r>
    </w:p>
    <w:p>
      <w:pPr>
        <w:spacing w:after="0" w:line="15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4"/>
          <w:szCs w:val="14"/>
          <w:color w:val="auto"/>
        </w:rPr>
        <w:t>The maximum number of shares of the Company’s Class A common stock issuable upon conversion of the Notes is 20,811,560, subject to adjustment under certain circumstances in accordance with the terms of the Indenture.</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The Notes and the shares of the Company’s Class A common stock issuable upon conversion of the Notes, if any, have not been registered under the Securities Act and may not be offered or sold in the United States absent registration or an applicable exemption from registration requirements.</w:t>
      </w:r>
    </w:p>
    <w:p>
      <w:pPr>
        <w:spacing w:after="0" w:line="156"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To the extent that any shares of Company’s Class A common stock are issued upon conversion of the Notes, they will be issued in transactions anticipated to be exempt from registration under the Securities Act by virtue of Section 3(a)(9) thereof because no commission or other remuneration is expected to be paid in connection with conversion of the Notes and any resulting issuance of shares of the Company’s Class A common stock.</w:t>
      </w:r>
    </w:p>
    <w:p>
      <w:pPr>
        <w:spacing w:after="0"/>
        <w:rPr>
          <w:sz w:val="20"/>
          <w:szCs w:val="20"/>
          <w:color w:val="auto"/>
        </w:rPr>
      </w:pPr>
      <w:r>
        <w:rPr>
          <w:rFonts w:ascii="Arial" w:cs="Arial" w:eastAsia="Arial" w:hAnsi="Arial"/>
          <w:sz w:val="14"/>
          <w:szCs w:val="14"/>
          <w:b w:val="1"/>
          <w:bCs w:val="1"/>
          <w:color w:val="auto"/>
        </w:rPr>
        <w:t>Item 7.01 Regulation FD Disclosure.</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On June 25, 2026, Robinhood published a press release announcing the closing of the Notes offering. A copy of the press release is furnished as Exhibit 99.1 to this report.</w:t>
      </w:r>
    </w:p>
    <w:p>
      <w:pPr>
        <w:spacing w:after="0" w:line="20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The information furnished with this Item 7.01, including Exhibit 99.1, shall not be deemed “filed” for purposes of Section 18 of the Securities Exchange Act of 1934, as amended (the “Exchange Act”), or otherwise subject to liabilities of that section, nor shall it be deemed incorporated by reference into any other filing under the Securities Act or the Exchange Act, except as expressly set forth by specific reference in such a filing.</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Item 8.01 Other Events.</w:t>
      </w:r>
    </w:p>
    <w:p>
      <w:pPr>
        <w:spacing w:after="0" w:line="20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In connection with the offering of the Notes, the Company used approximately $290 million of the net proceeds from the offering of the Notes to repurchase 2,743,000 shares of the Company’s Class A common stock in privately negotiated transactions effected with or through one of the initial purchasers or its affiliate at a purchase price per share equal to $105.71, the last reported sale price of the Company’s Class A Common Stock on the Nasdaq Global Select Market on June 22, 2026.</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60" w:type="dxa"/>
            <w:vAlign w:val="bottom"/>
            <w:gridSpan w:val="2"/>
          </w:tcPr>
          <w:p>
            <w:pPr>
              <w:spacing w:after="0"/>
              <w:rPr>
                <w:sz w:val="20"/>
                <w:szCs w:val="20"/>
                <w:color w:val="auto"/>
              </w:rPr>
            </w:pPr>
            <w:r>
              <w:rPr>
                <w:rFonts w:ascii="Arial" w:cs="Arial" w:eastAsia="Arial" w:hAnsi="Arial"/>
                <w:sz w:val="14"/>
                <w:szCs w:val="14"/>
                <w:i w:val="1"/>
                <w:iCs w:val="1"/>
                <w:color w:val="auto"/>
              </w:rPr>
              <w:t>Exhibits</w:t>
            </w:r>
          </w:p>
        </w:tc>
        <w:tc>
          <w:tcPr>
            <w:tcW w:w="2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91"/>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b w:val="1"/>
                <w:bCs w:val="1"/>
                <w:color w:val="auto"/>
                <w:w w:val="98"/>
              </w:rPr>
              <w:t>Exhibit Number</w:t>
            </w:r>
          </w:p>
        </w:tc>
        <w:tc>
          <w:tcPr>
            <w:tcW w:w="2020" w:type="dxa"/>
            <w:vAlign w:val="bottom"/>
          </w:tcPr>
          <w:p>
            <w:pPr>
              <w:spacing w:after="0"/>
              <w:rPr>
                <w:sz w:val="24"/>
                <w:szCs w:val="24"/>
                <w:color w:val="auto"/>
              </w:rPr>
            </w:pPr>
          </w:p>
        </w:tc>
        <w:tc>
          <w:tcPr>
            <w:tcW w:w="8200" w:type="dxa"/>
            <w:vAlign w:val="bottom"/>
            <w:gridSpan w:val="6"/>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2"/>
        </w:trPr>
        <w:tc>
          <w:tcPr>
            <w:tcW w:w="1060" w:type="dxa"/>
            <w:vAlign w:val="bottom"/>
            <w:gridSpan w:val="2"/>
          </w:tcPr>
          <w:p>
            <w:pPr>
              <w:ind w:left="20"/>
              <w:spacing w:after="0"/>
              <w:rPr>
                <w:sz w:val="20"/>
                <w:szCs w:val="20"/>
                <w:color w:val="auto"/>
              </w:rPr>
            </w:pPr>
            <w:r>
              <w:rPr>
                <w:rFonts w:ascii="Arial" w:cs="Arial" w:eastAsia="Arial" w:hAnsi="Arial"/>
                <w:sz w:val="14"/>
                <w:szCs w:val="14"/>
                <w:color w:val="auto"/>
              </w:rPr>
              <w:t>4.1</w:t>
            </w:r>
          </w:p>
        </w:tc>
        <w:tc>
          <w:tcPr>
            <w:tcW w:w="2020" w:type="dxa"/>
            <w:vAlign w:val="bottom"/>
          </w:tcPr>
          <w:p>
            <w:pPr>
              <w:spacing w:after="0"/>
              <w:rPr>
                <w:sz w:val="16"/>
                <w:szCs w:val="16"/>
                <w:color w:val="auto"/>
              </w:rPr>
            </w:pPr>
          </w:p>
        </w:tc>
        <w:tc>
          <w:tcPr>
            <w:tcW w:w="7460" w:type="dxa"/>
            <w:vAlign w:val="bottom"/>
            <w:tcBorders>
              <w:bottom w:val="single" w:sz="8" w:color="0000FF"/>
            </w:tcBorders>
            <w:gridSpan w:val="5"/>
          </w:tcPr>
          <w:p>
            <w:pPr>
              <w:spacing w:after="0"/>
              <w:rPr>
                <w:sz w:val="20"/>
                <w:szCs w:val="20"/>
                <w:color w:val="auto"/>
              </w:rPr>
            </w:pPr>
            <w:r>
              <w:rPr>
                <w:rFonts w:ascii="Arial" w:cs="Arial" w:eastAsia="Arial" w:hAnsi="Arial"/>
                <w:sz w:val="14"/>
                <w:szCs w:val="14"/>
                <w:color w:val="0000FF"/>
              </w:rPr>
              <w:t>Indenture, dated June 25, 2026, between Robinhood Markets, Inc. and U.S. Bank Trust Company, National Association</w:t>
            </w:r>
          </w:p>
        </w:tc>
        <w:tc>
          <w:tcPr>
            <w:tcW w:w="740" w:type="dxa"/>
            <w:vAlign w:val="bottom"/>
          </w:tcPr>
          <w:p>
            <w:pPr>
              <w:spacing w:after="0"/>
              <w:rPr>
                <w:sz w:val="16"/>
                <w:szCs w:val="16"/>
                <w:color w:val="auto"/>
              </w:rPr>
            </w:pPr>
          </w:p>
        </w:tc>
      </w:tr>
      <w:tr>
        <w:trPr>
          <w:trHeight w:val="192"/>
        </w:trPr>
        <w:tc>
          <w:tcPr>
            <w:tcW w:w="1060" w:type="dxa"/>
            <w:vAlign w:val="bottom"/>
            <w:gridSpan w:val="2"/>
          </w:tcPr>
          <w:p>
            <w:pPr>
              <w:ind w:left="20"/>
              <w:spacing w:after="0"/>
              <w:rPr>
                <w:sz w:val="20"/>
                <w:szCs w:val="20"/>
                <w:color w:val="auto"/>
              </w:rPr>
            </w:pPr>
            <w:r>
              <w:rPr>
                <w:rFonts w:ascii="Arial" w:cs="Arial" w:eastAsia="Arial" w:hAnsi="Arial"/>
                <w:sz w:val="14"/>
                <w:szCs w:val="14"/>
                <w:color w:val="auto"/>
              </w:rPr>
              <w:t>4.2</w:t>
            </w:r>
          </w:p>
        </w:tc>
        <w:tc>
          <w:tcPr>
            <w:tcW w:w="2020" w:type="dxa"/>
            <w:vAlign w:val="bottom"/>
          </w:tcPr>
          <w:p>
            <w:pPr>
              <w:spacing w:after="0"/>
              <w:rPr>
                <w:sz w:val="16"/>
                <w:szCs w:val="16"/>
                <w:color w:val="auto"/>
              </w:rPr>
            </w:pPr>
          </w:p>
        </w:tc>
        <w:tc>
          <w:tcPr>
            <w:tcW w:w="4620" w:type="dxa"/>
            <w:vAlign w:val="bottom"/>
            <w:tcBorders>
              <w:bottom w:val="single" w:sz="8" w:color="0000FF"/>
            </w:tcBorders>
            <w:gridSpan w:val="4"/>
          </w:tcPr>
          <w:p>
            <w:pPr>
              <w:spacing w:after="0"/>
              <w:rPr>
                <w:sz w:val="20"/>
                <w:szCs w:val="20"/>
                <w:color w:val="auto"/>
              </w:rPr>
            </w:pPr>
            <w:r>
              <w:rPr>
                <w:rFonts w:ascii="Arial" w:cs="Arial" w:eastAsia="Arial" w:hAnsi="Arial"/>
                <w:sz w:val="14"/>
                <w:szCs w:val="14"/>
                <w:color w:val="0000FF"/>
              </w:rPr>
              <w:t>Form of 0.00% Convertible Senior Note due 2029 (included in Exhibit 4.1)</w:t>
            </w:r>
          </w:p>
        </w:tc>
        <w:tc>
          <w:tcPr>
            <w:tcW w:w="3580" w:type="dxa"/>
            <w:vAlign w:val="bottom"/>
            <w:gridSpan w:val="2"/>
          </w:tcPr>
          <w:p>
            <w:pPr>
              <w:spacing w:after="0"/>
              <w:rPr>
                <w:sz w:val="16"/>
                <w:szCs w:val="16"/>
                <w:color w:val="auto"/>
              </w:rPr>
            </w:pPr>
          </w:p>
        </w:tc>
      </w:tr>
      <w:tr>
        <w:trPr>
          <w:trHeight w:val="192"/>
        </w:trPr>
        <w:tc>
          <w:tcPr>
            <w:tcW w:w="1060" w:type="dxa"/>
            <w:vAlign w:val="bottom"/>
            <w:gridSpan w:val="2"/>
          </w:tcPr>
          <w:p>
            <w:pPr>
              <w:ind w:left="20"/>
              <w:spacing w:after="0"/>
              <w:rPr>
                <w:sz w:val="20"/>
                <w:szCs w:val="20"/>
                <w:color w:val="auto"/>
              </w:rPr>
            </w:pPr>
            <w:r>
              <w:rPr>
                <w:rFonts w:ascii="Arial" w:cs="Arial" w:eastAsia="Arial" w:hAnsi="Arial"/>
                <w:sz w:val="14"/>
                <w:szCs w:val="14"/>
                <w:color w:val="auto"/>
              </w:rPr>
              <w:t>10.1</w:t>
            </w:r>
          </w:p>
        </w:tc>
        <w:tc>
          <w:tcPr>
            <w:tcW w:w="2020" w:type="dxa"/>
            <w:vAlign w:val="bottom"/>
          </w:tcPr>
          <w:p>
            <w:pPr>
              <w:spacing w:after="0"/>
              <w:rPr>
                <w:sz w:val="16"/>
                <w:szCs w:val="16"/>
                <w:color w:val="auto"/>
              </w:rPr>
            </w:pPr>
          </w:p>
        </w:tc>
        <w:tc>
          <w:tcPr>
            <w:tcW w:w="216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rPr>
              <w:t>Form of Capped Call Confirmation</w:t>
            </w:r>
          </w:p>
        </w:tc>
        <w:tc>
          <w:tcPr>
            <w:tcW w:w="6040" w:type="dxa"/>
            <w:vAlign w:val="bottom"/>
            <w:gridSpan w:val="4"/>
          </w:tcPr>
          <w:p>
            <w:pPr>
              <w:spacing w:after="0"/>
              <w:rPr>
                <w:sz w:val="16"/>
                <w:szCs w:val="16"/>
                <w:color w:val="auto"/>
              </w:rPr>
            </w:pPr>
          </w:p>
        </w:tc>
      </w:tr>
      <w:tr>
        <w:trPr>
          <w:trHeight w:val="192"/>
        </w:trPr>
        <w:tc>
          <w:tcPr>
            <w:tcW w:w="1060" w:type="dxa"/>
            <w:vAlign w:val="bottom"/>
            <w:gridSpan w:val="2"/>
          </w:tcPr>
          <w:p>
            <w:pPr>
              <w:ind w:left="20"/>
              <w:spacing w:after="0"/>
              <w:rPr>
                <w:sz w:val="20"/>
                <w:szCs w:val="20"/>
                <w:color w:val="auto"/>
              </w:rPr>
            </w:pPr>
            <w:r>
              <w:rPr>
                <w:rFonts w:ascii="Arial" w:cs="Arial" w:eastAsia="Arial" w:hAnsi="Arial"/>
                <w:sz w:val="14"/>
                <w:szCs w:val="14"/>
                <w:color w:val="auto"/>
              </w:rPr>
              <w:t>99.1</w:t>
            </w:r>
          </w:p>
        </w:tc>
        <w:tc>
          <w:tcPr>
            <w:tcW w:w="2020" w:type="dxa"/>
            <w:vAlign w:val="bottom"/>
          </w:tcPr>
          <w:p>
            <w:pPr>
              <w:spacing w:after="0"/>
              <w:rPr>
                <w:sz w:val="16"/>
                <w:szCs w:val="16"/>
                <w:color w:val="auto"/>
              </w:rPr>
            </w:pPr>
          </w:p>
        </w:tc>
        <w:tc>
          <w:tcPr>
            <w:tcW w:w="2200" w:type="dxa"/>
            <w:vAlign w:val="bottom"/>
            <w:tcBorders>
              <w:bottom w:val="single" w:sz="8" w:color="0000FF"/>
            </w:tcBorders>
            <w:gridSpan w:val="3"/>
          </w:tcPr>
          <w:p>
            <w:pPr>
              <w:spacing w:after="0"/>
              <w:rPr>
                <w:sz w:val="20"/>
                <w:szCs w:val="20"/>
                <w:color w:val="auto"/>
              </w:rPr>
            </w:pPr>
            <w:r>
              <w:rPr>
                <w:rFonts w:ascii="Arial" w:cs="Arial" w:eastAsia="Arial" w:hAnsi="Arial"/>
                <w:sz w:val="14"/>
                <w:szCs w:val="14"/>
                <w:color w:val="0000FF"/>
              </w:rPr>
              <w:t>Press release dated June 25, 2026</w:t>
            </w:r>
          </w:p>
        </w:tc>
        <w:tc>
          <w:tcPr>
            <w:tcW w:w="6000" w:type="dxa"/>
            <w:vAlign w:val="bottom"/>
            <w:gridSpan w:val="3"/>
          </w:tcPr>
          <w:p>
            <w:pPr>
              <w:spacing w:after="0"/>
              <w:rPr>
                <w:sz w:val="16"/>
                <w:szCs w:val="16"/>
                <w:color w:val="auto"/>
              </w:rPr>
            </w:pPr>
          </w:p>
        </w:tc>
      </w:tr>
      <w:tr>
        <w:trPr>
          <w:trHeight w:val="226"/>
        </w:trPr>
        <w:tc>
          <w:tcPr>
            <w:tcW w:w="1060" w:type="dxa"/>
            <w:vAlign w:val="bottom"/>
            <w:gridSpan w:val="2"/>
          </w:tcPr>
          <w:p>
            <w:pPr>
              <w:ind w:left="20"/>
              <w:spacing w:after="0"/>
              <w:rPr>
                <w:sz w:val="20"/>
                <w:szCs w:val="20"/>
                <w:color w:val="auto"/>
              </w:rPr>
            </w:pPr>
            <w:r>
              <w:rPr>
                <w:rFonts w:ascii="Arial" w:cs="Arial" w:eastAsia="Arial" w:hAnsi="Arial"/>
                <w:sz w:val="14"/>
                <w:szCs w:val="14"/>
                <w:color w:val="auto"/>
              </w:rPr>
              <w:t>104</w:t>
            </w:r>
          </w:p>
        </w:tc>
        <w:tc>
          <w:tcPr>
            <w:tcW w:w="2020" w:type="dxa"/>
            <w:vAlign w:val="bottom"/>
          </w:tcPr>
          <w:p>
            <w:pPr>
              <w:spacing w:after="0"/>
              <w:rPr>
                <w:sz w:val="19"/>
                <w:szCs w:val="19"/>
                <w:color w:val="auto"/>
              </w:rPr>
            </w:pPr>
          </w:p>
        </w:tc>
        <w:tc>
          <w:tcPr>
            <w:tcW w:w="8200" w:type="dxa"/>
            <w:vAlign w:val="bottom"/>
            <w:gridSpan w:val="6"/>
          </w:tcPr>
          <w:p>
            <w:pPr>
              <w:spacing w:after="0"/>
              <w:rPr>
                <w:sz w:val="20"/>
                <w:szCs w:val="20"/>
                <w:color w:val="auto"/>
              </w:rPr>
            </w:pPr>
            <w:r>
              <w:rPr>
                <w:rFonts w:ascii="Arial" w:cs="Arial" w:eastAsia="Arial" w:hAnsi="Arial"/>
                <w:sz w:val="14"/>
                <w:szCs w:val="14"/>
                <w:color w:val="auto"/>
              </w:rPr>
              <w:t>Cover Page Interactive Data File (the cover page XBRL tags are embedded within the Inline XBRL document)</w:t>
            </w:r>
          </w:p>
        </w:tc>
      </w:tr>
      <w:tr>
        <w:trPr>
          <w:trHeight w:val="1527"/>
        </w:trPr>
        <w:tc>
          <w:tcPr>
            <w:tcW w:w="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SIGNATURE</w:t>
      </w:r>
    </w:p>
    <w:p>
      <w:pPr>
        <w:spacing w:after="0" w:line="33" w:lineRule="exact"/>
        <w:rPr>
          <w:sz w:val="20"/>
          <w:szCs w:val="20"/>
          <w:color w:val="auto"/>
        </w:rPr>
      </w:pPr>
    </w:p>
    <w:p>
      <w:pPr>
        <w:ind w:right="540"/>
        <w:spacing w:after="0" w:line="317"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6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8180" w:type="dxa"/>
            <w:vAlign w:val="bottom"/>
            <w:gridSpan w:val="2"/>
          </w:tcPr>
          <w:p>
            <w:pPr>
              <w:ind w:left="1180"/>
              <w:spacing w:after="0"/>
              <w:rPr>
                <w:sz w:val="20"/>
                <w:szCs w:val="20"/>
                <w:color w:val="auto"/>
              </w:rPr>
            </w:pPr>
            <w:r>
              <w:rPr>
                <w:rFonts w:ascii="Arial" w:cs="Arial" w:eastAsia="Arial" w:hAnsi="Arial"/>
                <w:sz w:val="14"/>
                <w:szCs w:val="14"/>
                <w:b w:val="1"/>
                <w:bCs w:val="1"/>
                <w:color w:val="auto"/>
              </w:rPr>
              <w:t>Robinhood Markets, Inc.</w:t>
            </w:r>
          </w:p>
        </w:tc>
      </w:tr>
      <w:tr>
        <w:trPr>
          <w:trHeight w:val="427"/>
        </w:trPr>
        <w:tc>
          <w:tcPr>
            <w:tcW w:w="680" w:type="dxa"/>
            <w:vAlign w:val="bottom"/>
          </w:tcPr>
          <w:p>
            <w:pPr>
              <w:spacing w:after="0"/>
              <w:rPr>
                <w:sz w:val="20"/>
                <w:szCs w:val="20"/>
                <w:color w:val="auto"/>
              </w:rPr>
            </w:pPr>
            <w:r>
              <w:rPr>
                <w:rFonts w:ascii="Arial" w:cs="Arial" w:eastAsia="Arial" w:hAnsi="Arial"/>
                <w:sz w:val="14"/>
                <w:szCs w:val="14"/>
                <w:color w:val="auto"/>
              </w:rPr>
              <w:t>Date:</w:t>
            </w:r>
          </w:p>
        </w:tc>
        <w:tc>
          <w:tcPr>
            <w:tcW w:w="2400" w:type="dxa"/>
            <w:vAlign w:val="bottom"/>
          </w:tcPr>
          <w:p>
            <w:pPr>
              <w:ind w:left="340"/>
              <w:spacing w:after="0"/>
              <w:rPr>
                <w:sz w:val="20"/>
                <w:szCs w:val="20"/>
                <w:color w:val="auto"/>
              </w:rPr>
            </w:pPr>
            <w:r>
              <w:rPr>
                <w:rFonts w:ascii="Arial" w:cs="Arial" w:eastAsia="Arial" w:hAnsi="Arial"/>
                <w:sz w:val="14"/>
                <w:szCs w:val="14"/>
                <w:color w:val="auto"/>
              </w:rPr>
              <w:t>June 25, 2026</w:t>
            </w:r>
          </w:p>
        </w:tc>
        <w:tc>
          <w:tcPr>
            <w:tcW w:w="2100" w:type="dxa"/>
            <w:vAlign w:val="bottom"/>
          </w:tcPr>
          <w:p>
            <w:pPr>
              <w:ind w:left="1180"/>
              <w:spacing w:after="0"/>
              <w:rPr>
                <w:sz w:val="20"/>
                <w:szCs w:val="20"/>
                <w:color w:val="auto"/>
              </w:rPr>
            </w:pPr>
            <w:r>
              <w:rPr>
                <w:rFonts w:ascii="Arial" w:cs="Arial" w:eastAsia="Arial" w:hAnsi="Arial"/>
                <w:sz w:val="14"/>
                <w:szCs w:val="14"/>
                <w:color w:val="auto"/>
              </w:rPr>
              <w:t>By:</w:t>
            </w:r>
          </w:p>
        </w:tc>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Shiv Verma</w:t>
            </w:r>
          </w:p>
        </w:tc>
      </w:tr>
      <w:tr>
        <w:trPr>
          <w:trHeight w:val="193"/>
        </w:trPr>
        <w:tc>
          <w:tcPr>
            <w:tcW w:w="6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080" w:type="dxa"/>
            <w:vAlign w:val="bottom"/>
          </w:tcPr>
          <w:p>
            <w:pPr>
              <w:ind w:left="20"/>
              <w:spacing w:after="0"/>
              <w:rPr>
                <w:sz w:val="20"/>
                <w:szCs w:val="20"/>
                <w:color w:val="auto"/>
              </w:rPr>
            </w:pPr>
            <w:r>
              <w:rPr>
                <w:rFonts w:ascii="Arial" w:cs="Arial" w:eastAsia="Arial" w:hAnsi="Arial"/>
                <w:sz w:val="14"/>
                <w:szCs w:val="14"/>
                <w:color w:val="auto"/>
              </w:rPr>
              <w:t>Name: Shiv Verma</w:t>
            </w:r>
          </w:p>
        </w:tc>
      </w:tr>
      <w:tr>
        <w:trPr>
          <w:trHeight w:val="212"/>
        </w:trPr>
        <w:tc>
          <w:tcPr>
            <w:tcW w:w="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080" w:type="dxa"/>
            <w:vAlign w:val="bottom"/>
          </w:tcPr>
          <w:p>
            <w:pPr>
              <w:ind w:left="20"/>
              <w:spacing w:after="0"/>
              <w:rPr>
                <w:sz w:val="20"/>
                <w:szCs w:val="20"/>
                <w:color w:val="auto"/>
              </w:rPr>
            </w:pPr>
            <w:r>
              <w:rPr>
                <w:rFonts w:ascii="Arial" w:cs="Arial" w:eastAsia="Arial" w:hAnsi="Arial"/>
                <w:sz w:val="14"/>
                <w:szCs w:val="14"/>
                <w:color w:val="auto"/>
              </w:rPr>
              <w:t>Title: Chief Financial Officer</w:t>
            </w:r>
          </w:p>
        </w:tc>
      </w:tr>
    </w:tbl>
    <w:p>
      <w:pPr>
        <w:sectPr>
          <w:pgSz w:w="11900" w:h="16838" w:orient="portrait"/>
          <w:cols w:equalWidth="0" w:num="1">
            <w:col w:w="11280"/>
          </w:cols>
          <w:pgMar w:left="300" w:top="921" w:right="319"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[DEALER]</w:t>
      </w:r>
      <w:r>
        <w:rPr>
          <w:rFonts w:ascii="Times New Roman" w:cs="Times New Roman" w:eastAsia="Times New Roman" w:hAnsi="Times New Roman"/>
          <w:sz w:val="18"/>
          <w:szCs w:val="18"/>
          <w:color w:val="auto"/>
          <w:vertAlign w:val="superscript"/>
        </w:rPr>
        <w:t>1</w:t>
      </w:r>
    </w:p>
    <w:p>
      <w:pPr>
        <w:spacing w:after="0" w:line="34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color w:val="auto"/>
        </w:rPr>
        <w:t>[_____________], 2026</w:t>
      </w:r>
    </w:p>
    <w:p>
      <w:pPr>
        <w:spacing w:after="0" w:line="8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4"/>
          <w:szCs w:val="14"/>
          <w:color w:val="auto"/>
        </w:rPr>
        <w:t>To:</w:t>
        <w:tab/>
        <w:t>Robinhood Markets, Inc.</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85 Willow Road</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Menlo Park, California 94025</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Attention: Corporate Secretary</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Email: corporatesecretary@robinhood.com</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 [Base][Additional] Call Option Transaction</w:t>
      </w:r>
    </w:p>
    <w:p>
      <w:pPr>
        <w:spacing w:after="0" w:line="145"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4"/>
          <w:szCs w:val="14"/>
          <w:color w:val="auto"/>
        </w:rPr>
        <w:t>The purpose of this letter agreement (this “</w:t>
      </w:r>
      <w:r>
        <w:rPr>
          <w:rFonts w:ascii="Times New Roman" w:cs="Times New Roman" w:eastAsia="Times New Roman" w:hAnsi="Times New Roman"/>
          <w:sz w:val="14"/>
          <w:szCs w:val="14"/>
          <w:b w:val="1"/>
          <w:bCs w:val="1"/>
          <w:color w:val="auto"/>
        </w:rPr>
        <w:t>Confirmation</w:t>
      </w:r>
      <w:r>
        <w:rPr>
          <w:rFonts w:ascii="Times New Roman" w:cs="Times New Roman" w:eastAsia="Times New Roman" w:hAnsi="Times New Roman"/>
          <w:sz w:val="14"/>
          <w:szCs w:val="14"/>
          <w:color w:val="auto"/>
        </w:rPr>
        <w:t>”) is to confirm the terms and conditions of the call option transaction entered into between [DEALER] (“</w:t>
      </w:r>
      <w:r>
        <w:rPr>
          <w:rFonts w:ascii="Times New Roman" w:cs="Times New Roman" w:eastAsia="Times New Roman" w:hAnsi="Times New Roman"/>
          <w:sz w:val="14"/>
          <w:szCs w:val="14"/>
          <w:b w:val="1"/>
          <w:bCs w:val="1"/>
          <w:color w:val="auto"/>
        </w:rPr>
        <w:t>Dealer</w:t>
      </w:r>
      <w:r>
        <w:rPr>
          <w:rFonts w:ascii="Times New Roman" w:cs="Times New Roman" w:eastAsia="Times New Roman" w:hAnsi="Times New Roman"/>
          <w:sz w:val="14"/>
          <w:szCs w:val="14"/>
          <w:color w:val="auto"/>
        </w:rPr>
        <w:t>”) and Robinhood Markets, Inc. (“</w:t>
      </w:r>
      <w:r>
        <w:rPr>
          <w:rFonts w:ascii="Times New Roman" w:cs="Times New Roman" w:eastAsia="Times New Roman" w:hAnsi="Times New Roman"/>
          <w:sz w:val="14"/>
          <w:szCs w:val="14"/>
          <w:b w:val="1"/>
          <w:bCs w:val="1"/>
          <w:color w:val="auto"/>
        </w:rPr>
        <w:t>Counterparty</w:t>
      </w:r>
      <w:r>
        <w:rPr>
          <w:rFonts w:ascii="Times New Roman" w:cs="Times New Roman" w:eastAsia="Times New Roman" w:hAnsi="Times New Roman"/>
          <w:sz w:val="14"/>
          <w:szCs w:val="14"/>
          <w:color w:val="auto"/>
        </w:rPr>
        <w:t>”) as of the Trade Date specified below (the “</w:t>
      </w:r>
      <w:r>
        <w:rPr>
          <w:rFonts w:ascii="Times New Roman" w:cs="Times New Roman" w:eastAsia="Times New Roman" w:hAnsi="Times New Roman"/>
          <w:sz w:val="14"/>
          <w:szCs w:val="14"/>
          <w:b w:val="1"/>
          <w:bCs w:val="1"/>
          <w:color w:val="auto"/>
        </w:rPr>
        <w:t>Transaction</w:t>
      </w:r>
      <w:r>
        <w:rPr>
          <w:rFonts w:ascii="Times New Roman" w:cs="Times New Roman" w:eastAsia="Times New Roman" w:hAnsi="Times New Roman"/>
          <w:sz w:val="14"/>
          <w:szCs w:val="14"/>
          <w:color w:val="auto"/>
        </w:rPr>
        <w:t>”). This letter agreement constitutes a “Confirmation” as referred to in the ISDA Master Agreement specified below. Each party further agrees that this Confirmation together with the Agreement evidence a complete binding agreement between Counterparty and Dealer as to the subject matter and terms of the Transaction to which this Confirmation relates, and shall supersede all prior or contemporaneous written or oral communications with respect thereto.</w:t>
      </w:r>
    </w:p>
    <w:p>
      <w:pPr>
        <w:spacing w:after="0" w:line="117" w:lineRule="exact"/>
        <w:rPr>
          <w:sz w:val="20"/>
          <w:szCs w:val="20"/>
          <w:color w:val="auto"/>
        </w:rPr>
      </w:pPr>
    </w:p>
    <w:p>
      <w:pPr>
        <w:jc w:val="both"/>
        <w:ind w:firstLine="169"/>
        <w:spacing w:after="0" w:line="261" w:lineRule="auto"/>
        <w:rPr>
          <w:sz w:val="20"/>
          <w:szCs w:val="20"/>
          <w:color w:val="auto"/>
        </w:rPr>
      </w:pPr>
      <w:r>
        <w:rPr>
          <w:rFonts w:ascii="Times New Roman" w:cs="Times New Roman" w:eastAsia="Times New Roman" w:hAnsi="Times New Roman"/>
          <w:sz w:val="14"/>
          <w:szCs w:val="14"/>
          <w:color w:val="auto"/>
        </w:rPr>
        <w:t>The definitions and provisions contained in the 2002 ISDA Equity Derivatives Definitions (the “</w:t>
      </w:r>
      <w:r>
        <w:rPr>
          <w:rFonts w:ascii="Times New Roman" w:cs="Times New Roman" w:eastAsia="Times New Roman" w:hAnsi="Times New Roman"/>
          <w:sz w:val="14"/>
          <w:szCs w:val="14"/>
          <w:b w:val="1"/>
          <w:bCs w:val="1"/>
          <w:color w:val="auto"/>
        </w:rPr>
        <w:t>Equity Definitions</w:t>
      </w:r>
      <w:r>
        <w:rPr>
          <w:rFonts w:ascii="Times New Roman" w:cs="Times New Roman" w:eastAsia="Times New Roman" w:hAnsi="Times New Roman"/>
          <w:sz w:val="14"/>
          <w:szCs w:val="14"/>
          <w:color w:val="auto"/>
        </w:rPr>
        <w:t>”), as published by the International Swaps and Derivatives Association, Inc. (“</w:t>
      </w:r>
      <w:r>
        <w:rPr>
          <w:rFonts w:ascii="Times New Roman" w:cs="Times New Roman" w:eastAsia="Times New Roman" w:hAnsi="Times New Roman"/>
          <w:sz w:val="14"/>
          <w:szCs w:val="14"/>
          <w:b w:val="1"/>
          <w:bCs w:val="1"/>
          <w:color w:val="auto"/>
        </w:rPr>
        <w:t>ISDA</w:t>
      </w:r>
      <w:r>
        <w:rPr>
          <w:rFonts w:ascii="Times New Roman" w:cs="Times New Roman" w:eastAsia="Times New Roman" w:hAnsi="Times New Roman"/>
          <w:sz w:val="14"/>
          <w:szCs w:val="14"/>
          <w:color w:val="auto"/>
        </w:rPr>
        <w:t>”) are incorporated into this Confirmation. In the event of any inconsistency between the Equity Definitions and this Confirmation, this Confirmation shall govern. Certain defined terms used herein are based on terms that are defined in the Offering Memorandum dated [______], 2026 (the “</w:t>
      </w:r>
      <w:r>
        <w:rPr>
          <w:rFonts w:ascii="Times New Roman" w:cs="Times New Roman" w:eastAsia="Times New Roman" w:hAnsi="Times New Roman"/>
          <w:sz w:val="14"/>
          <w:szCs w:val="14"/>
          <w:b w:val="1"/>
          <w:bCs w:val="1"/>
          <w:color w:val="auto"/>
        </w:rPr>
        <w:t>Offering Memorandum</w:t>
      </w:r>
      <w:r>
        <w:rPr>
          <w:rFonts w:ascii="Times New Roman" w:cs="Times New Roman" w:eastAsia="Times New Roman" w:hAnsi="Times New Roman"/>
          <w:sz w:val="14"/>
          <w:szCs w:val="14"/>
          <w:color w:val="auto"/>
        </w:rPr>
        <w:t>”) relating to the [__]% Convertible Senior Notes due 2029 (as originally</w:t>
      </w:r>
    </w:p>
    <w:p>
      <w:pPr>
        <w:jc w:val="both"/>
        <w:spacing w:after="0" w:line="216" w:lineRule="auto"/>
        <w:rPr>
          <w:sz w:val="20"/>
          <w:szCs w:val="20"/>
          <w:color w:val="auto"/>
        </w:rPr>
      </w:pPr>
      <w:r>
        <w:rPr>
          <w:rFonts w:ascii="Times New Roman" w:cs="Times New Roman" w:eastAsia="Times New Roman" w:hAnsi="Times New Roman"/>
          <w:sz w:val="14"/>
          <w:szCs w:val="14"/>
          <w:color w:val="auto"/>
        </w:rPr>
        <w:t>issued by Counterparty, the “</w:t>
      </w:r>
      <w:r>
        <w:rPr>
          <w:rFonts w:ascii="Times New Roman" w:cs="Times New Roman" w:eastAsia="Times New Roman" w:hAnsi="Times New Roman"/>
          <w:sz w:val="14"/>
          <w:szCs w:val="14"/>
          <w:b w:val="1"/>
          <w:bCs w:val="1"/>
          <w:color w:val="auto"/>
        </w:rPr>
        <w:t>Convertible Notes</w:t>
      </w:r>
      <w:r>
        <w:rPr>
          <w:rFonts w:ascii="Times New Roman" w:cs="Times New Roman" w:eastAsia="Times New Roman" w:hAnsi="Times New Roman"/>
          <w:sz w:val="14"/>
          <w:szCs w:val="14"/>
          <w:color w:val="auto"/>
        </w:rPr>
        <w:t>” and each USD 1,000 principal amount of Convertible Notes, a “</w:t>
      </w:r>
      <w:r>
        <w:rPr>
          <w:rFonts w:ascii="Times New Roman" w:cs="Times New Roman" w:eastAsia="Times New Roman" w:hAnsi="Times New Roman"/>
          <w:sz w:val="14"/>
          <w:szCs w:val="14"/>
          <w:b w:val="1"/>
          <w:bCs w:val="1"/>
          <w:color w:val="auto"/>
        </w:rPr>
        <w:t>Convertible Note</w:t>
      </w:r>
      <w:r>
        <w:rPr>
          <w:rFonts w:ascii="Times New Roman" w:cs="Times New Roman" w:eastAsia="Times New Roman" w:hAnsi="Times New Roman"/>
          <w:sz w:val="14"/>
          <w:szCs w:val="14"/>
          <w:color w:val="auto"/>
        </w:rPr>
        <w:t>”) issued by Counterparty in an aggregate initial principal amount of USD [_________] (as increased by [up to]</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an aggregate principal amount of USD [_________] [if and to the extent that]</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[pursuant to the exercise by]</w:t>
      </w: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4"/>
          <w:szCs w:val="14"/>
          <w:color w:val="auto"/>
        </w:rPr>
        <w:t xml:space="preserve"> the Initial Purchasers (as defined herein)</w:t>
      </w:r>
    </w:p>
    <w:p>
      <w:pPr>
        <w:spacing w:after="0" w:line="208" w:lineRule="auto"/>
        <w:rPr>
          <w:sz w:val="20"/>
          <w:szCs w:val="20"/>
          <w:color w:val="auto"/>
        </w:rPr>
      </w:pPr>
      <w:r>
        <w:rPr>
          <w:rFonts w:ascii="Times New Roman" w:cs="Times New Roman" w:eastAsia="Times New Roman" w:hAnsi="Times New Roman"/>
          <w:sz w:val="14"/>
          <w:szCs w:val="14"/>
          <w:color w:val="auto"/>
        </w:rPr>
        <w:t>[exercise]</w:t>
      </w: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14"/>
          <w:szCs w:val="14"/>
          <w:color w:val="auto"/>
        </w:rPr>
        <w:t>[of]</w:t>
      </w:r>
      <w:r>
        <w:rPr>
          <w:rFonts w:ascii="Times New Roman" w:cs="Times New Roman" w:eastAsia="Times New Roman" w:hAnsi="Times New Roman"/>
          <w:sz w:val="18"/>
          <w:szCs w:val="18"/>
          <w:color w:val="auto"/>
          <w:vertAlign w:val="superscript"/>
        </w:rPr>
        <w:t>6</w:t>
      </w:r>
      <w:r>
        <w:rPr>
          <w:rFonts w:ascii="Times New Roman" w:cs="Times New Roman" w:eastAsia="Times New Roman" w:hAnsi="Times New Roman"/>
          <w:sz w:val="14"/>
          <w:szCs w:val="14"/>
          <w:color w:val="auto"/>
        </w:rPr>
        <w:t xml:space="preserve"> their option to purchase additional Convertible Notes pursuant to the Purchase Agreement (as defined herein)) pursuant to an Indenture [to be]</w:t>
      </w:r>
      <w:r>
        <w:rPr>
          <w:rFonts w:ascii="Times New Roman" w:cs="Times New Roman" w:eastAsia="Times New Roman" w:hAnsi="Times New Roman"/>
          <w:sz w:val="18"/>
          <w:szCs w:val="18"/>
          <w:color w:val="auto"/>
          <w:vertAlign w:val="superscript"/>
        </w:rPr>
        <w:t>7</w:t>
      </w:r>
      <w:r>
        <w:rPr>
          <w:rFonts w:ascii="Times New Roman" w:cs="Times New Roman" w:eastAsia="Times New Roman" w:hAnsi="Times New Roman"/>
          <w:sz w:val="14"/>
          <w:szCs w:val="14"/>
          <w:color w:val="auto"/>
        </w:rPr>
        <w:t xml:space="preserve"> dated [_______], 2026 between</w:t>
      </w:r>
    </w:p>
    <w:p>
      <w:pPr>
        <w:jc w:val="both"/>
        <w:spacing w:after="0" w:line="254" w:lineRule="auto"/>
        <w:rPr>
          <w:sz w:val="20"/>
          <w:szCs w:val="20"/>
          <w:color w:val="auto"/>
        </w:rPr>
      </w:pPr>
      <w:r>
        <w:rPr>
          <w:rFonts w:ascii="Times New Roman" w:cs="Times New Roman" w:eastAsia="Times New Roman" w:hAnsi="Times New Roman"/>
          <w:sz w:val="14"/>
          <w:szCs w:val="14"/>
          <w:color w:val="auto"/>
        </w:rPr>
        <w:t>Counterparty and U.S. Bank Trust Company, National Association, as trustee (the “</w:t>
      </w:r>
      <w:r>
        <w:rPr>
          <w:rFonts w:ascii="Times New Roman" w:cs="Times New Roman" w:eastAsia="Times New Roman" w:hAnsi="Times New Roman"/>
          <w:sz w:val="14"/>
          <w:szCs w:val="14"/>
          <w:b w:val="1"/>
          <w:bCs w:val="1"/>
          <w:color w:val="auto"/>
        </w:rPr>
        <w:t>Indenture</w:t>
      </w:r>
      <w:r>
        <w:rPr>
          <w:rFonts w:ascii="Times New Roman" w:cs="Times New Roman" w:eastAsia="Times New Roman" w:hAnsi="Times New Roman"/>
          <w:sz w:val="14"/>
          <w:szCs w:val="14"/>
          <w:color w:val="auto"/>
        </w:rPr>
        <w:t>”). In the event of any inconsistency between the terms defined in the Offering Memorandum, the Indenture and this Confirmation, this Confirmation shall govern. The parties acknowledge that this Confirmation is entered into on the date hereof with the understanding that (i) definitions set forth in the Indenture that are also defined herein by reference to the Indenture and (ii) sections of the Indenture that are referred to herein will conform to the descriptions thereof in the Offering Memorandum. If any such definitions in the Indenture or any such sections of the Indenture differ from the descriptions thereof in the Offering Memorandum, the descriptions thereof in the Offering Memorandum will govern for purposes of this Confirmation. The parties further acknowledge that the Indenture section numbers and cross-references used herein are based on the [draft of the Indenture last reviewed by Dealer as of the date of this Confirmation, and if any such section numbers or cross-references are changed in the Indenture as executed, the parties will amend this Confirmation in good faith to preserve the intent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129349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93495" cy="6985"/>
                    </a:xfrm>
                    <a:prstGeom prst="rect">
                      <a:avLst/>
                    </a:prstGeom>
                    <a:noFill/>
                  </pic:spPr>
                </pic:pic>
              </a:graphicData>
            </a:graphic>
          </wp:anchor>
        </w:drawing>
      </w:r>
    </w:p>
    <w:p>
      <w:pPr>
        <w:spacing w:after="0" w:line="153" w:lineRule="exact"/>
        <w:rPr>
          <w:sz w:val="20"/>
          <w:szCs w:val="20"/>
          <w:color w:val="auto"/>
        </w:rPr>
      </w:pPr>
    </w:p>
    <w:p>
      <w:pPr>
        <w:ind w:left="80" w:hanging="75"/>
        <w:spacing w:after="0"/>
        <w:tabs>
          <w:tab w:leader="none" w:pos="80" w:val="left"/>
        </w:tabs>
        <w:numPr>
          <w:ilvl w:val="0"/>
          <w:numId w:val="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 Dealer name, address and, if applicable, logo.</w:t>
      </w:r>
    </w:p>
    <w:p>
      <w:pPr>
        <w:spacing w:after="0" w:line="207" w:lineRule="auto"/>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Include in the Base Call Option Confirmation.</w:t>
      </w:r>
    </w:p>
    <w:p>
      <w:pPr>
        <w:spacing w:after="0" w:line="193" w:lineRule="auto"/>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13"/>
          <w:szCs w:val="13"/>
          <w:color w:val="auto"/>
        </w:rPr>
        <w:t xml:space="preserve"> Include in the Base Call Option Confirmation.</w:t>
      </w:r>
    </w:p>
    <w:p>
      <w:pPr>
        <w:spacing w:after="0" w:line="193" w:lineRule="auto"/>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13"/>
          <w:szCs w:val="13"/>
          <w:color w:val="auto"/>
        </w:rPr>
        <w:t xml:space="preserve"> Include in the Additional Call Option Confirmation.</w:t>
      </w:r>
    </w:p>
    <w:p>
      <w:pPr>
        <w:spacing w:after="0" w:line="207" w:lineRule="auto"/>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6"/>
          <w:szCs w:val="16"/>
          <w:color w:val="auto"/>
          <w:vertAlign w:val="superscript"/>
        </w:rPr>
        <w:t>5</w:t>
      </w:r>
      <w:r>
        <w:rPr>
          <w:rFonts w:ascii="Times New Roman" w:cs="Times New Roman" w:eastAsia="Times New Roman" w:hAnsi="Times New Roman"/>
          <w:sz w:val="13"/>
          <w:szCs w:val="13"/>
          <w:color w:val="auto"/>
        </w:rPr>
        <w:t xml:space="preserve"> Include in the Base Call Option Confirmation.</w:t>
      </w:r>
    </w:p>
    <w:p>
      <w:pPr>
        <w:spacing w:after="0" w:line="193" w:lineRule="auto"/>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6"/>
          <w:szCs w:val="16"/>
          <w:color w:val="auto"/>
          <w:vertAlign w:val="superscript"/>
        </w:rPr>
        <w:t>6</w:t>
      </w:r>
      <w:r>
        <w:rPr>
          <w:rFonts w:ascii="Times New Roman" w:cs="Times New Roman" w:eastAsia="Times New Roman" w:hAnsi="Times New Roman"/>
          <w:sz w:val="13"/>
          <w:szCs w:val="13"/>
          <w:color w:val="auto"/>
        </w:rPr>
        <w:t xml:space="preserve"> Include in the Additional Call Option Confirmation.</w:t>
      </w:r>
    </w:p>
    <w:p>
      <w:pPr>
        <w:spacing w:after="0"/>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6"/>
          <w:szCs w:val="16"/>
          <w:color w:val="auto"/>
          <w:vertAlign w:val="superscript"/>
        </w:rPr>
        <w:t>7</w:t>
      </w:r>
      <w:r>
        <w:rPr>
          <w:rFonts w:ascii="Times New Roman" w:cs="Times New Roman" w:eastAsia="Times New Roman" w:hAnsi="Times New Roman"/>
          <w:sz w:val="13"/>
          <w:szCs w:val="13"/>
          <w:color w:val="auto"/>
        </w:rPr>
        <w:t xml:space="preserve"> Insert if Indenture is not completed at the time of the Confirmation.</w:t>
      </w:r>
    </w:p>
    <w:p>
      <w:pPr>
        <w:sectPr>
          <w:pgSz w:w="11900" w:h="16838" w:orient="portrait"/>
          <w:cols w:equalWidth="0" w:num="1">
            <w:col w:w="11280"/>
          </w:cols>
          <w:pgMar w:left="300" w:top="125" w:right="319" w:bottom="1440" w:gutter="0" w:footer="0" w:header="0"/>
        </w:sectPr>
      </w:pPr>
    </w:p>
    <w:bookmarkStart w:id="123" w:name="page124"/>
    <w:bookmarkEnd w:id="123"/>
    <w:p>
      <w:pPr>
        <w:jc w:val="both"/>
        <w:spacing w:after="0" w:line="244" w:lineRule="auto"/>
        <w:rPr>
          <w:sz w:val="20"/>
          <w:szCs w:val="20"/>
          <w:color w:val="auto"/>
        </w:rPr>
      </w:pPr>
      <w:r>
        <w:rPr>
          <w:rFonts w:ascii="Times New Roman" w:cs="Times New Roman" w:eastAsia="Times New Roman" w:hAnsi="Times New Roman"/>
          <w:sz w:val="14"/>
          <w:szCs w:val="14"/>
          <w:color w:val="auto"/>
        </w:rPr>
        <w:t>parties]</w:t>
      </w:r>
      <w:r>
        <w:rPr>
          <w:rFonts w:ascii="Times New Roman" w:cs="Times New Roman" w:eastAsia="Times New Roman" w:hAnsi="Times New Roman"/>
          <w:sz w:val="18"/>
          <w:szCs w:val="18"/>
          <w:color w:val="auto"/>
          <w:vertAlign w:val="superscript"/>
        </w:rPr>
        <w:t>8</w:t>
      </w:r>
      <w:r>
        <w:rPr>
          <w:rFonts w:ascii="Times New Roman" w:cs="Times New Roman" w:eastAsia="Times New Roman" w:hAnsi="Times New Roman"/>
          <w:sz w:val="14"/>
          <w:szCs w:val="14"/>
          <w:color w:val="auto"/>
        </w:rPr>
        <w:t>[Indenture as executed]</w:t>
      </w:r>
      <w:r>
        <w:rPr>
          <w:rFonts w:ascii="Times New Roman" w:cs="Times New Roman" w:eastAsia="Times New Roman" w:hAnsi="Times New Roman"/>
          <w:sz w:val="18"/>
          <w:szCs w:val="18"/>
          <w:color w:val="auto"/>
          <w:vertAlign w:val="superscript"/>
        </w:rPr>
        <w:t>9</w:t>
      </w:r>
      <w:r>
        <w:rPr>
          <w:rFonts w:ascii="Times New Roman" w:cs="Times New Roman" w:eastAsia="Times New Roman" w:hAnsi="Times New Roman"/>
          <w:sz w:val="14"/>
          <w:szCs w:val="14"/>
          <w:color w:val="auto"/>
        </w:rPr>
        <w:t>. Subject to the foregoing, references to the Indenture herein are references to the Indenture as in effect on the date of its execution, and if the Indenture is amended or supplemented following such date (other than any amendment or supplement (x) pursuant to Section 10.01(h) of the Indenture that, as determined by the Calculation Agent, conforms the Indenture to the description of Convertible Notes in the Offering Memorandum or (y) pursuant to Section 10.01(a) or 14.07 of the Indenture, subject, in the case of this clause (y), to the second paragraph under “Method of Adjustment” in Section 3), any such amendment or supplement will be disregarded for purposes of this Confirmation (other than as provided in Section 9(i)(iii) below) unless the parties agree otherwise in writing.</w:t>
      </w:r>
    </w:p>
    <w:p>
      <w:pPr>
        <w:spacing w:after="0" w:line="175"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jc w:val="right"/>
              <w:ind w:right="1529"/>
              <w:spacing w:after="0"/>
              <w:rPr>
                <w:sz w:val="20"/>
                <w:szCs w:val="20"/>
                <w:color w:val="auto"/>
              </w:rPr>
            </w:pPr>
            <w:r>
              <w:rPr>
                <w:rFonts w:ascii="Times New Roman" w:cs="Times New Roman" w:eastAsia="Times New Roman" w:hAnsi="Times New Roman"/>
                <w:sz w:val="14"/>
                <w:szCs w:val="14"/>
                <w:color w:val="auto"/>
                <w:w w:val="94"/>
              </w:rPr>
              <w:t>1.</w:t>
            </w:r>
          </w:p>
        </w:tc>
        <w:tc>
          <w:tcPr>
            <w:tcW w:w="956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This Confirmation evidences a complete and binding agreement between Dealer and Counterparty as to the terms of the Transaction to</w:t>
            </w:r>
          </w:p>
        </w:tc>
      </w:tr>
      <w:tr>
        <w:trPr>
          <w:trHeight w:val="138"/>
        </w:trPr>
        <w:tc>
          <w:tcPr>
            <w:tcW w:w="1720" w:type="dxa"/>
            <w:vAlign w:val="bottom"/>
          </w:tcPr>
          <w:p>
            <w:pPr>
              <w:spacing w:after="0"/>
              <w:rPr>
                <w:sz w:val="11"/>
                <w:szCs w:val="11"/>
                <w:color w:val="auto"/>
              </w:rPr>
            </w:pPr>
          </w:p>
        </w:tc>
        <w:tc>
          <w:tcPr>
            <w:tcW w:w="9560" w:type="dxa"/>
            <w:vAlign w:val="bottom"/>
          </w:tcPr>
          <w:p>
            <w:pPr>
              <w:ind w:left="1600"/>
              <w:spacing w:after="0" w:line="138" w:lineRule="exact"/>
              <w:rPr>
                <w:sz w:val="20"/>
                <w:szCs w:val="20"/>
                <w:color w:val="auto"/>
              </w:rPr>
            </w:pPr>
            <w:r>
              <w:rPr>
                <w:rFonts w:ascii="Times New Roman" w:cs="Times New Roman" w:eastAsia="Times New Roman" w:hAnsi="Times New Roman"/>
                <w:sz w:val="14"/>
                <w:szCs w:val="14"/>
                <w:color w:val="auto"/>
              </w:rPr>
              <w:t>which this Confirmation relates. This Confirmation shall supplement, form a part of, and be subject to an agreement in the form of the ISDA</w:t>
            </w:r>
          </w:p>
        </w:tc>
      </w:tr>
      <w:tr>
        <w:trPr>
          <w:trHeight w:val="160"/>
        </w:trPr>
        <w:tc>
          <w:tcPr>
            <w:tcW w:w="1720" w:type="dxa"/>
            <w:vAlign w:val="bottom"/>
          </w:tcPr>
          <w:p>
            <w:pPr>
              <w:spacing w:after="0"/>
              <w:rPr>
                <w:sz w:val="13"/>
                <w:szCs w:val="13"/>
                <w:color w:val="auto"/>
              </w:rPr>
            </w:pPr>
          </w:p>
        </w:tc>
        <w:tc>
          <w:tcPr>
            <w:tcW w:w="956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2002 Master Agreement (the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as if Dealer and Counterparty had executed an agreement in such form on the Trade Date (but</w:t>
            </w:r>
          </w:p>
        </w:tc>
      </w:tr>
    </w:tbl>
    <w:p>
      <w:pPr>
        <w:jc w:val="both"/>
        <w:ind w:left="3320"/>
        <w:spacing w:after="0" w:line="210" w:lineRule="auto"/>
        <w:rPr>
          <w:sz w:val="20"/>
          <w:szCs w:val="20"/>
          <w:color w:val="auto"/>
        </w:rPr>
      </w:pPr>
      <w:r>
        <w:rPr>
          <w:rFonts w:ascii="Times New Roman" w:cs="Times New Roman" w:eastAsia="Times New Roman" w:hAnsi="Times New Roman"/>
          <w:sz w:val="14"/>
          <w:szCs w:val="14"/>
          <w:color w:val="auto"/>
        </w:rPr>
        <w:t>without any Schedule except for (i) the election of the laws of the State of New York as the governing law (without reference to choice of law doctrine other than Sections 5-1401 and 5-1402 of the General Obligations Law); (ii) the election of US Dollars as the Termination Currency; and (iii) the election that the “Cross Default” provisions of Section 5(a)(vi) of the Agreement shall apply to Dealer with a</w:t>
      </w:r>
    </w:p>
    <w:p>
      <w:pPr>
        <w:spacing w:after="0" w:line="2" w:lineRule="exact"/>
        <w:rPr>
          <w:sz w:val="20"/>
          <w:szCs w:val="20"/>
          <w:color w:val="auto"/>
        </w:rPr>
      </w:pPr>
    </w:p>
    <w:p>
      <w:pPr>
        <w:jc w:val="both"/>
        <w:ind w:left="3320"/>
        <w:spacing w:after="0" w:line="210" w:lineRule="auto"/>
        <w:rPr>
          <w:sz w:val="20"/>
          <w:szCs w:val="20"/>
          <w:color w:val="auto"/>
        </w:rPr>
      </w:pPr>
      <w:r>
        <w:rPr>
          <w:rFonts w:ascii="Times New Roman" w:cs="Times New Roman" w:eastAsia="Times New Roman" w:hAnsi="Times New Roman"/>
          <w:sz w:val="14"/>
          <w:szCs w:val="14"/>
          <w:color w:val="auto"/>
        </w:rPr>
        <w:t xml:space="preserve">“Threshold Amount” of three percent of [Dealer’s][Dealer’s ultimate parent’s] shareholders’ equity;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 “Specified Indebtedness” shall not include obligations in respect of deposits received in the ordinary course of Dealer’s banking business, (B) the phrase “or becoming capable at such time of being declared” shall be deleted from clause (1) of such Section 5(a)(vi) and (C) the following</w:t>
      </w:r>
    </w:p>
    <w:p>
      <w:pPr>
        <w:spacing w:after="0" w:line="2" w:lineRule="exact"/>
        <w:rPr>
          <w:sz w:val="20"/>
          <w:szCs w:val="20"/>
          <w:color w:val="auto"/>
        </w:rPr>
      </w:pPr>
    </w:p>
    <w:p>
      <w:pPr>
        <w:jc w:val="both"/>
        <w:ind w:left="3320"/>
        <w:spacing w:after="0" w:line="210" w:lineRule="auto"/>
        <w:rPr>
          <w:sz w:val="20"/>
          <w:szCs w:val="20"/>
          <w:color w:val="auto"/>
        </w:rPr>
      </w:pPr>
      <w:r>
        <w:rPr>
          <w:rFonts w:ascii="Times New Roman" w:cs="Times New Roman" w:eastAsia="Times New Roman" w:hAnsi="Times New Roman"/>
          <w:sz w:val="14"/>
          <w:szCs w:val="14"/>
          <w:color w:val="auto"/>
        </w:rPr>
        <w:t>sentence shall be added to the end of such Section 5(a)(vi): “Notwithstanding the foregoing, a default under subsection (2) hereof shall not constitute an Event of Default if (i) the default was caused solely by error or omission of an administrative or operational nature; (ii) funds were available to enable the party to make the payment when due; (iii) the payment is made within two Local Business Days of such party’s</w:t>
      </w:r>
    </w:p>
    <w:p>
      <w:pPr>
        <w:spacing w:after="0" w:line="2" w:lineRule="exact"/>
        <w:rPr>
          <w:sz w:val="20"/>
          <w:szCs w:val="20"/>
          <w:color w:val="auto"/>
        </w:rPr>
      </w:pPr>
    </w:p>
    <w:p>
      <w:pPr>
        <w:jc w:val="both"/>
        <w:ind w:left="3320"/>
        <w:spacing w:after="0" w:line="206" w:lineRule="auto"/>
        <w:rPr>
          <w:sz w:val="20"/>
          <w:szCs w:val="20"/>
          <w:color w:val="auto"/>
        </w:rPr>
      </w:pPr>
      <w:r>
        <w:rPr>
          <w:rFonts w:ascii="Times New Roman" w:cs="Times New Roman" w:eastAsia="Times New Roman" w:hAnsi="Times New Roman"/>
          <w:sz w:val="14"/>
          <w:szCs w:val="14"/>
          <w:color w:val="auto"/>
        </w:rPr>
        <w:t>receipt of written notice of its failure to pay.”; [and] (iv) the “Default Under Specified Transaction” provision of Section 5(a)(v) of the Agreement shall not apply to Counterparty; [and (v) the election of an executed guarantee of [__________] (“</w:t>
      </w:r>
      <w:r>
        <w:rPr>
          <w:rFonts w:ascii="Times New Roman" w:cs="Times New Roman" w:eastAsia="Times New Roman" w:hAnsi="Times New Roman"/>
          <w:sz w:val="14"/>
          <w:szCs w:val="14"/>
          <w:b w:val="1"/>
          <w:bCs w:val="1"/>
          <w:color w:val="auto"/>
        </w:rPr>
        <w:t>Guarantor</w:t>
      </w:r>
      <w:r>
        <w:rPr>
          <w:rFonts w:ascii="Times New Roman" w:cs="Times New Roman" w:eastAsia="Times New Roman" w:hAnsi="Times New Roman"/>
          <w:sz w:val="14"/>
          <w:szCs w:val="14"/>
          <w:color w:val="auto"/>
        </w:rPr>
        <w:t>”) dated as of the Trade Date in substantially the form attached hereto as Annex A as a Credit Support Document and (2) the designation of Guarantor as</w:t>
      </w:r>
    </w:p>
    <w:p>
      <w:pPr>
        <w:spacing w:after="0" w:line="1" w:lineRule="exact"/>
        <w:rPr>
          <w:sz w:val="20"/>
          <w:szCs w:val="20"/>
          <w:color w:val="auto"/>
        </w:rPr>
      </w:pPr>
    </w:p>
    <w:p>
      <w:pPr>
        <w:jc w:val="both"/>
        <w:ind w:left="3320"/>
        <w:spacing w:after="0" w:line="205" w:lineRule="auto"/>
        <w:rPr>
          <w:sz w:val="20"/>
          <w:szCs w:val="20"/>
          <w:color w:val="auto"/>
        </w:rPr>
      </w:pPr>
      <w:r>
        <w:rPr>
          <w:rFonts w:ascii="Times New Roman" w:cs="Times New Roman" w:eastAsia="Times New Roman" w:hAnsi="Times New Roman"/>
          <w:sz w:val="14"/>
          <w:szCs w:val="14"/>
          <w:color w:val="auto"/>
        </w:rPr>
        <w:t>Credit Support Provider in relation to Dealer])</w:t>
      </w:r>
      <w:r>
        <w:rPr>
          <w:rFonts w:ascii="Times New Roman" w:cs="Times New Roman" w:eastAsia="Times New Roman" w:hAnsi="Times New Roman"/>
          <w:sz w:val="18"/>
          <w:szCs w:val="18"/>
          <w:color w:val="auto"/>
          <w:vertAlign w:val="superscript"/>
        </w:rPr>
        <w:t>10</w:t>
      </w:r>
      <w:r>
        <w:rPr>
          <w:rFonts w:ascii="Times New Roman" w:cs="Times New Roman" w:eastAsia="Times New Roman" w:hAnsi="Times New Roman"/>
          <w:sz w:val="14"/>
          <w:szCs w:val="14"/>
          <w:color w:val="auto"/>
        </w:rPr>
        <w:t>. If there exists any ISDA Master Agreement between Dealer and Counterparty or any confirmation or other agreement between Dealer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129349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93495" cy="6985"/>
                    </a:xfrm>
                    <a:prstGeom prst="rect">
                      <a:avLst/>
                    </a:prstGeom>
                    <a:noFill/>
                  </pic:spPr>
                </pic:pic>
              </a:graphicData>
            </a:graphic>
          </wp:anchor>
        </w:drawing>
      </w:r>
    </w:p>
    <w:p>
      <w:pPr>
        <w:spacing w:after="0" w:line="142" w:lineRule="exact"/>
        <w:rPr>
          <w:sz w:val="20"/>
          <w:szCs w:val="20"/>
          <w:color w:val="auto"/>
        </w:rPr>
      </w:pPr>
    </w:p>
    <w:p>
      <w:pPr>
        <w:ind w:left="80" w:hanging="75"/>
        <w:spacing w:after="0"/>
        <w:tabs>
          <w:tab w:leader="none" w:pos="80" w:val="left"/>
        </w:tabs>
        <w:numPr>
          <w:ilvl w:val="0"/>
          <w:numId w:val="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 in the Base Call Option Confirmation. Include in the Additional Call Option Confirmation if it is executed before closing of the base deal.</w:t>
      </w:r>
    </w:p>
    <w:p>
      <w:pPr>
        <w:spacing w:after="0" w:line="7" w:lineRule="exact"/>
        <w:rPr>
          <w:rFonts w:ascii="Times New Roman" w:cs="Times New Roman" w:eastAsia="Times New Roman" w:hAnsi="Times New Roman"/>
          <w:sz w:val="17"/>
          <w:szCs w:val="17"/>
          <w:color w:val="auto"/>
          <w:vertAlign w:val="superscript"/>
        </w:rPr>
      </w:pPr>
    </w:p>
    <w:p>
      <w:pPr>
        <w:ind w:right="3740"/>
        <w:spacing w:after="0" w:line="230" w:lineRule="auto"/>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6"/>
          <w:szCs w:val="16"/>
          <w:color w:val="auto"/>
          <w:vertAlign w:val="superscript"/>
        </w:rPr>
        <w:t>9</w:t>
      </w:r>
      <w:r>
        <w:rPr>
          <w:rFonts w:ascii="Times New Roman" w:cs="Times New Roman" w:eastAsia="Times New Roman" w:hAnsi="Times New Roman"/>
          <w:sz w:val="13"/>
          <w:szCs w:val="13"/>
          <w:color w:val="auto"/>
        </w:rPr>
        <w:t xml:space="preserve"> Include in the Additional Call Option Confirmation, but only if the Additional Call Option Confirmation is executed after closing of the base deal. </w:t>
      </w:r>
      <w:r>
        <w:rPr>
          <w:rFonts w:ascii="Times New Roman" w:cs="Times New Roman" w:eastAsia="Times New Roman" w:hAnsi="Times New Roman"/>
          <w:sz w:val="16"/>
          <w:szCs w:val="16"/>
          <w:color w:val="auto"/>
          <w:vertAlign w:val="superscript"/>
        </w:rPr>
        <w:t>10</w:t>
      </w:r>
      <w:r>
        <w:rPr>
          <w:rFonts w:ascii="Times New Roman" w:cs="Times New Roman" w:eastAsia="Times New Roman" w:hAnsi="Times New Roman"/>
          <w:sz w:val="13"/>
          <w:szCs w:val="13"/>
          <w:color w:val="auto"/>
        </w:rPr>
        <w:t xml:space="preserve"> Include if Dealer is not the highest rated entity in group, typically from the Parent.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80"/>
          </w:cols>
          <w:pgMar w:left="300" w:top="1281" w:right="319" w:bottom="1440" w:gutter="0" w:footer="0" w:header="0"/>
        </w:sectPr>
      </w:pPr>
    </w:p>
    <w:bookmarkStart w:id="124" w:name="page125"/>
    <w:bookmarkEnd w:id="124"/>
    <w:p>
      <w:pPr>
        <w:ind w:left="3320"/>
        <w:spacing w:after="0"/>
        <w:rPr>
          <w:sz w:val="20"/>
          <w:szCs w:val="20"/>
          <w:color w:val="auto"/>
        </w:rPr>
      </w:pPr>
      <w:r>
        <w:rPr>
          <w:rFonts w:ascii="Times New Roman" w:cs="Times New Roman" w:eastAsia="Times New Roman" w:hAnsi="Times New Roman"/>
          <w:sz w:val="14"/>
          <w:szCs w:val="14"/>
          <w:color w:val="auto"/>
        </w:rPr>
        <w:t>Counterparty pursuant to which an ISDA Master Agreement is deemed to exist between Dealer and Counterparty, then notwithstanding</w:t>
      </w:r>
    </w:p>
    <w:p>
      <w:pPr>
        <w:spacing w:after="0" w:line="4" w:lineRule="exact"/>
        <w:rPr>
          <w:sz w:val="20"/>
          <w:szCs w:val="20"/>
          <w:color w:val="auto"/>
        </w:rPr>
      </w:pPr>
    </w:p>
    <w:p>
      <w:pPr>
        <w:jc w:val="both"/>
        <w:ind w:left="3320"/>
        <w:spacing w:after="0" w:line="220" w:lineRule="auto"/>
        <w:rPr>
          <w:sz w:val="20"/>
          <w:szCs w:val="20"/>
          <w:color w:val="auto"/>
        </w:rPr>
      </w:pPr>
      <w:r>
        <w:rPr>
          <w:rFonts w:ascii="Times New Roman" w:cs="Times New Roman" w:eastAsia="Times New Roman" w:hAnsi="Times New Roman"/>
          <w:sz w:val="14"/>
          <w:szCs w:val="14"/>
          <w:color w:val="auto"/>
        </w:rPr>
        <w:t>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spacing w:after="0" w:line="114" w:lineRule="exact"/>
        <w:rPr>
          <w:sz w:val="20"/>
          <w:szCs w:val="20"/>
          <w:color w:val="auto"/>
        </w:rPr>
      </w:pPr>
    </w:p>
    <w:p>
      <w:pPr>
        <w:ind w:firstLine="5"/>
        <w:spacing w:after="0" w:line="287" w:lineRule="auto"/>
        <w:tabs>
          <w:tab w:leader="none" w:pos="6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94"/>
              </w:rPr>
              <w:t>3.</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The terms of the particular Transaction to which this Confirmation relates are as follows:</w:t>
            </w:r>
          </w:p>
        </w:tc>
      </w:tr>
      <w:tr>
        <w:trPr>
          <w:trHeight w:val="266"/>
        </w:trPr>
        <w:tc>
          <w:tcPr>
            <w:tcW w:w="500" w:type="dxa"/>
            <w:vAlign w:val="bottom"/>
          </w:tcPr>
          <w:p>
            <w:pPr>
              <w:spacing w:after="0"/>
              <w:rPr>
                <w:sz w:val="23"/>
                <w:szCs w:val="23"/>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General Terms</w:t>
            </w:r>
            <w:r>
              <w:rPr>
                <w:rFonts w:ascii="Times New Roman" w:cs="Times New Roman" w:eastAsia="Times New Roman" w:hAnsi="Times New Roman"/>
                <w:sz w:val="14"/>
                <w:szCs w:val="14"/>
                <w:color w:val="auto"/>
              </w:rPr>
              <w:t>.</w:t>
            </w:r>
          </w:p>
        </w:tc>
        <w:tc>
          <w:tcPr>
            <w:tcW w:w="6840" w:type="dxa"/>
            <w:vAlign w:val="bottom"/>
          </w:tcPr>
          <w:p>
            <w:pPr>
              <w:spacing w:after="0"/>
              <w:rPr>
                <w:sz w:val="23"/>
                <w:szCs w:val="23"/>
                <w:color w:val="auto"/>
              </w:rPr>
            </w:pPr>
          </w:p>
        </w:tc>
      </w:tr>
      <w:tr>
        <w:trPr>
          <w:trHeight w:val="20"/>
        </w:trPr>
        <w:tc>
          <w:tcPr>
            <w:tcW w:w="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319"/>
        </w:trPr>
        <w:tc>
          <w:tcPr>
            <w:tcW w:w="500" w:type="dxa"/>
            <w:vAlign w:val="bottom"/>
          </w:tcPr>
          <w:p>
            <w:pPr>
              <w:spacing w:after="0"/>
              <w:rPr>
                <w:sz w:val="24"/>
                <w:szCs w:val="24"/>
                <w:color w:val="auto"/>
              </w:rPr>
            </w:pP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Trade Date:</w:t>
            </w:r>
          </w:p>
        </w:tc>
        <w:tc>
          <w:tcPr>
            <w:tcW w:w="6840" w:type="dxa"/>
            <w:vAlign w:val="bottom"/>
          </w:tcPr>
          <w:p>
            <w:pPr>
              <w:jc w:val="right"/>
              <w:ind w:right="5749"/>
              <w:spacing w:after="0"/>
              <w:rPr>
                <w:sz w:val="20"/>
                <w:szCs w:val="20"/>
                <w:color w:val="auto"/>
              </w:rPr>
            </w:pPr>
            <w:r>
              <w:rPr>
                <w:rFonts w:ascii="Times New Roman" w:cs="Times New Roman" w:eastAsia="Times New Roman" w:hAnsi="Times New Roman"/>
                <w:sz w:val="14"/>
                <w:szCs w:val="14"/>
                <w:color w:val="auto"/>
              </w:rPr>
              <w:t>[_______], 2026</w:t>
            </w:r>
          </w:p>
        </w:tc>
      </w:tr>
    </w:tbl>
    <w:p>
      <w:pPr>
        <w:spacing w:after="0" w:line="134" w:lineRule="exact"/>
        <w:rPr>
          <w:sz w:val="20"/>
          <w:szCs w:val="20"/>
          <w:color w:val="auto"/>
        </w:rPr>
      </w:pPr>
    </w:p>
    <w:p>
      <w:pPr>
        <w:ind w:left="760"/>
        <w:spacing w:after="0"/>
        <w:tabs>
          <w:tab w:leader="none" w:pos="1740" w:val="left"/>
        </w:tabs>
        <w:rPr>
          <w:sz w:val="20"/>
          <w:szCs w:val="20"/>
          <w:color w:val="auto"/>
        </w:rPr>
      </w:pPr>
      <w:r>
        <w:rPr>
          <w:rFonts w:ascii="Times New Roman" w:cs="Times New Roman" w:eastAsia="Times New Roman" w:hAnsi="Times New Roman"/>
          <w:sz w:val="14"/>
          <w:szCs w:val="14"/>
          <w:color w:val="auto"/>
        </w:rPr>
        <w:t>Effective Date:</w:t>
        <w:tab/>
        <w:t>The second Exchange Business Day immediately prior to the Premium Payment Date</w:t>
      </w:r>
    </w:p>
    <w:p>
      <w:pPr>
        <w:spacing w:after="0" w:line="147" w:lineRule="exact"/>
        <w:rPr>
          <w:sz w:val="20"/>
          <w:szCs w:val="20"/>
          <w:color w:val="auto"/>
        </w:rPr>
      </w:pPr>
    </w:p>
    <w:p>
      <w:pPr>
        <w:ind w:left="760"/>
        <w:spacing w:after="0"/>
        <w:tabs>
          <w:tab w:leader="none" w:pos="1640" w:val="left"/>
        </w:tabs>
        <w:rPr>
          <w:sz w:val="20"/>
          <w:szCs w:val="20"/>
          <w:color w:val="auto"/>
        </w:rPr>
      </w:pPr>
      <w:r>
        <w:rPr>
          <w:rFonts w:ascii="Times New Roman" w:cs="Times New Roman" w:eastAsia="Times New Roman" w:hAnsi="Times New Roman"/>
          <w:sz w:val="14"/>
          <w:szCs w:val="14"/>
          <w:color w:val="auto"/>
        </w:rPr>
        <w:t>Option Style:</w:t>
        <w:tab/>
        <w:t>“Modified American”, as described under “Procedures for Exercise” below</w:t>
      </w:r>
    </w:p>
    <w:p>
      <w:pPr>
        <w:spacing w:after="0" w:line="147" w:lineRule="exact"/>
        <w:rPr>
          <w:sz w:val="20"/>
          <w:szCs w:val="20"/>
          <w:color w:val="auto"/>
        </w:rPr>
      </w:pPr>
    </w:p>
    <w:p>
      <w:pPr>
        <w:ind w:left="760"/>
        <w:spacing w:after="0"/>
        <w:tabs>
          <w:tab w:leader="none" w:pos="1640" w:val="left"/>
        </w:tabs>
        <w:rPr>
          <w:sz w:val="20"/>
          <w:szCs w:val="20"/>
          <w:color w:val="auto"/>
        </w:rPr>
      </w:pPr>
      <w:r>
        <w:rPr>
          <w:rFonts w:ascii="Times New Roman" w:cs="Times New Roman" w:eastAsia="Times New Roman" w:hAnsi="Times New Roman"/>
          <w:sz w:val="14"/>
          <w:szCs w:val="14"/>
          <w:color w:val="auto"/>
        </w:rPr>
        <w:t>Option Type:</w:t>
        <w:tab/>
        <w:t>Call</w:t>
      </w:r>
    </w:p>
    <w:p>
      <w:pPr>
        <w:spacing w:after="0" w:line="157" w:lineRule="exact"/>
        <w:rPr>
          <w:sz w:val="20"/>
          <w:szCs w:val="20"/>
          <w:color w:val="auto"/>
        </w:rPr>
      </w:pPr>
    </w:p>
    <w:p>
      <w:pPr>
        <w:ind w:left="760"/>
        <w:spacing w:after="0"/>
        <w:tabs>
          <w:tab w:leader="none" w:pos="1280" w:val="left"/>
        </w:tabs>
        <w:rPr>
          <w:sz w:val="20"/>
          <w:szCs w:val="20"/>
          <w:color w:val="auto"/>
        </w:rPr>
      </w:pPr>
      <w:r>
        <w:rPr>
          <w:rFonts w:ascii="Times New Roman" w:cs="Times New Roman" w:eastAsia="Times New Roman" w:hAnsi="Times New Roman"/>
          <w:sz w:val="14"/>
          <w:szCs w:val="14"/>
          <w:color w:val="auto"/>
        </w:rPr>
        <w:t>Buyer:</w:t>
        <w:tab/>
        <w:t>Counterparty</w:t>
      </w:r>
    </w:p>
    <w:p>
      <w:pPr>
        <w:spacing w:after="0" w:line="147" w:lineRule="exact"/>
        <w:rPr>
          <w:sz w:val="20"/>
          <w:szCs w:val="20"/>
          <w:color w:val="auto"/>
        </w:rPr>
      </w:pPr>
    </w:p>
    <w:p>
      <w:pPr>
        <w:ind w:left="760"/>
        <w:spacing w:after="0"/>
        <w:tabs>
          <w:tab w:leader="none" w:pos="1260" w:val="left"/>
        </w:tabs>
        <w:rPr>
          <w:sz w:val="20"/>
          <w:szCs w:val="20"/>
          <w:color w:val="auto"/>
        </w:rPr>
      </w:pPr>
      <w:r>
        <w:rPr>
          <w:rFonts w:ascii="Times New Roman" w:cs="Times New Roman" w:eastAsia="Times New Roman" w:hAnsi="Times New Roman"/>
          <w:sz w:val="14"/>
          <w:szCs w:val="14"/>
          <w:color w:val="auto"/>
        </w:rPr>
        <w:t>Seller:</w:t>
        <w:tab/>
        <w:t>Dealer</w:t>
      </w:r>
    </w:p>
    <w:p>
      <w:pPr>
        <w:spacing w:after="0" w:line="147" w:lineRule="exact"/>
        <w:rPr>
          <w:sz w:val="20"/>
          <w:szCs w:val="20"/>
          <w:color w:val="auto"/>
        </w:rPr>
      </w:pPr>
    </w:p>
    <w:p>
      <w:pPr>
        <w:ind w:left="760"/>
        <w:spacing w:after="0"/>
        <w:tabs>
          <w:tab w:leader="none" w:pos="1300" w:val="left"/>
        </w:tabs>
        <w:rPr>
          <w:sz w:val="20"/>
          <w:szCs w:val="20"/>
          <w:color w:val="auto"/>
        </w:rPr>
      </w:pPr>
      <w:r>
        <w:rPr>
          <w:rFonts w:ascii="Times New Roman" w:cs="Times New Roman" w:eastAsia="Times New Roman" w:hAnsi="Times New Roman"/>
          <w:sz w:val="14"/>
          <w:szCs w:val="14"/>
          <w:color w:val="auto"/>
        </w:rPr>
        <w:t>Shares:</w:t>
        <w:tab/>
        <w:t>The Class A common stock of Counterparty, par value USD 0.0001 per share (Exchange symbol “HOOD”).</w:t>
      </w:r>
    </w:p>
    <w:p>
      <w:pPr>
        <w:spacing w:after="0" w:line="136" w:lineRule="exact"/>
        <w:rPr>
          <w:sz w:val="20"/>
          <w:szCs w:val="20"/>
          <w:color w:val="auto"/>
        </w:rPr>
      </w:pPr>
    </w:p>
    <w:p>
      <w:pPr>
        <w:ind w:left="760"/>
        <w:spacing w:after="0"/>
        <w:tabs>
          <w:tab w:leader="none" w:pos="2100" w:val="left"/>
        </w:tabs>
        <w:rPr>
          <w:sz w:val="20"/>
          <w:szCs w:val="20"/>
          <w:color w:val="auto"/>
        </w:rPr>
      </w:pPr>
      <w:r>
        <w:rPr>
          <w:rFonts w:ascii="Times New Roman" w:cs="Times New Roman" w:eastAsia="Times New Roman" w:hAnsi="Times New Roman"/>
          <w:sz w:val="14"/>
          <w:szCs w:val="14"/>
          <w:color w:val="auto"/>
        </w:rPr>
        <w:t>Number of Options:</w:t>
        <w:tab/>
        <w:t>[_______]</w:t>
      </w:r>
      <w:r>
        <w:rPr>
          <w:rFonts w:ascii="Times New Roman" w:cs="Times New Roman" w:eastAsia="Times New Roman" w:hAnsi="Times New Roman"/>
          <w:sz w:val="18"/>
          <w:szCs w:val="18"/>
          <w:color w:val="auto"/>
          <w:vertAlign w:val="superscript"/>
        </w:rPr>
        <w:t>11</w:t>
      </w:r>
      <w:r>
        <w:rPr>
          <w:rFonts w:ascii="Times New Roman" w:cs="Times New Roman" w:eastAsia="Times New Roman" w:hAnsi="Times New Roman"/>
          <w:sz w:val="14"/>
          <w:szCs w:val="14"/>
          <w:color w:val="auto"/>
        </w:rPr>
        <w:t>. For the avoidance of doubt, the Number of Options shall be reduced by any Options exercised by Counterparty. In no event will the Number of</w:t>
      </w:r>
    </w:p>
    <w:p>
      <w:pPr>
        <w:ind w:left="3320"/>
        <w:spacing w:after="0"/>
        <w:rPr>
          <w:sz w:val="20"/>
          <w:szCs w:val="20"/>
          <w:color w:val="auto"/>
        </w:rPr>
      </w:pPr>
      <w:r>
        <w:rPr>
          <w:rFonts w:ascii="Times New Roman" w:cs="Times New Roman" w:eastAsia="Times New Roman" w:hAnsi="Times New Roman"/>
          <w:sz w:val="14"/>
          <w:szCs w:val="14"/>
          <w:color w:val="auto"/>
        </w:rPr>
        <w:t>Options be less than zero.</w:t>
      </w:r>
    </w:p>
    <w:p>
      <w:pPr>
        <w:spacing w:after="0" w:line="131" w:lineRule="exact"/>
        <w:rPr>
          <w:sz w:val="20"/>
          <w:szCs w:val="20"/>
          <w:color w:val="auto"/>
        </w:rPr>
      </w:pPr>
    </w:p>
    <w:p>
      <w:pPr>
        <w:ind w:left="760"/>
        <w:spacing w:after="0"/>
        <w:tabs>
          <w:tab w:leader="none" w:pos="2200" w:val="left"/>
        </w:tabs>
        <w:rPr>
          <w:sz w:val="20"/>
          <w:szCs w:val="20"/>
          <w:color w:val="auto"/>
        </w:rPr>
      </w:pPr>
      <w:r>
        <w:rPr>
          <w:rFonts w:ascii="Times New Roman" w:cs="Times New Roman" w:eastAsia="Times New Roman" w:hAnsi="Times New Roman"/>
          <w:sz w:val="14"/>
          <w:szCs w:val="14"/>
          <w:color w:val="auto"/>
        </w:rPr>
        <w:t>Applicable Percentage:</w:t>
        <w:tab/>
        <w:t>[__]%</w:t>
      </w:r>
    </w:p>
    <w:p>
      <w:pPr>
        <w:spacing w:after="0" w:line="147" w:lineRule="exact"/>
        <w:rPr>
          <w:sz w:val="20"/>
          <w:szCs w:val="20"/>
          <w:color w:val="auto"/>
        </w:rPr>
      </w:pPr>
    </w:p>
    <w:p>
      <w:pPr>
        <w:ind w:left="760"/>
        <w:spacing w:after="0"/>
        <w:tabs>
          <w:tab w:leader="none" w:pos="2000" w:val="left"/>
        </w:tabs>
        <w:rPr>
          <w:sz w:val="20"/>
          <w:szCs w:val="20"/>
          <w:color w:val="auto"/>
        </w:rPr>
      </w:pPr>
      <w:r>
        <w:rPr>
          <w:rFonts w:ascii="Times New Roman" w:cs="Times New Roman" w:eastAsia="Times New Roman" w:hAnsi="Times New Roman"/>
          <w:sz w:val="14"/>
          <w:szCs w:val="14"/>
          <w:color w:val="auto"/>
        </w:rPr>
        <w:t>Option Entitlement:</w:t>
        <w:tab/>
        <w:t>A number equal to the product of the Applicable Percentage and [______]</w:t>
      </w:r>
      <w:r>
        <w:rPr>
          <w:rFonts w:ascii="Times New Roman" w:cs="Times New Roman" w:eastAsia="Times New Roman" w:hAnsi="Times New Roman"/>
          <w:sz w:val="18"/>
          <w:szCs w:val="18"/>
          <w:color w:val="auto"/>
          <w:vertAlign w:val="superscript"/>
        </w:rPr>
        <w:t>12</w:t>
      </w:r>
      <w:r>
        <w:rPr>
          <w:rFonts w:ascii="Times New Roman" w:cs="Times New Roman" w:eastAsia="Times New Roman" w:hAnsi="Times New Roman"/>
          <w:sz w:val="14"/>
          <w:szCs w:val="14"/>
          <w:color w:val="auto"/>
        </w:rPr>
        <w:t>.</w:t>
      </w:r>
    </w:p>
    <w:p>
      <w:pPr>
        <w:spacing w:after="0" w:line="111"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14"/>
          <w:szCs w:val="14"/>
          <w:color w:val="auto"/>
        </w:rPr>
        <w:t>Strike Price:</w:t>
      </w:r>
      <w:r>
        <w:rPr>
          <w:sz w:val="20"/>
          <w:szCs w:val="20"/>
          <w:color w:val="auto"/>
        </w:rPr>
        <w:tab/>
      </w:r>
      <w:r>
        <w:rPr>
          <w:rFonts w:ascii="Times New Roman" w:cs="Times New Roman" w:eastAsia="Times New Roman" w:hAnsi="Times New Roman"/>
          <w:sz w:val="13"/>
          <w:szCs w:val="13"/>
          <w:color w:val="auto"/>
        </w:rPr>
        <w:t>USD [______]</w:t>
      </w:r>
    </w:p>
    <w:p>
      <w:pPr>
        <w:spacing w:after="0" w:line="147"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14"/>
          <w:szCs w:val="14"/>
          <w:color w:val="auto"/>
        </w:rPr>
        <w:t>Cap Price:</w:t>
        <w:tab/>
        <w:t>USD [______]</w:t>
      </w:r>
    </w:p>
    <w:p>
      <w:pPr>
        <w:spacing w:after="0" w:line="147"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14"/>
          <w:szCs w:val="14"/>
          <w:color w:val="auto"/>
        </w:rPr>
        <w:t>Premium:</w:t>
        <w:tab/>
        <w:t>USD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129349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93495" cy="6985"/>
                    </a:xfrm>
                    <a:prstGeom prst="rect">
                      <a:avLst/>
                    </a:prstGeom>
                    <a:noFill/>
                  </pic:spPr>
                </pic:pic>
              </a:graphicData>
            </a:graphic>
          </wp:anchor>
        </w:drawing>
      </w:r>
    </w:p>
    <w:p>
      <w:pPr>
        <w:spacing w:after="0" w:line="216" w:lineRule="exact"/>
        <w:rPr>
          <w:sz w:val="20"/>
          <w:szCs w:val="20"/>
          <w:color w:val="auto"/>
        </w:rPr>
      </w:pPr>
    </w:p>
    <w:p>
      <w:pPr>
        <w:ind w:firstLine="5"/>
        <w:spacing w:after="0" w:line="223" w:lineRule="auto"/>
        <w:tabs>
          <w:tab w:leader="none" w:pos="122"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For the Base Call Option Confirmation, this is equal to the number of Convertible Notes in principal amount of $1,000 initially issued on the closing date for the Convertible Notes. For the Additional Call Option Confirmation, this is equal to the number of additional Convertible Notes in principal amount of $1,000.</w:t>
      </w:r>
    </w:p>
    <w:p>
      <w:pPr>
        <w:spacing w:after="0" w:line="1" w:lineRule="exact"/>
        <w:rPr>
          <w:rFonts w:ascii="Times New Roman" w:cs="Times New Roman" w:eastAsia="Times New Roman" w:hAnsi="Times New Roman"/>
          <w:sz w:val="17"/>
          <w:szCs w:val="17"/>
          <w:color w:val="auto"/>
          <w:vertAlign w:val="superscript"/>
        </w:rPr>
      </w:pPr>
    </w:p>
    <w:p>
      <w:pPr>
        <w:ind w:left="120" w:hanging="115"/>
        <w:spacing w:after="0" w:line="185" w:lineRule="auto"/>
        <w:tabs>
          <w:tab w:leader="none" w:pos="120"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Insert the initial Conversion Rate for the Convertible Notes.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80"/>
          </w:cols>
          <w:pgMar w:left="300" w:top="1271" w:right="319" w:bottom="1440" w:gutter="0" w:footer="0" w:header="0"/>
        </w:sectPr>
      </w:pPr>
    </w:p>
    <w:bookmarkStart w:id="125" w:name="page126"/>
    <w:bookmarkEnd w:id="125"/>
    <w:p>
      <w:pPr>
        <w:ind w:left="755"/>
        <w:spacing w:after="0"/>
        <w:tabs>
          <w:tab w:leader="none" w:pos="2315" w:val="left"/>
        </w:tabs>
        <w:rPr>
          <w:sz w:val="20"/>
          <w:szCs w:val="20"/>
          <w:color w:val="auto"/>
        </w:rPr>
      </w:pPr>
      <w:r>
        <w:rPr>
          <w:rFonts w:ascii="Times New Roman" w:cs="Times New Roman" w:eastAsia="Times New Roman" w:hAnsi="Times New Roman"/>
          <w:sz w:val="14"/>
          <w:szCs w:val="14"/>
          <w:color w:val="auto"/>
        </w:rPr>
        <w:t>Premium Payment Date:</w:t>
      </w:r>
      <w:r>
        <w:rPr>
          <w:sz w:val="20"/>
          <w:szCs w:val="20"/>
          <w:color w:val="auto"/>
        </w:rPr>
        <w:tab/>
      </w:r>
      <w:r>
        <w:rPr>
          <w:rFonts w:ascii="Times New Roman" w:cs="Times New Roman" w:eastAsia="Times New Roman" w:hAnsi="Times New Roman"/>
          <w:sz w:val="13"/>
          <w:szCs w:val="13"/>
          <w:color w:val="auto"/>
        </w:rPr>
        <w:t>[______], 2026</w:t>
      </w:r>
      <w:r>
        <w:rPr>
          <w:rFonts w:ascii="Times New Roman" w:cs="Times New Roman" w:eastAsia="Times New Roman" w:hAnsi="Times New Roman"/>
          <w:sz w:val="17"/>
          <w:szCs w:val="17"/>
          <w:color w:val="auto"/>
          <w:vertAlign w:val="superscript"/>
        </w:rPr>
        <w:t>13</w:t>
      </w:r>
    </w:p>
    <w:p>
      <w:pPr>
        <w:spacing w:after="0" w:line="123" w:lineRule="exact"/>
        <w:rPr>
          <w:sz w:val="20"/>
          <w:szCs w:val="20"/>
          <w:color w:val="auto"/>
        </w:rPr>
      </w:pPr>
    </w:p>
    <w:p>
      <w:pPr>
        <w:ind w:left="755"/>
        <w:spacing w:after="0"/>
        <w:tabs>
          <w:tab w:leader="none" w:pos="1515" w:val="left"/>
        </w:tabs>
        <w:rPr>
          <w:sz w:val="20"/>
          <w:szCs w:val="20"/>
          <w:color w:val="auto"/>
        </w:rPr>
      </w:pPr>
      <w:r>
        <w:rPr>
          <w:rFonts w:ascii="Times New Roman" w:cs="Times New Roman" w:eastAsia="Times New Roman" w:hAnsi="Times New Roman"/>
          <w:sz w:val="14"/>
          <w:szCs w:val="14"/>
          <w:color w:val="auto"/>
        </w:rPr>
        <w:t>Exchange:</w:t>
        <w:tab/>
        <w:t>The Nasdaq Global Select Market</w:t>
      </w:r>
    </w:p>
    <w:p>
      <w:pPr>
        <w:spacing w:after="0" w:line="145" w:lineRule="exact"/>
        <w:rPr>
          <w:sz w:val="20"/>
          <w:szCs w:val="20"/>
          <w:color w:val="auto"/>
        </w:rPr>
      </w:pPr>
    </w:p>
    <w:p>
      <w:pPr>
        <w:jc w:val="both"/>
        <w:ind w:left="2155" w:hanging="2545"/>
        <w:spacing w:after="0" w:line="290" w:lineRule="auto"/>
        <w:tabs>
          <w:tab w:leader="none" w:pos="2135" w:val="left"/>
        </w:tabs>
        <w:rPr>
          <w:sz w:val="20"/>
          <w:szCs w:val="20"/>
          <w:color w:val="auto"/>
        </w:rPr>
      </w:pPr>
      <w:r>
        <w:rPr>
          <w:rFonts w:ascii="Times New Roman" w:cs="Times New Roman" w:eastAsia="Times New Roman" w:hAnsi="Times New Roman"/>
          <w:sz w:val="14"/>
          <w:szCs w:val="14"/>
          <w:color w:val="auto"/>
        </w:rPr>
        <w:t>Related Exchange(s):</w:t>
        <w:tab/>
        <w:t xml:space="preserve">All Exchanges;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Section 1.26 of the Equity Definitions shall be amended to add the words “United States” before the word “exchange” in the tenth line of such section.</w:t>
      </w:r>
    </w:p>
    <w:p>
      <w:pPr>
        <w:spacing w:after="0" w:line="90" w:lineRule="exact"/>
        <w:rPr>
          <w:sz w:val="20"/>
          <w:szCs w:val="20"/>
          <w:color w:val="auto"/>
        </w:rPr>
      </w:pPr>
    </w:p>
    <w:p>
      <w:pPr>
        <w:ind w:left="755"/>
        <w:spacing w:after="0"/>
        <w:tabs>
          <w:tab w:leader="none" w:pos="2095" w:val="left"/>
        </w:tabs>
        <w:rPr>
          <w:sz w:val="20"/>
          <w:szCs w:val="20"/>
          <w:color w:val="auto"/>
        </w:rPr>
      </w:pPr>
      <w:r>
        <w:rPr>
          <w:rFonts w:ascii="Times New Roman" w:cs="Times New Roman" w:eastAsia="Times New Roman" w:hAnsi="Times New Roman"/>
          <w:sz w:val="14"/>
          <w:szCs w:val="14"/>
          <w:color w:val="auto"/>
        </w:rPr>
        <w:t>Excluded Provisions:</w:t>
        <w:tab/>
        <w:t>Section 14.04(h) and Section 14.03 of the Indenture.</w:t>
      </w:r>
    </w:p>
    <w:p>
      <w:pPr>
        <w:spacing w:after="0" w:line="155" w:lineRule="exact"/>
        <w:rPr>
          <w:sz w:val="20"/>
          <w:szCs w:val="20"/>
          <w:color w:val="auto"/>
        </w:rPr>
      </w:pPr>
    </w:p>
    <w:p>
      <w:pPr>
        <w:ind w:left="495"/>
        <w:spacing w:after="0"/>
        <w:rPr>
          <w:sz w:val="20"/>
          <w:szCs w:val="20"/>
          <w:color w:val="auto"/>
        </w:rPr>
      </w:pPr>
      <w:r>
        <w:rPr>
          <w:rFonts w:ascii="Times New Roman" w:cs="Times New Roman" w:eastAsia="Times New Roman" w:hAnsi="Times New Roman"/>
          <w:sz w:val="14"/>
          <w:szCs w:val="14"/>
          <w:i w:val="1"/>
          <w:iCs w:val="1"/>
          <w:u w:val="single" w:color="auto"/>
          <w:color w:val="auto"/>
        </w:rPr>
        <w:t>Procedures for Exercise</w:t>
      </w:r>
      <w:r>
        <w:rPr>
          <w:rFonts w:ascii="Times New Roman" w:cs="Times New Roman" w:eastAsia="Times New Roman" w:hAnsi="Times New Roman"/>
          <w:sz w:val="14"/>
          <w:szCs w:val="14"/>
          <w:color w:val="auto"/>
        </w:rPr>
        <w:t>.</w:t>
      </w:r>
    </w:p>
    <w:p>
      <w:pPr>
        <w:spacing w:after="0" w:line="149" w:lineRule="exact"/>
        <w:rPr>
          <w:sz w:val="20"/>
          <w:szCs w:val="20"/>
          <w:color w:val="auto"/>
        </w:rPr>
      </w:pPr>
    </w:p>
    <w:p>
      <w:pPr>
        <w:jc w:val="both"/>
        <w:ind w:left="2015" w:hanging="2545"/>
        <w:spacing w:after="0" w:line="258" w:lineRule="auto"/>
        <w:tabs>
          <w:tab w:leader="none" w:pos="1995" w:val="left"/>
        </w:tabs>
        <w:rPr>
          <w:sz w:val="20"/>
          <w:szCs w:val="20"/>
          <w:color w:val="auto"/>
        </w:rPr>
      </w:pPr>
      <w:r>
        <w:rPr>
          <w:rFonts w:ascii="Times New Roman" w:cs="Times New Roman" w:eastAsia="Times New Roman" w:hAnsi="Times New Roman"/>
          <w:sz w:val="14"/>
          <w:szCs w:val="14"/>
          <w:color w:val="auto"/>
        </w:rPr>
        <w:t>Conversion Date:</w:t>
      </w:r>
      <w:r>
        <w:rPr>
          <w:sz w:val="20"/>
          <w:szCs w:val="20"/>
          <w:color w:val="auto"/>
        </w:rPr>
        <w:tab/>
      </w:r>
      <w:r>
        <w:rPr>
          <w:rFonts w:ascii="Times New Roman" w:cs="Times New Roman" w:eastAsia="Times New Roman" w:hAnsi="Times New Roman"/>
          <w:sz w:val="14"/>
          <w:szCs w:val="14"/>
          <w:color w:val="auto"/>
        </w:rPr>
        <w:t>With respect to any conversion of a Convertible Note (other than any conversion of Convertible Notes with a Conversion Date occurring prior to the Free Convertibility Date (any such conversion, an “</w:t>
      </w:r>
      <w:r>
        <w:rPr>
          <w:rFonts w:ascii="Times New Roman" w:cs="Times New Roman" w:eastAsia="Times New Roman" w:hAnsi="Times New Roman"/>
          <w:sz w:val="14"/>
          <w:szCs w:val="14"/>
          <w:b w:val="1"/>
          <w:bCs w:val="1"/>
          <w:color w:val="auto"/>
        </w:rPr>
        <w:t>Early Conversion</w:t>
      </w:r>
      <w:r>
        <w:rPr>
          <w:rFonts w:ascii="Times New Roman" w:cs="Times New Roman" w:eastAsia="Times New Roman" w:hAnsi="Times New Roman"/>
          <w:sz w:val="14"/>
          <w:szCs w:val="14"/>
          <w:color w:val="auto"/>
        </w:rPr>
        <w:t xml:space="preserve">”), to which the provisions of Section 9(i)(i) of this Confirmation shall apply), the date on which the “Holder” (as such term is defined in the Indenture) of such Convertible Note satisfies all of the requirements for conversion thereof as set forth in Section 14.02(b) of the Indenture;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Counterparty has not delivered to Dealer a related Notice of Exercise, then in no event shall a Conversion Date be deemed to occur hereunder (and no Option shall be exercised or deemed to be exercised hereunder) with respect to any surrender of a Convertible Note for conversion in respect of which Counterparty has elected to designate a financial institution for exchange in lieu of conversion of such Convertible Note pursuant to Section 14.12 of the Indenture.</w:t>
      </w:r>
    </w:p>
    <w:p>
      <w:pPr>
        <w:spacing w:after="0" w:line="115" w:lineRule="exact"/>
        <w:rPr>
          <w:sz w:val="20"/>
          <w:szCs w:val="20"/>
          <w:color w:val="auto"/>
        </w:rPr>
      </w:pPr>
    </w:p>
    <w:p>
      <w:pPr>
        <w:ind w:left="755"/>
        <w:spacing w:after="0"/>
        <w:tabs>
          <w:tab w:leader="none" w:pos="2315" w:val="left"/>
        </w:tabs>
        <w:rPr>
          <w:sz w:val="20"/>
          <w:szCs w:val="20"/>
          <w:color w:val="auto"/>
        </w:rPr>
      </w:pPr>
      <w:r>
        <w:rPr>
          <w:rFonts w:ascii="Times New Roman" w:cs="Times New Roman" w:eastAsia="Times New Roman" w:hAnsi="Times New Roman"/>
          <w:sz w:val="14"/>
          <w:szCs w:val="14"/>
          <w:color w:val="auto"/>
        </w:rPr>
        <w:t>Free Convertibility Date:</w:t>
      </w:r>
      <w:r>
        <w:rPr>
          <w:sz w:val="20"/>
          <w:szCs w:val="20"/>
          <w:color w:val="auto"/>
        </w:rPr>
        <w:tab/>
      </w:r>
      <w:r>
        <w:rPr>
          <w:rFonts w:ascii="Times New Roman" w:cs="Times New Roman" w:eastAsia="Times New Roman" w:hAnsi="Times New Roman"/>
          <w:sz w:val="13"/>
          <w:szCs w:val="13"/>
          <w:color w:val="auto"/>
        </w:rPr>
        <w:t>July 1, 2029</w:t>
      </w:r>
    </w:p>
    <w:p>
      <w:pPr>
        <w:spacing w:after="0" w:line="157" w:lineRule="exact"/>
        <w:rPr>
          <w:sz w:val="20"/>
          <w:szCs w:val="20"/>
          <w:color w:val="auto"/>
        </w:rPr>
      </w:pPr>
    </w:p>
    <w:p>
      <w:pPr>
        <w:ind w:left="755"/>
        <w:spacing w:after="0"/>
        <w:tabs>
          <w:tab w:leader="none" w:pos="1875" w:val="left"/>
        </w:tabs>
        <w:rPr>
          <w:sz w:val="20"/>
          <w:szCs w:val="20"/>
          <w:color w:val="auto"/>
        </w:rPr>
      </w:pPr>
      <w:r>
        <w:rPr>
          <w:rFonts w:ascii="Times New Roman" w:cs="Times New Roman" w:eastAsia="Times New Roman" w:hAnsi="Times New Roman"/>
          <w:sz w:val="14"/>
          <w:szCs w:val="14"/>
          <w:color w:val="auto"/>
        </w:rPr>
        <w:t>Expiration Time:</w:t>
        <w:tab/>
        <w:t>The Valuation Time</w:t>
      </w:r>
    </w:p>
    <w:p>
      <w:pPr>
        <w:spacing w:after="0" w:line="147" w:lineRule="exact"/>
        <w:rPr>
          <w:sz w:val="20"/>
          <w:szCs w:val="20"/>
          <w:color w:val="auto"/>
        </w:rPr>
      </w:pPr>
    </w:p>
    <w:p>
      <w:pPr>
        <w:ind w:left="755"/>
        <w:spacing w:after="0"/>
        <w:tabs>
          <w:tab w:leader="none" w:pos="1855" w:val="left"/>
        </w:tabs>
        <w:rPr>
          <w:sz w:val="20"/>
          <w:szCs w:val="20"/>
          <w:color w:val="auto"/>
        </w:rPr>
      </w:pPr>
      <w:r>
        <w:rPr>
          <w:rFonts w:ascii="Times New Roman" w:cs="Times New Roman" w:eastAsia="Times New Roman" w:hAnsi="Times New Roman"/>
          <w:sz w:val="14"/>
          <w:szCs w:val="14"/>
          <w:color w:val="auto"/>
        </w:rPr>
        <w:t>Expiration Date:</w:t>
        <w:tab/>
        <w:t>October 1, 2029, subject to earlier exercise.</w:t>
      </w:r>
    </w:p>
    <w:p>
      <w:pPr>
        <w:spacing w:after="0" w:line="147" w:lineRule="exact"/>
        <w:rPr>
          <w:sz w:val="20"/>
          <w:szCs w:val="20"/>
          <w:color w:val="auto"/>
        </w:rPr>
      </w:pPr>
    </w:p>
    <w:p>
      <w:pPr>
        <w:ind w:left="755"/>
        <w:spacing w:after="0"/>
        <w:tabs>
          <w:tab w:leader="none" w:pos="1935" w:val="left"/>
        </w:tabs>
        <w:rPr>
          <w:sz w:val="20"/>
          <w:szCs w:val="20"/>
          <w:color w:val="auto"/>
        </w:rPr>
      </w:pPr>
      <w:r>
        <w:rPr>
          <w:rFonts w:ascii="Times New Roman" w:cs="Times New Roman" w:eastAsia="Times New Roman" w:hAnsi="Times New Roman"/>
          <w:sz w:val="14"/>
          <w:szCs w:val="14"/>
          <w:color w:val="auto"/>
        </w:rPr>
        <w:t>Multiple Exercise:</w:t>
        <w:tab/>
        <w:t>Applicable, as described under “Automatic Exercise” and “Automatic Exercise of Remaining Repurchase Options After Free Convertibility Date” below.</w:t>
      </w:r>
    </w:p>
    <w:p>
      <w:pPr>
        <w:spacing w:after="0" w:line="157" w:lineRule="exact"/>
        <w:rPr>
          <w:sz w:val="20"/>
          <w:szCs w:val="20"/>
          <w:color w:val="auto"/>
        </w:rPr>
      </w:pPr>
    </w:p>
    <w:p>
      <w:pPr>
        <w:jc w:val="both"/>
        <w:ind w:left="2095" w:hanging="2545"/>
        <w:spacing w:after="0" w:line="264" w:lineRule="auto"/>
        <w:tabs>
          <w:tab w:leader="none" w:pos="2075" w:val="left"/>
        </w:tabs>
        <w:rPr>
          <w:sz w:val="20"/>
          <w:szCs w:val="20"/>
          <w:color w:val="auto"/>
        </w:rPr>
      </w:pPr>
      <w:r>
        <w:rPr>
          <w:rFonts w:ascii="Times New Roman" w:cs="Times New Roman" w:eastAsia="Times New Roman" w:hAnsi="Times New Roman"/>
          <w:sz w:val="14"/>
          <w:szCs w:val="14"/>
          <w:color w:val="auto"/>
        </w:rPr>
        <w:t>Automatic Exercise:</w:t>
        <w:tab/>
        <w:t>Notwithstanding Section 3.4 of the Equity Definitions, on each Conversion Date occurring on or after the Free Convertibility Date, in respect of which a “Notice of Conversion” (as such term is defined in the Indenture) that is effective as to Counterparty has been delivered by the relevant converting “Holder” (as such term is defined in the Indenture), a number of Options equal to [(i)] the number of Convertible Notes in denominations of USD 1,000 as to which such Conversion Date has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129349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93495" cy="6985"/>
                    </a:xfrm>
                    <a:prstGeom prst="rect">
                      <a:avLst/>
                    </a:prstGeom>
                    <a:noFill/>
                  </pic:spPr>
                </pic:pic>
              </a:graphicData>
            </a:graphic>
          </wp:anchor>
        </w:drawing>
      </w:r>
    </w:p>
    <w:p>
      <w:pPr>
        <w:spacing w:after="0" w:line="147" w:lineRule="exact"/>
        <w:rPr>
          <w:sz w:val="20"/>
          <w:szCs w:val="20"/>
          <w:color w:val="auto"/>
        </w:rPr>
      </w:pPr>
    </w:p>
    <w:p>
      <w:pPr>
        <w:ind w:left="115" w:hanging="115"/>
        <w:spacing w:after="0"/>
        <w:tabs>
          <w:tab w:leader="none" w:pos="115"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To be the closing date for the Convertible Notes (for the base transaction) and then the closing date for the exercise of the overallotment option (for the additional transaction).</w:t>
      </w:r>
    </w:p>
    <w:p>
      <w:pPr>
        <w:spacing w:after="0" w:line="200" w:lineRule="exact"/>
        <w:rPr>
          <w:rFonts w:ascii="Times New Roman" w:cs="Times New Roman" w:eastAsia="Times New Roman" w:hAnsi="Times New Roman"/>
          <w:sz w:val="17"/>
          <w:szCs w:val="17"/>
          <w:color w:val="auto"/>
          <w:vertAlign w:val="superscript"/>
        </w:rPr>
      </w:pPr>
    </w:p>
    <w:p>
      <w:pPr>
        <w:spacing w:after="0" w:line="383" w:lineRule="exact"/>
        <w:rPr>
          <w:rFonts w:ascii="Times New Roman" w:cs="Times New Roman" w:eastAsia="Times New Roman" w:hAnsi="Times New Roman"/>
          <w:sz w:val="17"/>
          <w:szCs w:val="17"/>
          <w:color w:val="auto"/>
          <w:vertAlign w:val="superscript"/>
        </w:rPr>
      </w:pPr>
    </w:p>
    <w:p>
      <w:pPr>
        <w:ind w:left="5595"/>
        <w:spacing w:after="0"/>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4</w:t>
      </w:r>
    </w:p>
    <w:p>
      <w:pPr>
        <w:sectPr>
          <w:pgSz w:w="11900" w:h="16838" w:orient="portrait"/>
          <w:cols w:equalWidth="0" w:num="1">
            <w:col w:w="11275"/>
          </w:cols>
          <w:pgMar w:left="305" w:top="1281" w:right="319" w:bottom="1440" w:gutter="0" w:footer="0" w:header="0"/>
        </w:sectPr>
      </w:pPr>
    </w:p>
    <w:bookmarkStart w:id="126" w:name="page127"/>
    <w:bookmarkEnd w:id="126"/>
    <w:p>
      <w:pPr>
        <w:jc w:val="both"/>
        <w:ind w:left="332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minus </w:t>
      </w:r>
      <w:r>
        <w:rPr>
          <w:rFonts w:ascii="Times New Roman" w:cs="Times New Roman" w:eastAsia="Times New Roman" w:hAnsi="Times New Roman"/>
          <w:sz w:val="14"/>
          <w:szCs w:val="14"/>
          <w:color w:val="auto"/>
        </w:rPr>
        <w:t>(ii) the number of Options that are or are deemed to be automatically exercised on such Conversion Date under the Base Call Option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Transaction Confirmation letter agreement dated [________], 2026 between Dealer and Counterparty (the “</w:t>
      </w:r>
      <w:r>
        <w:rPr>
          <w:rFonts w:ascii="Times New Roman" w:cs="Times New Roman" w:eastAsia="Times New Roman" w:hAnsi="Times New Roman"/>
          <w:sz w:val="14"/>
          <w:szCs w:val="14"/>
          <w:b w:val="1"/>
          <w:bCs w:val="1"/>
          <w:color w:val="auto"/>
        </w:rPr>
        <w:t>Base Call Option</w:t>
      </w:r>
    </w:p>
    <w:p>
      <w:pPr>
        <w:jc w:val="both"/>
        <w:ind w:left="3320"/>
        <w:spacing w:after="0" w:line="239" w:lineRule="auto"/>
        <w:rPr>
          <w:sz w:val="20"/>
          <w:szCs w:val="20"/>
          <w:color w:val="auto"/>
        </w:rPr>
      </w:pPr>
      <w:r>
        <w:rPr>
          <w:rFonts w:ascii="Times New Roman" w:cs="Times New Roman" w:eastAsia="Times New Roman" w:hAnsi="Times New Roman"/>
          <w:sz w:val="14"/>
          <w:szCs w:val="14"/>
          <w:b w:val="1"/>
          <w:bCs w:val="1"/>
          <w:color w:val="auto"/>
        </w:rPr>
        <w:t>Confirmation</w:t>
      </w:r>
      <w:r>
        <w:rPr>
          <w:rFonts w:ascii="Times New Roman" w:cs="Times New Roman" w:eastAsia="Times New Roman" w:hAnsi="Times New Roman"/>
          <w:sz w:val="14"/>
          <w:szCs w:val="14"/>
          <w:color w:val="auto"/>
        </w:rPr>
        <w:t>”) (and for the purposes of determining whether any Options under this Confirmation or under the Base Call Option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Confirmation will be automatically exercised hereunder or under the Base Call Option Confirmation, the Convertible Notes subject to conversion shall be allocated first to the Base Call Option Confirmation until all Options thereunder are exercised or terminated),]</w:t>
      </w:r>
      <w:r>
        <w:rPr>
          <w:rFonts w:ascii="Times New Roman" w:cs="Times New Roman" w:eastAsia="Times New Roman" w:hAnsi="Times New Roman"/>
          <w:sz w:val="18"/>
          <w:szCs w:val="18"/>
          <w:color w:val="auto"/>
          <w:vertAlign w:val="superscript"/>
        </w:rPr>
        <w:t>14</w:t>
      </w:r>
      <w:r>
        <w:rPr>
          <w:rFonts w:ascii="Times New Roman" w:cs="Times New Roman" w:eastAsia="Times New Roman" w:hAnsi="Times New Roman"/>
          <w:sz w:val="14"/>
          <w:szCs w:val="14"/>
          <w:color w:val="auto"/>
        </w:rPr>
        <w:t xml:space="preserve"> shall be deemed to be automatically exercised;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Options shall be exercised or deemed exercised only if Counterparty has provided a Notice of Exercise to Dealer in accordance with “Notice of Exercise” below.</w:t>
      </w:r>
    </w:p>
    <w:p>
      <w:pPr>
        <w:spacing w:after="0" w:line="13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Notwithstanding the foregoing, in no event shall the number of Options that are exercised or deemed exercised hereunder exceed the Number of Options.</w:t>
      </w:r>
    </w:p>
    <w:p>
      <w:pPr>
        <w:spacing w:after="0" w:line="1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Automatic Exercise of Remaining</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Repurchase Options After Free</w:t>
      </w:r>
    </w:p>
    <w:p>
      <w:pPr>
        <w:spacing w:after="0" w:line="9" w:lineRule="exact"/>
        <w:rPr>
          <w:sz w:val="20"/>
          <w:szCs w:val="20"/>
          <w:color w:val="auto"/>
        </w:rPr>
      </w:pPr>
    </w:p>
    <w:p>
      <w:pPr>
        <w:jc w:val="both"/>
        <w:ind w:left="2040" w:hanging="2545"/>
        <w:spacing w:after="0" w:line="245" w:lineRule="auto"/>
        <w:tabs>
          <w:tab w:leader="none" w:pos="2020" w:val="left"/>
        </w:tabs>
        <w:rPr>
          <w:sz w:val="20"/>
          <w:szCs w:val="20"/>
          <w:color w:val="auto"/>
        </w:rPr>
      </w:pPr>
      <w:r>
        <w:rPr>
          <w:rFonts w:ascii="Times New Roman" w:cs="Times New Roman" w:eastAsia="Times New Roman" w:hAnsi="Times New Roman"/>
          <w:sz w:val="14"/>
          <w:szCs w:val="14"/>
          <w:color w:val="auto"/>
        </w:rPr>
        <w:t>Convertibility Date:</w:t>
        <w:tab/>
        <w:t>Notwithstanding Section 3.4 of the Equity Definitions or “Automatic Exercise” above, unless Counterparty notifies Dealer in writing prior to 5:00 p.m. (New York City time) on the Scheduled Valid Day immediately preceding the Expiration Date that it does not wish automatic exercise to occur with respect to any Remaining Repurchase Options (as defined below), a number of Options equal to the lesser of (a) the Number of Options (after giving effect to the provisions opposite the caption “Automatic Exercise” above) as of 9:00 a.m. (New York City time) on the Expiration Date and (b) the Remaining Repurchase Options [</w:t>
      </w: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xml:space="preserve"> the number of Remaining Options (as defined in the Base Call Option Confirmation)]</w:t>
      </w:r>
      <w:r>
        <w:rPr>
          <w:rFonts w:ascii="Times New Roman" w:cs="Times New Roman" w:eastAsia="Times New Roman" w:hAnsi="Times New Roman"/>
          <w:sz w:val="18"/>
          <w:szCs w:val="18"/>
          <w:color w:val="auto"/>
          <w:vertAlign w:val="superscript"/>
        </w:rPr>
        <w:t>15</w:t>
      </w:r>
      <w:r>
        <w:rPr>
          <w:rFonts w:ascii="Times New Roman" w:cs="Times New Roman" w:eastAsia="Times New Roman" w:hAnsi="Times New Roman"/>
          <w:sz w:val="14"/>
          <w:szCs w:val="14"/>
          <w:color w:val="auto"/>
        </w:rPr>
        <w:t xml:space="preserve"> (such lesser number, the “</w:t>
      </w:r>
      <w:r>
        <w:rPr>
          <w:rFonts w:ascii="Times New Roman" w:cs="Times New Roman" w:eastAsia="Times New Roman" w:hAnsi="Times New Roman"/>
          <w:sz w:val="14"/>
          <w:szCs w:val="14"/>
          <w:b w:val="1"/>
          <w:bCs w:val="1"/>
          <w:color w:val="auto"/>
        </w:rPr>
        <w:t>Remaining Options</w:t>
      </w:r>
      <w:r>
        <w:rPr>
          <w:rFonts w:ascii="Times New Roman" w:cs="Times New Roman" w:eastAsia="Times New Roman" w:hAnsi="Times New Roman"/>
          <w:sz w:val="14"/>
          <w:szCs w:val="14"/>
          <w:color w:val="auto"/>
        </w:rPr>
        <w:t xml:space="preserve">”) will be deemed to be automatically exercised as if (i) a number of Convertible Notes (in denominations of USD 1,000 principal amount) equal to such number of Remaining Options were outstanding under the Indenture and were converted with a “Conversion Date” (as defined in the Indenture) occurring on or after the Free Convertibility Date and (ii) the Notice of Final Settlement Method, if any, applied to such Convertible Notes;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 such automatic exercise pursuant to this paragraph will occur if the Relevant Price for each Valid Day during the Settlement Averaging Period is less than or equal to the Strike Price. “</w:t>
      </w:r>
      <w:r>
        <w:rPr>
          <w:rFonts w:ascii="Times New Roman" w:cs="Times New Roman" w:eastAsia="Times New Roman" w:hAnsi="Times New Roman"/>
          <w:sz w:val="14"/>
          <w:szCs w:val="14"/>
          <w:b w:val="1"/>
          <w:bCs w:val="1"/>
          <w:color w:val="auto"/>
        </w:rPr>
        <w:t>Remaining Repurchase Options</w:t>
      </w:r>
      <w:r>
        <w:rPr>
          <w:rFonts w:ascii="Times New Roman" w:cs="Times New Roman" w:eastAsia="Times New Roman" w:hAnsi="Times New Roman"/>
          <w:sz w:val="14"/>
          <w:szCs w:val="14"/>
          <w:color w:val="auto"/>
        </w:rPr>
        <w: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304800</wp:posOffset>
            </wp:positionV>
            <wp:extent cx="129349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93495" cy="698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120" w:hanging="115"/>
        <w:spacing w:after="0"/>
        <w:tabs>
          <w:tab w:leader="none" w:pos="120"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 for Additional Call Option Confirmation only.</w:t>
      </w:r>
    </w:p>
    <w:p>
      <w:pPr>
        <w:ind w:left="120" w:hanging="115"/>
        <w:spacing w:after="0" w:line="185" w:lineRule="auto"/>
        <w:tabs>
          <w:tab w:leader="none" w:pos="120"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 for Additional Call Option Confirmation only.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80"/>
          </w:cols>
          <w:pgMar w:left="300" w:top="1279" w:right="319" w:bottom="1440" w:gutter="0" w:footer="0" w:header="0"/>
        </w:sectPr>
      </w:pPr>
    </w:p>
    <w:bookmarkStart w:id="127" w:name="page128"/>
    <w:bookmarkEnd w:id="127"/>
    <w:p>
      <w:pPr>
        <w:jc w:val="both"/>
        <w:ind w:left="3320"/>
        <w:spacing w:after="0" w:line="247" w:lineRule="auto"/>
        <w:rPr>
          <w:sz w:val="20"/>
          <w:szCs w:val="20"/>
          <w:color w:val="auto"/>
        </w:rPr>
      </w:pPr>
      <w:r>
        <w:rPr>
          <w:rFonts w:ascii="Times New Roman" w:cs="Times New Roman" w:eastAsia="Times New Roman" w:hAnsi="Times New Roman"/>
          <w:sz w:val="14"/>
          <w:szCs w:val="14"/>
          <w:color w:val="auto"/>
        </w:rPr>
        <w:t>mean the excess of (I) the aggregate number of Convertible Notes (in denominations of USD 1,000 principal amount) that were subject to Repayment Events (as defined below) described in clause (ii) of the first sentence of Section 9(i)(iv) (“</w:t>
      </w:r>
      <w:r>
        <w:rPr>
          <w:rFonts w:ascii="Times New Roman" w:cs="Times New Roman" w:eastAsia="Times New Roman" w:hAnsi="Times New Roman"/>
          <w:sz w:val="14"/>
          <w:szCs w:val="14"/>
          <w:b w:val="1"/>
          <w:bCs w:val="1"/>
          <w:color w:val="auto"/>
        </w:rPr>
        <w:t>Repurchase Events</w:t>
      </w:r>
      <w:r>
        <w:rPr>
          <w:rFonts w:ascii="Times New Roman" w:cs="Times New Roman" w:eastAsia="Times New Roman" w:hAnsi="Times New Roman"/>
          <w:sz w:val="14"/>
          <w:szCs w:val="14"/>
          <w:color w:val="auto"/>
        </w:rPr>
        <w:t xml:space="preserve">”) during the term of the Transaction </w:t>
      </w:r>
      <w:r>
        <w:rPr>
          <w:rFonts w:ascii="Times New Roman" w:cs="Times New Roman" w:eastAsia="Times New Roman" w:hAnsi="Times New Roman"/>
          <w:sz w:val="14"/>
          <w:szCs w:val="14"/>
          <w:i w:val="1"/>
          <w:iCs w:val="1"/>
          <w:color w:val="auto"/>
        </w:rPr>
        <w:t>over</w:t>
      </w:r>
      <w:r>
        <w:rPr>
          <w:rFonts w:ascii="Times New Roman" w:cs="Times New Roman" w:eastAsia="Times New Roman" w:hAnsi="Times New Roman"/>
          <w:sz w:val="14"/>
          <w:szCs w:val="14"/>
          <w:color w:val="auto"/>
        </w:rPr>
        <w:t xml:space="preserve"> (II) the aggregate number of Repayment Options (as defined below) that were terminated hereunder relating to Repurchase Events during the term of the Transaction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the aggregate number of Repayment Options (as defined in the Base Call Option Confirmation) terminated under the Base Call Option Confirmation relating to Repurchase Events (as defined therein) during the term of the “Transaction” under the Base Call Option Confirmation]</w:t>
      </w:r>
      <w:r>
        <w:rPr>
          <w:rFonts w:ascii="Times New Roman" w:cs="Times New Roman" w:eastAsia="Times New Roman" w:hAnsi="Times New Roman"/>
          <w:sz w:val="18"/>
          <w:szCs w:val="18"/>
          <w:color w:val="auto"/>
          <w:vertAlign w:val="superscript"/>
        </w:rPr>
        <w:t>16</w:t>
      </w:r>
      <w:r>
        <w:rPr>
          <w:rFonts w:ascii="Times New Roman" w:cs="Times New Roman" w:eastAsia="Times New Roman" w:hAnsi="Times New Roman"/>
          <w:sz w:val="14"/>
          <w:szCs w:val="14"/>
          <w:color w:val="auto"/>
        </w:rPr>
        <w:t>. Counterparty shall notify Dealer in writing of the number of Remaining Repurchase Options before 5:00 p.m. (New York City time) on the Scheduled Valid Day immediately preceding the Expiration Date.</w:t>
      </w:r>
    </w:p>
    <w:p>
      <w:pPr>
        <w:spacing w:after="0" w:line="130" w:lineRule="exact"/>
        <w:rPr>
          <w:sz w:val="20"/>
          <w:szCs w:val="20"/>
          <w:color w:val="auto"/>
        </w:rPr>
      </w:pPr>
    </w:p>
    <w:p>
      <w:pPr>
        <w:jc w:val="both"/>
        <w:ind w:left="2120" w:hanging="2545"/>
        <w:spacing w:after="0" w:line="256" w:lineRule="auto"/>
        <w:tabs>
          <w:tab w:leader="none" w:pos="2100" w:val="left"/>
        </w:tabs>
        <w:rPr>
          <w:sz w:val="20"/>
          <w:szCs w:val="20"/>
          <w:color w:val="auto"/>
        </w:rPr>
      </w:pPr>
      <w:r>
        <w:rPr>
          <w:rFonts w:ascii="Times New Roman" w:cs="Times New Roman" w:eastAsia="Times New Roman" w:hAnsi="Times New Roman"/>
          <w:sz w:val="14"/>
          <w:szCs w:val="14"/>
          <w:color w:val="auto"/>
        </w:rPr>
        <w:t>Notice of Exercise:</w:t>
        <w:tab/>
        <w:t xml:space="preserve">Notwithstanding anything to the contrary in the Equity Definitions or under “Automatic Exercise” above, but subject to “Automatic Exercise of Remaining Repurchase Options After Free Convertibility Date” above, in order to exercise any Options relating to Convertible Notes with a Conversion Date occurring on or after the Free Convertibility Date, Counterparty must notify Dealer in writing before 5:00 p.m. (New York City time) on the Scheduled Valid Day immediately preceding the Expiration Date specifying the number of such Options;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notwithstanding the foregoing, such notice (and the related exercise of Options hereunder) shall be effective if given after the applicable notice deadline specified above but prior to 5:00 p.m. (New York City time) on the fifth Exchange Business Day following such notice deadline, in which event the Calculation Agent shall have the right to adjust Dealer’s delivery obligation hereunder and the Settlement Date in a commercially reasonable manner, with respect to the exercise of such Options, as appropriate to reflect the additional commercially reasonable costs (including, but not limited to, losses as a result of hedging mismatches and market losses) and expenses incurred by Dealer in connection with its hedging activities, with such adjustments made assuming that Dealer maintains commercially reasonable hedge positions (including the unwinding of any hedge position), solely resulting from Dealer not having received such notice prior to such notice deadline (it being understood that the adjusted delivery obligation described in this proviso can never be less than zero and can never require any payment by Counterparty);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xml:space="preserve"> that if the Relevant Settlement Method for such Options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129349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93495" cy="6985"/>
                    </a:xfrm>
                    <a:prstGeom prst="rect">
                      <a:avLst/>
                    </a:prstGeom>
                    <a:noFill/>
                  </pic:spPr>
                </pic:pic>
              </a:graphicData>
            </a:graphic>
          </wp:anchor>
        </w:drawing>
      </w:r>
    </w:p>
    <w:p>
      <w:pPr>
        <w:spacing w:after="0" w:line="323" w:lineRule="exact"/>
        <w:rPr>
          <w:sz w:val="20"/>
          <w:szCs w:val="20"/>
          <w:color w:val="auto"/>
        </w:rPr>
      </w:pPr>
    </w:p>
    <w:p>
      <w:pPr>
        <w:ind w:left="120" w:hanging="115"/>
        <w:spacing w:after="0"/>
        <w:tabs>
          <w:tab w:leader="none" w:pos="120" w:val="left"/>
        </w:tabs>
        <w:numPr>
          <w:ilvl w:val="0"/>
          <w:numId w:val="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 for Additional Call Option Confirmation only.</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80"/>
          </w:cols>
          <w:pgMar w:left="300" w:top="1281" w:right="319" w:bottom="1440" w:gutter="0" w:footer="0" w:header="0"/>
        </w:sectPr>
      </w:pPr>
    </w:p>
    <w:bookmarkStart w:id="128" w:name="page129"/>
    <w:bookmarkEnd w:id="128"/>
    <w:p>
      <w:pPr>
        <w:jc w:val="both"/>
        <w:ind w:left="2820"/>
        <w:spacing w:after="0" w:line="257" w:lineRule="auto"/>
        <w:rPr>
          <w:sz w:val="20"/>
          <w:szCs w:val="20"/>
          <w:color w:val="auto"/>
        </w:rPr>
      </w:pPr>
      <w:r>
        <w:rPr>
          <w:rFonts w:ascii="Times New Roman" w:cs="Times New Roman" w:eastAsia="Times New Roman" w:hAnsi="Times New Roman"/>
          <w:sz w:val="14"/>
          <w:szCs w:val="14"/>
          <w:color w:val="auto"/>
        </w:rPr>
        <w:t>not Net Share Settlement, Dealer shall have received a separate notice (the “</w:t>
      </w:r>
      <w:r>
        <w:rPr>
          <w:rFonts w:ascii="Times New Roman" w:cs="Times New Roman" w:eastAsia="Times New Roman" w:hAnsi="Times New Roman"/>
          <w:sz w:val="14"/>
          <w:szCs w:val="14"/>
          <w:b w:val="1"/>
          <w:bCs w:val="1"/>
          <w:color w:val="auto"/>
        </w:rPr>
        <w:t>Notice of Final Settlement Method</w:t>
      </w:r>
      <w:r>
        <w:rPr>
          <w:rFonts w:ascii="Times New Roman" w:cs="Times New Roman" w:eastAsia="Times New Roman" w:hAnsi="Times New Roman"/>
          <w:sz w:val="14"/>
          <w:szCs w:val="14"/>
          <w:color w:val="auto"/>
        </w:rPr>
        <w:t>”) in respect of all such Convertible Notes before 5:00 p.m. (New York City time) on the Free Convertibility Date in which Counterparty specifies (1) that the Relevant Settlement Method for such Options shall be Cash Settlement or Combination Settlement and (2) if the Relevant Settlement Method for such Options is Combination Settlement, the percentage of the consideration due upon conversion per Convertible Note in excess of the principal amount thereof that Counterparty has elected to pay to “Holders” (as such term is defined in the Indenture) of the related Convertible Notes in cash (the “</w:t>
      </w:r>
      <w:r>
        <w:rPr>
          <w:rFonts w:ascii="Times New Roman" w:cs="Times New Roman" w:eastAsia="Times New Roman" w:hAnsi="Times New Roman"/>
          <w:sz w:val="14"/>
          <w:szCs w:val="14"/>
          <w:b w:val="1"/>
          <w:bCs w:val="1"/>
          <w:color w:val="auto"/>
        </w:rPr>
        <w:t>Cash Percentage</w:t>
      </w:r>
      <w:r>
        <w:rPr>
          <w:rFonts w:ascii="Times New Roman" w:cs="Times New Roman" w:eastAsia="Times New Roman" w:hAnsi="Times New Roman"/>
          <w:sz w:val="14"/>
          <w:szCs w:val="14"/>
          <w:color w:val="auto"/>
        </w:rPr>
        <w:t>”). Notwithstanding anything to the contrary herein, if Counterparty does not timely deliver the Notice of Final Settlement Method, then the Notice of Final Settlement Method shall be deemed timely given and the Relevant Settlement Method specified therein shall be deemed to be Net Share Settlement. Counterparty acknowledges its responsibilities under applicable securities laws, and in particular Section 9 and Section 10(b) of the Exchange Act (as defined below) and the rules and regulations thereunder, in respect of any election (or any deemed election) of a settlement method with respect to the Convertible Notes.</w:t>
      </w:r>
    </w:p>
    <w:p>
      <w:pPr>
        <w:spacing w:after="0" w:line="122" w:lineRule="exact"/>
        <w:rPr>
          <w:sz w:val="20"/>
          <w:szCs w:val="20"/>
          <w:color w:val="auto"/>
        </w:rPr>
      </w:pPr>
    </w:p>
    <w:p>
      <w:pPr>
        <w:jc w:val="both"/>
        <w:ind w:left="1320" w:hanging="2545"/>
        <w:spacing w:after="0" w:line="290" w:lineRule="auto"/>
        <w:tabs>
          <w:tab w:leader="none" w:pos="1300" w:val="left"/>
        </w:tabs>
        <w:rPr>
          <w:sz w:val="20"/>
          <w:szCs w:val="20"/>
          <w:color w:val="auto"/>
        </w:rPr>
      </w:pPr>
      <w:r>
        <w:rPr>
          <w:rFonts w:ascii="Times New Roman" w:cs="Times New Roman" w:eastAsia="Times New Roman" w:hAnsi="Times New Roman"/>
          <w:sz w:val="14"/>
          <w:szCs w:val="14"/>
          <w:color w:val="auto"/>
        </w:rPr>
        <w:t>Valuation Time:</w:t>
        <w:tab/>
        <w:t xml:space="preserve">At the close of trading of the regular trading session on the Exchange;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the principal trading session is extended, the Calculation Agent shall determine the Valuation Time in its commercially reasonable discretion.</w:t>
      </w:r>
    </w:p>
    <w:p>
      <w:pPr>
        <w:spacing w:after="0" w:line="90" w:lineRule="exact"/>
        <w:rPr>
          <w:sz w:val="20"/>
          <w:szCs w:val="20"/>
          <w:color w:val="auto"/>
        </w:rPr>
      </w:pPr>
    </w:p>
    <w:p>
      <w:pPr>
        <w:ind w:left="260"/>
        <w:spacing w:after="0"/>
        <w:tabs>
          <w:tab w:leader="none" w:pos="1840" w:val="left"/>
        </w:tabs>
        <w:rPr>
          <w:sz w:val="20"/>
          <w:szCs w:val="20"/>
          <w:color w:val="auto"/>
        </w:rPr>
      </w:pPr>
      <w:r>
        <w:rPr>
          <w:rFonts w:ascii="Times New Roman" w:cs="Times New Roman" w:eastAsia="Times New Roman" w:hAnsi="Times New Roman"/>
          <w:sz w:val="14"/>
          <w:szCs w:val="14"/>
          <w:color w:val="auto"/>
        </w:rPr>
        <w:t>Market Disruption Event:</w:t>
        <w:tab/>
        <w:t>A “Market Disruption Event” as defined in the Indenture.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Settlement Terms</w:t>
      </w:r>
      <w:r>
        <w:rPr>
          <w:rFonts w:ascii="Times New Roman" w:cs="Times New Roman" w:eastAsia="Times New Roman" w:hAnsi="Times New Roman"/>
          <w:sz w:val="14"/>
          <w:szCs w:val="14"/>
          <w:i w:val="1"/>
          <w:iCs w:val="1"/>
          <w:color w:val="auto"/>
        </w:rPr>
        <w:t>.</w:t>
      </w:r>
    </w:p>
    <w:p>
      <w:pPr>
        <w:spacing w:after="0" w:line="157" w:lineRule="exact"/>
        <w:rPr>
          <w:sz w:val="20"/>
          <w:szCs w:val="20"/>
          <w:color w:val="auto"/>
        </w:rPr>
      </w:pPr>
    </w:p>
    <w:p>
      <w:pPr>
        <w:jc w:val="both"/>
        <w:ind w:left="1600" w:hanging="2545"/>
        <w:spacing w:after="0" w:line="261" w:lineRule="auto"/>
        <w:tabs>
          <w:tab w:leader="none" w:pos="1580" w:val="left"/>
        </w:tabs>
        <w:rPr>
          <w:sz w:val="20"/>
          <w:szCs w:val="20"/>
          <w:color w:val="auto"/>
        </w:rPr>
      </w:pPr>
      <w:r>
        <w:rPr>
          <w:rFonts w:ascii="Times New Roman" w:cs="Times New Roman" w:eastAsia="Times New Roman" w:hAnsi="Times New Roman"/>
          <w:sz w:val="14"/>
          <w:szCs w:val="14"/>
          <w:color w:val="auto"/>
        </w:rPr>
        <w:t>Settlement Method:</w:t>
        <w:tab/>
        <w:t xml:space="preserve">For any Option, Net Share Settlement;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the Relevant Settlement Method set forth below for such Option is not Net Share Settlement, then the Settlement Method for such Option shall be such Relevant Settlement Method, but only if Counterparty (or any agent authorized by Counterparty and previously identified to Dealer by Counterparty in writing) shall have notified Dealer of the Relevant Settlement Method in the Notice of Final Settlement Method for such Option. If any such agent on behalf of Counterparty provides any such notice, Dealer shall be entitled to rely on the accuracy of such notice without any independent investigation, and the contents of such notice shall be binding on Counterparty.</w:t>
      </w:r>
    </w:p>
    <w:p>
      <w:pPr>
        <w:spacing w:after="0" w:line="283" w:lineRule="exact"/>
        <w:rPr>
          <w:sz w:val="20"/>
          <w:szCs w:val="20"/>
          <w:color w:val="auto"/>
        </w:rPr>
      </w:pPr>
    </w:p>
    <w:p>
      <w:pPr>
        <w:ind w:left="260"/>
        <w:spacing w:after="0"/>
        <w:tabs>
          <w:tab w:leader="none" w:pos="2040" w:val="left"/>
        </w:tabs>
        <w:rPr>
          <w:sz w:val="20"/>
          <w:szCs w:val="20"/>
          <w:color w:val="auto"/>
        </w:rPr>
      </w:pPr>
      <w:r>
        <w:rPr>
          <w:rFonts w:ascii="Times New Roman" w:cs="Times New Roman" w:eastAsia="Times New Roman" w:hAnsi="Times New Roman"/>
          <w:sz w:val="14"/>
          <w:szCs w:val="14"/>
          <w:color w:val="auto"/>
        </w:rPr>
        <w:t>Relevant Settlement Method:</w:t>
        <w:tab/>
        <w:t>In respect of any Option: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780"/>
          </w:cols>
          <w:pgMar w:left="800" w:top="1279" w:right="319" w:bottom="1440" w:gutter="0" w:footer="0" w:header="0"/>
        </w:sectPr>
      </w:pPr>
    </w:p>
    <w:bookmarkStart w:id="129" w:name="page130"/>
    <w:bookmarkEnd w:id="129"/>
    <w:p>
      <w:pPr>
        <w:jc w:val="both"/>
        <w:ind w:left="2560" w:hanging="5"/>
        <w:spacing w:after="0" w:line="264" w:lineRule="auto"/>
        <w:tabs>
          <w:tab w:leader="none" w:pos="2879"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Counterparty has not elected to settle all or any portion of its conversion obligations in respect of the related Convertible Note in excess of the principal amount thereof in cash either by specifying a Cash Percentage of 0% or not timely specifying a Cash Percentage, in each case, pursuant to Section 14.02(a)(iii) of the Indenture, then the Relevant Settlement Method for such Option shall be Net Share Settlement;</w:t>
      </w:r>
    </w:p>
    <w:p>
      <w:pPr>
        <w:spacing w:after="0" w:line="119" w:lineRule="exact"/>
        <w:rPr>
          <w:rFonts w:ascii="Times New Roman" w:cs="Times New Roman" w:eastAsia="Times New Roman" w:hAnsi="Times New Roman"/>
          <w:sz w:val="14"/>
          <w:szCs w:val="14"/>
          <w:color w:val="auto"/>
        </w:rPr>
      </w:pPr>
    </w:p>
    <w:p>
      <w:pPr>
        <w:jc w:val="both"/>
        <w:ind w:left="2560" w:hanging="5"/>
        <w:spacing w:after="0" w:line="270" w:lineRule="auto"/>
        <w:tabs>
          <w:tab w:leader="none" w:pos="2929"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Counterparty has elected to settle its conversion obligations in respect of the related Convertible Note in excess of the principal amount thereof in a combination of cash and Shares by specifying a Cash Percentage less than 100% but greater than 0% pursuant to Section 14.02(a)(iii) of the Indenture, then the Relevant Settlement Method for such Option shall be Combination Settlement; and</w:t>
      </w:r>
    </w:p>
    <w:p>
      <w:pPr>
        <w:spacing w:after="0" w:line="103" w:lineRule="exact"/>
        <w:rPr>
          <w:rFonts w:ascii="Times New Roman" w:cs="Times New Roman" w:eastAsia="Times New Roman" w:hAnsi="Times New Roman"/>
          <w:sz w:val="14"/>
          <w:szCs w:val="14"/>
          <w:color w:val="auto"/>
        </w:rPr>
      </w:pPr>
    </w:p>
    <w:p>
      <w:pPr>
        <w:jc w:val="both"/>
        <w:ind w:left="2560" w:hanging="5"/>
        <w:spacing w:after="0" w:line="270" w:lineRule="auto"/>
        <w:tabs>
          <w:tab w:leader="none" w:pos="2961"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Counterparty has elected to settle its conversion obligations in respect of the related Convertible Note in excess of the principal amount thereof entirely in cash by specifying a Cash Percentage of 100% pursuant to Section 14.02(a)(iii) of the Indenture, then the Relevant Settlement Method for such Option shall be Cash Settlement.</w:t>
      </w:r>
    </w:p>
    <w:p>
      <w:pPr>
        <w:spacing w:after="0" w:line="104" w:lineRule="exact"/>
        <w:rPr>
          <w:sz w:val="20"/>
          <w:szCs w:val="20"/>
          <w:color w:val="auto"/>
        </w:rPr>
      </w:pPr>
    </w:p>
    <w:p>
      <w:pPr>
        <w:jc w:val="both"/>
        <w:ind w:left="1460" w:hanging="2545"/>
        <w:spacing w:after="0" w:line="260" w:lineRule="auto"/>
        <w:tabs>
          <w:tab w:leader="none" w:pos="1440" w:val="left"/>
        </w:tabs>
        <w:rPr>
          <w:sz w:val="20"/>
          <w:szCs w:val="20"/>
          <w:color w:val="auto"/>
        </w:rPr>
      </w:pPr>
      <w:r>
        <w:rPr>
          <w:rFonts w:ascii="Times New Roman" w:cs="Times New Roman" w:eastAsia="Times New Roman" w:hAnsi="Times New Roman"/>
          <w:sz w:val="14"/>
          <w:szCs w:val="14"/>
          <w:color w:val="auto"/>
        </w:rPr>
        <w:t>Net Share Settlement:</w:t>
        <w:tab/>
        <w:t>If Net Share Settlement is applicable to any Option exercised or deemed exercised hereunder, Dealer will deliver to Counterparty, on the relevant Settlement Date for each such Option, a number of Shares (the “</w:t>
      </w:r>
      <w:r>
        <w:rPr>
          <w:rFonts w:ascii="Times New Roman" w:cs="Times New Roman" w:eastAsia="Times New Roman" w:hAnsi="Times New Roman"/>
          <w:sz w:val="14"/>
          <w:szCs w:val="14"/>
          <w:b w:val="1"/>
          <w:bCs w:val="1"/>
          <w:color w:val="auto"/>
        </w:rPr>
        <w:t>Net Share Settlement Amount</w:t>
      </w:r>
      <w:r>
        <w:rPr>
          <w:rFonts w:ascii="Times New Roman" w:cs="Times New Roman" w:eastAsia="Times New Roman" w:hAnsi="Times New Roman"/>
          <w:sz w:val="14"/>
          <w:szCs w:val="14"/>
          <w:color w:val="auto"/>
        </w:rPr>
        <w:t xml:space="preserve">”) equal to the sum, for each Valid Day during the Settlement Averaging Period for each such Option, of (i) (a) the Daily Option Value for such Valid Day, </w:t>
      </w:r>
      <w:r>
        <w:rPr>
          <w:rFonts w:ascii="Times New Roman" w:cs="Times New Roman" w:eastAsia="Times New Roman" w:hAnsi="Times New Roman"/>
          <w:sz w:val="14"/>
          <w:szCs w:val="14"/>
          <w:i w:val="1"/>
          <w:iCs w:val="1"/>
          <w:color w:val="auto"/>
        </w:rPr>
        <w:t>divided by</w:t>
      </w:r>
      <w:r>
        <w:rPr>
          <w:rFonts w:ascii="Times New Roman" w:cs="Times New Roman" w:eastAsia="Times New Roman" w:hAnsi="Times New Roman"/>
          <w:sz w:val="14"/>
          <w:szCs w:val="14"/>
          <w:color w:val="auto"/>
        </w:rPr>
        <w:t xml:space="preserve"> (b) the Relevant Price on such Valid Day, </w:t>
      </w:r>
      <w:r>
        <w:rPr>
          <w:rFonts w:ascii="Times New Roman" w:cs="Times New Roman" w:eastAsia="Times New Roman" w:hAnsi="Times New Roman"/>
          <w:sz w:val="14"/>
          <w:szCs w:val="14"/>
          <w:i w:val="1"/>
          <w:iCs w:val="1"/>
          <w:color w:val="auto"/>
        </w:rPr>
        <w:t>divided by</w:t>
      </w:r>
      <w:r>
        <w:rPr>
          <w:rFonts w:ascii="Times New Roman" w:cs="Times New Roman" w:eastAsia="Times New Roman" w:hAnsi="Times New Roman"/>
          <w:sz w:val="14"/>
          <w:szCs w:val="14"/>
          <w:color w:val="auto"/>
        </w:rPr>
        <w:t xml:space="preserve"> (ii) the number of Valid Days in the Settlement Averaging Period;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no event shall the Net Share Settlement Amount for any Option exceed a number of Shares equal to the Applicable Limit for such Option </w:t>
      </w:r>
      <w:r>
        <w:rPr>
          <w:rFonts w:ascii="Times New Roman" w:cs="Times New Roman" w:eastAsia="Times New Roman" w:hAnsi="Times New Roman"/>
          <w:sz w:val="14"/>
          <w:szCs w:val="14"/>
          <w:i w:val="1"/>
          <w:iCs w:val="1"/>
          <w:color w:val="auto"/>
        </w:rPr>
        <w:t>divided by</w:t>
      </w:r>
      <w:r>
        <w:rPr>
          <w:rFonts w:ascii="Times New Roman" w:cs="Times New Roman" w:eastAsia="Times New Roman" w:hAnsi="Times New Roman"/>
          <w:sz w:val="14"/>
          <w:szCs w:val="14"/>
          <w:color w:val="auto"/>
        </w:rPr>
        <w:t xml:space="preserve"> the Applicable Limit Price on the Settlement Date for such Option.</w:t>
      </w:r>
    </w:p>
    <w:p>
      <w:pPr>
        <w:spacing w:after="0" w:line="295" w:lineRule="exact"/>
        <w:rPr>
          <w:sz w:val="20"/>
          <w:szCs w:val="20"/>
          <w:color w:val="auto"/>
        </w:rPr>
      </w:pPr>
    </w:p>
    <w:p>
      <w:pPr>
        <w:ind w:left="2560" w:hanging="2395"/>
        <w:spacing w:after="0" w:line="287" w:lineRule="auto"/>
        <w:rPr>
          <w:sz w:val="20"/>
          <w:szCs w:val="20"/>
          <w:color w:val="auto"/>
        </w:rPr>
      </w:pPr>
      <w:r>
        <w:rPr>
          <w:rFonts w:ascii="Times New Roman" w:cs="Times New Roman" w:eastAsia="Times New Roman" w:hAnsi="Times New Roman"/>
          <w:sz w:val="14"/>
          <w:szCs w:val="14"/>
          <w:color w:val="auto"/>
        </w:rPr>
        <w:t>Dealer will pay cash in lieu of delivering any fractional Shares to be delivered with respect to any Net Share Settlement Amount valued at the Relevant Price for the last Valid Day of the Settlement Averaging Period.</w:t>
      </w:r>
    </w:p>
    <w:p>
      <w:pPr>
        <w:spacing w:after="0" w:line="92"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4"/>
          <w:szCs w:val="14"/>
          <w:color w:val="auto"/>
        </w:rPr>
        <w:t>Combination Settlement:</w:t>
      </w:r>
      <w:r>
        <w:rPr>
          <w:sz w:val="20"/>
          <w:szCs w:val="20"/>
          <w:color w:val="auto"/>
        </w:rPr>
        <w:tab/>
      </w:r>
      <w:r>
        <w:rPr>
          <w:rFonts w:ascii="Times New Roman" w:cs="Times New Roman" w:eastAsia="Times New Roman" w:hAnsi="Times New Roman"/>
          <w:sz w:val="14"/>
          <w:szCs w:val="14"/>
          <w:color w:val="auto"/>
        </w:rPr>
        <w:t>If Combination Settlement is applicable to any Option exercised or deemed exercised hereunder, Dealer will pay or deliver, as the case may be, to</w:t>
      </w:r>
    </w:p>
    <w:p>
      <w:pPr>
        <w:spacing w:after="0" w:line="2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4"/>
          <w:szCs w:val="14"/>
          <w:color w:val="auto"/>
        </w:rPr>
        <w:t>Counterparty, on the relevant Settlement Date for each such Option:</w:t>
      </w:r>
    </w:p>
    <w:p>
      <w:pPr>
        <w:spacing w:after="0" w:line="130" w:lineRule="exact"/>
        <w:rPr>
          <w:sz w:val="20"/>
          <w:szCs w:val="20"/>
          <w:color w:val="auto"/>
        </w:rPr>
      </w:pPr>
    </w:p>
    <w:p>
      <w:pPr>
        <w:ind w:left="2940" w:hanging="385"/>
        <w:spacing w:after="0" w:line="290" w:lineRule="auto"/>
        <w:tabs>
          <w:tab w:leader="none" w:pos="283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(the “</w:t>
      </w:r>
      <w:r>
        <w:rPr>
          <w:rFonts w:ascii="Times New Roman" w:cs="Times New Roman" w:eastAsia="Times New Roman" w:hAnsi="Times New Roman"/>
          <w:sz w:val="14"/>
          <w:szCs w:val="14"/>
          <w:b w:val="1"/>
          <w:bCs w:val="1"/>
          <w:color w:val="auto"/>
        </w:rPr>
        <w:t>Combination Settlement Cash Amount</w:t>
      </w:r>
      <w:r>
        <w:rPr>
          <w:rFonts w:ascii="Times New Roman" w:cs="Times New Roman" w:eastAsia="Times New Roman" w:hAnsi="Times New Roman"/>
          <w:sz w:val="14"/>
          <w:szCs w:val="14"/>
          <w:color w:val="auto"/>
        </w:rPr>
        <w:t>”) equal to the sum, for each Valid Day during the Settlement Averaging Period for such</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520"/>
          </w:cols>
          <w:pgMar w:left="1060" w:top="1281" w:right="319" w:bottom="1440" w:gutter="0" w:footer="0" w:header="0"/>
        </w:sectPr>
      </w:pPr>
    </w:p>
    <w:bookmarkStart w:id="130" w:name="page131"/>
    <w:bookmarkEnd w:id="130"/>
    <w:p>
      <w:pPr>
        <w:ind w:left="2940"/>
        <w:spacing w:after="0"/>
        <w:rPr>
          <w:sz w:val="20"/>
          <w:szCs w:val="20"/>
          <w:color w:val="auto"/>
        </w:rPr>
      </w:pPr>
      <w:r>
        <w:rPr>
          <w:rFonts w:ascii="Times New Roman" w:cs="Times New Roman" w:eastAsia="Times New Roman" w:hAnsi="Times New Roman"/>
          <w:sz w:val="14"/>
          <w:szCs w:val="14"/>
          <w:color w:val="auto"/>
        </w:rPr>
        <w:t>Option, of (A) an amount (the “</w:t>
      </w:r>
      <w:r>
        <w:rPr>
          <w:rFonts w:ascii="Times New Roman" w:cs="Times New Roman" w:eastAsia="Times New Roman" w:hAnsi="Times New Roman"/>
          <w:sz w:val="14"/>
          <w:szCs w:val="14"/>
          <w:b w:val="1"/>
          <w:bCs w:val="1"/>
          <w:color w:val="auto"/>
        </w:rPr>
        <w:t>Daily Combination Settlement Cash Amount</w:t>
      </w:r>
      <w:r>
        <w:rPr>
          <w:rFonts w:ascii="Times New Roman" w:cs="Times New Roman" w:eastAsia="Times New Roman" w:hAnsi="Times New Roman"/>
          <w:sz w:val="14"/>
          <w:szCs w:val="14"/>
          <w:color w:val="auto"/>
        </w:rPr>
        <w:t>”) equal to the product of (1) the Cash Percentage and</w:t>
      </w:r>
    </w:p>
    <w:p>
      <w:pPr>
        <w:spacing w:after="0" w:line="25" w:lineRule="exact"/>
        <w:rPr>
          <w:sz w:val="20"/>
          <w:szCs w:val="20"/>
          <w:color w:val="auto"/>
        </w:rPr>
      </w:pPr>
    </w:p>
    <w:p>
      <w:pPr>
        <w:jc w:val="both"/>
        <w:ind w:left="2940" w:firstLine="1"/>
        <w:spacing w:after="0" w:line="259" w:lineRule="auto"/>
        <w:tabs>
          <w:tab w:leader="none" w:pos="3166"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Daily Option Value, </w:t>
      </w:r>
      <w:r>
        <w:rPr>
          <w:rFonts w:ascii="Times New Roman" w:cs="Times New Roman" w:eastAsia="Times New Roman" w:hAnsi="Times New Roman"/>
          <w:sz w:val="14"/>
          <w:szCs w:val="14"/>
          <w:i w:val="1"/>
          <w:iCs w:val="1"/>
          <w:color w:val="auto"/>
        </w:rPr>
        <w:t>divided by</w:t>
      </w:r>
      <w:r>
        <w:rPr>
          <w:rFonts w:ascii="Times New Roman" w:cs="Times New Roman" w:eastAsia="Times New Roman" w:hAnsi="Times New Roman"/>
          <w:sz w:val="14"/>
          <w:szCs w:val="14"/>
          <w:color w:val="auto"/>
        </w:rPr>
        <w:t xml:space="preserve"> (B) the number of Valid Days in the Settlement Averaging Period;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the calculation in clause (A) above results in zero or a negative number for any Valid Day, the Daily Combination Settlement Cash Amount for such Valid Day shall be deemed to be zero; and</w:t>
      </w:r>
    </w:p>
    <w:p>
      <w:pPr>
        <w:spacing w:after="0" w:line="120" w:lineRule="exact"/>
        <w:rPr>
          <w:rFonts w:ascii="Times New Roman" w:cs="Times New Roman" w:eastAsia="Times New Roman" w:hAnsi="Times New Roman"/>
          <w:sz w:val="14"/>
          <w:szCs w:val="14"/>
          <w:color w:val="auto"/>
        </w:rPr>
      </w:pPr>
    </w:p>
    <w:p>
      <w:pPr>
        <w:jc w:val="right"/>
        <w:ind w:left="2940" w:hanging="385"/>
        <w:spacing w:after="0" w:line="265" w:lineRule="auto"/>
        <w:tabs>
          <w:tab w:leader="none" w:pos="2875"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(the “</w:t>
      </w:r>
      <w:r>
        <w:rPr>
          <w:rFonts w:ascii="Times New Roman" w:cs="Times New Roman" w:eastAsia="Times New Roman" w:hAnsi="Times New Roman"/>
          <w:sz w:val="14"/>
          <w:szCs w:val="14"/>
          <w:b w:val="1"/>
          <w:bCs w:val="1"/>
          <w:color w:val="auto"/>
        </w:rPr>
        <w:t>Combination Settlement Share Amount</w:t>
      </w:r>
      <w:r>
        <w:rPr>
          <w:rFonts w:ascii="Times New Roman" w:cs="Times New Roman" w:eastAsia="Times New Roman" w:hAnsi="Times New Roman"/>
          <w:sz w:val="14"/>
          <w:szCs w:val="14"/>
          <w:color w:val="auto"/>
        </w:rPr>
        <w:t>”) equal to the sum, for each Valid Day during the Settlement Averaging Period for such Option, of a number of Shares for such Valid Day (the “</w:t>
      </w:r>
      <w:r>
        <w:rPr>
          <w:rFonts w:ascii="Times New Roman" w:cs="Times New Roman" w:eastAsia="Times New Roman" w:hAnsi="Times New Roman"/>
          <w:sz w:val="14"/>
          <w:szCs w:val="14"/>
          <w:b w:val="1"/>
          <w:bCs w:val="1"/>
          <w:color w:val="auto"/>
        </w:rPr>
        <w:t>Daily Combination Settlement Share Amount</w:t>
      </w:r>
      <w:r>
        <w:rPr>
          <w:rFonts w:ascii="Times New Roman" w:cs="Times New Roman" w:eastAsia="Times New Roman" w:hAnsi="Times New Roman"/>
          <w:sz w:val="14"/>
          <w:szCs w:val="14"/>
          <w:color w:val="auto"/>
        </w:rPr>
        <w:t>”) equal to (A)</w:t>
      </w:r>
    </w:p>
    <w:p>
      <w:pPr>
        <w:ind w:left="3140" w:hanging="199"/>
        <w:spacing w:after="0"/>
        <w:tabs>
          <w:tab w:leader="none" w:pos="31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Daily Option Value on such Valid Day </w:t>
      </w: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xml:space="preserve"> the Daily Combination Settlement Cash Amount for such Valid Day, </w:t>
      </w:r>
      <w:r>
        <w:rPr>
          <w:rFonts w:ascii="Times New Roman" w:cs="Times New Roman" w:eastAsia="Times New Roman" w:hAnsi="Times New Roman"/>
          <w:sz w:val="14"/>
          <w:szCs w:val="14"/>
          <w:i w:val="1"/>
          <w:iCs w:val="1"/>
          <w:color w:val="auto"/>
        </w:rPr>
        <w:t>divided by</w:t>
      </w:r>
    </w:p>
    <w:p>
      <w:pPr>
        <w:spacing w:after="0" w:line="8" w:lineRule="exact"/>
        <w:rPr>
          <w:rFonts w:ascii="Times New Roman" w:cs="Times New Roman" w:eastAsia="Times New Roman" w:hAnsi="Times New Roman"/>
          <w:sz w:val="14"/>
          <w:szCs w:val="14"/>
          <w:color w:val="auto"/>
        </w:rPr>
      </w:pPr>
    </w:p>
    <w:p>
      <w:pPr>
        <w:jc w:val="both"/>
        <w:ind w:left="2940" w:firstLine="1"/>
        <w:spacing w:after="0" w:line="259" w:lineRule="auto"/>
        <w:tabs>
          <w:tab w:leader="none" w:pos="3143"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Relevant Price on such Valid Day, </w:t>
      </w:r>
      <w:r>
        <w:rPr>
          <w:rFonts w:ascii="Times New Roman" w:cs="Times New Roman" w:eastAsia="Times New Roman" w:hAnsi="Times New Roman"/>
          <w:sz w:val="14"/>
          <w:szCs w:val="14"/>
          <w:i w:val="1"/>
          <w:iCs w:val="1"/>
          <w:color w:val="auto"/>
        </w:rPr>
        <w:t>divided by</w:t>
      </w:r>
      <w:r>
        <w:rPr>
          <w:rFonts w:ascii="Times New Roman" w:cs="Times New Roman" w:eastAsia="Times New Roman" w:hAnsi="Times New Roman"/>
          <w:sz w:val="14"/>
          <w:szCs w:val="14"/>
          <w:color w:val="auto"/>
        </w:rPr>
        <w:t xml:space="preserve"> (B) the number of Valid Days in the Settlement Averaging Period;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the calculation in sub-clause (A)(1) above results in zero or a negative number for any Valid Day, the Daily Combination Settlement Share Amount for such Valid Day shall be deemed to be zero;</w:t>
      </w:r>
    </w:p>
    <w:p>
      <w:pPr>
        <w:spacing w:after="0" w:line="110" w:lineRule="exact"/>
        <w:rPr>
          <w:sz w:val="20"/>
          <w:szCs w:val="20"/>
          <w:color w:val="auto"/>
        </w:rPr>
      </w:pPr>
    </w:p>
    <w:p>
      <w:pPr>
        <w:ind w:left="2560" w:hanging="2404"/>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that in no event shall the sum of (x) the Combination Settlement Cash Amount for any Option and (y) the Combination Settlement Share Amount for such Option</w:t>
      </w:r>
      <w:r>
        <w:rPr>
          <w:rFonts w:ascii="Times New Roman" w:cs="Times New Roman" w:eastAsia="Times New Roman" w:hAnsi="Times New Roman"/>
          <w:sz w:val="14"/>
          <w:szCs w:val="14"/>
          <w:i w:val="1"/>
          <w:iCs w:val="1"/>
          <w:color w:val="auto"/>
        </w:rPr>
        <w:t xml:space="preserve"> multiplied by </w:t>
      </w:r>
      <w:r>
        <w:rPr>
          <w:rFonts w:ascii="Times New Roman" w:cs="Times New Roman" w:eastAsia="Times New Roman" w:hAnsi="Times New Roman"/>
          <w:sz w:val="14"/>
          <w:szCs w:val="14"/>
          <w:color w:val="auto"/>
        </w:rPr>
        <w:t>the Applicable Limit Price on the Settlement Date for such Option, exceed the Applicable Limit for such Option.</w:t>
      </w:r>
    </w:p>
    <w:p>
      <w:pPr>
        <w:spacing w:after="0" w:line="90" w:lineRule="exact"/>
        <w:rPr>
          <w:sz w:val="20"/>
          <w:szCs w:val="20"/>
          <w:color w:val="auto"/>
        </w:rPr>
      </w:pPr>
    </w:p>
    <w:p>
      <w:pPr>
        <w:ind w:left="2560" w:hanging="2367"/>
        <w:spacing w:after="0" w:line="287" w:lineRule="auto"/>
        <w:rPr>
          <w:sz w:val="20"/>
          <w:szCs w:val="20"/>
          <w:color w:val="auto"/>
        </w:rPr>
      </w:pPr>
      <w:r>
        <w:rPr>
          <w:rFonts w:ascii="Times New Roman" w:cs="Times New Roman" w:eastAsia="Times New Roman" w:hAnsi="Times New Roman"/>
          <w:sz w:val="14"/>
          <w:szCs w:val="14"/>
          <w:color w:val="auto"/>
        </w:rPr>
        <w:t>Dealer will pay cash in lieu of delivering any fractional Shares to be delivered with respect to any Combination Settlement Share Amount valued at the Relevant Price for the last Valid Day of the Settlement Averaging Period.</w:t>
      </w:r>
    </w:p>
    <w:p>
      <w:pPr>
        <w:spacing w:after="0" w:line="103" w:lineRule="exact"/>
        <w:rPr>
          <w:sz w:val="20"/>
          <w:szCs w:val="20"/>
          <w:color w:val="auto"/>
        </w:rPr>
      </w:pPr>
    </w:p>
    <w:p>
      <w:pPr>
        <w:jc w:val="both"/>
        <w:ind w:left="1220" w:hanging="2545"/>
        <w:spacing w:after="0" w:line="263" w:lineRule="auto"/>
        <w:tabs>
          <w:tab w:leader="none" w:pos="1200" w:val="left"/>
        </w:tabs>
        <w:rPr>
          <w:sz w:val="20"/>
          <w:szCs w:val="20"/>
          <w:color w:val="auto"/>
        </w:rPr>
      </w:pPr>
      <w:r>
        <w:rPr>
          <w:rFonts w:ascii="Times New Roman" w:cs="Times New Roman" w:eastAsia="Times New Roman" w:hAnsi="Times New Roman"/>
          <w:sz w:val="14"/>
          <w:szCs w:val="14"/>
          <w:color w:val="auto"/>
        </w:rPr>
        <w:t>Cash Settlement:</w:t>
        <w:tab/>
        <w:t>If Cash Settlement is applicable to any Option exercised or deemed exercised hereunder, in lieu of Section 8.1 of the Equity Definitions, Dealer will pay to Counterparty, on the relevant Settlement Date for each such Option, an amount of cash (the “</w:t>
      </w:r>
      <w:r>
        <w:rPr>
          <w:rFonts w:ascii="Times New Roman" w:cs="Times New Roman" w:eastAsia="Times New Roman" w:hAnsi="Times New Roman"/>
          <w:sz w:val="14"/>
          <w:szCs w:val="14"/>
          <w:b w:val="1"/>
          <w:bCs w:val="1"/>
          <w:color w:val="auto"/>
        </w:rPr>
        <w:t>Cash Settlement Amount</w:t>
      </w:r>
      <w:r>
        <w:rPr>
          <w:rFonts w:ascii="Times New Roman" w:cs="Times New Roman" w:eastAsia="Times New Roman" w:hAnsi="Times New Roman"/>
          <w:sz w:val="14"/>
          <w:szCs w:val="14"/>
          <w:color w:val="auto"/>
        </w:rPr>
        <w:t xml:space="preserve">”) equal to the sum, for each Valid Day during the Settlement Averaging Period for such Option, of (i) the Daily Option Value for such Valid Day, </w:t>
      </w:r>
      <w:r>
        <w:rPr>
          <w:rFonts w:ascii="Times New Roman" w:cs="Times New Roman" w:eastAsia="Times New Roman" w:hAnsi="Times New Roman"/>
          <w:sz w:val="14"/>
          <w:szCs w:val="14"/>
          <w:i w:val="1"/>
          <w:iCs w:val="1"/>
          <w:color w:val="auto"/>
        </w:rPr>
        <w:t>divided by</w:t>
      </w:r>
      <w:r>
        <w:rPr>
          <w:rFonts w:ascii="Times New Roman" w:cs="Times New Roman" w:eastAsia="Times New Roman" w:hAnsi="Times New Roman"/>
          <w:sz w:val="14"/>
          <w:szCs w:val="14"/>
          <w:color w:val="auto"/>
        </w:rPr>
        <w:t xml:space="preserve"> (ii) the number of Valid Days in the Settlement Averaging Period;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no event shall the Cash Settlement Amount for any Option exceed the Applicable Limit for such Option.</w:t>
      </w:r>
    </w:p>
    <w:p>
      <w:pPr>
        <w:spacing w:after="0" w:line="279"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4"/>
          <w:szCs w:val="14"/>
          <w:color w:val="auto"/>
        </w:rPr>
        <w:t>Daily Option Value:</w:t>
        <w:tab/>
        <w:t xml:space="preserve">For any Valid Day, an amount equal to (i) the Option Entitlement on such Valid Day, </w:t>
      </w:r>
      <w:r>
        <w:rPr>
          <w:rFonts w:ascii="Times New Roman" w:cs="Times New Roman" w:eastAsia="Times New Roman" w:hAnsi="Times New Roman"/>
          <w:sz w:val="14"/>
          <w:szCs w:val="14"/>
          <w:i w:val="1"/>
          <w:iCs w:val="1"/>
          <w:color w:val="auto"/>
        </w:rPr>
        <w:t>multiplied by</w:t>
      </w:r>
      <w:r>
        <w:rPr>
          <w:rFonts w:ascii="Times New Roman" w:cs="Times New Roman" w:eastAsia="Times New Roman" w:hAnsi="Times New Roman"/>
          <w:sz w:val="14"/>
          <w:szCs w:val="14"/>
          <w:color w:val="auto"/>
        </w:rPr>
        <w:t xml:space="preserve"> (ii) (A) the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520"/>
          </w:cols>
          <w:pgMar w:left="1060" w:top="1279" w:right="319" w:bottom="1440" w:gutter="0" w:footer="0" w:header="0"/>
        </w:sectPr>
      </w:pPr>
    </w:p>
    <w:bookmarkStart w:id="131" w:name="page132"/>
    <w:bookmarkEnd w:id="131"/>
    <w:p>
      <w:pPr>
        <w:jc w:val="both"/>
        <w:ind w:left="2560"/>
        <w:spacing w:after="0" w:line="271" w:lineRule="auto"/>
        <w:rPr>
          <w:sz w:val="20"/>
          <w:szCs w:val="20"/>
          <w:color w:val="auto"/>
        </w:rPr>
      </w:pPr>
      <w:r>
        <w:rPr>
          <w:rFonts w:ascii="Times New Roman" w:cs="Times New Roman" w:eastAsia="Times New Roman" w:hAnsi="Times New Roman"/>
          <w:sz w:val="14"/>
          <w:szCs w:val="14"/>
          <w:color w:val="auto"/>
        </w:rPr>
        <w:t xml:space="preserve">lesser of the Relevant Price on such Valid Day and the Cap Price, </w:t>
      </w:r>
      <w:r>
        <w:rPr>
          <w:rFonts w:ascii="Times New Roman" w:cs="Times New Roman" w:eastAsia="Times New Roman" w:hAnsi="Times New Roman"/>
          <w:sz w:val="14"/>
          <w:szCs w:val="14"/>
          <w:i w:val="1"/>
          <w:iCs w:val="1"/>
          <w:color w:val="auto"/>
        </w:rPr>
        <w:t>less</w:t>
      </w:r>
      <w:r>
        <w:rPr>
          <w:rFonts w:ascii="Times New Roman" w:cs="Times New Roman" w:eastAsia="Times New Roman" w:hAnsi="Times New Roman"/>
          <w:sz w:val="14"/>
          <w:szCs w:val="14"/>
          <w:color w:val="auto"/>
        </w:rPr>
        <w:t xml:space="preserve"> (B) the Strike Price on such Valid Day;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the calculation contained in clause (ii) above results in a negative number, the Daily Option Value for such Valid Day shall be deemed to be zero. In no event will the Daily Option Value be less than zero.</w:t>
      </w:r>
    </w:p>
    <w:p>
      <w:pPr>
        <w:spacing w:after="0" w:line="112" w:lineRule="exact"/>
        <w:rPr>
          <w:sz w:val="20"/>
          <w:szCs w:val="20"/>
          <w:color w:val="auto"/>
        </w:rPr>
      </w:pPr>
    </w:p>
    <w:p>
      <w:pPr>
        <w:jc w:val="both"/>
        <w:ind w:left="1160" w:hanging="2545"/>
        <w:spacing w:after="0" w:line="265" w:lineRule="auto"/>
        <w:tabs>
          <w:tab w:leader="none" w:pos="1140" w:val="left"/>
        </w:tabs>
        <w:rPr>
          <w:sz w:val="20"/>
          <w:szCs w:val="20"/>
          <w:color w:val="auto"/>
        </w:rPr>
      </w:pPr>
      <w:r>
        <w:rPr>
          <w:rFonts w:ascii="Times New Roman" w:cs="Times New Roman" w:eastAsia="Times New Roman" w:hAnsi="Times New Roman"/>
          <w:sz w:val="14"/>
          <w:szCs w:val="14"/>
          <w:color w:val="auto"/>
        </w:rPr>
        <w:t>Applicable Limit:</w:t>
        <w:tab/>
        <w:t xml:space="preserve">For any Option, an amount of cash equal to the Applicable Percentage </w:t>
      </w:r>
      <w:r>
        <w:rPr>
          <w:rFonts w:ascii="Times New Roman" w:cs="Times New Roman" w:eastAsia="Times New Roman" w:hAnsi="Times New Roman"/>
          <w:sz w:val="14"/>
          <w:szCs w:val="14"/>
          <w:i w:val="1"/>
          <w:iCs w:val="1"/>
          <w:color w:val="auto"/>
        </w:rPr>
        <w:t>multiplied by</w:t>
      </w:r>
      <w:r>
        <w:rPr>
          <w:rFonts w:ascii="Times New Roman" w:cs="Times New Roman" w:eastAsia="Times New Roman" w:hAnsi="Times New Roman"/>
          <w:sz w:val="14"/>
          <w:szCs w:val="14"/>
          <w:color w:val="auto"/>
        </w:rPr>
        <w:t xml:space="preserve"> the excess of (i) the aggregate of (A) the amount of cash paid to the “Holder” (as such term is defined in the Indenture) of the related Convertible Note upon conversion of such Convertible Note and (B) the number of Shares, if any, delivered to the “Holder” (as such term is defined in the Indenture) of the related Convertible Note upon conversion of such Convertible Note </w:t>
      </w:r>
      <w:r>
        <w:rPr>
          <w:rFonts w:ascii="Times New Roman" w:cs="Times New Roman" w:eastAsia="Times New Roman" w:hAnsi="Times New Roman"/>
          <w:sz w:val="14"/>
          <w:szCs w:val="14"/>
          <w:i w:val="1"/>
          <w:iCs w:val="1"/>
          <w:color w:val="auto"/>
        </w:rPr>
        <w:t>multiplied by</w:t>
      </w:r>
      <w:r>
        <w:rPr>
          <w:rFonts w:ascii="Times New Roman" w:cs="Times New Roman" w:eastAsia="Times New Roman" w:hAnsi="Times New Roman"/>
          <w:sz w:val="14"/>
          <w:szCs w:val="14"/>
          <w:color w:val="auto"/>
        </w:rPr>
        <w:t xml:space="preserve"> the Applicable Limit Price on the Settlement Date for such Option, over (ii) USD 1,000.</w:t>
      </w:r>
    </w:p>
    <w:p>
      <w:pPr>
        <w:spacing w:after="0" w:line="108"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4"/>
          <w:szCs w:val="14"/>
          <w:color w:val="auto"/>
        </w:rPr>
        <w:t>Applicable Limit Price:</w:t>
        <w:tab/>
        <w:t>On any day, the opening price as displayed under the heading “Op” on Bloomberg page HOOD &lt;equity&gt; (or any successor thereto).</w:t>
      </w:r>
    </w:p>
    <w:p>
      <w:pPr>
        <w:spacing w:after="0" w:line="14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Valid Day:</w:t>
        <w:tab/>
        <w:t>A “Trading Day” for purposes of determining the amounts due upon conversion of the Convertible Notes as defined in the Indenture.</w:t>
      </w:r>
    </w:p>
    <w:p>
      <w:pPr>
        <w:spacing w:after="0" w:line="157"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4"/>
          <w:szCs w:val="14"/>
          <w:color w:val="auto"/>
        </w:rPr>
        <w:t>Scheduled Valid Day:</w:t>
        <w:tab/>
        <w:t>A “Scheduled Trading Day” as defined in the Indenture.</w:t>
      </w:r>
    </w:p>
    <w:p>
      <w:pPr>
        <w:spacing w:after="0" w:line="14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4"/>
          <w:szCs w:val="14"/>
          <w:color w:val="auto"/>
        </w:rPr>
        <w:t>Business Day:</w:t>
        <w:tab/>
        <w:t>A “Business Day” as defined in the Indenture.</w:t>
      </w:r>
    </w:p>
    <w:p>
      <w:pPr>
        <w:spacing w:after="0" w:line="147" w:lineRule="exact"/>
        <w:rPr>
          <w:sz w:val="20"/>
          <w:szCs w:val="20"/>
          <w:color w:val="auto"/>
        </w:rPr>
      </w:pPr>
    </w:p>
    <w:p>
      <w:pPr>
        <w:jc w:val="both"/>
        <w:ind w:left="1020" w:hanging="2545"/>
        <w:spacing w:after="0" w:line="260" w:lineRule="auto"/>
        <w:tabs>
          <w:tab w:leader="none" w:pos="1000" w:val="left"/>
        </w:tabs>
        <w:rPr>
          <w:sz w:val="20"/>
          <w:szCs w:val="20"/>
          <w:color w:val="auto"/>
        </w:rPr>
      </w:pPr>
      <w:r>
        <w:rPr>
          <w:rFonts w:ascii="Times New Roman" w:cs="Times New Roman" w:eastAsia="Times New Roman" w:hAnsi="Times New Roman"/>
          <w:sz w:val="14"/>
          <w:szCs w:val="14"/>
          <w:color w:val="auto"/>
        </w:rPr>
        <w:t>Relevant Price:</w:t>
        <w:tab/>
        <w:t>On any Valid Day, the per Share volume-weighted average price as displayed under the heading “Bloomberg VWAP” on Bloomberg page HOOD &lt;equity&gt; AQR (or its equivalent successor if such page is not available) in respect of the period from the scheduled open of trading on the Exchange to the Scheduled Closing Time of the Exchange on such Valid Day (or if such volume-weighted average price is unavailable at such time, the market value of one Share on such Valid Day, as determined by the Calculation Agent in a commercially reasonable manner using, if practicable, a volume-weighted average method). The Relevant Price will be determined without regard to after-hours trading or any other trading outside of the regular trading session trading hours.</w:t>
      </w:r>
    </w:p>
    <w:p>
      <w:pPr>
        <w:spacing w:after="0" w:line="292"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4"/>
          <w:szCs w:val="14"/>
          <w:color w:val="auto"/>
        </w:rPr>
        <w:t>Settlement Averaging Period:</w:t>
        <w:tab/>
        <w:t>For any Option, the 20 consecutive Valid Days commencing on, and including, the 21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color w:val="auto"/>
        </w:rPr>
        <w:t xml:space="preserve"> Scheduled Valid Day immediately prior to the Expiration Date.</w:t>
      </w:r>
    </w:p>
    <w:p>
      <w:pPr>
        <w:spacing w:after="0" w:line="104"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4"/>
          <w:szCs w:val="14"/>
          <w:color w:val="auto"/>
        </w:rPr>
        <w:t>Settlement Date:</w:t>
        <w:tab/>
        <w:t>For any Option, the second Business Day immediately following the final Valid Day of the Settlement Averaging Period for such Option.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520"/>
          </w:cols>
          <w:pgMar w:left="1060" w:top="1279" w:right="319" w:bottom="1440" w:gutter="0" w:footer="0" w:header="0"/>
        </w:sectPr>
      </w:pPr>
    </w:p>
    <w:bookmarkStart w:id="132" w:name="page133"/>
    <w:bookmarkEnd w:id="132"/>
    <w:p>
      <w:pPr>
        <w:ind w:left="760"/>
        <w:spacing w:after="0"/>
        <w:rPr>
          <w:sz w:val="20"/>
          <w:szCs w:val="20"/>
          <w:color w:val="auto"/>
        </w:rPr>
      </w:pPr>
      <w:r>
        <w:rPr>
          <w:rFonts w:ascii="Times New Roman" w:cs="Times New Roman" w:eastAsia="Times New Roman" w:hAnsi="Times New Roman"/>
          <w:sz w:val="14"/>
          <w:szCs w:val="14"/>
          <w:color w:val="auto"/>
        </w:rPr>
        <w:t>Settlement Currency: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USD</w:t>
      </w:r>
    </w:p>
    <w:p>
      <w:pPr>
        <w:spacing w:after="0" w:line="157" w:lineRule="exact"/>
        <w:rPr>
          <w:sz w:val="20"/>
          <w:szCs w:val="20"/>
          <w:color w:val="auto"/>
        </w:rPr>
      </w:pPr>
    </w:p>
    <w:p>
      <w:pPr>
        <w:sectPr>
          <w:pgSz w:w="11900" w:h="16838" w:orient="portrait"/>
          <w:cols w:equalWidth="0" w:num="2">
            <w:col w:w="1980" w:space="140"/>
            <w:col w:w="9160"/>
          </w:cols>
          <w:pgMar w:left="300" w:top="1281" w:right="319" w:bottom="1440" w:gutter="0" w:footer="0" w:header="0"/>
        </w:sectPr>
      </w:pPr>
    </w:p>
    <w:p>
      <w:pPr>
        <w:ind w:left="760"/>
        <w:spacing w:after="0"/>
        <w:rPr>
          <w:sz w:val="20"/>
          <w:szCs w:val="20"/>
          <w:color w:val="auto"/>
        </w:rPr>
      </w:pPr>
      <w:r>
        <w:rPr>
          <w:rFonts w:ascii="Times New Roman" w:cs="Times New Roman" w:eastAsia="Times New Roman" w:hAnsi="Times New Roman"/>
          <w:sz w:val="14"/>
          <w:szCs w:val="14"/>
          <w:color w:val="auto"/>
        </w:rPr>
        <w:t>Other Applicable Provisions:</w:t>
      </w:r>
    </w:p>
    <w:p>
      <w:pPr>
        <w:spacing w:after="0" w:line="20" w:lineRule="exact"/>
        <w:rPr>
          <w:sz w:val="20"/>
          <w:szCs w:val="20"/>
          <w:color w:val="auto"/>
        </w:rPr>
      </w:pPr>
      <w:r>
        <w:rPr>
          <w:sz w:val="20"/>
          <w:szCs w:val="20"/>
          <w:color w:val="auto"/>
        </w:rPr>
        <w:br w:type="column"/>
      </w:r>
    </w:p>
    <w:p>
      <w:pPr>
        <w:jc w:val="both"/>
        <w:ind w:hanging="578"/>
        <w:spacing w:after="0" w:line="270" w:lineRule="auto"/>
        <w:rPr>
          <w:sz w:val="20"/>
          <w:szCs w:val="20"/>
          <w:color w:val="auto"/>
        </w:rPr>
      </w:pPr>
      <w:r>
        <w:rPr>
          <w:rFonts w:ascii="Times New Roman" w:cs="Times New Roman" w:eastAsia="Times New Roman" w:hAnsi="Times New Roman"/>
          <w:sz w:val="14"/>
          <w:szCs w:val="14"/>
          <w:color w:val="auto"/>
        </w:rPr>
        <w:t>The provisions of Sections 9.1(c), 9.8, 9.9 and 9.11 of the Equity Definitions will be applicable, except that all references in such provisions to “Physically-settled” shall be read as references to “Share Settled”. “Share Settled” in relation to any Option means that Net Share Settlement or Combination Settlement is applicable to that Option.</w:t>
      </w:r>
    </w:p>
    <w:p>
      <w:pPr>
        <w:spacing w:after="0" w:line="104" w:lineRule="exact"/>
        <w:rPr>
          <w:sz w:val="20"/>
          <w:szCs w:val="20"/>
          <w:color w:val="auto"/>
        </w:rPr>
      </w:pPr>
    </w:p>
    <w:p>
      <w:pPr>
        <w:sectPr>
          <w:pgSz w:w="11900" w:h="16838" w:orient="portrait"/>
          <w:cols w:equalWidth="0" w:num="2">
            <w:col w:w="2600" w:space="720"/>
            <w:col w:w="7960"/>
          </w:cols>
          <w:pgMar w:left="300" w:top="1281" w:right="319" w:bottom="1440" w:gutter="0" w:footer="0" w:header="0"/>
          <w:type w:val="continuous"/>
        </w:sectPr>
      </w:pPr>
    </w:p>
    <w:p>
      <w:pPr>
        <w:jc w:val="both"/>
        <w:ind w:left="2700" w:hanging="2545"/>
        <w:spacing w:after="0" w:line="259" w:lineRule="auto"/>
        <w:tabs>
          <w:tab w:leader="none" w:pos="2680" w:val="left"/>
        </w:tabs>
        <w:rPr>
          <w:sz w:val="20"/>
          <w:szCs w:val="20"/>
          <w:color w:val="auto"/>
        </w:rPr>
      </w:pPr>
      <w:r>
        <w:rPr>
          <w:rFonts w:ascii="Times New Roman" w:cs="Times New Roman" w:eastAsia="Times New Roman" w:hAnsi="Times New Roman"/>
          <w:sz w:val="14"/>
          <w:szCs w:val="14"/>
          <w:color w:val="auto"/>
        </w:rPr>
        <w:t>Representation and Agreement:</w:t>
        <w:tab/>
        <w:t>Notwithstanding anything to the contrary in the Equity Definitions (including, but not limited to, Section 9.11 thereof), the parties acknowledge that (i) any Shares delivered to Counterparty shall be, upon delivery, subject to restrictions and limitations arising from Counterparty’s status as issuer of the Shares under applicable securities laws, (ii) Dealer may deliver any Shares required to be delivered hereunder in certificated form in lieu of delivery through the Clearance System, (iii) any Shares delivered to Counterparty may be “restricted securities” (as defined in Rule 144 under the Securities Act of 1933, as amended (the “</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 and (iv) the Representation and Agreement contained in Section 9.11 of the Equity Definitions shall be deemed modified accordingly.</w:t>
      </w:r>
    </w:p>
    <w:p>
      <w:pPr>
        <w:spacing w:after="0" w:line="101"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4"/>
          <w:szCs w:val="14"/>
          <w:b w:val="1"/>
          <w:bCs w:val="1"/>
          <w:color w:val="auto"/>
        </w:rPr>
        <w:t>4.</w:t>
      </w:r>
      <w:r>
        <w:rPr>
          <w:sz w:val="20"/>
          <w:szCs w:val="20"/>
          <w:color w:val="auto"/>
        </w:rPr>
        <w:tab/>
      </w:r>
      <w:r>
        <w:rPr>
          <w:rFonts w:ascii="Times New Roman" w:cs="Times New Roman" w:eastAsia="Times New Roman" w:hAnsi="Times New Roman"/>
          <w:sz w:val="14"/>
          <w:szCs w:val="14"/>
          <w:b w:val="1"/>
          <w:bCs w:val="1"/>
          <w:u w:val="single" w:color="auto"/>
          <w:color w:val="auto"/>
        </w:rPr>
        <w:t>Additional Terms applicable to the Transaction</w:t>
      </w:r>
      <w:r>
        <w:rPr>
          <w:rFonts w:ascii="Times New Roman" w:cs="Times New Roman" w:eastAsia="Times New Roman" w:hAnsi="Times New Roman"/>
          <w:sz w:val="14"/>
          <w:szCs w:val="14"/>
          <w:b w:val="1"/>
          <w:bCs w:val="1"/>
          <w:color w:val="auto"/>
        </w:rPr>
        <w:t>.</w:t>
      </w:r>
    </w:p>
    <w:p>
      <w:pPr>
        <w:spacing w:after="0" w:line="1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Adjustments applicable to the Transaction:</w:t>
      </w:r>
    </w:p>
    <w:p>
      <w:pPr>
        <w:spacing w:after="0" w:line="147" w:lineRule="exact"/>
        <w:rPr>
          <w:sz w:val="20"/>
          <w:szCs w:val="20"/>
          <w:color w:val="auto"/>
        </w:rPr>
      </w:pPr>
    </w:p>
    <w:p>
      <w:pPr>
        <w:jc w:val="both"/>
        <w:ind w:left="2580" w:hanging="2545"/>
        <w:spacing w:after="0" w:line="257" w:lineRule="auto"/>
        <w:tabs>
          <w:tab w:leader="none" w:pos="2560" w:val="left"/>
        </w:tabs>
        <w:rPr>
          <w:sz w:val="20"/>
          <w:szCs w:val="20"/>
          <w:color w:val="auto"/>
        </w:rPr>
      </w:pPr>
      <w:r>
        <w:rPr>
          <w:rFonts w:ascii="Times New Roman" w:cs="Times New Roman" w:eastAsia="Times New Roman" w:hAnsi="Times New Roman"/>
          <w:sz w:val="14"/>
          <w:szCs w:val="14"/>
          <w:color w:val="auto"/>
        </w:rPr>
        <w:t>Potential Adjustment Events:</w:t>
        <w:tab/>
        <w:t>Notwithstanding Section 11.2(e) of the Equity Definitions, a “Potential Adjustment Event” means an occurrence of any event or condition, as set forth in any Dilution Adjustment Provision, that would (or, if no Convertible Notes remain outstanding, would have resulted in an adjustment if the Convertible Notes were still outstanding) result in an adjustment under the Indenture to the “Conversion Rate” or the composition of a “unit of Reference Property” or to any “Last Reported Sale Price,” “Daily VWAP,” “Daily Conversion Value,” “Daily Net Settlement Amount” or “Daily Settlement Amount” (each as defined in the Indenture). For the avoidance of doubt, Dealer shall not have any delivery or payment obligation hereunder, and no adjustment shall be made to the terms of the Transaction, on account of (x) any distribution of cash, property or securities by Counterparty to holders of the Convertible Notes (upon conversion or otherwise) or (y) any other transaction in which holders of the Convertible Notes are entitled to participate, in each case, in lieu of an adjustment under the Indenture of the type referred to in the immediately preceding sentence (including, without limitation, pursuant to the fourth sentence of Section 14.04(c) of the Indenture or the fourth sentence of Section 14.04(d)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80"/>
          </w:cols>
          <w:pgMar w:left="300" w:top="1281" w:right="319" w:bottom="1440" w:gutter="0" w:footer="0" w:header="0"/>
          <w:type w:val="continuous"/>
        </w:sectPr>
      </w:pPr>
    </w:p>
    <w:bookmarkStart w:id="133" w:name="page134"/>
    <w:bookmarkEnd w:id="133"/>
    <w:p>
      <w:pPr>
        <w:jc w:val="both"/>
        <w:ind w:left="1160" w:hanging="2545"/>
        <w:spacing w:after="0" w:line="261" w:lineRule="auto"/>
        <w:tabs>
          <w:tab w:leader="none" w:pos="1140" w:val="left"/>
        </w:tabs>
        <w:rPr>
          <w:sz w:val="20"/>
          <w:szCs w:val="20"/>
          <w:color w:val="auto"/>
        </w:rPr>
      </w:pPr>
      <w:r>
        <w:rPr>
          <w:rFonts w:ascii="Times New Roman" w:cs="Times New Roman" w:eastAsia="Times New Roman" w:hAnsi="Times New Roman"/>
          <w:sz w:val="14"/>
          <w:szCs w:val="14"/>
          <w:color w:val="auto"/>
        </w:rPr>
        <w:t>Method of Adjustment:</w:t>
        <w:tab/>
        <w:t>Calculation Agent Adjustment, which means that, notwithstanding Section 11.2(c) of the Equity Definitions, upon any Potential Adjustment Event (or, in the case of a Potential Adjustment Event subject to Section 14.04(k) of the Indenture, the time at which such corresponding adjustment is made under the Indenture), the Calculation Agent shall make adjustments in a commercially reasonable manner to any one or more of the Strike Price, Number of Options, Option Entitlement and any other variable relevant to the exercise, settlement or payment for the Transaction that correspond to the adjustments to the Convertible Notes under the Indenture.</w:t>
      </w:r>
    </w:p>
    <w:p>
      <w:pPr>
        <w:spacing w:after="0" w:line="122" w:lineRule="exact"/>
        <w:rPr>
          <w:sz w:val="20"/>
          <w:szCs w:val="20"/>
          <w:color w:val="auto"/>
        </w:rPr>
      </w:pPr>
    </w:p>
    <w:p>
      <w:pPr>
        <w:jc w:val="both"/>
        <w:ind w:left="2180" w:hanging="2385"/>
        <w:spacing w:after="0" w:line="258" w:lineRule="auto"/>
        <w:rPr>
          <w:sz w:val="20"/>
          <w:szCs w:val="20"/>
          <w:color w:val="auto"/>
        </w:rPr>
      </w:pPr>
      <w:r>
        <w:rPr>
          <w:rFonts w:ascii="Times New Roman" w:cs="Times New Roman" w:eastAsia="Times New Roman" w:hAnsi="Times New Roman"/>
          <w:sz w:val="14"/>
          <w:szCs w:val="14"/>
          <w:color w:val="auto"/>
        </w:rPr>
        <w:t>Notwithstanding the foregoing and “Consequences of Merger Events / Tender Offers” below, if the Calculation Agent in good faith disagrees with any adjustment to the Convertible Notes determined pursuant to the Indenture that involves an exercise of discretion by Counterparty or its board of directors (including, without limitation, pursuant to Section 14.05 of the Indenture, Section 14.07 of the Indenture or any supplemental indenture entered into thereunder or in connection with any proportional adjustment or the determination of the fair value of any securities, property, rights or other assets), then in each such case, the Calculation Agent will determine the adjustment to be made to any one or more of the Strike Price, Number of Options, Option Entitlement and any other variable relevant to the exercise, settlement or payment for the Transaction in a commercially reasonable manner, taking into account the relevant provisions of the Indenture.</w:t>
      </w:r>
    </w:p>
    <w:p>
      <w:pPr>
        <w:spacing w:after="0" w:line="115" w:lineRule="exact"/>
        <w:rPr>
          <w:sz w:val="20"/>
          <w:szCs w:val="20"/>
          <w:color w:val="auto"/>
        </w:rPr>
      </w:pPr>
    </w:p>
    <w:p>
      <w:pPr>
        <w:jc w:val="both"/>
        <w:ind w:left="2180" w:hanging="2383"/>
        <w:spacing w:after="0" w:line="257" w:lineRule="auto"/>
        <w:rPr>
          <w:sz w:val="20"/>
          <w:szCs w:val="20"/>
          <w:color w:val="auto"/>
        </w:rPr>
      </w:pPr>
      <w:r>
        <w:rPr>
          <w:rFonts w:ascii="Times New Roman" w:cs="Times New Roman" w:eastAsia="Times New Roman" w:hAnsi="Times New Roman"/>
          <w:sz w:val="14"/>
          <w:szCs w:val="14"/>
          <w:color w:val="auto"/>
        </w:rPr>
        <w:t>Notwithstanding anything contained herein to the contrary, (i) in connection with any Potential Adjustment Event as a result of an event or condition set forth in Section 14.04(b) of the Indenture or Section 14.04(c) of the Indenture where, in either case, the period for determining “Y” (as such term is used in Section 14.04(b) of the Indenture) or “SP</w:t>
      </w:r>
      <w:r>
        <w:rPr>
          <w:rFonts w:ascii="Times New Roman" w:cs="Times New Roman" w:eastAsia="Times New Roman" w:hAnsi="Times New Roman"/>
          <w:sz w:val="10"/>
          <w:szCs w:val="10"/>
          <w:color w:val="auto"/>
        </w:rPr>
        <w:t>0</w:t>
      </w:r>
      <w:r>
        <w:rPr>
          <w:rFonts w:ascii="Times New Roman" w:cs="Times New Roman" w:eastAsia="Times New Roman" w:hAnsi="Times New Roman"/>
          <w:sz w:val="14"/>
          <w:szCs w:val="14"/>
          <w:color w:val="auto"/>
        </w:rPr>
        <w:t>” (as such term is used in Section 14.04(c) of the Indenture), as the case may be, begins before Counterparty has publicly announced the event or condition giving rise to such Potential Adjustment Event, then the Calculation Agent shall, acting in good faith and in a commercially reasonable manner, have the right to adjust any variable relevant to the exercise, settlement or payment for the Transaction as appropriate to reflect the commercially reasonable costs (including, but not limited to, hedging mismatches and market losses) and commercially reasonable out-of-pocket expenses incurred by Dealer in connection with its hedging activities, with such adjustments made assuming that Dealer maintains commercially reasonable hedge positions, as a result of such event or condition not having been publicly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40"/>
          </w:cols>
          <w:pgMar w:left="1440" w:top="1281" w:right="319" w:bottom="1440" w:gutter="0" w:footer="0" w:header="0"/>
        </w:sectPr>
      </w:pPr>
    </w:p>
    <w:bookmarkStart w:id="134" w:name="page135"/>
    <w:bookmarkEnd w:id="134"/>
    <w:p>
      <w:pPr>
        <w:jc w:val="both"/>
        <w:ind w:left="2820"/>
        <w:spacing w:after="0" w:line="256" w:lineRule="auto"/>
        <w:rPr>
          <w:sz w:val="20"/>
          <w:szCs w:val="20"/>
          <w:color w:val="auto"/>
        </w:rPr>
      </w:pPr>
      <w:r>
        <w:rPr>
          <w:rFonts w:ascii="Times New Roman" w:cs="Times New Roman" w:eastAsia="Times New Roman" w:hAnsi="Times New Roman"/>
          <w:sz w:val="14"/>
          <w:szCs w:val="14"/>
          <w:color w:val="auto"/>
        </w:rPr>
        <w:t>announced prior to the beginning of such period and (ii) if any Potential Adjustment Event is declared and (a) the event or condition giving rise to such Potential Adjustment Event is subsequently amended, modified, cancelled or abandoned, (b) the “Conversion Rate” (as defined in the Indenture) is otherwise not adjusted at the time or in the manner contemplated by the relevant Dilution Adjustment Provision based on such declaration or (c) the “Conversion Rate” (as defined in the Indenture) is adjusted as a result of such Potential Adjustment Event and subsequently re-adjusted (each of clauses (a), (b) and (c), a “</w:t>
      </w:r>
      <w:r>
        <w:rPr>
          <w:rFonts w:ascii="Times New Roman" w:cs="Times New Roman" w:eastAsia="Times New Roman" w:hAnsi="Times New Roman"/>
          <w:sz w:val="14"/>
          <w:szCs w:val="14"/>
          <w:b w:val="1"/>
          <w:bCs w:val="1"/>
          <w:color w:val="auto"/>
        </w:rPr>
        <w:t>Potential Adjustment Event Change</w:t>
      </w:r>
      <w:r>
        <w:rPr>
          <w:rFonts w:ascii="Times New Roman" w:cs="Times New Roman" w:eastAsia="Times New Roman" w:hAnsi="Times New Roman"/>
          <w:sz w:val="14"/>
          <w:szCs w:val="14"/>
          <w:color w:val="auto"/>
        </w:rPr>
        <w:t>”) then, in each case, the Calculation Agent shall have the right to adjust in good faith and in a commercially reasonable manner, any variable relevant to the exercise, settlement or payment for the Transaction as appropriate to reflect the costs (including, but not limited to, hedging mismatches and market losses) and commercially reasonable out-of-pocket expenses incurred by Dealer in connection with its commercially reasonable hedging activities as a result of such Potential Adjustment Event Change, with such adjustments made assuming that Dealer maintains commercially reasonable hedge positions.</w:t>
      </w:r>
    </w:p>
    <w:p>
      <w:pPr>
        <w:spacing w:after="0" w:line="129" w:lineRule="exact"/>
        <w:rPr>
          <w:sz w:val="20"/>
          <w:szCs w:val="20"/>
          <w:color w:val="auto"/>
        </w:rPr>
      </w:pPr>
    </w:p>
    <w:p>
      <w:pPr>
        <w:jc w:val="both"/>
        <w:ind w:left="2820"/>
        <w:spacing w:after="0" w:line="261" w:lineRule="auto"/>
        <w:rPr>
          <w:sz w:val="20"/>
          <w:szCs w:val="20"/>
          <w:color w:val="auto"/>
        </w:rPr>
      </w:pPr>
      <w:r>
        <w:rPr>
          <w:rFonts w:ascii="Times New Roman" w:cs="Times New Roman" w:eastAsia="Times New Roman" w:hAnsi="Times New Roman"/>
          <w:sz w:val="14"/>
          <w:szCs w:val="14"/>
          <w:color w:val="auto"/>
        </w:rPr>
        <w:t>For the avoidance of doubt, if Dealer, the Calculation Agent or the Determining Party is required to make any calculation, adjustment or determination under this Section 3 by reference to any adjustment to the Convertible Notes or any adjustment, calculation or determination under the Indenture at a time at which the Convertible Notes are no longer outstanding, Dealer, the Calculation Agent or the Determining Party, as the case may be, shall make such calculation, adjustment or determination, as applicable, as if the Convertible Notes remained outstanding.</w:t>
      </w:r>
    </w:p>
    <w:p>
      <w:pPr>
        <w:spacing w:after="0" w:line="111" w:lineRule="exact"/>
        <w:rPr>
          <w:sz w:val="20"/>
          <w:szCs w:val="20"/>
          <w:color w:val="auto"/>
        </w:rPr>
      </w:pPr>
    </w:p>
    <w:p>
      <w:pPr>
        <w:ind w:left="260"/>
        <w:spacing w:after="0"/>
        <w:tabs>
          <w:tab w:leader="none" w:pos="2220" w:val="left"/>
        </w:tabs>
        <w:rPr>
          <w:sz w:val="20"/>
          <w:szCs w:val="20"/>
          <w:color w:val="auto"/>
        </w:rPr>
      </w:pPr>
      <w:r>
        <w:rPr>
          <w:rFonts w:ascii="Times New Roman" w:cs="Times New Roman" w:eastAsia="Times New Roman" w:hAnsi="Times New Roman"/>
          <w:sz w:val="14"/>
          <w:szCs w:val="14"/>
          <w:color w:val="auto"/>
        </w:rPr>
        <w:t>Dilution Adjustment Provisions:</w:t>
        <w:tab/>
        <w:t>Sections 14.04(a), (b), (c), (d) and (e) and Section 14.05 of the Indenture.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Extraordinary Events applicable to the Transaction:</w:t>
      </w:r>
    </w:p>
    <w:p>
      <w:pPr>
        <w:spacing w:after="0" w:line="155" w:lineRule="exact"/>
        <w:rPr>
          <w:sz w:val="20"/>
          <w:szCs w:val="20"/>
          <w:color w:val="auto"/>
        </w:rPr>
      </w:pPr>
    </w:p>
    <w:p>
      <w:pPr>
        <w:ind w:left="1300" w:hanging="2545"/>
        <w:spacing w:after="0" w:line="290" w:lineRule="auto"/>
        <w:tabs>
          <w:tab w:leader="none" w:pos="1280" w:val="left"/>
        </w:tabs>
        <w:rPr>
          <w:sz w:val="20"/>
          <w:szCs w:val="20"/>
          <w:color w:val="auto"/>
        </w:rPr>
      </w:pPr>
      <w:r>
        <w:rPr>
          <w:rFonts w:ascii="Times New Roman" w:cs="Times New Roman" w:eastAsia="Times New Roman" w:hAnsi="Times New Roman"/>
          <w:sz w:val="14"/>
          <w:szCs w:val="14"/>
          <w:color w:val="auto"/>
        </w:rPr>
        <w:t>Merger Events:</w:t>
        <w:tab/>
        <w:t xml:space="preserve">Applicable;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notwithstanding Section 12.1(b) of the Equity Definitions, a “Merger Event” means the occurrence of any event or condition set forth in the definition of “Share Exchange Event” in Section 14.07(a) of the Indenture.</w:t>
      </w:r>
    </w:p>
    <w:p>
      <w:pPr>
        <w:spacing w:after="0" w:line="88" w:lineRule="exact"/>
        <w:rPr>
          <w:sz w:val="20"/>
          <w:szCs w:val="20"/>
          <w:color w:val="auto"/>
        </w:rPr>
      </w:pPr>
    </w:p>
    <w:p>
      <w:pPr>
        <w:ind w:left="1240" w:hanging="2545"/>
        <w:spacing w:after="0" w:line="290" w:lineRule="auto"/>
        <w:tabs>
          <w:tab w:leader="none" w:pos="1220" w:val="left"/>
        </w:tabs>
        <w:rPr>
          <w:sz w:val="20"/>
          <w:szCs w:val="20"/>
          <w:color w:val="auto"/>
        </w:rPr>
      </w:pPr>
      <w:r>
        <w:rPr>
          <w:rFonts w:ascii="Times New Roman" w:cs="Times New Roman" w:eastAsia="Times New Roman" w:hAnsi="Times New Roman"/>
          <w:sz w:val="14"/>
          <w:szCs w:val="14"/>
          <w:color w:val="auto"/>
        </w:rPr>
        <w:t>Tender Offers:</w:t>
        <w:tab/>
        <w:t xml:space="preserve">Applicable;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“Tender Offer” shall not have the meaning set forth in Section 12.1(d) of the Equity Definitions and instead shall mean the occurrence of any event or condition set forth in Section 14.04(e) of the Indenture.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780"/>
          </w:cols>
          <w:pgMar w:left="800" w:top="1281" w:right="3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color w:val="auto"/>
        </w:rPr>
        <w:t>Consequences of Merger Events/</w:t>
      </w:r>
    </w:p>
    <w:p>
      <w:pPr>
        <w:spacing w:after="0" w:line="23" w:lineRule="exact"/>
        <w:rPr>
          <w:sz w:val="20"/>
          <w:szCs w:val="20"/>
          <w:color w:val="auto"/>
        </w:rPr>
      </w:pPr>
    </w:p>
    <w:p>
      <w:pPr>
        <w:jc w:val="both"/>
        <w:ind w:left="980" w:hanging="2545"/>
        <w:spacing w:after="0" w:line="253" w:lineRule="auto"/>
        <w:tabs>
          <w:tab w:leader="none" w:pos="960" w:val="left"/>
        </w:tabs>
        <w:rPr>
          <w:sz w:val="20"/>
          <w:szCs w:val="20"/>
          <w:color w:val="auto"/>
        </w:rPr>
      </w:pPr>
      <w:r>
        <w:rPr>
          <w:rFonts w:ascii="Times New Roman" w:cs="Times New Roman" w:eastAsia="Times New Roman" w:hAnsi="Times New Roman"/>
          <w:sz w:val="14"/>
          <w:szCs w:val="14"/>
          <w:color w:val="auto"/>
        </w:rPr>
        <w:t>Tender Offers:</w:t>
        <w:tab/>
        <w:t xml:space="preserve">Notwithstanding Section 12.2 and Section 12.3 of the Equity Definitions, upon the occurrence of a Merger Event or a Tender Offer, the Calculation Agent shall make a corresponding adjustment in respect of any adjustment under the Indenture to any one or more of the nature of the Shares (in the case of a Merger Event), Strike Price, Number of Options, Option Entitlement and any other variable relevant to the exercise, settlement or payment for the Transaction, subject to the second paragraph under “Method of Adjustment”;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such adjustment shall be made without regard to any adjustment to the “Conversion Rate” (as defined in the Indenture) pursuant to any Excluded Provision;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further </w:t>
      </w:r>
      <w:r>
        <w:rPr>
          <w:rFonts w:ascii="Times New Roman" w:cs="Times New Roman" w:eastAsia="Times New Roman" w:hAnsi="Times New Roman"/>
          <w:sz w:val="14"/>
          <w:szCs w:val="14"/>
          <w:color w:val="auto"/>
        </w:rPr>
        <w:t>that if, with respect to a Merger Event or a Tender Offer, (i) (A) the consideration for the Shares includes (or, at the option of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holder of Shares, may include) securities issued by an entity or person that is either (1) neither a corporation nor an entity that is treated as a corporation for U.S. federal income tax purposes or (2) not organized under the laws of the United States, any State thereof or the District of Columbia or (B) the Counterparty to the Transaction following such Merger Event or Tender Offer will not be a corporation organized under the laws of the United States, any State thereof or the District of Columbia and (ii) Dealer, acting in a good faith and commercially reasonable manner, determines at any time following the occurrence of such Merger Event or Tender Offer that (A) such Merger Event or Tender Offer has had or will have an adverse effect on Dealer’s rights and obligations under the Transaction; (B) Dealer will incur or has incurred an increased (as compared with circumstances existing on the Trade Date) amount of tax, duty, expense or fee to (1) acquire, establish, re-establish, substitute, maintain, unwind or dispose of any transaction(s) or asset(s) constituting a commercially reasonable hedge position in respect of the economic risk of entering into and performing its obligations with respect to the Transaction or (2) realize, recover or remit the proceeds of any transaction(s) or asset(s) constituting a commercially reasonable hedge position it deems necessary or appropriate to hedge the economic risk of entering into and performing its obligations with respect to the Transaction in a commercially reasonable manner or (C) Dealer determines, in its good faith and reasonable judgment, that it will not be in compliance with applicable legal, regulatory or self-regulatory requirements, or with related policies and procedures, applicable to Dealer, then Cancellation and Payment (Calculation Agent Determination) shall apply;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xml:space="preserve"> that, for the avoidance of doubt, adjustments shall be made pursuant to the provisions set forth above regardless of whether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520"/>
          </w:cols>
          <w:pgMar w:left="1060" w:top="1281" w:right="319" w:bottom="1440" w:gutter="0" w:footer="0" w:header="0"/>
        </w:sectPr>
      </w:pPr>
    </w:p>
    <w:bookmarkStart w:id="136" w:name="page137"/>
    <w:bookmarkEnd w:id="136"/>
    <w:p>
      <w:pPr>
        <w:ind w:left="2180"/>
        <w:spacing w:after="0"/>
        <w:rPr>
          <w:sz w:val="20"/>
          <w:szCs w:val="20"/>
          <w:color w:val="auto"/>
        </w:rPr>
      </w:pPr>
      <w:r>
        <w:rPr>
          <w:rFonts w:ascii="Times New Roman" w:cs="Times New Roman" w:eastAsia="Times New Roman" w:hAnsi="Times New Roman"/>
          <w:sz w:val="14"/>
          <w:szCs w:val="14"/>
          <w:color w:val="auto"/>
        </w:rPr>
        <w:t>Merger Event or Tender Offer gives rise to an Early Conversion.</w:t>
      </w:r>
    </w:p>
    <w:p>
      <w:pPr>
        <w:spacing w:after="0" w:line="155" w:lineRule="exact"/>
        <w:rPr>
          <w:sz w:val="20"/>
          <w:szCs w:val="20"/>
          <w:color w:val="auto"/>
        </w:rPr>
      </w:pPr>
    </w:p>
    <w:p>
      <w:pPr>
        <w:jc w:val="both"/>
        <w:ind w:left="2180" w:hanging="2545"/>
        <w:spacing w:after="0" w:line="255" w:lineRule="auto"/>
        <w:tabs>
          <w:tab w:leader="none" w:pos="2160" w:val="left"/>
        </w:tabs>
        <w:rPr>
          <w:sz w:val="20"/>
          <w:szCs w:val="20"/>
          <w:color w:val="auto"/>
        </w:rPr>
      </w:pPr>
      <w:r>
        <w:rPr>
          <w:rFonts w:ascii="Times New Roman" w:cs="Times New Roman" w:eastAsia="Times New Roman" w:hAnsi="Times New Roman"/>
          <w:sz w:val="14"/>
          <w:szCs w:val="14"/>
          <w:color w:val="auto"/>
        </w:rPr>
        <w:t>Consequences of Announcement Events:</w:t>
        <w:tab/>
        <w:t xml:space="preserve">Modified Calculation Agent Adjustment as set forth in Section 12.3(d) of the Equity Definitions;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respect of an Announcement Event, (x) references to “Tender Offer” shall be replaced by references to “Announcement Event” and references to “Tender Offer Date” shall be replaced by references to “date of such Announcement Event”, (y) the phrase “exercise, settlement, payment or any other terms of the Transaction (including, without limitation, the spread)” shall be replaced with the phrase “Cap Price (provided that in no event shall the Cap Price be less than the Strike Price)” and the words “whether within a commercially reasonable (as determined by the Calculation Agent) period of time prior to or after the Announcement Event” shall be inserted prior to the word “which” in the seventh line, and (z) for the avoidance of doubt, the Calculation Agent shall, in good faith and in a commercially reasonable manner, determine whether the relevant Announcement Event has had a material economic effect on the Transaction (and, if so, shall, acting in good faith and in a commercially reasonable manner, adjust the Cap Price accordingly) on one or more occasions on or after the date of the Announcement Event up to, and including, the Expiration Date, any Early Termination Date and/or any other date of cancellation and the Calculation Agent shall make an adjustment to the Cap Price upon any announcement regarding the abandonment of any such transaction that was previously the subject of an adjustment pursuant to this provision to the extent necessary to reflect the economic effect of such subsequent announcement on the Transaction, it being understood that any adjustment in respect of an Announcement Event shall take into account any earlier adjustment relating to the same Announcement Event and shall not be duplicative with any other adjustment or cancellation valuation made pursuant to this Confirmation, the Equity Definitions or the Agreement. An Announcement Event shall be an “Extraordinary Event” for purposes of the Equity Definitions, to which Article 12 of the Equity Definitions, as modified in this paragraph, is applicable. Dealer acknowledges that an adjustment required to be made by the Calculation Agent in respect of an Announcement Event may result in an increase to the Cap Price.</w:t>
      </w:r>
    </w:p>
    <w:p>
      <w:pPr>
        <w:spacing w:after="0" w:line="117" w:lineRule="exact"/>
        <w:rPr>
          <w:sz w:val="20"/>
          <w:szCs w:val="20"/>
          <w:color w:val="auto"/>
        </w:rPr>
      </w:pPr>
    </w:p>
    <w:p>
      <w:pPr>
        <w:jc w:val="both"/>
        <w:ind w:left="1040" w:hanging="2545"/>
        <w:spacing w:after="0" w:line="287" w:lineRule="auto"/>
        <w:tabs>
          <w:tab w:leader="none" w:pos="1020" w:val="left"/>
        </w:tabs>
        <w:rPr>
          <w:sz w:val="20"/>
          <w:szCs w:val="20"/>
          <w:color w:val="auto"/>
        </w:rPr>
      </w:pPr>
      <w:r>
        <w:rPr>
          <w:rFonts w:ascii="Times New Roman" w:cs="Times New Roman" w:eastAsia="Times New Roman" w:hAnsi="Times New Roman"/>
          <w:sz w:val="14"/>
          <w:szCs w:val="14"/>
          <w:color w:val="auto"/>
        </w:rPr>
        <w:t>Announcement Event:</w:t>
        <w:tab/>
        <w:t>(i) The public announcement by the Issuer, any subsidiary or agent of the Issuer or any Valid Third Party Entity of (x) any transaction that the Calculation Agent determines is reasonably likely to be completed and that, if completed, would constitute a Merger Event or Tender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40"/>
          </w:cols>
          <w:pgMar w:left="1440" w:top="1281" w:right="319" w:bottom="1440" w:gutter="0" w:footer="0" w:header="0"/>
        </w:sectPr>
      </w:pPr>
    </w:p>
    <w:bookmarkStart w:id="137" w:name="page138"/>
    <w:bookmarkEnd w:id="137"/>
    <w:p>
      <w:pPr>
        <w:jc w:val="both"/>
        <w:ind w:left="2180"/>
        <w:spacing w:after="0" w:line="254" w:lineRule="auto"/>
        <w:rPr>
          <w:sz w:val="20"/>
          <w:szCs w:val="20"/>
          <w:color w:val="auto"/>
        </w:rPr>
      </w:pPr>
      <w:r>
        <w:rPr>
          <w:rFonts w:ascii="Times New Roman" w:cs="Times New Roman" w:eastAsia="Times New Roman" w:hAnsi="Times New Roman"/>
          <w:sz w:val="14"/>
          <w:szCs w:val="14"/>
          <w:color w:val="auto"/>
        </w:rPr>
        <w:t xml:space="preserve">Offer (it being understood and agreed that in determining whether such transaction is reasonably likely to be completed, the Calculation Agent shall take into consideration the effect of the relevant announcement on the Shares and/or options relating to the Shares and, if such effect is material, shall deem such transaction to be reasonably likely to be completed), (y) any potential acquisition or disposition by Issuer and/or its subsidiaries where the aggregate consideration (excluding, for the avoidance of doubt, any consideration in the form of earn-outs or bona fide other arrangements for consideration payable post-closing of such acquisition or disposition contingent upon the satisfaction of specified facts or conditions;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exclusion shall not apply to any consideration in the form of earn-outs or bona fide other arrangements that are separately tradeable, in which case such consideration shall be valued at the trading price, if any, observed on the date of such announcement, as determined by the Calculation Agent in good faith and in a commercially reasonable manner) exceeds 35% of the market capitalization of Issuer as of the date of such announcement (an “</w:t>
      </w:r>
      <w:r>
        <w:rPr>
          <w:rFonts w:ascii="Times New Roman" w:cs="Times New Roman" w:eastAsia="Times New Roman" w:hAnsi="Times New Roman"/>
          <w:sz w:val="14"/>
          <w:szCs w:val="14"/>
          <w:b w:val="1"/>
          <w:bCs w:val="1"/>
          <w:color w:val="auto"/>
        </w:rPr>
        <w:t>Acquisition Transaction</w:t>
      </w:r>
      <w:r>
        <w:rPr>
          <w:rFonts w:ascii="Times New Roman" w:cs="Times New Roman" w:eastAsia="Times New Roman" w:hAnsi="Times New Roman"/>
          <w:sz w:val="14"/>
          <w:szCs w:val="14"/>
          <w:color w:val="auto"/>
        </w:rPr>
        <w:t>”) or (z) the intention to enter into a Merger Event or Tender Offer or an Acquisition Transaction, (ii) the public announcement by Issuer of an intention to solicit or enter into, or to explore strategic alternatives or other similar undertaking that may include, a Merger Event or Tender Offer or an Acquisition Transaction or (iii) any subsequent public announcement of a change to a transaction or intention by (x) the Issuer, any subsidiary or agent of the Issuer or any Valid Third Party Entity in respect of an announcement of the type described in clause (i) of this sentence or (y) the Issuer in respect of an announcement of the type described in clause (ii) of this sentence (including, in each case, without limitation, a new announcement, whether or not by the same party with respect to an announcement of the type described in clause (i) of this sentence, relating to such a transaction or intention or the announcement of a withdrawal from, or the abandonment or discontinuation of, such a transaction or intention), as determined by the Calculation Agent in a commercially reasonable manner. For the avoidance of doubt, the occurrence of an Announcement Event with respect to any transaction or intention shall not preclude the occurrence of a later Announcement Event with respect to such transaction or intention. For purposes of this definition of “Announcement Event,” (A) “Merger Event” shall mean such term as defined under Section 12.1(b) of the Equity Definitions (but, for the avoidance of doubt, the remainder of the definition of “Merger Event” in Section 12.1(b) of the Equity Definitions following the definition of “Reverse Merger” therein shall be disregarded) and (B) “Tender Offer” shall mean such term as defined under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40"/>
          </w:cols>
          <w:pgMar w:left="1440" w:top="1281" w:right="319" w:bottom="1440" w:gutter="0" w:footer="0" w:header="0"/>
        </w:sectPr>
      </w:pPr>
    </w:p>
    <w:bookmarkStart w:id="138" w:name="page139"/>
    <w:bookmarkEnd w:id="138"/>
    <w:p>
      <w:pPr>
        <w:jc w:val="both"/>
        <w:ind w:left="2560"/>
        <w:spacing w:after="0" w:line="271" w:lineRule="auto"/>
        <w:rPr>
          <w:sz w:val="20"/>
          <w:szCs w:val="20"/>
          <w:color w:val="auto"/>
        </w:rPr>
      </w:pPr>
      <w:r>
        <w:rPr>
          <w:rFonts w:ascii="Times New Roman" w:cs="Times New Roman" w:eastAsia="Times New Roman" w:hAnsi="Times New Roman"/>
          <w:sz w:val="14"/>
          <w:szCs w:val="14"/>
          <w:color w:val="auto"/>
        </w:rPr>
        <w:t xml:space="preserve">Section 12.1(d) of the Equity Definitions;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Section 12.1(d) of the Equity Definitions is hereby amended by replacing “10%” with “25%” in the third line thereof, and all references to “voting shares” in Sections 12.1(d), 12.1(e) and 12.1(l) of the Equity Definitions shall be deemed to be references to “Shares”.</w:t>
      </w:r>
    </w:p>
    <w:p>
      <w:pPr>
        <w:spacing w:after="0" w:line="114" w:lineRule="exact"/>
        <w:rPr>
          <w:sz w:val="20"/>
          <w:szCs w:val="20"/>
          <w:color w:val="auto"/>
        </w:rPr>
      </w:pPr>
    </w:p>
    <w:p>
      <w:pPr>
        <w:jc w:val="both"/>
        <w:ind w:left="1600" w:hanging="2545"/>
        <w:spacing w:after="0" w:line="263" w:lineRule="auto"/>
        <w:tabs>
          <w:tab w:leader="none" w:pos="1580" w:val="left"/>
        </w:tabs>
        <w:rPr>
          <w:sz w:val="20"/>
          <w:szCs w:val="20"/>
          <w:color w:val="auto"/>
        </w:rPr>
      </w:pPr>
      <w:r>
        <w:rPr>
          <w:rFonts w:ascii="Times New Roman" w:cs="Times New Roman" w:eastAsia="Times New Roman" w:hAnsi="Times New Roman"/>
          <w:sz w:val="14"/>
          <w:szCs w:val="14"/>
          <w:color w:val="auto"/>
        </w:rPr>
        <w:t>Valid Third Party Entity:</w:t>
        <w:tab/>
        <w:t>In respect of any transaction, any third party that (x) has a bona fide intent to enter into or consummate such transaction and (y) is capable, financially and otherwise, of consummating the relevant Merger Event, Tender Offer or Acquisition Transaction, as determined by the Calculation Agent in a good faith and commercially reasonable manner (it being understood and agreed that in making such determinations, the Calculation Agent shall take into consideration the effect of the relevant announcement by such third party on the Shares and/or options relating to the Shares).</w:t>
      </w:r>
    </w:p>
    <w:p>
      <w:pPr>
        <w:spacing w:after="0" w:line="279" w:lineRule="exact"/>
        <w:rPr>
          <w:sz w:val="20"/>
          <w:szCs w:val="20"/>
          <w:color w:val="auto"/>
        </w:rPr>
      </w:pPr>
    </w:p>
    <w:p>
      <w:pPr>
        <w:jc w:val="both"/>
        <w:ind w:left="2480" w:hanging="2545"/>
        <w:spacing w:after="0" w:line="260" w:lineRule="auto"/>
        <w:tabs>
          <w:tab w:leader="none" w:pos="2460" w:val="left"/>
        </w:tabs>
        <w:rPr>
          <w:sz w:val="20"/>
          <w:szCs w:val="20"/>
          <w:color w:val="auto"/>
        </w:rPr>
      </w:pPr>
      <w:r>
        <w:rPr>
          <w:rFonts w:ascii="Times New Roman" w:cs="Times New Roman" w:eastAsia="Times New Roman" w:hAnsi="Times New Roman"/>
          <w:sz w:val="14"/>
          <w:szCs w:val="14"/>
          <w:color w:val="auto"/>
        </w:rPr>
        <w:t>Nationalization, Insolvency or Delisting:</w:t>
        <w:tab/>
        <w:t xml:space="preserve">Cancellation and Payment (Calculation Agent Determination);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addition to the provisions of Section 12.6(a)(iii) of the Equity Definitions, it will also constitute a Delisting if the Exchange is located in the United States and the Shares are not immediately re-listed, re-traded or re-quoted on any of the New York Stock Exchange, The Nasdaq Global Select Market or The Nasdaq Global Market (or their respective successors); if the Shares are immediately re-listed, re-traded or re-quoted on any of the New York Stock Exchange, The Nasdaq Global Select Market or The Nasdaq Global Market (or their respective successors), such exchange or quotation system shall thereafter be deemed to be the Exchange.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 Disruption Events:</w:t>
      </w:r>
    </w:p>
    <w:p>
      <w:pPr>
        <w:spacing w:after="0" w:line="155" w:lineRule="exact"/>
        <w:rPr>
          <w:sz w:val="20"/>
          <w:szCs w:val="20"/>
          <w:color w:val="auto"/>
        </w:rPr>
      </w:pPr>
    </w:p>
    <w:p>
      <w:pPr>
        <w:jc w:val="both"/>
        <w:ind w:left="1080" w:hanging="2545"/>
        <w:spacing w:after="0" w:line="265" w:lineRule="auto"/>
        <w:tabs>
          <w:tab w:leader="none" w:pos="1060" w:val="left"/>
        </w:tabs>
        <w:rPr>
          <w:sz w:val="20"/>
          <w:szCs w:val="20"/>
          <w:color w:val="auto"/>
        </w:rPr>
      </w:pPr>
      <w:r>
        <w:rPr>
          <w:rFonts w:ascii="Times New Roman" w:cs="Times New Roman" w:eastAsia="Times New Roman" w:hAnsi="Times New Roman"/>
          <w:sz w:val="14"/>
          <w:szCs w:val="14"/>
          <w:color w:val="auto"/>
        </w:rPr>
        <w:t>Change in Law:</w:t>
        <w:tab/>
        <w:t xml:space="preserve">Applicable;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Section 12.9(a)(ii) of the Equity Definitions is hereby amended by (i) replacing the phrase “the interpretation” in the third line thereof with the phrase “, or public announcement of, the formal or informal interpretation”, (ii) replacing the word “Shares” where it appears in clause</w:t>
      </w:r>
    </w:p>
    <w:p>
      <w:pPr>
        <w:jc w:val="both"/>
        <w:ind w:left="2560" w:hanging="5"/>
        <w:spacing w:after="0" w:line="256" w:lineRule="auto"/>
        <w:tabs>
          <w:tab w:leader="none" w:pos="280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thereof with the words “Hedge Position” and (iii) replacing the parenthetical beginning after the word “regulation” in the second line thereof with the words “(including, for the avoidance of doubt and without limitation, (x) any tax law or (y) adoption, effectiveness or promulgation of new regulations authorized or mandated by existing statute)”; and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xml:space="preserve"> that no event or set of events shall constitute a Change in Law for the purposes of Section 12.9(a)(ii)(Y) to the extent such event or events resulted solely from the deterioration of the creditworthiness of the Hedging Party. Notwithstanding anything to the contrary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520"/>
          </w:cols>
          <w:pgMar w:left="1060" w:top="1279" w:right="319" w:bottom="1440" w:gutter="0" w:footer="0" w:header="0"/>
        </w:sectPr>
      </w:pPr>
    </w:p>
    <w:bookmarkStart w:id="139" w:name="page140"/>
    <w:bookmarkEnd w:id="139"/>
    <w:p>
      <w:pPr>
        <w:jc w:val="both"/>
        <w:ind w:left="2560"/>
        <w:spacing w:after="0" w:line="264" w:lineRule="auto"/>
        <w:rPr>
          <w:sz w:val="20"/>
          <w:szCs w:val="20"/>
          <w:color w:val="auto"/>
        </w:rPr>
      </w:pPr>
      <w:r>
        <w:rPr>
          <w:rFonts w:ascii="Times New Roman" w:cs="Times New Roman" w:eastAsia="Times New Roman" w:hAnsi="Times New Roman"/>
          <w:sz w:val="14"/>
          <w:szCs w:val="14"/>
          <w:color w:val="auto"/>
        </w:rPr>
        <w:t>herein or in the Equity Definitions, upon the occurrence of a “Change in Law” as set forth in clause (Y) of Section 12.9(a)(ii) of the Equity Definitions, (1) the provisions applicable to an “Increased Cost of Hedging” as set forth in Section 12.9(b)(vi) of the Equity Definitions shall apply to such “Change in Law” (in lieu of the provisions set forth in Section 12.9(b)(i)), and (2) any determination of the occurrence of such a Change in Law shall be applied consistently by Dealer to all of its similarly situated counterparties and/or similar transactions.</w:t>
      </w:r>
    </w:p>
    <w:p>
      <w:pPr>
        <w:spacing w:after="0" w:line="11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4"/>
          <w:szCs w:val="14"/>
          <w:color w:val="auto"/>
        </w:rPr>
        <w:t>Failure to Deliver:</w:t>
        <w:tab/>
        <w:t>Applicable</w:t>
      </w:r>
    </w:p>
    <w:p>
      <w:pPr>
        <w:spacing w:after="0" w:line="145"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4"/>
          <w:szCs w:val="14"/>
          <w:color w:val="auto"/>
        </w:rPr>
        <w:t>Hedging Disruption:</w:t>
      </w:r>
      <w:r>
        <w:rPr>
          <w:sz w:val="20"/>
          <w:szCs w:val="20"/>
          <w:color w:val="auto"/>
        </w:rPr>
        <w:tab/>
      </w:r>
      <w:r>
        <w:rPr>
          <w:rFonts w:ascii="Times New Roman" w:cs="Times New Roman" w:eastAsia="Times New Roman" w:hAnsi="Times New Roman"/>
          <w:sz w:val="14"/>
          <w:szCs w:val="14"/>
          <w:color w:val="auto"/>
        </w:rPr>
        <w:t xml:space="preserve">Applicable;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w:t>
      </w:r>
    </w:p>
    <w:p>
      <w:pPr>
        <w:spacing w:after="0" w:line="149" w:lineRule="exact"/>
        <w:rPr>
          <w:sz w:val="20"/>
          <w:szCs w:val="20"/>
          <w:color w:val="auto"/>
        </w:rPr>
      </w:pPr>
    </w:p>
    <w:p>
      <w:pPr>
        <w:ind w:left="2560"/>
        <w:spacing w:after="0"/>
        <w:tabs>
          <w:tab w:leader="none" w:pos="2820" w:val="left"/>
        </w:tabs>
        <w:rPr>
          <w:sz w:val="20"/>
          <w:szCs w:val="20"/>
          <w:color w:val="auto"/>
        </w:rPr>
      </w:pPr>
      <w:r>
        <w:rPr>
          <w:rFonts w:ascii="Times New Roman" w:cs="Times New Roman" w:eastAsia="Times New Roman" w:hAnsi="Times New Roman"/>
          <w:sz w:val="14"/>
          <w:szCs w:val="14"/>
          <w:color w:val="auto"/>
        </w:rPr>
        <w:t>(i)</w:t>
        <w:tab/>
        <w:t>Section 12.9(a)(v) of the Equity Definitions is hereby amended by inserting the following two phrases at the end of such Section:</w:t>
      </w:r>
    </w:p>
    <w:p>
      <w:pPr>
        <w:spacing w:after="0" w:line="157" w:lineRule="exact"/>
        <w:rPr>
          <w:sz w:val="20"/>
          <w:szCs w:val="20"/>
          <w:color w:val="auto"/>
        </w:rPr>
      </w:pPr>
    </w:p>
    <w:p>
      <w:pPr>
        <w:jc w:val="both"/>
        <w:ind w:left="2960" w:hanging="253"/>
        <w:spacing w:after="0" w:line="270" w:lineRule="auto"/>
        <w:rPr>
          <w:sz w:val="20"/>
          <w:szCs w:val="20"/>
          <w:color w:val="auto"/>
        </w:rPr>
      </w:pPr>
      <w:r>
        <w:rPr>
          <w:rFonts w:ascii="Times New Roman" w:cs="Times New Roman" w:eastAsia="Times New Roman" w:hAnsi="Times New Roman"/>
          <w:sz w:val="14"/>
          <w:szCs w:val="14"/>
          <w:color w:val="auto"/>
        </w:rPr>
        <w:t>“For the avoidance of doubt, the term “equity price risk” shall be deemed to include, but shall not be limited to, stock price and volatility risk. And, for the further avoidance of doubt, any such transactions or assets referred to in phrases (A) or (B) above must be available on commercially reasonable pricing terms.”; and</w:t>
      </w:r>
    </w:p>
    <w:p>
      <w:pPr>
        <w:spacing w:after="0" w:line="104" w:lineRule="exact"/>
        <w:rPr>
          <w:sz w:val="20"/>
          <w:szCs w:val="20"/>
          <w:color w:val="auto"/>
        </w:rPr>
      </w:pPr>
    </w:p>
    <w:p>
      <w:pPr>
        <w:ind w:left="2960" w:hanging="405"/>
        <w:spacing w:after="0" w:line="270" w:lineRule="auto"/>
        <w:tabs>
          <w:tab w:leader="none" w:pos="2879"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12.9(b)(iii) of the Equity Definitions is hereby amended by inserting in the third line thereof, after the words “to terminate the Transaction”, the words “or, if a portion of the Transaction is affected by such Hedging Disruption (as commercially reasonably determined by the Hedging Party), such portion of the Transaction affected by such Hedging Disruption”.</w:t>
      </w:r>
    </w:p>
    <w:p>
      <w:pPr>
        <w:spacing w:after="0" w:line="104" w:lineRule="exact"/>
        <w:rPr>
          <w:sz w:val="20"/>
          <w:szCs w:val="20"/>
          <w:color w:val="auto"/>
        </w:rPr>
      </w:pPr>
    </w:p>
    <w:p>
      <w:pPr>
        <w:ind w:left="2560"/>
        <w:spacing w:after="0" w:line="287" w:lineRule="auto"/>
        <w:rPr>
          <w:sz w:val="20"/>
          <w:szCs w:val="20"/>
          <w:color w:val="auto"/>
        </w:rPr>
      </w:pPr>
      <w:r>
        <w:rPr>
          <w:rFonts w:ascii="Times New Roman" w:cs="Times New Roman" w:eastAsia="Times New Roman" w:hAnsi="Times New Roman"/>
          <w:sz w:val="14"/>
          <w:szCs w:val="14"/>
          <w:color w:val="auto"/>
        </w:rPr>
        <w:t>Notwithstanding anything to the contrary herein or in the Equity Definitions, in no event will a Hedging Disruption occur solely due to the deterioration of the creditworthiness of the Hedging Party relative to other comparable financial institutions.</w:t>
      </w:r>
    </w:p>
    <w:p>
      <w:pPr>
        <w:spacing w:after="0" w:line="103" w:lineRule="exact"/>
        <w:rPr>
          <w:sz w:val="20"/>
          <w:szCs w:val="20"/>
          <w:color w:val="auto"/>
        </w:rPr>
      </w:pPr>
    </w:p>
    <w:p>
      <w:pPr>
        <w:jc w:val="both"/>
        <w:ind w:left="2020" w:hanging="2291"/>
        <w:spacing w:after="0" w:line="287" w:lineRule="auto"/>
        <w:tabs>
          <w:tab w:leader="none" w:pos="2000" w:val="left"/>
        </w:tabs>
        <w:rPr>
          <w:sz w:val="20"/>
          <w:szCs w:val="20"/>
          <w:color w:val="auto"/>
        </w:rPr>
      </w:pPr>
      <w:r>
        <w:rPr>
          <w:rFonts w:ascii="Times New Roman" w:cs="Times New Roman" w:eastAsia="Times New Roman" w:hAnsi="Times New Roman"/>
          <w:sz w:val="14"/>
          <w:szCs w:val="14"/>
          <w:color w:val="auto"/>
        </w:rPr>
        <w:t>Increased Cost of Hedging:</w:t>
        <w:tab/>
        <w:t>Applicable solely with respect to a “Change in Law” described in clause (Y) of Section 12.9(a)(ii) of the Equity Definitions as set forth in the last sentence opposite the caption “Change in Law” above.</w:t>
      </w:r>
    </w:p>
    <w:p>
      <w:pPr>
        <w:spacing w:after="0" w:line="92" w:lineRule="exact"/>
        <w:rPr>
          <w:sz w:val="20"/>
          <w:szCs w:val="20"/>
          <w:color w:val="auto"/>
        </w:rPr>
      </w:pPr>
    </w:p>
    <w:p>
      <w:pPr>
        <w:jc w:val="both"/>
        <w:ind w:left="1340" w:hanging="2291"/>
        <w:spacing w:after="0" w:line="270" w:lineRule="auto"/>
        <w:tabs>
          <w:tab w:leader="none" w:pos="1320" w:val="left"/>
        </w:tabs>
        <w:rPr>
          <w:sz w:val="20"/>
          <w:szCs w:val="20"/>
          <w:color w:val="auto"/>
        </w:rPr>
      </w:pPr>
      <w:r>
        <w:rPr>
          <w:rFonts w:ascii="Times New Roman" w:cs="Times New Roman" w:eastAsia="Times New Roman" w:hAnsi="Times New Roman"/>
          <w:sz w:val="14"/>
          <w:szCs w:val="14"/>
          <w:color w:val="auto"/>
        </w:rPr>
        <w:t>Hedging Party:</w:t>
        <w:tab/>
        <w:t>For all applicable Additional Disruption Events, Dealer. Following any determination by the Hedging Party hereunder, within five Business Days following a written request by Counterparty therefor, the Hedging Party shall provide to Counterparty by e-mail to the e-mail address provided by Counterparty a written explanation and report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520"/>
          </w:cols>
          <w:pgMar w:left="1060" w:top="1281" w:right="319" w:bottom="1440" w:gutter="0" w:footer="0" w:header="0"/>
        </w:sectPr>
      </w:pPr>
    </w:p>
    <w:bookmarkStart w:id="140" w:name="page141"/>
    <w:bookmarkEnd w:id="140"/>
    <w:p>
      <w:pPr>
        <w:jc w:val="both"/>
        <w:ind w:left="3320"/>
        <w:spacing w:after="0" w:line="258" w:lineRule="auto"/>
        <w:rPr>
          <w:sz w:val="20"/>
          <w:szCs w:val="20"/>
          <w:color w:val="auto"/>
        </w:rPr>
      </w:pPr>
      <w:r>
        <w:rPr>
          <w:rFonts w:ascii="Times New Roman" w:cs="Times New Roman" w:eastAsia="Times New Roman" w:hAnsi="Times New Roman"/>
          <w:sz w:val="14"/>
          <w:szCs w:val="14"/>
          <w:color w:val="auto"/>
        </w:rPr>
        <w:t>(in a commonly used file format for the storage and manipulation of financial data) describing in reasonable detail any determination made by it (including, as applicable, any quotations, market data, information from internal sources used in making such determinations, descriptions of the methodology and any assumptions and basis used in making for such determination), it being understood that the Hedging Party shall not be obligated to disclose any proprietary or confidential models or proprietary or confidential information used by it for such determination. All calculations, adjustments and determinations by Dealer acting in its capacity as the Hedging Party (whether or not a standard for the actions of the Hedging Party is explicitly stated in any provision hereof or in the Equity Definitions) shall be made in good faith and in a commercially reasonable manner and assuming that Dealer maintains a commercially reasonable hedge position.</w:t>
      </w:r>
    </w:p>
    <w:p>
      <w:pPr>
        <w:spacing w:after="0" w:line="125" w:lineRule="exact"/>
        <w:rPr>
          <w:sz w:val="20"/>
          <w:szCs w:val="20"/>
          <w:color w:val="auto"/>
        </w:rPr>
      </w:pPr>
    </w:p>
    <w:p>
      <w:pPr>
        <w:jc w:val="both"/>
        <w:ind w:left="2320" w:hanging="2291"/>
        <w:spacing w:after="0" w:line="257" w:lineRule="auto"/>
        <w:tabs>
          <w:tab w:leader="none" w:pos="2300" w:val="left"/>
        </w:tabs>
        <w:rPr>
          <w:sz w:val="20"/>
          <w:szCs w:val="20"/>
          <w:color w:val="auto"/>
        </w:rPr>
      </w:pPr>
      <w:r>
        <w:rPr>
          <w:rFonts w:ascii="Times New Roman" w:cs="Times New Roman" w:eastAsia="Times New Roman" w:hAnsi="Times New Roman"/>
          <w:sz w:val="14"/>
          <w:szCs w:val="14"/>
          <w:color w:val="auto"/>
        </w:rPr>
        <w:t>Determining Party:</w:t>
        <w:tab/>
        <w:t>For all applicable Extraordinary Events, Dealer. Following any determination by the Determining Party hereunder, within five Business Days following a written request by Counterparty therefor, the Determining Party shall provide to Counterparty by e-mail to the e-mail address provided by Counterparty a written explanation and report (in a commonly used file format for the storage and manipulation of financial data) describing in reasonable detail any determination made by it (including, as applicable, any quotations, market data, information from internal sources used in making such determinations, descriptions of the methodology and any assumptions and basis used in making for such determination), it being understood that the Determining Party shall not be obligated to disclose any proprietary or confidential models or proprietary or confidential information used by it for such determination. All calculations, adjustments, and determinations by Dealer acting in its capacity as the Determining Party (whether or not a standard for the actions of the Determining Party is explicitly stated in any provision hereof or in the Equity Definitions) shall be made in good faith and in a commercially reasonable manner and assuming that Dealer maintains a commercially reasonable hedge position.</w:t>
      </w:r>
    </w:p>
    <w:p>
      <w:pPr>
        <w:spacing w:after="0" w:line="284" w:lineRule="exact"/>
        <w:rPr>
          <w:sz w:val="20"/>
          <w:szCs w:val="20"/>
          <w:color w:val="auto"/>
        </w:rPr>
      </w:pPr>
    </w:p>
    <w:p>
      <w:pPr>
        <w:ind w:left="1020"/>
        <w:spacing w:after="0"/>
        <w:tabs>
          <w:tab w:leader="none" w:pos="1960" w:val="left"/>
        </w:tabs>
        <w:rPr>
          <w:sz w:val="20"/>
          <w:szCs w:val="20"/>
          <w:color w:val="auto"/>
        </w:rPr>
      </w:pPr>
      <w:r>
        <w:rPr>
          <w:rFonts w:ascii="Times New Roman" w:cs="Times New Roman" w:eastAsia="Times New Roman" w:hAnsi="Times New Roman"/>
          <w:sz w:val="14"/>
          <w:szCs w:val="14"/>
          <w:color w:val="auto"/>
        </w:rPr>
        <w:t>Non-Reliance:</w:t>
        <w:tab/>
        <w:t>Applicable</w:t>
      </w:r>
    </w:p>
    <w:p>
      <w:pPr>
        <w:spacing w:after="0" w:line="14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Agreements and Acknowledgments</w:t>
      </w:r>
    </w:p>
    <w:p>
      <w:pPr>
        <w:spacing w:after="0" w:line="23" w:lineRule="exact"/>
        <w:rPr>
          <w:sz w:val="20"/>
          <w:szCs w:val="20"/>
          <w:color w:val="auto"/>
        </w:rPr>
      </w:pPr>
    </w:p>
    <w:p>
      <w:pPr>
        <w:ind w:left="1020"/>
        <w:spacing w:after="0"/>
        <w:tabs>
          <w:tab w:leader="none" w:pos="2880" w:val="left"/>
        </w:tabs>
        <w:rPr>
          <w:sz w:val="20"/>
          <w:szCs w:val="20"/>
          <w:color w:val="auto"/>
        </w:rPr>
      </w:pPr>
      <w:r>
        <w:rPr>
          <w:rFonts w:ascii="Times New Roman" w:cs="Times New Roman" w:eastAsia="Times New Roman" w:hAnsi="Times New Roman"/>
          <w:sz w:val="14"/>
          <w:szCs w:val="14"/>
          <w:color w:val="auto"/>
        </w:rPr>
        <w:t>Regarding Hedging Activities:</w:t>
        <w:tab/>
        <w:t>Applicable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Additional Acknowledgments:</w:t>
            </w:r>
          </w:p>
        </w:tc>
        <w:tc>
          <w:tcPr>
            <w:tcW w:w="17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Applicable</w:t>
            </w:r>
          </w:p>
        </w:tc>
        <w:tc>
          <w:tcPr>
            <w:tcW w:w="6720" w:type="dxa"/>
            <w:vAlign w:val="bottom"/>
          </w:tcPr>
          <w:p>
            <w:pPr>
              <w:spacing w:after="0"/>
              <w:rPr>
                <w:sz w:val="16"/>
                <w:szCs w:val="16"/>
                <w:color w:val="auto"/>
              </w:rPr>
            </w:pPr>
          </w:p>
        </w:tc>
      </w:tr>
      <w:tr>
        <w:trPr>
          <w:trHeight w:val="266"/>
        </w:trPr>
        <w:tc>
          <w:tcPr>
            <w:tcW w:w="2840" w:type="dxa"/>
            <w:vAlign w:val="bottom"/>
          </w:tcPr>
          <w:p>
            <w:pPr>
              <w:jc w:val="right"/>
              <w:ind w:right="2649"/>
              <w:spacing w:after="0"/>
              <w:rPr>
                <w:sz w:val="20"/>
                <w:szCs w:val="20"/>
                <w:color w:val="auto"/>
              </w:rPr>
            </w:pPr>
            <w:r>
              <w:rPr>
                <w:rFonts w:ascii="Times New Roman" w:cs="Times New Roman" w:eastAsia="Times New Roman" w:hAnsi="Times New Roman"/>
                <w:sz w:val="14"/>
                <w:szCs w:val="14"/>
                <w:b w:val="1"/>
                <w:bCs w:val="1"/>
                <w:color w:val="auto"/>
                <w:w w:val="94"/>
              </w:rPr>
              <w:t>5.</w:t>
            </w:r>
          </w:p>
        </w:tc>
        <w:tc>
          <w:tcPr>
            <w:tcW w:w="48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Calculation Agent.</w:t>
            </w:r>
          </w:p>
        </w:tc>
        <w:tc>
          <w:tcPr>
            <w:tcW w:w="6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Dealer. Regardless of whether or not a standard for the actions of the Calculation Agent is explicitly stated in any</w:t>
            </w:r>
          </w:p>
        </w:tc>
      </w:tr>
      <w:tr>
        <w:trPr>
          <w:trHeight w:val="20"/>
        </w:trPr>
        <w:tc>
          <w:tcPr>
            <w:tcW w:w="2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175"/>
        </w:trPr>
        <w:tc>
          <w:tcPr>
            <w:tcW w:w="2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provision hereof, the standards</w:t>
            </w:r>
          </w:p>
        </w:tc>
      </w:tr>
      <w:tr>
        <w:trPr>
          <w:trHeight w:val="877"/>
        </w:trPr>
        <w:tc>
          <w:tcPr>
            <w:tcW w:w="2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20" w:type="dxa"/>
            <w:vAlign w:val="bottom"/>
          </w:tcPr>
          <w:p>
            <w:pPr>
              <w:jc w:val="right"/>
              <w:ind w:right="5489"/>
              <w:spacing w:after="0"/>
              <w:rPr>
                <w:sz w:val="20"/>
                <w:szCs w:val="20"/>
                <w:color w:val="auto"/>
              </w:rPr>
            </w:pPr>
            <w:r>
              <w:rPr>
                <w:rFonts w:ascii="Times New Roman" w:cs="Times New Roman" w:eastAsia="Times New Roman" w:hAnsi="Times New Roman"/>
                <w:sz w:val="14"/>
                <w:szCs w:val="14"/>
                <w:color w:val="auto"/>
              </w:rPr>
              <w:t>19</w:t>
            </w:r>
          </w:p>
        </w:tc>
      </w:tr>
    </w:tbl>
    <w:p>
      <w:pPr>
        <w:sectPr>
          <w:pgSz w:w="11900" w:h="16838" w:orient="portrait"/>
          <w:cols w:equalWidth="0" w:num="1">
            <w:col w:w="11280"/>
          </w:cols>
          <w:pgMar w:left="300" w:top="1281" w:right="319" w:bottom="1440" w:gutter="0" w:footer="0" w:header="0"/>
        </w:sectPr>
      </w:pPr>
    </w:p>
    <w:bookmarkStart w:id="141" w:name="page142"/>
    <w:bookmarkEnd w:id="141"/>
    <w:p>
      <w:pPr>
        <w:ind w:left="3320"/>
        <w:spacing w:after="0"/>
        <w:rPr>
          <w:sz w:val="20"/>
          <w:szCs w:val="20"/>
          <w:color w:val="auto"/>
        </w:rPr>
      </w:pPr>
      <w:r>
        <w:rPr>
          <w:rFonts w:ascii="Times New Roman" w:cs="Times New Roman" w:eastAsia="Times New Roman" w:hAnsi="Times New Roman"/>
          <w:sz w:val="14"/>
          <w:szCs w:val="14"/>
          <w:color w:val="auto"/>
        </w:rPr>
        <w:t>of Section 1.40 of the Equity Definitions, as modified by adding the words, “acts or” immediately before the words, “is required to act” in</w:t>
      </w:r>
    </w:p>
    <w:p>
      <w:pPr>
        <w:spacing w:after="0" w:line="4" w:lineRule="exact"/>
        <w:rPr>
          <w:sz w:val="20"/>
          <w:szCs w:val="20"/>
          <w:color w:val="auto"/>
        </w:rPr>
      </w:pPr>
    </w:p>
    <w:p>
      <w:pPr>
        <w:jc w:val="both"/>
        <w:ind w:left="3320"/>
        <w:spacing w:after="0" w:line="210" w:lineRule="auto"/>
        <w:rPr>
          <w:sz w:val="20"/>
          <w:szCs w:val="20"/>
          <w:color w:val="auto"/>
        </w:rPr>
      </w:pPr>
      <w:r>
        <w:rPr>
          <w:rFonts w:ascii="Times New Roman" w:cs="Times New Roman" w:eastAsia="Times New Roman" w:hAnsi="Times New Roman"/>
          <w:sz w:val="14"/>
          <w:szCs w:val="14"/>
          <w:color w:val="auto"/>
        </w:rPr>
        <w:t>line 2 thereof, shall apply to the Calculation Agent at all times and in respect of all circumstances hereunder. Following the occurrence and during the continuance of an Event of Default of the type described in Section 5(a)(vii) of the Agreement with respect to which Dealer is the sole Defaulting Party, Counterparty shall have the right to designate a nationally recognized third-party dealer in over-the-counter corporate</w:t>
      </w:r>
    </w:p>
    <w:p>
      <w:pPr>
        <w:spacing w:after="0" w:line="2" w:lineRule="exact"/>
        <w:rPr>
          <w:sz w:val="20"/>
          <w:szCs w:val="20"/>
          <w:color w:val="auto"/>
        </w:rPr>
      </w:pPr>
    </w:p>
    <w:p>
      <w:pPr>
        <w:jc w:val="both"/>
        <w:ind w:left="3320"/>
        <w:spacing w:after="0" w:line="228" w:lineRule="auto"/>
        <w:rPr>
          <w:sz w:val="20"/>
          <w:szCs w:val="20"/>
          <w:color w:val="auto"/>
        </w:rPr>
      </w:pPr>
      <w:r>
        <w:rPr>
          <w:rFonts w:ascii="Times New Roman" w:cs="Times New Roman" w:eastAsia="Times New Roman" w:hAnsi="Times New Roman"/>
          <w:sz w:val="14"/>
          <w:szCs w:val="14"/>
          <w:color w:val="auto"/>
        </w:rPr>
        <w:t>equity derivatives to act, during the period commencing on the date such Event of Default occurred and ending on the Early Termination Date with respect to such Event of Default, as the Calculation Agent.</w:t>
      </w:r>
    </w:p>
    <w:p>
      <w:pPr>
        <w:spacing w:after="0" w:line="113" w:lineRule="exact"/>
        <w:rPr>
          <w:sz w:val="20"/>
          <w:szCs w:val="20"/>
          <w:color w:val="auto"/>
        </w:rPr>
      </w:pPr>
    </w:p>
    <w:p>
      <w:pPr>
        <w:jc w:val="both"/>
        <w:ind w:left="3320" w:hanging="5"/>
        <w:spacing w:after="0" w:line="258" w:lineRule="auto"/>
        <w:tabs>
          <w:tab w:leader="none" w:pos="357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any determination or calculation by the Calculation Agent hereunder, within five Business Days following a written request by Counterparty therefor, the Calculation Agent shall provide to Counterparty as soon as reasonably practicable following such request by e-mail to the e-mail address provided by Counterparty in such request a written explanation and report (in a commonly used file format for the storage and manipulation of financial data) displaying in commercially reasonable detail the basis for such determination or calculation (including any quotations, market data or information from internal or external sources, and any assumptions, used in making such determination or calculation), it being understood that the Calculation Agent shall not be obligated to disclose any proprietary or confidential models or proprietary or confidential information used by it for such determination or calculation.</w:t>
      </w:r>
    </w:p>
    <w:p>
      <w:pPr>
        <w:spacing w:after="0" w:line="102"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4"/>
          <w:szCs w:val="14"/>
          <w:b w:val="1"/>
          <w:bCs w:val="1"/>
          <w:color w:val="auto"/>
        </w:rPr>
        <w:t>7.</w:t>
      </w:r>
      <w:r>
        <w:rPr>
          <w:sz w:val="20"/>
          <w:szCs w:val="20"/>
          <w:color w:val="auto"/>
        </w:rPr>
        <w:tab/>
      </w:r>
      <w:r>
        <w:rPr>
          <w:rFonts w:ascii="Times New Roman" w:cs="Times New Roman" w:eastAsia="Times New Roman" w:hAnsi="Times New Roman"/>
          <w:sz w:val="14"/>
          <w:szCs w:val="14"/>
          <w:b w:val="1"/>
          <w:bCs w:val="1"/>
          <w:u w:val="single" w:color="auto"/>
          <w:color w:val="auto"/>
        </w:rPr>
        <w:t>Account Details</w:t>
      </w:r>
      <w:r>
        <w:rPr>
          <w:rFonts w:ascii="Times New Roman" w:cs="Times New Roman" w:eastAsia="Times New Roman" w:hAnsi="Times New Roman"/>
          <w:sz w:val="14"/>
          <w:szCs w:val="14"/>
          <w:b w:val="1"/>
          <w:bCs w:val="1"/>
          <w:color w:val="auto"/>
        </w:rPr>
        <w:t>.</w:t>
      </w:r>
    </w:p>
    <w:p>
      <w:pPr>
        <w:spacing w:after="0" w:line="127" w:lineRule="exact"/>
        <w:rPr>
          <w:sz w:val="20"/>
          <w:szCs w:val="20"/>
          <w:color w:val="auto"/>
        </w:rPr>
      </w:pPr>
    </w:p>
    <w:p>
      <w:pPr>
        <w:ind w:left="1020" w:right="8040" w:hanging="506"/>
        <w:spacing w:after="0" w:line="450" w:lineRule="auto"/>
        <w:tabs>
          <w:tab w:leader="none" w:pos="1018"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Account for payments to Counterparty: To be provided.</w:t>
      </w:r>
    </w:p>
    <w:p>
      <w:pPr>
        <w:spacing w:after="0" w:line="1" w:lineRule="exact"/>
        <w:rPr>
          <w:rFonts w:ascii="Times New Roman" w:cs="Times New Roman" w:eastAsia="Times New Roman" w:hAnsi="Times New Roman"/>
          <w:sz w:val="14"/>
          <w:szCs w:val="14"/>
          <w:color w:val="auto"/>
        </w:rPr>
      </w:pPr>
    </w:p>
    <w:p>
      <w:pPr>
        <w:ind w:left="1020" w:right="7540"/>
        <w:spacing w:after="0" w:line="4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Account for delivery of Shares to Counterparty: To be provided.</w:t>
      </w:r>
    </w:p>
    <w:p>
      <w:pPr>
        <w:spacing w:after="0" w:line="1"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Account for payments to Dealer:</w:t>
      </w:r>
    </w:p>
    <w:p>
      <w:pPr>
        <w:spacing w:after="0" w:line="99" w:lineRule="exact"/>
        <w:rPr>
          <w:sz w:val="20"/>
          <w:szCs w:val="20"/>
          <w:color w:val="auto"/>
        </w:rPr>
      </w:pPr>
    </w:p>
    <w:tbl>
      <w:tblPr>
        <w:tblLayout w:type="fixed"/>
        <w:tblInd w:w="1020" w:type="dxa"/>
        <w:tblCellMar>
          <w:top w:w="0" w:type="dxa"/>
          <w:left w:w="0" w:type="dxa"/>
          <w:bottom w:w="0" w:type="dxa"/>
          <w:right w:w="0" w:type="dxa"/>
        </w:tblCellMar>
      </w:tblPr>
      <w:tr>
        <w:trPr>
          <w:trHeight w:val="207"/>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[Bank:]</w:t>
            </w:r>
          </w:p>
        </w:tc>
        <w:tc>
          <w:tcPr>
            <w:tcW w:w="112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color w:val="auto"/>
                <w:w w:val="99"/>
              </w:rPr>
              <w:t>[_________]</w:t>
            </w:r>
            <w:r>
              <w:rPr>
                <w:rFonts w:ascii="Times New Roman" w:cs="Times New Roman" w:eastAsia="Times New Roman" w:hAnsi="Times New Roman"/>
                <w:sz w:val="18"/>
                <w:szCs w:val="18"/>
                <w:color w:val="auto"/>
                <w:w w:val="99"/>
                <w:vertAlign w:val="superscript"/>
              </w:rPr>
              <w:t>17</w:t>
            </w:r>
          </w:p>
        </w:tc>
      </w:tr>
      <w:tr>
        <w:trPr>
          <w:trHeight w:val="170"/>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[SWIFT:]</w:t>
            </w:r>
          </w:p>
        </w:tc>
        <w:tc>
          <w:tcPr>
            <w:tcW w:w="14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[_________]</w:t>
            </w:r>
          </w:p>
        </w:tc>
      </w:tr>
      <w:tr>
        <w:trPr>
          <w:trHeight w:val="170"/>
        </w:trPr>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[Bank Routing:]  [_________]</w:t>
            </w:r>
          </w:p>
        </w:tc>
      </w:tr>
      <w:tr>
        <w:trPr>
          <w:trHeight w:val="170"/>
        </w:trPr>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[Acct Name:]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[_________]</w:t>
            </w:r>
          </w:p>
        </w:tc>
      </w:tr>
      <w:tr>
        <w:trPr>
          <w:trHeight w:val="184"/>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[Acct No.:]</w:t>
            </w:r>
          </w:p>
        </w:tc>
        <w:tc>
          <w:tcPr>
            <w:tcW w:w="140" w:type="dxa"/>
            <w:vAlign w:val="bottom"/>
          </w:tcPr>
          <w:p>
            <w:pPr>
              <w:spacing w:after="0"/>
              <w:rPr>
                <w:sz w:val="16"/>
                <w:szCs w:val="16"/>
                <w:color w:val="auto"/>
              </w:rPr>
            </w:pPr>
          </w:p>
        </w:tc>
        <w:tc>
          <w:tcPr>
            <w:tcW w:w="9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[_________]</w:t>
            </w:r>
          </w:p>
        </w:tc>
      </w:tr>
    </w:tbl>
    <w:p>
      <w:pPr>
        <w:spacing w:after="0" w:line="17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Account for delivery of Shares from Dealer:</w:t>
      </w:r>
    </w:p>
    <w:p>
      <w:pPr>
        <w:spacing w:after="0" w:line="14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129349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93495" cy="6985"/>
                    </a:xfrm>
                    <a:prstGeom prst="rect">
                      <a:avLst/>
                    </a:prstGeom>
                    <a:noFill/>
                  </pic:spPr>
                </pic:pic>
              </a:graphicData>
            </a:graphic>
          </wp:anchor>
        </w:drawing>
      </w:r>
    </w:p>
    <w:p>
      <w:pPr>
        <w:spacing w:after="0" w:line="185" w:lineRule="exact"/>
        <w:rPr>
          <w:sz w:val="20"/>
          <w:szCs w:val="20"/>
          <w:color w:val="auto"/>
        </w:rPr>
      </w:pPr>
    </w:p>
    <w:p>
      <w:pPr>
        <w:ind w:left="120" w:hanging="115"/>
        <w:spacing w:after="0"/>
        <w:tabs>
          <w:tab w:leader="none" w:pos="120"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Insert Dealer’s account information.</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1280"/>
          </w:cols>
          <w:pgMar w:left="300" w:top="1270" w:right="319" w:bottom="1440" w:gutter="0" w:footer="0" w:header="0"/>
        </w:sectPr>
      </w:pPr>
    </w:p>
    <w:bookmarkStart w:id="142" w:name="page143"/>
    <w:bookmarkEnd w:id="142"/>
    <w:p>
      <w:pPr>
        <w:spacing w:after="0"/>
        <w:tabs>
          <w:tab w:leader="none" w:pos="3300" w:val="left"/>
        </w:tabs>
        <w:rPr>
          <w:sz w:val="20"/>
          <w:szCs w:val="20"/>
          <w:color w:val="auto"/>
        </w:rPr>
      </w:pPr>
      <w:r>
        <w:rPr>
          <w:rFonts w:ascii="Times New Roman" w:cs="Times New Roman" w:eastAsia="Times New Roman" w:hAnsi="Times New Roman"/>
          <w:sz w:val="14"/>
          <w:szCs w:val="14"/>
          <w:b w:val="1"/>
          <w:bCs w:val="1"/>
          <w:color w:val="auto"/>
        </w:rPr>
        <w:t>8.</w:t>
      </w:r>
      <w:r>
        <w:rPr>
          <w:sz w:val="20"/>
          <w:szCs w:val="20"/>
          <w:color w:val="auto"/>
        </w:rPr>
        <w:tab/>
      </w:r>
      <w:r>
        <w:rPr>
          <w:rFonts w:ascii="Times New Roman" w:cs="Times New Roman" w:eastAsia="Times New Roman" w:hAnsi="Times New Roman"/>
          <w:sz w:val="14"/>
          <w:szCs w:val="14"/>
          <w:b w:val="1"/>
          <w:bCs w:val="1"/>
          <w:u w:val="single" w:color="auto"/>
          <w:color w:val="auto"/>
        </w:rPr>
        <w:t>Offices</w:t>
      </w:r>
      <w:r>
        <w:rPr>
          <w:rFonts w:ascii="Times New Roman" w:cs="Times New Roman" w:eastAsia="Times New Roman" w:hAnsi="Times New Roman"/>
          <w:sz w:val="14"/>
          <w:szCs w:val="14"/>
          <w:b w:val="1"/>
          <w:bCs w:val="1"/>
          <w:color w:val="auto"/>
        </w:rPr>
        <w:t>.</w:t>
      </w:r>
    </w:p>
    <w:p>
      <w:pPr>
        <w:spacing w:after="0" w:line="127" w:lineRule="exact"/>
        <w:rPr>
          <w:sz w:val="20"/>
          <w:szCs w:val="20"/>
          <w:color w:val="auto"/>
        </w:rPr>
      </w:pPr>
    </w:p>
    <w:p>
      <w:pPr>
        <w:ind w:left="1020" w:hanging="506"/>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Office of Counterparty for the Transaction is: Inapplicable, Counterparty is not a Multibranch Party.</w:t>
      </w:r>
    </w:p>
    <w:p>
      <w:pPr>
        <w:spacing w:after="0" w:line="12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Office of Dealer for the Transaction is: [____________][Inapplicable; Dealer is not a Multibranch Party]</w:t>
      </w:r>
    </w:p>
    <w:p>
      <w:pPr>
        <w:spacing w:after="0" w:line="113"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4"/>
          <w:szCs w:val="14"/>
          <w:b w:val="1"/>
          <w:bCs w:val="1"/>
          <w:color w:val="auto"/>
        </w:rPr>
        <w:t>9.</w:t>
      </w:r>
      <w:r>
        <w:rPr>
          <w:sz w:val="20"/>
          <w:szCs w:val="20"/>
          <w:color w:val="auto"/>
        </w:rPr>
        <w:tab/>
      </w:r>
      <w:r>
        <w:rPr>
          <w:rFonts w:ascii="Times New Roman" w:cs="Times New Roman" w:eastAsia="Times New Roman" w:hAnsi="Times New Roman"/>
          <w:sz w:val="14"/>
          <w:szCs w:val="14"/>
          <w:b w:val="1"/>
          <w:bCs w:val="1"/>
          <w:u w:val="single" w:color="auto"/>
          <w:color w:val="auto"/>
        </w:rPr>
        <w:t>Notices</w:t>
      </w:r>
      <w:r>
        <w:rPr>
          <w:rFonts w:ascii="Times New Roman" w:cs="Times New Roman" w:eastAsia="Times New Roman" w:hAnsi="Times New Roman"/>
          <w:sz w:val="14"/>
          <w:szCs w:val="14"/>
          <w:b w:val="1"/>
          <w:bCs w:val="1"/>
          <w:color w:val="auto"/>
        </w:rPr>
        <w:t>.</w:t>
      </w:r>
    </w:p>
    <w:p>
      <w:pPr>
        <w:spacing w:after="0" w:line="127" w:lineRule="exact"/>
        <w:rPr>
          <w:sz w:val="20"/>
          <w:szCs w:val="20"/>
          <w:color w:val="auto"/>
        </w:rPr>
      </w:pPr>
    </w:p>
    <w:p>
      <w:pPr>
        <w:ind w:left="1020" w:hanging="506"/>
        <w:spacing w:after="0"/>
        <w:tabs>
          <w:tab w:leader="none" w:pos="10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Address for notices or communications to Counterparty:</w:t>
      </w:r>
    </w:p>
    <w:p>
      <w:pPr>
        <w:spacing w:after="0" w:line="136" w:lineRule="exact"/>
        <w:rPr>
          <w:sz w:val="20"/>
          <w:szCs w:val="20"/>
          <w:color w:val="auto"/>
        </w:rPr>
      </w:pPr>
    </w:p>
    <w:p>
      <w:pPr>
        <w:ind w:left="1020"/>
        <w:spacing w:after="0"/>
        <w:tabs>
          <w:tab w:leader="none" w:pos="1480" w:val="left"/>
        </w:tabs>
        <w:rPr>
          <w:sz w:val="20"/>
          <w:szCs w:val="20"/>
          <w:color w:val="auto"/>
        </w:rPr>
      </w:pPr>
      <w:r>
        <w:rPr>
          <w:rFonts w:ascii="Times New Roman" w:cs="Times New Roman" w:eastAsia="Times New Roman" w:hAnsi="Times New Roman"/>
          <w:sz w:val="14"/>
          <w:szCs w:val="14"/>
          <w:color w:val="auto"/>
        </w:rPr>
        <w:t>To:</w:t>
      </w:r>
      <w:r>
        <w:rPr>
          <w:sz w:val="20"/>
          <w:szCs w:val="20"/>
          <w:color w:val="auto"/>
        </w:rPr>
        <w:tab/>
      </w:r>
      <w:r>
        <w:rPr>
          <w:rFonts w:ascii="Times New Roman" w:cs="Times New Roman" w:eastAsia="Times New Roman" w:hAnsi="Times New Roman"/>
          <w:sz w:val="14"/>
          <w:szCs w:val="14"/>
          <w:color w:val="auto"/>
        </w:rPr>
        <w:t>Robinhood Markets, Inc.</w:t>
      </w:r>
    </w:p>
    <w:p>
      <w:pPr>
        <w:spacing w:after="0" w:line="23"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4"/>
          <w:szCs w:val="14"/>
          <w:color w:val="auto"/>
        </w:rPr>
        <w:t>85 Willow Road</w:t>
      </w:r>
    </w:p>
    <w:p>
      <w:pPr>
        <w:spacing w:after="0" w:line="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4"/>
          <w:szCs w:val="14"/>
          <w:color w:val="auto"/>
        </w:rPr>
        <w:t>Menlo Park, California 94025</w:t>
      </w:r>
    </w:p>
    <w:p>
      <w:pPr>
        <w:spacing w:after="0" w:line="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4"/>
          <w:szCs w:val="14"/>
          <w:color w:val="auto"/>
        </w:rPr>
        <w:t>Attention: Corporate Secretary</w:t>
      </w:r>
    </w:p>
    <w:p>
      <w:pPr>
        <w:spacing w:after="0" w:line="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4"/>
          <w:szCs w:val="14"/>
          <w:color w:val="auto"/>
        </w:rPr>
        <w:t>Email: corporatesecretary@robinhood.com</w:t>
      </w:r>
    </w:p>
    <w:p>
      <w:pPr>
        <w:spacing w:after="0" w:line="175" w:lineRule="exact"/>
        <w:rPr>
          <w:sz w:val="20"/>
          <w:szCs w:val="20"/>
          <w:color w:val="auto"/>
        </w:rPr>
      </w:pPr>
    </w:p>
    <w:p>
      <w:pPr>
        <w:ind w:left="1020" w:hanging="506"/>
        <w:spacing w:after="0"/>
        <w:tabs>
          <w:tab w:leader="none" w:pos="1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Address for notices or communications to Dealer:</w:t>
      </w:r>
    </w:p>
    <w:p>
      <w:pPr>
        <w:spacing w:after="0" w:line="125" w:lineRule="exact"/>
        <w:rPr>
          <w:rFonts w:ascii="Times New Roman" w:cs="Times New Roman" w:eastAsia="Times New Roman" w:hAnsi="Times New Roman"/>
          <w:sz w:val="14"/>
          <w:szCs w:val="14"/>
          <w:color w:val="auto"/>
        </w:rPr>
      </w:pPr>
    </w:p>
    <w:p>
      <w:pPr>
        <w:ind w:left="10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w:t>
      </w:r>
      <w:r>
        <w:rPr>
          <w:rFonts w:ascii="Times New Roman" w:cs="Times New Roman" w:eastAsia="Times New Roman" w:hAnsi="Times New Roman"/>
          <w:sz w:val="13"/>
          <w:szCs w:val="13"/>
          <w:color w:val="auto"/>
        </w:rPr>
        <w:t>[____________]</w:t>
      </w:r>
      <w:r>
        <w:rPr>
          <w:rFonts w:ascii="Times New Roman" w:cs="Times New Roman" w:eastAsia="Times New Roman" w:hAnsi="Times New Roman"/>
          <w:sz w:val="17"/>
          <w:szCs w:val="17"/>
          <w:color w:val="auto"/>
          <w:vertAlign w:val="superscript"/>
        </w:rPr>
        <w:t>18</w:t>
      </w:r>
    </w:p>
    <w:p>
      <w:pPr>
        <w:spacing w:after="0" w:line="144" w:lineRule="exact"/>
        <w:rPr>
          <w:rFonts w:ascii="Times New Roman" w:cs="Times New Roman" w:eastAsia="Times New Roman" w:hAnsi="Times New Roman"/>
          <w:sz w:val="14"/>
          <w:szCs w:val="14"/>
          <w:color w:val="auto"/>
        </w:rPr>
      </w:pPr>
    </w:p>
    <w:p>
      <w:pPr>
        <w:ind w:left="10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Attention:   [____________]</w:t>
      </w:r>
    </w:p>
    <w:p>
      <w:pPr>
        <w:spacing w:after="0" w:line="23" w:lineRule="exact"/>
        <w:rPr>
          <w:rFonts w:ascii="Times New Roman" w:cs="Times New Roman" w:eastAsia="Times New Roman" w:hAnsi="Times New Roman"/>
          <w:sz w:val="14"/>
          <w:szCs w:val="14"/>
          <w:color w:val="auto"/>
        </w:rPr>
      </w:pPr>
    </w:p>
    <w:p>
      <w:pPr>
        <w:ind w:left="10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Telephone:  [____________]</w:t>
      </w:r>
    </w:p>
    <w:p>
      <w:pPr>
        <w:spacing w:after="0" w:line="8" w:lineRule="exact"/>
        <w:rPr>
          <w:rFonts w:ascii="Times New Roman" w:cs="Times New Roman" w:eastAsia="Times New Roman" w:hAnsi="Times New Roman"/>
          <w:sz w:val="14"/>
          <w:szCs w:val="14"/>
          <w:color w:val="auto"/>
        </w:rPr>
      </w:pPr>
    </w:p>
    <w:p>
      <w:pPr>
        <w:ind w:left="1020" w:right="8760"/>
        <w:spacing w:after="0" w:line="51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Email: [____________] [With a copy to:</w:t>
      </w:r>
    </w:p>
    <w:p>
      <w:pPr>
        <w:ind w:left="10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To:[____________]</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2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Attention:</w:t>
            </w:r>
          </w:p>
        </w:tc>
        <w:tc>
          <w:tcPr>
            <w:tcW w:w="160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[____________]</w:t>
            </w:r>
          </w:p>
        </w:tc>
        <w:tc>
          <w:tcPr>
            <w:tcW w:w="29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0"/>
        </w:trPr>
        <w:tc>
          <w:tcPr>
            <w:tcW w:w="172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Telephone:</w:t>
            </w:r>
          </w:p>
        </w:tc>
        <w:tc>
          <w:tcPr>
            <w:tcW w:w="160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[____________]</w:t>
            </w:r>
          </w:p>
        </w:tc>
        <w:tc>
          <w:tcPr>
            <w:tcW w:w="29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4"/>
        </w:trPr>
        <w:tc>
          <w:tcPr>
            <w:tcW w:w="6320" w:type="dxa"/>
            <w:vAlign w:val="bottom"/>
            <w:gridSpan w:val="4"/>
          </w:tcPr>
          <w:p>
            <w:pPr>
              <w:ind w:left="1020"/>
              <w:spacing w:after="0"/>
              <w:rPr>
                <w:sz w:val="20"/>
                <w:szCs w:val="20"/>
                <w:color w:val="auto"/>
              </w:rPr>
            </w:pPr>
            <w:r>
              <w:rPr>
                <w:rFonts w:ascii="Times New Roman" w:cs="Times New Roman" w:eastAsia="Times New Roman" w:hAnsi="Times New Roman"/>
                <w:sz w:val="14"/>
                <w:szCs w:val="14"/>
                <w:color w:val="auto"/>
              </w:rPr>
              <w:t>Email:   [____________]]</w:t>
            </w:r>
          </w:p>
        </w:tc>
      </w:tr>
      <w:tr>
        <w:trPr>
          <w:trHeight w:val="276"/>
        </w:trPr>
        <w:tc>
          <w:tcPr>
            <w:tcW w:w="1720" w:type="dxa"/>
            <w:vAlign w:val="bottom"/>
          </w:tcPr>
          <w:p>
            <w:pPr>
              <w:jc w:val="right"/>
              <w:ind w:right="1469"/>
              <w:spacing w:after="0"/>
              <w:rPr>
                <w:sz w:val="20"/>
                <w:szCs w:val="20"/>
                <w:color w:val="auto"/>
              </w:rPr>
            </w:pPr>
            <w:r>
              <w:rPr>
                <w:rFonts w:ascii="Times New Roman" w:cs="Times New Roman" w:eastAsia="Times New Roman" w:hAnsi="Times New Roman"/>
                <w:sz w:val="14"/>
                <w:szCs w:val="14"/>
                <w:b w:val="1"/>
                <w:bCs w:val="1"/>
                <w:color w:val="auto"/>
                <w:w w:val="91"/>
              </w:rPr>
              <w:t>10.</w:t>
            </w:r>
          </w:p>
        </w:tc>
        <w:tc>
          <w:tcPr>
            <w:tcW w:w="1600" w:type="dxa"/>
            <w:vAlign w:val="bottom"/>
          </w:tcPr>
          <w:p>
            <w:pPr>
              <w:spacing w:after="0"/>
              <w:rPr>
                <w:sz w:val="24"/>
                <w:szCs w:val="24"/>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Representations and Warranties of Counterparty.</w:t>
            </w:r>
          </w:p>
        </w:tc>
      </w:tr>
      <w:tr>
        <w:trPr>
          <w:trHeight w:val="20"/>
        </w:trPr>
        <w:tc>
          <w:tcPr>
            <w:tcW w:w="17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Counterparty hereby represents and warrants to Dealer on the date hereof and on and as of the Premium Payment Date that:</w:t>
      </w:r>
    </w:p>
    <w:p>
      <w:pPr>
        <w:spacing w:after="0" w:line="147" w:lineRule="exact"/>
        <w:rPr>
          <w:sz w:val="20"/>
          <w:szCs w:val="20"/>
          <w:color w:val="auto"/>
        </w:rPr>
      </w:pPr>
    </w:p>
    <w:p>
      <w:pPr>
        <w:jc w:val="both"/>
        <w:ind w:left="1020" w:hanging="506"/>
        <w:spacing w:after="0" w:line="219" w:lineRule="auto"/>
        <w:tabs>
          <w:tab w:leader="none" w:pos="1018"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Counterparty has all necessary corporate power and authority to execute, deliver and perform its obligations in respect of the Transaction; such execution, delivery and performance have been duly authorized by all necessary corporate action on Counterparty’s part; and this Confirmation has been duly and validly executed and delivered by Counterparty and constitutes its valid and binding obligation, enforceable against Counterparty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w:t>
      </w:r>
    </w:p>
    <w:p>
      <w:pPr>
        <w:spacing w:after="0" w:line="105" w:lineRule="exact"/>
        <w:rPr>
          <w:rFonts w:ascii="Times New Roman" w:cs="Times New Roman" w:eastAsia="Times New Roman" w:hAnsi="Times New Roman"/>
          <w:sz w:val="14"/>
          <w:szCs w:val="14"/>
          <w:color w:val="auto"/>
        </w:rPr>
      </w:pPr>
    </w:p>
    <w:p>
      <w:pPr>
        <w:jc w:val="both"/>
        <w:ind w:left="1020" w:hanging="506"/>
        <w:spacing w:after="0" w:line="233" w:lineRule="auto"/>
        <w:tabs>
          <w:tab w:leader="none" w:pos="1015"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execution and delivery of this Confirmation nor the incurrence or performance of obligations of Counterparty hereunder will conflict with or result in a breach of the certificate of incorporation or by-laws (or any equivalent documents) of Counterparty, or any applicable law or regulation, or any order, writ, injunction or decree of any court or governmental authority or agency, or any agreement or instrument filed as an exhibit to Counterparty’s most recently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129349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93495" cy="6985"/>
                    </a:xfrm>
                    <a:prstGeom prst="rect">
                      <a:avLst/>
                    </a:prstGeom>
                    <a:noFill/>
                  </pic:spPr>
                </pic:pic>
              </a:graphicData>
            </a:graphic>
          </wp:anchor>
        </w:drawing>
      </w:r>
    </w:p>
    <w:p>
      <w:pPr>
        <w:spacing w:after="0" w:line="143" w:lineRule="exact"/>
        <w:rPr>
          <w:sz w:val="20"/>
          <w:szCs w:val="20"/>
          <w:color w:val="auto"/>
        </w:rPr>
      </w:pPr>
    </w:p>
    <w:p>
      <w:pPr>
        <w:ind w:left="120" w:hanging="115"/>
        <w:spacing w:after="0"/>
        <w:tabs>
          <w:tab w:leader="none" w:pos="120" w:val="left"/>
        </w:tabs>
        <w:numPr>
          <w:ilvl w:val="0"/>
          <w:numId w:val="2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Insert Dealer’s notice contact information.</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1280"/>
          </w:cols>
          <w:pgMar w:left="300" w:top="1269" w:right="319" w:bottom="1440" w:gutter="0" w:footer="0" w:header="0"/>
        </w:sectPr>
      </w:pPr>
    </w:p>
    <w:bookmarkStart w:id="143" w:name="page144"/>
    <w:bookmarkEnd w:id="143"/>
    <w:p>
      <w:pPr>
        <w:ind w:left="1020"/>
        <w:spacing w:after="0"/>
        <w:rPr>
          <w:sz w:val="20"/>
          <w:szCs w:val="20"/>
          <w:color w:val="auto"/>
        </w:rPr>
      </w:pPr>
      <w:r>
        <w:rPr>
          <w:rFonts w:ascii="Times New Roman" w:cs="Times New Roman" w:eastAsia="Times New Roman" w:hAnsi="Times New Roman"/>
          <w:sz w:val="14"/>
          <w:szCs w:val="14"/>
          <w:color w:val="auto"/>
        </w:rPr>
        <w:t>Annual Report on Form 10-K, as updated by subsequent filings, or constitute a default under, or result in the creation of any lien under, any such agreement or instrument.</w:t>
      </w:r>
    </w:p>
    <w:p>
      <w:pPr>
        <w:spacing w:after="0" w:line="125" w:lineRule="exact"/>
        <w:rPr>
          <w:sz w:val="20"/>
          <w:szCs w:val="20"/>
          <w:color w:val="auto"/>
        </w:rPr>
      </w:pPr>
    </w:p>
    <w:p>
      <w:pPr>
        <w:jc w:val="both"/>
        <w:ind w:left="1020" w:hanging="506"/>
        <w:spacing w:after="0" w:line="226" w:lineRule="auto"/>
        <w:tabs>
          <w:tab w:leader="none" w:pos="1018"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 consent, approval, authorization, or order of, or filing with, any governmental agency or body or any court is required in connection with the execution, delivery or performance by Counterparty of this Confirmation, except such as have been obtained or made and such as may be required under the Securities Act, or state securities laws;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Counterparty makes no representation or warranty regarding any such requirement that is applicable generally to the ownership of equity securities by Dealer or any of its Affiliates solely as a result of it or any of such Affiliates being financial institutions and/or broker-dealers.</w:t>
      </w:r>
    </w:p>
    <w:p>
      <w:pPr>
        <w:spacing w:after="0" w:line="104" w:lineRule="exact"/>
        <w:rPr>
          <w:rFonts w:ascii="Times New Roman" w:cs="Times New Roman" w:eastAsia="Times New Roman" w:hAnsi="Times New Roman"/>
          <w:sz w:val="14"/>
          <w:szCs w:val="14"/>
          <w:color w:val="auto"/>
        </w:rPr>
      </w:pPr>
    </w:p>
    <w:p>
      <w:pPr>
        <w:ind w:left="1020" w:hanging="506"/>
        <w:spacing w:after="0" w:line="239" w:lineRule="auto"/>
        <w:tabs>
          <w:tab w:leader="none" w:pos="1015"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Counterparty is not and, after consummation of the transactions contemplated hereby, will not be required to register as an “investment company” as such term is defined in the Investment Company Act of 1940, as amended.</w:t>
      </w:r>
    </w:p>
    <w:p>
      <w:pPr>
        <w:spacing w:after="0" w:line="103" w:lineRule="exact"/>
        <w:rPr>
          <w:rFonts w:ascii="Times New Roman" w:cs="Times New Roman" w:eastAsia="Times New Roman" w:hAnsi="Times New Roman"/>
          <w:sz w:val="14"/>
          <w:szCs w:val="14"/>
          <w:color w:val="auto"/>
        </w:rPr>
      </w:pPr>
    </w:p>
    <w:p>
      <w:pPr>
        <w:ind w:left="1020" w:hanging="506"/>
        <w:spacing w:after="0" w:line="239" w:lineRule="auto"/>
        <w:tabs>
          <w:tab w:leader="none" w:pos="1018"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Counterparty is an “eligible contract participant” (as such term is defined in Section 1a(18) of the Commodity Exchange Act, as amended, other than a person that is an eligible contract participant under Section 1a(18)(C) of the Commodity Exchange Act).</w:t>
      </w:r>
    </w:p>
    <w:p>
      <w:pPr>
        <w:spacing w:after="0" w:line="10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Counterparty is not, on the date hereof, in possession of any material non-public information with respect to Counterparty or the Shares.</w:t>
      </w:r>
    </w:p>
    <w:p>
      <w:pPr>
        <w:spacing w:after="0" w:line="114" w:lineRule="exact"/>
        <w:rPr>
          <w:rFonts w:ascii="Times New Roman" w:cs="Times New Roman" w:eastAsia="Times New Roman" w:hAnsi="Times New Roman"/>
          <w:sz w:val="14"/>
          <w:szCs w:val="14"/>
          <w:color w:val="auto"/>
        </w:rPr>
      </w:pPr>
    </w:p>
    <w:p>
      <w:pPr>
        <w:jc w:val="both"/>
        <w:ind w:left="1020" w:hanging="506"/>
        <w:spacing w:after="0" w:line="225" w:lineRule="auto"/>
        <w:tabs>
          <w:tab w:leader="none" w:pos="1015"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Counterparty's actual knowledge, no U.S. state or local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Counterparty makes no representation or warranty regarding any such requirement that is applicable generally to the ownership of equity securities by Dealer or any of its Affiliates solely as a result of it or any of such Affiliates being financial institutions or broker-dealers or as required by Section 13 or Section 16 of the Exchange Act.</w:t>
      </w:r>
    </w:p>
    <w:p>
      <w:pPr>
        <w:spacing w:after="0" w:line="94" w:lineRule="exact"/>
        <w:rPr>
          <w:rFonts w:ascii="Times New Roman" w:cs="Times New Roman" w:eastAsia="Times New Roman" w:hAnsi="Times New Roman"/>
          <w:sz w:val="14"/>
          <w:szCs w:val="14"/>
          <w:color w:val="auto"/>
        </w:rPr>
      </w:pPr>
    </w:p>
    <w:p>
      <w:pPr>
        <w:jc w:val="both"/>
        <w:ind w:left="1020" w:hanging="506"/>
        <w:spacing w:after="0" w:line="233" w:lineRule="auto"/>
        <w:tabs>
          <w:tab w:leader="none" w:pos="1015"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USD 50 million.</w:t>
      </w:r>
    </w:p>
    <w:p>
      <w:pPr>
        <w:spacing w:after="0" w:line="104" w:lineRule="exact"/>
        <w:rPr>
          <w:rFonts w:ascii="Times New Roman" w:cs="Times New Roman" w:eastAsia="Times New Roman" w:hAnsi="Times New Roman"/>
          <w:sz w:val="14"/>
          <w:szCs w:val="14"/>
          <w:color w:val="auto"/>
        </w:rPr>
      </w:pPr>
    </w:p>
    <w:p>
      <w:pPr>
        <w:jc w:val="both"/>
        <w:ind w:left="1020" w:hanging="506"/>
        <w:spacing w:after="0" w:line="218" w:lineRule="auto"/>
        <w:tabs>
          <w:tab w:leader="none" w:pos="10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and immediately after the Trade Date and the Premium Payment Date, (A) the value of the total assets of Counterparty is greater than the sum of the total liabilities (including contingent liabilities) and the capital (as such terms are defined in Section 154 and Section 244 of the General Corporation Law of the State of Delaware) of Counterparty, (B) the capital of Counterparty is adequate to conduct the business of Counterparty, and Counterparty’s entry into the Transaction will not impair its capital, (C) Counterparty has the ability to pay its debts and obligations as such debts mature and does not intend to, or does not believe that it will, incur debt beyond its ability to pay as such debts mature, (D) Counterparty will be able to continue as a going concern; (E) Counterparty is not “insolvent” (as such term is defined under Section 101(32) of the U.S. Bankruptcy Code (Title 11 of the United States Code) (the “</w:t>
      </w:r>
      <w:r>
        <w:rPr>
          <w:rFonts w:ascii="Times New Roman" w:cs="Times New Roman" w:eastAsia="Times New Roman" w:hAnsi="Times New Roman"/>
          <w:sz w:val="14"/>
          <w:szCs w:val="14"/>
          <w:b w:val="1"/>
          <w:bCs w:val="1"/>
          <w:color w:val="auto"/>
        </w:rPr>
        <w:t>Bankruptcy Code</w:t>
      </w:r>
      <w:r>
        <w:rPr>
          <w:rFonts w:ascii="Times New Roman" w:cs="Times New Roman" w:eastAsia="Times New Roman" w:hAnsi="Times New Roman"/>
          <w:sz w:val="14"/>
          <w:szCs w:val="14"/>
          <w:color w:val="auto"/>
        </w:rPr>
        <w:t>”)) and (F) Counterparty would be able to purchase the number of Shares with respect to the Transaction in compliance with the laws of the jurisdiction of Counterparty’s incorporation (including the adequate surplus and capital requirements of Sections 154 and 160 of the General Corporation Law of the State of Delaware).</w:t>
      </w:r>
    </w:p>
    <w:p>
      <w:pPr>
        <w:spacing w:after="0" w:line="103" w:lineRule="exact"/>
        <w:rPr>
          <w:rFonts w:ascii="Times New Roman" w:cs="Times New Roman" w:eastAsia="Times New Roman" w:hAnsi="Times New Roman"/>
          <w:sz w:val="14"/>
          <w:szCs w:val="14"/>
          <w:color w:val="auto"/>
        </w:rPr>
      </w:pPr>
    </w:p>
    <w:p>
      <w:pPr>
        <w:ind w:left="1020" w:hanging="506"/>
        <w:spacing w:after="0" w:line="251" w:lineRule="auto"/>
        <w:tabs>
          <w:tab w:leader="none" w:pos="10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[Counterparty has received, read and understands the OTC Options Risk Disclosure Statement and a copy of the most recent disclosure pamphlet prepared by The Options Clearing Corporation entitled “Characteristics and Risks of Standardized Options”.]</w:t>
      </w:r>
      <w:r>
        <w:rPr>
          <w:rFonts w:ascii="Times New Roman" w:cs="Times New Roman" w:eastAsia="Times New Roman" w:hAnsi="Times New Roman"/>
          <w:sz w:val="18"/>
          <w:szCs w:val="18"/>
          <w:color w:val="auto"/>
          <w:vertAlign w:val="superscript"/>
        </w:rPr>
        <w:t>19</w:t>
      </w:r>
    </w:p>
    <w:p>
      <w:pPr>
        <w:spacing w:after="0" w:line="38" w:lineRule="exact"/>
        <w:rPr>
          <w:sz w:val="20"/>
          <w:szCs w:val="20"/>
          <w:color w:val="auto"/>
        </w:rPr>
      </w:pPr>
    </w:p>
    <w:p>
      <w:pPr>
        <w:spacing w:after="0"/>
        <w:tabs>
          <w:tab w:leader="none" w:pos="3280" w:val="left"/>
        </w:tabs>
        <w:rPr>
          <w:sz w:val="20"/>
          <w:szCs w:val="20"/>
          <w:color w:val="auto"/>
        </w:rPr>
      </w:pPr>
      <w:r>
        <w:rPr>
          <w:rFonts w:ascii="Times New Roman" w:cs="Times New Roman" w:eastAsia="Times New Roman" w:hAnsi="Times New Roman"/>
          <w:sz w:val="14"/>
          <w:szCs w:val="14"/>
          <w:b w:val="1"/>
          <w:bCs w:val="1"/>
          <w:color w:val="auto"/>
        </w:rPr>
        <w:t>11.</w:t>
      </w:r>
      <w:r>
        <w:rPr>
          <w:sz w:val="20"/>
          <w:szCs w:val="20"/>
          <w:color w:val="auto"/>
        </w:rPr>
        <w:tab/>
      </w:r>
      <w:r>
        <w:rPr>
          <w:rFonts w:ascii="Times New Roman" w:cs="Times New Roman" w:eastAsia="Times New Roman" w:hAnsi="Times New Roman"/>
          <w:sz w:val="14"/>
          <w:szCs w:val="14"/>
          <w:b w:val="1"/>
          <w:bCs w:val="1"/>
          <w:u w:val="single" w:color="auto"/>
          <w:color w:val="auto"/>
        </w:rPr>
        <w:t>Other Provisions</w:t>
      </w:r>
      <w:r>
        <w:rPr>
          <w:rFonts w:ascii="Times New Roman" w:cs="Times New Roman" w:eastAsia="Times New Roman" w:hAnsi="Times New Roman"/>
          <w:sz w:val="14"/>
          <w:szCs w:val="14"/>
          <w:b w:val="1"/>
          <w:bCs w:val="1"/>
          <w:color w:val="auto"/>
        </w:rPr>
        <w:t>.</w:t>
      </w:r>
    </w:p>
    <w:p>
      <w:pPr>
        <w:spacing w:after="0" w:line="115" w:lineRule="exact"/>
        <w:rPr>
          <w:sz w:val="20"/>
          <w:szCs w:val="20"/>
          <w:color w:val="auto"/>
        </w:rPr>
      </w:pPr>
    </w:p>
    <w:p>
      <w:pPr>
        <w:ind w:left="1020" w:hanging="506"/>
        <w:spacing w:after="0" w:line="258" w:lineRule="auto"/>
        <w:tabs>
          <w:tab w:leader="none" w:pos="1018"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Opinions</w:t>
      </w:r>
      <w:r>
        <w:rPr>
          <w:rFonts w:ascii="Times New Roman" w:cs="Times New Roman" w:eastAsia="Times New Roman" w:hAnsi="Times New Roman"/>
          <w:sz w:val="14"/>
          <w:szCs w:val="14"/>
          <w:color w:val="auto"/>
        </w:rPr>
        <w:t>. Counterparty shall deliver to Dealer an opinion of counsel, dated as of the Premium Payment Date, with respect to the matters set forth in Sections 8(a) through (c) of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Confirmation;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any such opinion of counsel may contain customary exceptions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129349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93495" cy="6985"/>
                    </a:xfrm>
                    <a:prstGeom prst="rect">
                      <a:avLst/>
                    </a:prstGeom>
                    <a:noFill/>
                  </pic:spPr>
                </pic:pic>
              </a:graphicData>
            </a:graphic>
          </wp:anchor>
        </w:drawing>
      </w:r>
    </w:p>
    <w:p>
      <w:pPr>
        <w:spacing w:after="0" w:line="130" w:lineRule="exact"/>
        <w:rPr>
          <w:sz w:val="20"/>
          <w:szCs w:val="20"/>
          <w:color w:val="auto"/>
        </w:rPr>
      </w:pPr>
    </w:p>
    <w:p>
      <w:pPr>
        <w:ind w:left="120" w:hanging="115"/>
        <w:spacing w:after="0"/>
        <w:tabs>
          <w:tab w:leader="none" w:pos="120" w:val="left"/>
        </w:tabs>
        <w:numPr>
          <w:ilvl w:val="0"/>
          <w:numId w:val="2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 for applicable Dealers.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1280"/>
          </w:cols>
          <w:pgMar w:left="300" w:top="1270" w:right="319" w:bottom="1440" w:gutter="0" w:footer="0" w:header="0"/>
        </w:sectPr>
      </w:pPr>
    </w:p>
    <w:bookmarkStart w:id="144" w:name="page145"/>
    <w:bookmarkEnd w:id="144"/>
    <w:p>
      <w:pPr>
        <w:ind w:left="1020"/>
        <w:spacing w:after="0" w:line="255" w:lineRule="auto"/>
        <w:rPr>
          <w:sz w:val="20"/>
          <w:szCs w:val="20"/>
          <w:color w:val="auto"/>
        </w:rPr>
      </w:pPr>
      <w:r>
        <w:rPr>
          <w:rFonts w:ascii="Times New Roman" w:cs="Times New Roman" w:eastAsia="Times New Roman" w:hAnsi="Times New Roman"/>
          <w:sz w:val="14"/>
          <w:szCs w:val="14"/>
          <w:color w:val="auto"/>
        </w:rPr>
        <w:t>qualifications. Delivery of such opinion to Dealer shall be a condition precedent for the purpose of Section 2(a)(iii) of the Agreement with respect to each obligation of Dealer under Section 2(a)(i) of the Agreement.</w:t>
      </w:r>
    </w:p>
    <w:p>
      <w:pPr>
        <w:spacing w:after="0" w:line="80" w:lineRule="exact"/>
        <w:rPr>
          <w:sz w:val="20"/>
          <w:szCs w:val="20"/>
          <w:color w:val="auto"/>
        </w:rPr>
      </w:pPr>
    </w:p>
    <w:p>
      <w:pPr>
        <w:jc w:val="both"/>
        <w:ind w:left="1020" w:hanging="506"/>
        <w:spacing w:after="0" w:line="211" w:lineRule="auto"/>
        <w:tabs>
          <w:tab w:leader="none" w:pos="1015"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Repurchase Notices</w:t>
      </w:r>
      <w:r>
        <w:rPr>
          <w:rFonts w:ascii="Times New Roman" w:cs="Times New Roman" w:eastAsia="Times New Roman" w:hAnsi="Times New Roman"/>
          <w:sz w:val="14"/>
          <w:szCs w:val="14"/>
          <w:color w:val="auto"/>
        </w:rPr>
        <w:t>. Counterparty shall, on or prior to the date one Scheduled Trading Day immediately following any date on which Counterparty has effected any repurchase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Shares, give Dealer a written notice of such repurchase (a “</w:t>
      </w:r>
      <w:r>
        <w:rPr>
          <w:rFonts w:ascii="Times New Roman" w:cs="Times New Roman" w:eastAsia="Times New Roman" w:hAnsi="Times New Roman"/>
          <w:sz w:val="14"/>
          <w:szCs w:val="14"/>
          <w:b w:val="1"/>
          <w:bCs w:val="1"/>
          <w:color w:val="auto"/>
        </w:rPr>
        <w:t>Repurchase Notice</w:t>
      </w:r>
      <w:r>
        <w:rPr>
          <w:rFonts w:ascii="Times New Roman" w:cs="Times New Roman" w:eastAsia="Times New Roman" w:hAnsi="Times New Roman"/>
          <w:sz w:val="14"/>
          <w:szCs w:val="14"/>
          <w:color w:val="auto"/>
        </w:rPr>
        <w:t>”) if following such repurchase, the number of outstanding Shares as determined on such day is (i) less than [__]</w:t>
      </w:r>
      <w:r>
        <w:rPr>
          <w:rFonts w:ascii="Times New Roman" w:cs="Times New Roman" w:eastAsia="Times New Roman" w:hAnsi="Times New Roman"/>
          <w:sz w:val="18"/>
          <w:szCs w:val="18"/>
          <w:color w:val="auto"/>
          <w:vertAlign w:val="superscript"/>
        </w:rPr>
        <w:t>20</w:t>
      </w:r>
      <w:r>
        <w:rPr>
          <w:rFonts w:ascii="Times New Roman" w:cs="Times New Roman" w:eastAsia="Times New Roman" w:hAnsi="Times New Roman"/>
          <w:sz w:val="14"/>
          <w:szCs w:val="14"/>
          <w:color w:val="auto"/>
        </w:rPr>
        <w:t xml:space="preserve"> million (in the case of the first such notice) or (ii) thereafter more than [__]</w:t>
      </w:r>
      <w:r>
        <w:rPr>
          <w:rFonts w:ascii="Times New Roman" w:cs="Times New Roman" w:eastAsia="Times New Roman" w:hAnsi="Times New Roman"/>
          <w:sz w:val="18"/>
          <w:szCs w:val="18"/>
          <w:color w:val="auto"/>
          <w:vertAlign w:val="superscript"/>
        </w:rPr>
        <w:t>21</w:t>
      </w:r>
      <w:r>
        <w:rPr>
          <w:rFonts w:ascii="Times New Roman" w:cs="Times New Roman" w:eastAsia="Times New Roman" w:hAnsi="Times New Roman"/>
          <w:sz w:val="14"/>
          <w:szCs w:val="14"/>
          <w:color w:val="auto"/>
        </w:rPr>
        <w:t xml:space="preserve"> million less than the number of Shares included in the immediately preceding Repurchase Notice;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with respect to any repurchase of Shares pursuant to a plan under Rule 10b5-1 under the Exchange Act, Counterparty may elect to satisfy such requirement by promptly giving Dealer written notice of the entry into such plan, the maximum number of Shares that may be repurchased thereunder and the approximate dates or periods during which such repurchases may occur (with such maximum deemed repurchased on the date of such notice for purposes of this Section 9(b)). Counterparty agrees to indemnify and hold harmless Dealer and its Affiliates and their respective officers, directors, employees, Affiliates, advisors, agents and controlling persons (each, an “</w:t>
      </w:r>
      <w:r>
        <w:rPr>
          <w:rFonts w:ascii="Times New Roman" w:cs="Times New Roman" w:eastAsia="Times New Roman" w:hAnsi="Times New Roman"/>
          <w:sz w:val="14"/>
          <w:szCs w:val="14"/>
          <w:b w:val="1"/>
          <w:bCs w:val="1"/>
          <w:color w:val="auto"/>
        </w:rPr>
        <w:t>Indemnified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Person</w:t>
      </w:r>
      <w:r>
        <w:rPr>
          <w:rFonts w:ascii="Times New Roman" w:cs="Times New Roman" w:eastAsia="Times New Roman" w:hAnsi="Times New Roman"/>
          <w:sz w:val="14"/>
          <w:szCs w:val="14"/>
          <w:color w:val="auto"/>
        </w:rPr>
        <w:t>”) from and against any and all commercially reasonable losses (including losses relating to Dealer’s commercially reasonable hedging activities as a consequence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becoming, or of the risk of becoming, a Section 16 “insider”, including without limitation, any forbearance from hedging activities or cessation of hedging activities and any commercially reasonable losses in connection therewith with respect to the Transaction), claims, damages, judgments, liabilities and commercially reasonable expenses (including reasonable attorney’s fees), joint or several, which an Indemnified Person may become subject to, in each case, solely as a result of Counterparty’s failure to provide Dealer with a Repurchase Notice when and in the manner specified in this paragraph, and to reimburse, within 30 days, upon written request, each of such Indemnified Persons for any reasonable legal or other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as a result of Counterparty’s failure to provide Dealer with a Repurchase Notice in accordance with this paragraph, such Indemnified Person shall, within a commercially reasonable period of time, notify Counterparty in writing, and Counterparty, upon request of the Indemnified Person, shall retain counsel reasonably satisfactory to the Indemnified Person to represent the Indemnified Person and any others Counterparty may designate in such proceeding and shall pay the reasonable fees and expenses of such counsel related to such proceeding. Counterparty shall be relieved from liability to the extent that any Indemnified Person fails to notify Counterparty within a commercially reasonable period of time of any action commenced against it in respect of which indemnity may be sought hereunder to the extent Counterparty is materially prejudiced as a result thereof. Counterparty shall not be liable for any settlement of any proceeding contemplated by this paragraph that is effected without its written consent, but if settled with such consent or if there be a final judgment for the plaintiff, Counterparty agrees to indemnify any Indemnified Person from and against any loss or liability by reason of such settlement or judgment. Counterparty shall not, without the prior written consent of the Indemnified Person, effect any settlement of any pending or threatened proceeding contemplated by this paragraph that is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Counterparty hereunder, in lieu of indemnifying such Indemnified Person thereunder, shall contribute to the amount paid or payable by such Indemnified Person as a result of such losses, claims, damages or liabilities. The remedies provided for in this paragraph (b) are not exclusive and shall not limit any rights or remedies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129349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93495" cy="6985"/>
                    </a:xfrm>
                    <a:prstGeom prst="rect">
                      <a:avLst/>
                    </a:prstGeom>
                    <a:noFill/>
                  </pic:spPr>
                </pic:pic>
              </a:graphicData>
            </a:graphic>
          </wp:anchor>
        </w:drawing>
      </w:r>
    </w:p>
    <w:p>
      <w:pPr>
        <w:spacing w:after="0" w:line="177" w:lineRule="exact"/>
        <w:rPr>
          <w:sz w:val="20"/>
          <w:szCs w:val="20"/>
          <w:color w:val="auto"/>
        </w:rPr>
      </w:pPr>
    </w:p>
    <w:p>
      <w:pPr>
        <w:ind w:right="300" w:firstLine="5"/>
        <w:spacing w:after="0" w:line="239" w:lineRule="auto"/>
        <w:tabs>
          <w:tab w:leader="none" w:pos="115" w:val="left"/>
        </w:tabs>
        <w:numPr>
          <w:ilvl w:val="0"/>
          <w:numId w:val="2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Insert the number of Shares outstanding that would cause Dealer’s current position in the Shares underlying the Transaction (including the number of Shares underlying any additional transaction if the greenshoe is exercised in full) to increase by 0.5%. To be determined based on Dealer with highest Applicable Percentage.</w:t>
      </w:r>
    </w:p>
    <w:p>
      <w:pPr>
        <w:spacing w:after="0" w:line="1" w:lineRule="exact"/>
        <w:rPr>
          <w:rFonts w:ascii="Times New Roman" w:cs="Times New Roman" w:eastAsia="Times New Roman" w:hAnsi="Times New Roman"/>
          <w:sz w:val="16"/>
          <w:szCs w:val="16"/>
          <w:color w:val="auto"/>
          <w:vertAlign w:val="superscript"/>
        </w:rPr>
      </w:pPr>
    </w:p>
    <w:p>
      <w:pPr>
        <w:ind w:right="100" w:firstLine="5"/>
        <w:spacing w:after="0" w:line="223" w:lineRule="auto"/>
        <w:tabs>
          <w:tab w:leader="none" w:pos="115" w:val="left"/>
        </w:tabs>
        <w:numPr>
          <w:ilvl w:val="0"/>
          <w:numId w:val="2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Insert the number of Shares that, if repurchased, would cause Dealer’s current position in the Shares underlying the Transaction (including the number of Shares underlying any additional transaction if the greenshoe is exercised in full) to increase by a further 0.5% from the threshold for the first Repurchase Notice. To be determined based on Dealer with highest Applicable Percentage.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1280"/>
          </w:cols>
          <w:pgMar w:left="300" w:top="1271" w:right="319" w:bottom="1440" w:gutter="0" w:footer="0" w:header="0"/>
        </w:sectPr>
      </w:pPr>
    </w:p>
    <w:bookmarkStart w:id="145" w:name="page146"/>
    <w:bookmarkEnd w:id="145"/>
    <w:p>
      <w:pPr>
        <w:ind w:left="506"/>
        <w:spacing w:after="0"/>
        <w:rPr>
          <w:sz w:val="20"/>
          <w:szCs w:val="20"/>
          <w:color w:val="auto"/>
        </w:rPr>
      </w:pPr>
      <w:r>
        <w:rPr>
          <w:rFonts w:ascii="Times New Roman" w:cs="Times New Roman" w:eastAsia="Times New Roman" w:hAnsi="Times New Roman"/>
          <w:sz w:val="14"/>
          <w:szCs w:val="14"/>
          <w:color w:val="auto"/>
        </w:rPr>
        <w:t>which may otherwise be available to any Indemnified Person at law or in equity. The indemnity and contribution agreements contained in this paragraph shall remain operative and</w:t>
      </w:r>
    </w:p>
    <w:p>
      <w:pPr>
        <w:spacing w:after="0" w:line="4" w:lineRule="exact"/>
        <w:rPr>
          <w:sz w:val="20"/>
          <w:szCs w:val="20"/>
          <w:color w:val="auto"/>
        </w:rPr>
      </w:pPr>
    </w:p>
    <w:p>
      <w:pPr>
        <w:ind w:left="506"/>
        <w:spacing w:after="0" w:line="228" w:lineRule="auto"/>
        <w:rPr>
          <w:sz w:val="20"/>
          <w:szCs w:val="20"/>
          <w:color w:val="auto"/>
        </w:rPr>
      </w:pPr>
      <w:r>
        <w:rPr>
          <w:rFonts w:ascii="Times New Roman" w:cs="Times New Roman" w:eastAsia="Times New Roman" w:hAnsi="Times New Roman"/>
          <w:sz w:val="14"/>
          <w:szCs w:val="14"/>
          <w:color w:val="auto"/>
        </w:rPr>
        <w:t>in full force and effect regardless of the termination of the Transaction. Counterparty will not be liable under this indemnity provision to the extent any loss, claim, damage, liability or expense is found in a final judgment by a court to have resulted from Dealer’s (or any Affiliate of Dealer’s) gross negligence, willful misconduct or bad faith.</w:t>
      </w:r>
    </w:p>
    <w:p>
      <w:pPr>
        <w:spacing w:after="0" w:line="101" w:lineRule="exact"/>
        <w:rPr>
          <w:sz w:val="20"/>
          <w:szCs w:val="20"/>
          <w:color w:val="auto"/>
        </w:rPr>
      </w:pPr>
    </w:p>
    <w:p>
      <w:pPr>
        <w:jc w:val="both"/>
        <w:ind w:left="506" w:hanging="506"/>
        <w:spacing w:after="0" w:line="229" w:lineRule="auto"/>
        <w:tabs>
          <w:tab w:leader="none" w:pos="504"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Regulation M</w:t>
      </w:r>
      <w:r>
        <w:rPr>
          <w:rFonts w:ascii="Times New Roman" w:cs="Times New Roman" w:eastAsia="Times New Roman" w:hAnsi="Times New Roman"/>
          <w:sz w:val="14"/>
          <w:szCs w:val="14"/>
          <w:color w:val="auto"/>
        </w:rPr>
        <w:t>. Counterparty is not on the Trade Date engaged in a distribution, as such term is used in Regulation M under the Securities Exchange Act of 1934, as amended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 of any securities of Counterparty, other than a distribution meeting the requirements of the exception set forth in Rules 101(b)(10) and 102(b)(7) of Regulation M. Counterparty shall not, until the second Scheduled Trading Day immediately following the Effective Date, engage in any such distribution.</w:t>
      </w:r>
    </w:p>
    <w:p>
      <w:pPr>
        <w:spacing w:after="0" w:line="101" w:lineRule="exact"/>
        <w:rPr>
          <w:rFonts w:ascii="Times New Roman" w:cs="Times New Roman" w:eastAsia="Times New Roman" w:hAnsi="Times New Roman"/>
          <w:sz w:val="14"/>
          <w:szCs w:val="14"/>
          <w:color w:val="auto"/>
        </w:rPr>
      </w:pPr>
    </w:p>
    <w:p>
      <w:pPr>
        <w:jc w:val="both"/>
        <w:ind w:left="506" w:hanging="506"/>
        <w:spacing w:after="0" w:line="234" w:lineRule="auto"/>
        <w:tabs>
          <w:tab w:leader="none" w:pos="501"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No Manipulation</w:t>
      </w:r>
      <w:r>
        <w:rPr>
          <w:rFonts w:ascii="Times New Roman" w:cs="Times New Roman" w:eastAsia="Times New Roman" w:hAnsi="Times New Roman"/>
          <w:sz w:val="14"/>
          <w:szCs w:val="14"/>
          <w:color w:val="auto"/>
        </w:rPr>
        <w:t>. Counterparty is not entering into the Transaction to create actual or apparent trading activity in the Shares (or any security convertible into or exchangeable for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Shares) or to raise or depress or otherwise manipulate the price of the Shares (or any security convertible into or exchangeable for the Shares) or otherwise in violation of the Exchange Act.</w:t>
      </w:r>
    </w:p>
    <w:p>
      <w:pPr>
        <w:spacing w:after="0" w:line="91" w:lineRule="exact"/>
        <w:rPr>
          <w:rFonts w:ascii="Times New Roman" w:cs="Times New Roman" w:eastAsia="Times New Roman" w:hAnsi="Times New Roman"/>
          <w:sz w:val="14"/>
          <w:szCs w:val="14"/>
          <w:color w:val="auto"/>
        </w:rPr>
      </w:pPr>
    </w:p>
    <w:p>
      <w:pPr>
        <w:ind w:left="506" w:hanging="506"/>
        <w:spacing w:after="0"/>
        <w:tabs>
          <w:tab w:leader="none" w:pos="50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Transfer or Assignment</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jc w:val="both"/>
        <w:ind w:left="1026" w:hanging="517"/>
        <w:spacing w:after="0" w:line="233" w:lineRule="auto"/>
        <w:tabs>
          <w:tab w:leader="none" w:pos="1021"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Counterparty shall have the right to transfer or assign its rights and obligations hereunder with respect to all, but not less than all, of the Options hereunder (such Options, the “</w:t>
      </w:r>
      <w:r>
        <w:rPr>
          <w:rFonts w:ascii="Times New Roman" w:cs="Times New Roman" w:eastAsia="Times New Roman" w:hAnsi="Times New Roman"/>
          <w:sz w:val="14"/>
          <w:szCs w:val="14"/>
          <w:b w:val="1"/>
          <w:bCs w:val="1"/>
          <w:color w:val="auto"/>
        </w:rPr>
        <w:t>Transfer Options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transfer or assignment shall be subject to reasonable conditions that Dealer may impose, including but not limited to, the following conditions:</w:t>
      </w:r>
    </w:p>
    <w:p>
      <w:pPr>
        <w:spacing w:after="0" w:line="104" w:lineRule="exact"/>
        <w:rPr>
          <w:rFonts w:ascii="Times New Roman" w:cs="Times New Roman" w:eastAsia="Times New Roman" w:hAnsi="Times New Roman"/>
          <w:sz w:val="14"/>
          <w:szCs w:val="14"/>
          <w:color w:val="auto"/>
        </w:rPr>
      </w:pPr>
    </w:p>
    <w:p>
      <w:pPr>
        <w:ind w:left="1526" w:hanging="507"/>
        <w:spacing w:after="0" w:line="287" w:lineRule="auto"/>
        <w:tabs>
          <w:tab w:leader="none" w:pos="1520" w:val="left"/>
        </w:tabs>
        <w:numPr>
          <w:ilvl w:val="2"/>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Transfer Options, Counterparty shall not be released from its notice and indemnification obligations pursuant to Section 9(b) of this Confirmation or any obligations under Section 9(n) or 9(s) of this Confirmation;</w:t>
      </w:r>
    </w:p>
    <w:p>
      <w:pPr>
        <w:spacing w:after="0" w:line="103" w:lineRule="exact"/>
        <w:rPr>
          <w:rFonts w:ascii="Times New Roman" w:cs="Times New Roman" w:eastAsia="Times New Roman" w:hAnsi="Times New Roman"/>
          <w:sz w:val="14"/>
          <w:szCs w:val="14"/>
          <w:color w:val="auto"/>
        </w:rPr>
      </w:pPr>
    </w:p>
    <w:p>
      <w:pPr>
        <w:ind w:left="1526" w:hanging="507"/>
        <w:spacing w:after="0" w:line="287" w:lineRule="auto"/>
        <w:tabs>
          <w:tab w:leader="none" w:pos="1523" w:val="left"/>
        </w:tabs>
        <w:numPr>
          <w:ilvl w:val="2"/>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Transfer Options shall only be transferred or assigned to a third party that is a United States person (as defined in the Internal Revenue Code of 1986, as amended (the “</w:t>
      </w:r>
      <w:r>
        <w:rPr>
          <w:rFonts w:ascii="Times New Roman" w:cs="Times New Roman" w:eastAsia="Times New Roman" w:hAnsi="Times New Roman"/>
          <w:sz w:val="14"/>
          <w:szCs w:val="14"/>
          <w:b w:val="1"/>
          <w:bCs w:val="1"/>
          <w:color w:val="auto"/>
        </w:rPr>
        <w:t>Code</w:t>
      </w:r>
      <w:r>
        <w:rPr>
          <w:rFonts w:ascii="Times New Roman" w:cs="Times New Roman" w:eastAsia="Times New Roman" w:hAnsi="Times New Roman"/>
          <w:sz w:val="14"/>
          <w:szCs w:val="14"/>
          <w:color w:val="auto"/>
        </w:rPr>
        <w:t>”));</w:t>
      </w:r>
    </w:p>
    <w:p>
      <w:pPr>
        <w:spacing w:after="0" w:line="92" w:lineRule="exact"/>
        <w:rPr>
          <w:rFonts w:ascii="Times New Roman" w:cs="Times New Roman" w:eastAsia="Times New Roman" w:hAnsi="Times New Roman"/>
          <w:sz w:val="14"/>
          <w:szCs w:val="14"/>
          <w:color w:val="auto"/>
        </w:rPr>
      </w:pPr>
    </w:p>
    <w:p>
      <w:pPr>
        <w:jc w:val="both"/>
        <w:ind w:left="1526" w:hanging="507"/>
        <w:spacing w:after="0" w:line="264" w:lineRule="auto"/>
        <w:tabs>
          <w:tab w:leader="none" w:pos="1523" w:val="left"/>
        </w:tabs>
        <w:numPr>
          <w:ilvl w:val="2"/>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transfer or assignment shall be effected on terms, including any reasonable undertakings by such third party (including, but not limited to, an undertaking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reasonably requested by and reasonably satisfactory to Dealer;</w:t>
      </w:r>
    </w:p>
    <w:p>
      <w:pPr>
        <w:spacing w:after="0" w:line="108" w:lineRule="exact"/>
        <w:rPr>
          <w:rFonts w:ascii="Times New Roman" w:cs="Times New Roman" w:eastAsia="Times New Roman" w:hAnsi="Times New Roman"/>
          <w:sz w:val="14"/>
          <w:szCs w:val="14"/>
          <w:color w:val="auto"/>
        </w:rPr>
      </w:pPr>
    </w:p>
    <w:p>
      <w:pPr>
        <w:jc w:val="both"/>
        <w:ind w:left="1526" w:hanging="507"/>
        <w:spacing w:after="0" w:line="261" w:lineRule="auto"/>
        <w:tabs>
          <w:tab w:leader="none" w:pos="1520" w:val="left"/>
        </w:tabs>
        <w:numPr>
          <w:ilvl w:val="2"/>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Dealer will not, as a result of such transfer or assignment, (1) be required to pay the transferee or assignee on any payment date an amount under Section 2(d)(i)(4) of the Agreement greater than an amount that Dealer would have been required to pay to Counterparty in the absence of such transfer or assignment or (2) receive from the transferee or assignee on any payment date an amount (after taking into account amounts required to be paid by the transferee or assignee under Section 2(d)(i)(4) of the Agreement, as well as any amounts withheld) that is less than the amount that Dealer would have received from Counterparty in the absence of such transfer or assignment;</w:t>
      </w:r>
    </w:p>
    <w:p>
      <w:pPr>
        <w:spacing w:after="0" w:line="121" w:lineRule="exact"/>
        <w:rPr>
          <w:rFonts w:ascii="Times New Roman" w:cs="Times New Roman" w:eastAsia="Times New Roman" w:hAnsi="Times New Roman"/>
          <w:sz w:val="14"/>
          <w:szCs w:val="14"/>
          <w:color w:val="auto"/>
        </w:rPr>
      </w:pPr>
    </w:p>
    <w:p>
      <w:pPr>
        <w:ind w:left="1526" w:hanging="507"/>
        <w:spacing w:after="0"/>
        <w:tabs>
          <w:tab w:leader="none" w:pos="1526" w:val="left"/>
        </w:tabs>
        <w:numPr>
          <w:ilvl w:val="2"/>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Event of Default, Potential Event of Default or Termination Event will occur as a result of such transfer or assignment;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94"/>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766"/>
          </w:cols>
          <w:pgMar w:left="814" w:top="1271" w:right="319" w:bottom="1440" w:gutter="0" w:footer="0" w:header="0"/>
        </w:sectPr>
      </w:pPr>
    </w:p>
    <w:bookmarkStart w:id="146" w:name="page147"/>
    <w:bookmarkEnd w:id="146"/>
    <w:p>
      <w:pPr>
        <w:jc w:val="both"/>
        <w:ind w:left="2040" w:hanging="507"/>
        <w:spacing w:after="0" w:line="270" w:lineRule="auto"/>
        <w:tabs>
          <w:tab w:leader="none" w:pos="203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limiting the generality of clause (B), Counterparty shall cause the transferee or assignee to make such Payee Tax Representations and to provide such tax documentation as may be reasonably requested by Dealer to permit Dealer to determine that the results described in clauses (D) and (E) will not occur upon or after such transfer or assignment; and</w:t>
      </w:r>
    </w:p>
    <w:p>
      <w:pPr>
        <w:spacing w:after="0" w:line="114" w:lineRule="exact"/>
        <w:rPr>
          <w:sz w:val="20"/>
          <w:szCs w:val="20"/>
          <w:color w:val="auto"/>
        </w:rPr>
      </w:pPr>
    </w:p>
    <w:p>
      <w:pPr>
        <w:ind w:left="2040" w:hanging="507"/>
        <w:spacing w:after="0" w:line="287" w:lineRule="auto"/>
        <w:tabs>
          <w:tab w:leader="none" w:pos="2035"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Counterparty shall be responsible for all reasonable costs and expenses, including reasonable counsel fees, incurred by Dealer in connection with such transfer or assignment.</w:t>
      </w:r>
    </w:p>
    <w:p>
      <w:pPr>
        <w:spacing w:after="0" w:line="81" w:lineRule="exact"/>
        <w:rPr>
          <w:rFonts w:ascii="Times New Roman" w:cs="Times New Roman" w:eastAsia="Times New Roman" w:hAnsi="Times New Roman"/>
          <w:sz w:val="14"/>
          <w:szCs w:val="14"/>
          <w:color w:val="auto"/>
        </w:rPr>
      </w:pPr>
    </w:p>
    <w:p>
      <w:pPr>
        <w:jc w:val="both"/>
        <w:ind w:left="1540" w:hanging="517"/>
        <w:spacing w:after="0" w:line="210" w:lineRule="auto"/>
        <w:tabs>
          <w:tab w:leader="none" w:pos="153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Dealer may, without Counterparty’s consent, transfer or assign all, or any part of its rights or obligations under the Transaction to any Affiliate or branch of Dealer that (i) has a long-term issuer rating that is equal to or better than Dealer’s credit rating at the time of such transfer or assignment or (ii) whose obligations hereunder will be guaranteed pursuant to the terms of a customary guarantee in a form used by Dealer generally for similar transactions, by Dealer [or Dealer’s ultimate parent]</w:t>
      </w:r>
      <w:r>
        <w:rPr>
          <w:rFonts w:ascii="Times New Roman" w:cs="Times New Roman" w:eastAsia="Times New Roman" w:hAnsi="Times New Roman"/>
          <w:sz w:val="18"/>
          <w:szCs w:val="18"/>
          <w:color w:val="auto"/>
          <w:vertAlign w:val="superscript"/>
        </w:rPr>
        <w:t>22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transfer or assignment shall be subject to the following conditions: (1) the transferee or assignee agrees in writing with Dealer to be bound by the terms of this Confirmation with respect to the transferred obligations; (2) no Event of Default where Dealer is the Defaulting Party or Termination Event where Dealer is the sole Affected Party has occurred and is continuing at the time of the transfer or assignment, and no Event of Default or Termination Event will occur with respect to Counterparty, Dealer or the transferee or assignee as a result of such transfer; (3) after giving effect to such transfer or assignment, no material adverse legal or regulatory consequence shall result to Dealer, Counterparty or the transferee as a result of such transfer or assignment; (4) either (x) the Dealer and the transferee or assignee is a “dealer in securities” within the meaning of Section 475(c)(1) of the Code or (y) the transfer or assignment does not otherwise constitute a “deemed exchange” by Counterparty within the meaning of Section 1001 of the Code; (5) Counterparty will not, as a result of such transfer or assignment, receive from the transferee or assignee on any payment date an amount of cash or shares that is less than the amount that Counterparty would have otherwise received from Dealer in the absence of such transfer or assignment, except to the extent that the lesser amount is due to a Change in Tax Law after the date of such transfer or assignment; and (6) Counterparty will not, as a result of such transfer or assignment, be required to pay the transferee or assignee under Section 2(d)(i)(4) of the Agreement any amount greater than the amount Counterparty would have been required to pay to Dealer in the absence of such transfer or assignment, except to the extent that the greater amount is due to a Change in Tax Law after the date of such transfer or assignment. If at any time at which (A) the Section 16 Percentage exceeds 9.0%, (B) the Option Equity Percentage exceeds 14.5%, or (C) the Share Amount exceeds the Applicable Share Limit (if any applies) (any such condition described in clauses (A), (B) or (C), an “</w:t>
      </w:r>
      <w:r>
        <w:rPr>
          <w:rFonts w:ascii="Times New Roman" w:cs="Times New Roman" w:eastAsia="Times New Roman" w:hAnsi="Times New Roman"/>
          <w:sz w:val="14"/>
          <w:szCs w:val="14"/>
          <w:b w:val="1"/>
          <w:bCs w:val="1"/>
          <w:color w:val="auto"/>
        </w:rPr>
        <w:t>Excess Ownership</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Position</w:t>
      </w:r>
      <w:r>
        <w:rPr>
          <w:rFonts w:ascii="Times New Roman" w:cs="Times New Roman" w:eastAsia="Times New Roman" w:hAnsi="Times New Roman"/>
          <w:sz w:val="14"/>
          <w:szCs w:val="14"/>
          <w:color w:val="auto"/>
        </w:rPr>
        <w:t>”), Dealer is unable after using its commercially reasonable efforts to effect a transfer or assignment of Options to a third party on pricing terms reasonably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Times New Roman" w:cs="Times New Roman" w:eastAsia="Times New Roman" w:hAnsi="Times New Roman"/>
          <w:sz w:val="14"/>
          <w:szCs w:val="14"/>
          <w:b w:val="1"/>
          <w:bCs w:val="1"/>
          <w:color w:val="auto"/>
        </w:rPr>
        <w:t>Terminated Portion</w:t>
      </w:r>
      <w:r>
        <w:rPr>
          <w:rFonts w:ascii="Times New Roman" w:cs="Times New Roman" w:eastAsia="Times New Roman" w:hAnsi="Times New Roman"/>
          <w:sz w:val="14"/>
          <w:szCs w:val="14"/>
          <w:color w:val="auto"/>
        </w:rPr>
        <w:t>”), such that following such partial termination no Excess Ownership Position exists. In the event that Dealer so designates an Early Termination Date with respect to a portion of the Transaction, a payment shall be made pursuant to Section 6 of the Agreement as if (1) an Early Termination Date had been designated in respect of a Transaction having terms identical to the Transaction and a Number of Options equal to the number of Options underlying the Terminated Portion, (2) Counterparty were the sole Affected Party with respect to such partial termination and (3) the Terminated Portion were the sole Affected Transaction (and, for the avoidance of doubt, the provisions of Section 9(l) of this Confirmation shall apply to any amount that is payable by Dealer to Counterparty pursuant to this sentence as if Counterparty was not the Affected Party). The “</w:t>
      </w:r>
      <w:r>
        <w:rPr>
          <w:rFonts w:ascii="Times New Roman" w:cs="Times New Roman" w:eastAsia="Times New Roman" w:hAnsi="Times New Roman"/>
          <w:sz w:val="14"/>
          <w:szCs w:val="14"/>
          <w:b w:val="1"/>
          <w:bCs w:val="1"/>
          <w:color w:val="auto"/>
        </w:rPr>
        <w:t>Section 16 Percentage</w:t>
      </w:r>
      <w:r>
        <w:rPr>
          <w:rFonts w:ascii="Times New Roman" w:cs="Times New Roman" w:eastAsia="Times New Roman" w:hAnsi="Times New Roman"/>
          <w:sz w:val="14"/>
          <w:szCs w:val="14"/>
          <w:color w:val="auto"/>
        </w:rPr>
        <w:t>” as of any day is the fraction, expressed as a percentage, (A) the numerator of which is the number of Shares that Dealer and any of its Affiliates or any other person subject to aggregation with Dealer for purposes of the “beneficial ownership” test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129349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93495" cy="6985"/>
                    </a:xfrm>
                    <a:prstGeom prst="rect">
                      <a:avLst/>
                    </a:prstGeom>
                    <a:noFill/>
                  </pic:spPr>
                </pic:pic>
              </a:graphicData>
            </a:graphic>
          </wp:anchor>
        </w:drawing>
      </w:r>
    </w:p>
    <w:p>
      <w:pPr>
        <w:spacing w:after="0" w:line="166" w:lineRule="exact"/>
        <w:rPr>
          <w:sz w:val="20"/>
          <w:szCs w:val="20"/>
          <w:color w:val="auto"/>
        </w:rPr>
      </w:pPr>
    </w:p>
    <w:p>
      <w:pPr>
        <w:ind w:left="120" w:hanging="115"/>
        <w:spacing w:after="0"/>
        <w:tabs>
          <w:tab w:leader="none" w:pos="120" w:val="left"/>
        </w:tabs>
        <w:numPr>
          <w:ilvl w:val="0"/>
          <w:numId w:val="3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 for applicable Dealers.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1280"/>
          </w:cols>
          <w:pgMar w:left="300" w:top="1281" w:right="319" w:bottom="1440" w:gutter="0" w:footer="0" w:header="0"/>
        </w:sectPr>
      </w:pPr>
    </w:p>
    <w:bookmarkStart w:id="147" w:name="page148"/>
    <w:bookmarkEnd w:id="147"/>
    <w:p>
      <w:pPr>
        <w:ind w:left="1026"/>
        <w:spacing w:after="0"/>
        <w:rPr>
          <w:sz w:val="20"/>
          <w:szCs w:val="20"/>
          <w:color w:val="auto"/>
        </w:rPr>
      </w:pPr>
      <w:r>
        <w:rPr>
          <w:rFonts w:ascii="Times New Roman" w:cs="Times New Roman" w:eastAsia="Times New Roman" w:hAnsi="Times New Roman"/>
          <w:sz w:val="14"/>
          <w:szCs w:val="14"/>
          <w:color w:val="auto"/>
        </w:rPr>
        <w:t>Section 13 of the Exchange Act, or any “group” (within the meaning of Section 13 of the Exchange Act) of which Dealer is or may be deemed to be a part beneficially</w:t>
      </w:r>
    </w:p>
    <w:p>
      <w:pPr>
        <w:spacing w:after="0" w:line="4" w:lineRule="exact"/>
        <w:rPr>
          <w:sz w:val="20"/>
          <w:szCs w:val="20"/>
          <w:color w:val="auto"/>
        </w:rPr>
      </w:pPr>
    </w:p>
    <w:p>
      <w:pPr>
        <w:jc w:val="both"/>
        <w:ind w:left="1026"/>
        <w:spacing w:after="0" w:line="210" w:lineRule="auto"/>
        <w:rPr>
          <w:sz w:val="20"/>
          <w:szCs w:val="20"/>
          <w:color w:val="auto"/>
        </w:rPr>
      </w:pPr>
      <w:r>
        <w:rPr>
          <w:rFonts w:ascii="Times New Roman" w:cs="Times New Roman" w:eastAsia="Times New Roman" w:hAnsi="Times New Roman"/>
          <w:sz w:val="14"/>
          <w:szCs w:val="14"/>
          <w:color w:val="auto"/>
        </w:rPr>
        <w:t>owns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 The “</w:t>
      </w:r>
      <w:r>
        <w:rPr>
          <w:rFonts w:ascii="Times New Roman" w:cs="Times New Roman" w:eastAsia="Times New Roman" w:hAnsi="Times New Roman"/>
          <w:sz w:val="14"/>
          <w:szCs w:val="14"/>
          <w:b w:val="1"/>
          <w:bCs w:val="1"/>
          <w:color w:val="auto"/>
        </w:rPr>
        <w:t>Option Equity Percentage</w:t>
      </w:r>
      <w:r>
        <w:rPr>
          <w:rFonts w:ascii="Times New Roman" w:cs="Times New Roman" w:eastAsia="Times New Roman" w:hAnsi="Times New Roman"/>
          <w:sz w:val="14"/>
          <w:szCs w:val="14"/>
          <w:color w:val="auto"/>
        </w:rPr>
        <w:t>” as of any day is the fraction, expressed as a percentage, (A) the numerator of which is the sum of (1)</w:t>
      </w:r>
    </w:p>
    <w:p>
      <w:pPr>
        <w:spacing w:after="0" w:line="2" w:lineRule="exact"/>
        <w:rPr>
          <w:sz w:val="20"/>
          <w:szCs w:val="20"/>
          <w:color w:val="auto"/>
        </w:rPr>
      </w:pPr>
    </w:p>
    <w:p>
      <w:pPr>
        <w:jc w:val="both"/>
        <w:ind w:left="1026"/>
        <w:spacing w:after="0" w:line="210" w:lineRule="auto"/>
        <w:rPr>
          <w:sz w:val="20"/>
          <w:szCs w:val="20"/>
          <w:color w:val="auto"/>
        </w:rPr>
      </w:pPr>
      <w:r>
        <w:rPr>
          <w:rFonts w:ascii="Times New Roman" w:cs="Times New Roman" w:eastAsia="Times New Roman" w:hAnsi="Times New Roman"/>
          <w:sz w:val="14"/>
          <w:szCs w:val="14"/>
          <w:color w:val="auto"/>
        </w:rPr>
        <w:t>the product of the Number of Options and the Option Entitlement and (2) the aggregate number of Shares underlying any other call option transaction sold by Dealer to Counterparty, and (B) the denominator of which is the number of Shares outstanding. The “</w:t>
      </w:r>
      <w:r>
        <w:rPr>
          <w:rFonts w:ascii="Times New Roman" w:cs="Times New Roman" w:eastAsia="Times New Roman" w:hAnsi="Times New Roman"/>
          <w:sz w:val="14"/>
          <w:szCs w:val="14"/>
          <w:b w:val="1"/>
          <w:bCs w:val="1"/>
          <w:color w:val="auto"/>
        </w:rPr>
        <w:t>Share Amount</w:t>
      </w:r>
      <w:r>
        <w:rPr>
          <w:rFonts w:ascii="Times New Roman" w:cs="Times New Roman" w:eastAsia="Times New Roman" w:hAnsi="Times New Roman"/>
          <w:sz w:val="14"/>
          <w:szCs w:val="14"/>
          <w:color w:val="auto"/>
        </w:rPr>
        <w:t>” as of any day is the number of Shares that Dealer and any person whose ownership position would be aggregated with that of Dealer (Dealer or any such person, a “</w:t>
      </w:r>
      <w:r>
        <w:rPr>
          <w:rFonts w:ascii="Times New Roman" w:cs="Times New Roman" w:eastAsia="Times New Roman" w:hAnsi="Times New Roman"/>
          <w:sz w:val="14"/>
          <w:szCs w:val="14"/>
          <w:b w:val="1"/>
          <w:bCs w:val="1"/>
          <w:color w:val="auto"/>
        </w:rPr>
        <w:t>Dealer Person</w:t>
      </w:r>
      <w:r>
        <w:rPr>
          <w:rFonts w:ascii="Times New Roman" w:cs="Times New Roman" w:eastAsia="Times New Roman" w:hAnsi="Times New Roman"/>
          <w:sz w:val="14"/>
          <w:szCs w:val="14"/>
          <w:color w:val="auto"/>
        </w:rPr>
        <w:t>”) under any law, rule, regulation, regulatory order</w:t>
      </w:r>
    </w:p>
    <w:p>
      <w:pPr>
        <w:spacing w:after="0" w:line="2" w:lineRule="exact"/>
        <w:rPr>
          <w:sz w:val="20"/>
          <w:szCs w:val="20"/>
          <w:color w:val="auto"/>
        </w:rPr>
      </w:pPr>
    </w:p>
    <w:p>
      <w:pPr>
        <w:jc w:val="both"/>
        <w:ind w:left="1026"/>
        <w:spacing w:after="0" w:line="210" w:lineRule="auto"/>
        <w:rPr>
          <w:sz w:val="20"/>
          <w:szCs w:val="20"/>
          <w:color w:val="auto"/>
        </w:rPr>
      </w:pPr>
      <w:r>
        <w:rPr>
          <w:rFonts w:ascii="Times New Roman" w:cs="Times New Roman" w:eastAsia="Times New Roman" w:hAnsi="Times New Roman"/>
          <w:sz w:val="14"/>
          <w:szCs w:val="14"/>
          <w:color w:val="auto"/>
        </w:rPr>
        <w:t>or organizational documents or contracts of Counterparty that are, in each case, applicable to ownership of Shares (“</w:t>
      </w:r>
      <w:r>
        <w:rPr>
          <w:rFonts w:ascii="Times New Roman" w:cs="Times New Roman" w:eastAsia="Times New Roman" w:hAnsi="Times New Roman"/>
          <w:sz w:val="14"/>
          <w:szCs w:val="14"/>
          <w:b w:val="1"/>
          <w:bCs w:val="1"/>
          <w:color w:val="auto"/>
        </w:rPr>
        <w:t>Applicable Restrictions</w:t>
      </w:r>
      <w:r>
        <w:rPr>
          <w:rFonts w:ascii="Times New Roman" w:cs="Times New Roman" w:eastAsia="Times New Roman" w:hAnsi="Times New Roman"/>
          <w:sz w:val="14"/>
          <w:szCs w:val="14"/>
          <w:color w:val="auto"/>
        </w:rPr>
        <w:t>”), owns, beneficially owns, constructively owns, controls, holds the power to vote or otherwise meets a relevant definition of ownership under any Applicable Restriction, as determined by Dealer in its reasonable discretion. The “</w:t>
      </w:r>
      <w:r>
        <w:rPr>
          <w:rFonts w:ascii="Times New Roman" w:cs="Times New Roman" w:eastAsia="Times New Roman" w:hAnsi="Times New Roman"/>
          <w:sz w:val="14"/>
          <w:szCs w:val="14"/>
          <w:b w:val="1"/>
          <w:bCs w:val="1"/>
          <w:color w:val="auto"/>
        </w:rPr>
        <w:t>Applicable Share Limit</w:t>
      </w:r>
      <w:r>
        <w:rPr>
          <w:rFonts w:ascii="Times New Roman" w:cs="Times New Roman" w:eastAsia="Times New Roman" w:hAnsi="Times New Roman"/>
          <w:sz w:val="14"/>
          <w:szCs w:val="14"/>
          <w:color w:val="auto"/>
        </w:rPr>
        <w:t>” means a number of Shares equal to (A) the minimum number of Shares that, in Dealer’s reasonable judgment</w:t>
      </w:r>
    </w:p>
    <w:p>
      <w:pPr>
        <w:spacing w:after="0" w:line="2" w:lineRule="exact"/>
        <w:rPr>
          <w:sz w:val="20"/>
          <w:szCs w:val="20"/>
          <w:color w:val="auto"/>
        </w:rPr>
      </w:pPr>
    </w:p>
    <w:p>
      <w:pPr>
        <w:jc w:val="both"/>
        <w:ind w:left="1026"/>
        <w:spacing w:after="0" w:line="210" w:lineRule="auto"/>
        <w:rPr>
          <w:sz w:val="20"/>
          <w:szCs w:val="20"/>
          <w:color w:val="auto"/>
        </w:rPr>
      </w:pPr>
      <w:r>
        <w:rPr>
          <w:rFonts w:ascii="Times New Roman" w:cs="Times New Roman" w:eastAsia="Times New Roman" w:hAnsi="Times New Roman"/>
          <w:sz w:val="14"/>
          <w:szCs w:val="14"/>
          <w:color w:val="auto"/>
        </w:rPr>
        <w:t xml:space="preserve">based on advice of counsel, could give rise to reporting or registration obligations (except for filings on Form 13F, Schedule 13D or Schedule 13G under the Exchange Act, in each case, as in effect on the Trade Date) or other requirements (including obtaining prior approval from any person or entity) of a Dealer Person, or could result in an adverse effect on a Dealer Person, under any Applicable Restriction, as determined by Dealer in its reasonable discretion, </w:t>
      </w: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xml:space="preserve"> (B) 1% of the number of Shares</w:t>
      </w:r>
    </w:p>
    <w:p>
      <w:pPr>
        <w:spacing w:after="0" w:line="2" w:lineRule="exact"/>
        <w:rPr>
          <w:sz w:val="20"/>
          <w:szCs w:val="20"/>
          <w:color w:val="auto"/>
        </w:rPr>
      </w:pPr>
    </w:p>
    <w:p>
      <w:pPr>
        <w:jc w:val="both"/>
        <w:ind w:left="1026"/>
        <w:spacing w:after="0" w:line="210" w:lineRule="auto"/>
        <w:rPr>
          <w:sz w:val="20"/>
          <w:szCs w:val="20"/>
          <w:color w:val="auto"/>
        </w:rPr>
      </w:pPr>
      <w:r>
        <w:rPr>
          <w:rFonts w:ascii="Times New Roman" w:cs="Times New Roman" w:eastAsia="Times New Roman" w:hAnsi="Times New Roman"/>
          <w:sz w:val="14"/>
          <w:szCs w:val="14"/>
          <w:color w:val="auto"/>
        </w:rPr>
        <w:t>outstanding. Dealer shall provide Counterparty with written notice of any transfer or assignment on the date of or as promptly as practicable after the date of such transfer or assignment. Dealer shall notify Counterparty of an Excess Ownership Position with respect to which it intends to seek a transfer or assignment of Options as soon as reasonably practicable after becoming aware of such Excess Ownership Position and shall, subject to any applicable legal, regulatory or self-regulatory requirements or</w:t>
      </w:r>
    </w:p>
    <w:p>
      <w:pPr>
        <w:spacing w:after="0" w:line="2" w:lineRule="exact"/>
        <w:rPr>
          <w:sz w:val="20"/>
          <w:szCs w:val="20"/>
          <w:color w:val="auto"/>
        </w:rPr>
      </w:pPr>
    </w:p>
    <w:p>
      <w:pPr>
        <w:jc w:val="both"/>
        <w:ind w:left="1026"/>
        <w:spacing w:after="0" w:line="228" w:lineRule="auto"/>
        <w:rPr>
          <w:sz w:val="20"/>
          <w:szCs w:val="20"/>
          <w:color w:val="auto"/>
        </w:rPr>
      </w:pPr>
      <w:r>
        <w:rPr>
          <w:rFonts w:ascii="Times New Roman" w:cs="Times New Roman" w:eastAsia="Times New Roman" w:hAnsi="Times New Roman"/>
          <w:sz w:val="14"/>
          <w:szCs w:val="14"/>
          <w:color w:val="auto"/>
        </w:rPr>
        <w:t>related policies and procedures, use good faith efforts to avoid an Excess Ownership Position with respect to which it would intend to seek a transfer or assignment of Options.</w:t>
      </w:r>
    </w:p>
    <w:p>
      <w:pPr>
        <w:spacing w:after="0" w:line="103" w:lineRule="exact"/>
        <w:rPr>
          <w:sz w:val="20"/>
          <w:szCs w:val="20"/>
          <w:color w:val="auto"/>
        </w:rPr>
      </w:pPr>
    </w:p>
    <w:p>
      <w:pPr>
        <w:jc w:val="both"/>
        <w:ind w:left="1026" w:hanging="517"/>
        <w:spacing w:after="0" w:line="226" w:lineRule="auto"/>
        <w:tabs>
          <w:tab w:leader="none" w:pos="1026"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other provision in this Confirmation to the contrary requiring or allowing Dealer to purchase, sell, receive or deliver any Shares or other securities, or make or receive any payment in cash, to or from Counterparty, Dealer may designate any of its Affiliates to purchase, sell, receive or deliver such Shares or other securities, or to make or receive such payment in cash, and otherwise to perform Dealer’s obligations in respect of the Transaction and any such designee may assume such obligations. Dealer shall be discharged of its obligations to Counterparty to the extent of any such performance.</w:t>
      </w:r>
    </w:p>
    <w:p>
      <w:pPr>
        <w:spacing w:after="0" w:line="91" w:lineRule="exact"/>
        <w:rPr>
          <w:rFonts w:ascii="Times New Roman" w:cs="Times New Roman" w:eastAsia="Times New Roman" w:hAnsi="Times New Roman"/>
          <w:sz w:val="14"/>
          <w:szCs w:val="14"/>
          <w:color w:val="auto"/>
        </w:rPr>
      </w:pPr>
    </w:p>
    <w:p>
      <w:pPr>
        <w:jc w:val="both"/>
        <w:ind w:left="506" w:hanging="506"/>
        <w:spacing w:after="0" w:line="227" w:lineRule="auto"/>
        <w:tabs>
          <w:tab w:leader="none" w:pos="499"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Staggered Settlement</w:t>
      </w:r>
      <w:r>
        <w:rPr>
          <w:rFonts w:ascii="Times New Roman" w:cs="Times New Roman" w:eastAsia="Times New Roman" w:hAnsi="Times New Roman"/>
          <w:sz w:val="14"/>
          <w:szCs w:val="14"/>
          <w:color w:val="auto"/>
        </w:rPr>
        <w:t>. If upon advice of counsel with respect to applicable legal and regulatory requirements, including any requirements relating to Dealer’s commercially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reasonable hedging activities hereunder, Dealer reasonably determines, based on the advice of counsel, that it would not be practicable or advisable to deliver, or to acquire Shares to deliver, any or all of the Shares to be delivered by Dealer on any Settlement Date for the Transaction, Dealer may, by notice to Counterparty on or prior to any Settlement Date (a “</w:t>
      </w:r>
      <w:r>
        <w:rPr>
          <w:rFonts w:ascii="Times New Roman" w:cs="Times New Roman" w:eastAsia="Times New Roman" w:hAnsi="Times New Roman"/>
          <w:sz w:val="14"/>
          <w:szCs w:val="14"/>
          <w:b w:val="1"/>
          <w:bCs w:val="1"/>
          <w:color w:val="auto"/>
        </w:rPr>
        <w:t>Nominal Settlement Date</w:t>
      </w:r>
      <w:r>
        <w:rPr>
          <w:rFonts w:ascii="Times New Roman" w:cs="Times New Roman" w:eastAsia="Times New Roman" w:hAnsi="Times New Roman"/>
          <w:sz w:val="14"/>
          <w:szCs w:val="14"/>
          <w:color w:val="auto"/>
        </w:rPr>
        <w:t>”), elect to deliver the Shares on two or more dates (each, a “</w:t>
      </w:r>
      <w:r>
        <w:rPr>
          <w:rFonts w:ascii="Times New Roman" w:cs="Times New Roman" w:eastAsia="Times New Roman" w:hAnsi="Times New Roman"/>
          <w:sz w:val="14"/>
          <w:szCs w:val="14"/>
          <w:b w:val="1"/>
          <w:bCs w:val="1"/>
          <w:color w:val="auto"/>
        </w:rPr>
        <w:t>Staggered Settlement Date</w:t>
      </w:r>
      <w:r>
        <w:rPr>
          <w:rFonts w:ascii="Times New Roman" w:cs="Times New Roman" w:eastAsia="Times New Roman" w:hAnsi="Times New Roman"/>
          <w:sz w:val="14"/>
          <w:szCs w:val="14"/>
          <w:color w:val="auto"/>
        </w:rPr>
        <w:t>”) as follows:</w:t>
      </w:r>
    </w:p>
    <w:p>
      <w:pPr>
        <w:spacing w:after="0" w:line="103" w:lineRule="exact"/>
        <w:rPr>
          <w:rFonts w:ascii="Times New Roman" w:cs="Times New Roman" w:eastAsia="Times New Roman" w:hAnsi="Times New Roman"/>
          <w:sz w:val="14"/>
          <w:szCs w:val="14"/>
          <w:color w:val="auto"/>
        </w:rPr>
      </w:pPr>
    </w:p>
    <w:p>
      <w:pPr>
        <w:ind w:left="1026" w:hanging="517"/>
        <w:spacing w:after="0" w:line="239" w:lineRule="auto"/>
        <w:tabs>
          <w:tab w:leader="none" w:pos="1021"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such notice, Dealer will specify to Counterparty the related Staggered Settlement Dates (each of which will be on or prior to such Nominal Settlement Date) and the number of Shares that it will deliver on each Staggered Settlement Date;</w:t>
      </w:r>
    </w:p>
    <w:p>
      <w:pPr>
        <w:spacing w:after="0" w:line="104" w:lineRule="exact"/>
        <w:rPr>
          <w:sz w:val="20"/>
          <w:szCs w:val="20"/>
          <w:color w:val="auto"/>
        </w:rPr>
      </w:pPr>
    </w:p>
    <w:p>
      <w:pPr>
        <w:ind w:left="1026" w:hanging="517"/>
        <w:spacing w:after="0" w:line="239" w:lineRule="auto"/>
        <w:tabs>
          <w:tab w:leader="none" w:pos="1018"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Shares that Dealer will deliver to Counterparty hereunder on all such Staggered Settlement Dates will equal the number of Shares that Dealer would otherwise be required to deliver on such Nominal Settlement Date; and</w:t>
      </w:r>
    </w:p>
    <w:p>
      <w:pPr>
        <w:spacing w:after="0" w:line="103" w:lineRule="exact"/>
        <w:rPr>
          <w:rFonts w:ascii="Times New Roman" w:cs="Times New Roman" w:eastAsia="Times New Roman" w:hAnsi="Times New Roman"/>
          <w:sz w:val="14"/>
          <w:szCs w:val="14"/>
          <w:color w:val="auto"/>
        </w:rPr>
      </w:pPr>
    </w:p>
    <w:p>
      <w:pPr>
        <w:ind w:left="1026" w:hanging="517"/>
        <w:spacing w:after="0" w:line="239" w:lineRule="auto"/>
        <w:tabs>
          <w:tab w:leader="none" w:pos="102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Net Share Settlement terms or the Combination Settlement terms set forth above were to apply on the Nominal Settlement Date, then the Net Share Settlement terms or the Combination Settlement terms, as the case may be, will apply on each Staggered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94"/>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766"/>
          </w:cols>
          <w:pgMar w:left="814" w:top="1271" w:right="319" w:bottom="1440" w:gutter="0" w:footer="0" w:header="0"/>
        </w:sectPr>
      </w:pPr>
    </w:p>
    <w:bookmarkStart w:id="148" w:name="page149"/>
    <w:bookmarkEnd w:id="148"/>
    <w:p>
      <w:pPr>
        <w:ind w:left="1540"/>
        <w:spacing w:after="0" w:line="255" w:lineRule="auto"/>
        <w:rPr>
          <w:sz w:val="20"/>
          <w:szCs w:val="20"/>
          <w:color w:val="auto"/>
        </w:rPr>
      </w:pPr>
      <w:r>
        <w:rPr>
          <w:rFonts w:ascii="Times New Roman" w:cs="Times New Roman" w:eastAsia="Times New Roman" w:hAnsi="Times New Roman"/>
          <w:sz w:val="14"/>
          <w:szCs w:val="14"/>
          <w:color w:val="auto"/>
        </w:rPr>
        <w:t>Settlement Date, except that the Shares otherwise deliverable on such Nominal Settlement Date will be allocated among such Staggered Settlement Dates as specified by Dealer in the notice referred to in clause (i) above.</w:t>
      </w:r>
    </w:p>
    <w:p>
      <w:pPr>
        <w:spacing w:after="0" w:line="80" w:lineRule="exact"/>
        <w:rPr>
          <w:sz w:val="20"/>
          <w:szCs w:val="20"/>
          <w:color w:val="auto"/>
        </w:rPr>
      </w:pPr>
    </w:p>
    <w:p>
      <w:pPr>
        <w:ind w:left="1020" w:hanging="506"/>
        <w:spacing w:after="0"/>
        <w:tabs>
          <w:tab w:leader="none" w:pos="10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u w:val="single" w:color="auto"/>
          <w:color w:val="auto"/>
        </w:rPr>
        <w:t>Insert any Dealer Agency Language</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u w:val="single" w:color="auto"/>
          <w:color w:val="auto"/>
        </w:rPr>
        <w:t>Reserved</w:t>
      </w:r>
      <w:r>
        <w:rPr>
          <w:rFonts w:ascii="Times New Roman" w:cs="Times New Roman" w:eastAsia="Times New Roman" w:hAnsi="Times New Roman"/>
          <w:sz w:val="14"/>
          <w:szCs w:val="14"/>
          <w:color w:val="auto"/>
        </w:rPr>
        <w:t>.]</w:t>
      </w:r>
    </w:p>
    <w:p>
      <w:pPr>
        <w:spacing w:after="0" w:line="125" w:lineRule="exact"/>
        <w:rPr>
          <w:rFonts w:ascii="Times New Roman" w:cs="Times New Roman" w:eastAsia="Times New Roman" w:hAnsi="Times New Roman"/>
          <w:sz w:val="14"/>
          <w:szCs w:val="14"/>
          <w:color w:val="auto"/>
        </w:rPr>
      </w:pPr>
    </w:p>
    <w:p>
      <w:pPr>
        <w:ind w:left="1020" w:hanging="506"/>
        <w:spacing w:after="0" w:line="265" w:lineRule="auto"/>
        <w:tabs>
          <w:tab w:leader="none" w:pos="1015"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i w:val="1"/>
          <w:iCs w:val="1"/>
          <w:u w:val="single" w:color="auto"/>
          <w:color w:val="auto"/>
        </w:rPr>
        <w:t>Conduct Rules</w:t>
      </w:r>
      <w:r>
        <w:rPr>
          <w:rFonts w:ascii="Times New Roman" w:cs="Times New Roman" w:eastAsia="Times New Roman" w:hAnsi="Times New Roman"/>
          <w:sz w:val="14"/>
          <w:szCs w:val="14"/>
          <w:color w:val="auto"/>
        </w:rPr>
        <w:t>. Each party acknowledges and agrees to be bound by the Conduct Rules of the Financial Industry Regulatory Authority applicable to transactions in options, and further agrees not to violate the position and exercise limits set forth therein.]</w:t>
      </w:r>
      <w:r>
        <w:rPr>
          <w:rFonts w:ascii="Times New Roman" w:cs="Times New Roman" w:eastAsia="Times New Roman" w:hAnsi="Times New Roman"/>
          <w:sz w:val="18"/>
          <w:szCs w:val="18"/>
          <w:color w:val="auto"/>
          <w:vertAlign w:val="superscript"/>
        </w:rPr>
        <w:t>23</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u w:val="single" w:color="auto"/>
          <w:color w:val="auto"/>
        </w:rPr>
        <w:t>Reserved</w:t>
      </w:r>
      <w:r>
        <w:rPr>
          <w:rFonts w:ascii="Times New Roman" w:cs="Times New Roman" w:eastAsia="Times New Roman" w:hAnsi="Times New Roman"/>
          <w:sz w:val="14"/>
          <w:szCs w:val="14"/>
          <w:color w:val="auto"/>
        </w:rPr>
        <w:t>.]</w:t>
      </w:r>
    </w:p>
    <w:p>
      <w:pPr>
        <w:spacing w:after="0" w:line="18"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Additional Termination Events</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left="1540" w:hanging="517"/>
        <w:spacing w:after="0" w:line="239" w:lineRule="auto"/>
        <w:tabs>
          <w:tab w:leader="none" w:pos="1536"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in this Confirmation, upon any Early Conversion in respect of which a “Notice of Conversion” (as such term is defined in the Indenture) that is effective as to Counterparty has been delivered by the relevant converting “Holder” (as such term is defined in the Indenture):</w:t>
      </w:r>
    </w:p>
    <w:p>
      <w:pPr>
        <w:spacing w:after="0" w:line="114" w:lineRule="exact"/>
        <w:rPr>
          <w:rFonts w:ascii="Times New Roman" w:cs="Times New Roman" w:eastAsia="Times New Roman" w:hAnsi="Times New Roman"/>
          <w:sz w:val="14"/>
          <w:szCs w:val="14"/>
          <w:color w:val="auto"/>
        </w:rPr>
      </w:pPr>
    </w:p>
    <w:p>
      <w:pPr>
        <w:jc w:val="both"/>
        <w:ind w:left="2040" w:hanging="507"/>
        <w:spacing w:after="0" w:line="263" w:lineRule="auto"/>
        <w:tabs>
          <w:tab w:leader="none" w:pos="2035" w:val="left"/>
        </w:tabs>
        <w:numPr>
          <w:ilvl w:val="2"/>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Counterparty shall, as promptly as practicable (but in any event within five Scheduled Trading Days) following the Conversion Date for such Early Conversion, provide written notice (an “</w:t>
      </w:r>
      <w:r>
        <w:rPr>
          <w:rFonts w:ascii="Times New Roman" w:cs="Times New Roman" w:eastAsia="Times New Roman" w:hAnsi="Times New Roman"/>
          <w:sz w:val="14"/>
          <w:szCs w:val="14"/>
          <w:b w:val="1"/>
          <w:bCs w:val="1"/>
          <w:color w:val="auto"/>
        </w:rPr>
        <w:t>Early Conversion Notice</w:t>
      </w:r>
      <w:r>
        <w:rPr>
          <w:rFonts w:ascii="Times New Roman" w:cs="Times New Roman" w:eastAsia="Times New Roman" w:hAnsi="Times New Roman"/>
          <w:sz w:val="14"/>
          <w:szCs w:val="14"/>
          <w:color w:val="auto"/>
        </w:rPr>
        <w:t>”) to Dealer specifying the number of Convertible Notes surrendered for conversion on such Conversion Date (such Convertible Notes, the “</w:t>
      </w:r>
      <w:r>
        <w:rPr>
          <w:rFonts w:ascii="Times New Roman" w:cs="Times New Roman" w:eastAsia="Times New Roman" w:hAnsi="Times New Roman"/>
          <w:sz w:val="14"/>
          <w:szCs w:val="14"/>
          <w:b w:val="1"/>
          <w:bCs w:val="1"/>
          <w:color w:val="auto"/>
        </w:rPr>
        <w:t>Affected Convertible Notes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any “Early Conversion Notice” delivered to Dealer pursuant to the Base Call Option Confirmation shall deemed to be an Early Conversion Notice pursuant to this Confirmation and the terms of such Early Conversion Notice shall apply, </w:t>
      </w:r>
      <w:r>
        <w:rPr>
          <w:rFonts w:ascii="Times New Roman" w:cs="Times New Roman" w:eastAsia="Times New Roman" w:hAnsi="Times New Roman"/>
          <w:sz w:val="14"/>
          <w:szCs w:val="14"/>
          <w:i w:val="1"/>
          <w:iCs w:val="1"/>
          <w:color w:val="auto"/>
        </w:rPr>
        <w:t>mutatis mutandis</w:t>
      </w:r>
      <w:r>
        <w:rPr>
          <w:rFonts w:ascii="Times New Roman" w:cs="Times New Roman" w:eastAsia="Times New Roman" w:hAnsi="Times New Roman"/>
          <w:sz w:val="14"/>
          <w:szCs w:val="14"/>
          <w:color w:val="auto"/>
        </w:rPr>
        <w:t>, to this Confirmation]</w:t>
      </w:r>
      <w:r>
        <w:rPr>
          <w:rFonts w:ascii="Times New Roman" w:cs="Times New Roman" w:eastAsia="Times New Roman" w:hAnsi="Times New Roman"/>
          <w:sz w:val="18"/>
          <w:szCs w:val="18"/>
          <w:color w:val="auto"/>
          <w:vertAlign w:val="superscript"/>
        </w:rPr>
        <w:t>24</w:t>
      </w:r>
      <w:r>
        <w:rPr>
          <w:rFonts w:ascii="Times New Roman" w:cs="Times New Roman" w:eastAsia="Times New Roman" w:hAnsi="Times New Roman"/>
          <w:sz w:val="14"/>
          <w:szCs w:val="14"/>
          <w:color w:val="auto"/>
        </w:rPr>
        <w:t>;</w:t>
      </w:r>
    </w:p>
    <w:p>
      <w:pPr>
        <w:spacing w:after="0" w:line="54" w:lineRule="exact"/>
        <w:rPr>
          <w:rFonts w:ascii="Times New Roman" w:cs="Times New Roman" w:eastAsia="Times New Roman" w:hAnsi="Times New Roman"/>
          <w:sz w:val="14"/>
          <w:szCs w:val="14"/>
          <w:color w:val="auto"/>
        </w:rPr>
      </w:pPr>
    </w:p>
    <w:p>
      <w:pPr>
        <w:ind w:left="2040" w:hanging="507"/>
        <w:spacing w:after="0"/>
        <w:tabs>
          <w:tab w:leader="none" w:pos="2040" w:val="left"/>
        </w:tabs>
        <w:numPr>
          <w:ilvl w:val="2"/>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giving of an Early Conversion Notice pursuant to subclause (A) above shall constitute an Additional Termination Event as provided in this Section 9(i)(i);</w:t>
      </w:r>
    </w:p>
    <w:p>
      <w:pPr>
        <w:spacing w:after="0" w:line="146" w:lineRule="exact"/>
        <w:rPr>
          <w:rFonts w:ascii="Times New Roman" w:cs="Times New Roman" w:eastAsia="Times New Roman" w:hAnsi="Times New Roman"/>
          <w:sz w:val="14"/>
          <w:szCs w:val="14"/>
          <w:color w:val="auto"/>
        </w:rPr>
      </w:pPr>
    </w:p>
    <w:p>
      <w:pPr>
        <w:jc w:val="both"/>
        <w:ind w:left="2040" w:hanging="507"/>
        <w:spacing w:after="0" w:line="248" w:lineRule="auto"/>
        <w:tabs>
          <w:tab w:leader="none" w:pos="2037" w:val="left"/>
        </w:tabs>
        <w:numPr>
          <w:ilvl w:val="2"/>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receipt of any such Early Conversion Notice, Dealer shall designate an Exchange Business Day as an Early Termination Date (which Exchange Business Day shall be on or as promptly as reasonably practicable after the related settlement date for the conversion of such Affected Convertible Notes) with respect to the portion of the Transaction corresponding to a number of Options (the “</w:t>
      </w:r>
      <w:r>
        <w:rPr>
          <w:rFonts w:ascii="Times New Roman" w:cs="Times New Roman" w:eastAsia="Times New Roman" w:hAnsi="Times New Roman"/>
          <w:sz w:val="14"/>
          <w:szCs w:val="14"/>
          <w:b w:val="1"/>
          <w:bCs w:val="1"/>
          <w:color w:val="auto"/>
        </w:rPr>
        <w:t>Affected Number of Options</w:t>
      </w:r>
      <w:r>
        <w:rPr>
          <w:rFonts w:ascii="Times New Roman" w:cs="Times New Roman" w:eastAsia="Times New Roman" w:hAnsi="Times New Roman"/>
          <w:sz w:val="14"/>
          <w:szCs w:val="14"/>
          <w:color w:val="auto"/>
        </w:rPr>
        <w:t>”) equal to the lesser of (x) the number of Affected Convertible Notes [</w:t>
      </w: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xml:space="preserve"> the “Affected Number of Options” (as defined in the Base Call Option Confirmation), if any, that relate to such Affected Convertible Notes (and for the purposes of determining whether any Options under this Confirmation or under the Base Call Option Confirmation will be among the Affected Number of Options hereunder or under, and as defined in, the Base Call Option Confirmation, the Affected Convertible Notes specified in such Early Conversion Notice shall be allocated first to the Base Call Option Confirmation until all Options thereunder are exercised or terminated)]</w:t>
      </w:r>
      <w:r>
        <w:rPr>
          <w:rFonts w:ascii="Times New Roman" w:cs="Times New Roman" w:eastAsia="Times New Roman" w:hAnsi="Times New Roman"/>
          <w:sz w:val="18"/>
          <w:szCs w:val="18"/>
          <w:color w:val="auto"/>
          <w:vertAlign w:val="superscript"/>
        </w:rPr>
        <w:t>25</w:t>
      </w:r>
      <w:r>
        <w:rPr>
          <w:rFonts w:ascii="Times New Roman" w:cs="Times New Roman" w:eastAsia="Times New Roman" w:hAnsi="Times New Roman"/>
          <w:sz w:val="14"/>
          <w:szCs w:val="14"/>
          <w:color w:val="auto"/>
        </w:rPr>
        <w:t xml:space="preserve"> and (y) the Number of Options as of the Conversion Date for such Early Conversion;</w:t>
      </w:r>
    </w:p>
    <w:p>
      <w:pPr>
        <w:spacing w:after="0" w:line="128" w:lineRule="exact"/>
        <w:rPr>
          <w:rFonts w:ascii="Times New Roman" w:cs="Times New Roman" w:eastAsia="Times New Roman" w:hAnsi="Times New Roman"/>
          <w:sz w:val="14"/>
          <w:szCs w:val="14"/>
          <w:color w:val="auto"/>
        </w:rPr>
      </w:pPr>
    </w:p>
    <w:p>
      <w:pPr>
        <w:jc w:val="both"/>
        <w:ind w:left="2040" w:hanging="507"/>
        <w:spacing w:after="0" w:line="270" w:lineRule="auto"/>
        <w:tabs>
          <w:tab w:leader="none" w:pos="2035" w:val="left"/>
        </w:tabs>
        <w:numPr>
          <w:ilvl w:val="2"/>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payment hereunder with respect to such termination shall be calculated pursuant to Section 6 of the Agreement as if (x) an Early Termination Date had been designated in respect of a Transaction having terms identical to the Transaction and a Number of Options equal to the Affected Number of Options, (y) Counterparty were the sole Affected Party with respect to such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129349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93495" cy="6985"/>
                    </a:xfrm>
                    <a:prstGeom prst="rect">
                      <a:avLst/>
                    </a:prstGeom>
                    <a:noFill/>
                  </pic:spPr>
                </pic:pic>
              </a:graphicData>
            </a:graphic>
          </wp:anchor>
        </w:drawing>
      </w:r>
    </w:p>
    <w:p>
      <w:pPr>
        <w:spacing w:after="0" w:line="140" w:lineRule="exact"/>
        <w:rPr>
          <w:sz w:val="20"/>
          <w:szCs w:val="20"/>
          <w:color w:val="auto"/>
        </w:rPr>
      </w:pPr>
    </w:p>
    <w:p>
      <w:pPr>
        <w:ind w:left="120" w:hanging="115"/>
        <w:spacing w:after="0"/>
        <w:tabs>
          <w:tab w:leader="none" w:pos="120" w:val="left"/>
        </w:tabs>
        <w:numPr>
          <w:ilvl w:val="0"/>
          <w:numId w:val="3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 for applicable Dealers.</w:t>
      </w:r>
    </w:p>
    <w:p>
      <w:pPr>
        <w:ind w:left="120" w:hanging="115"/>
        <w:spacing w:after="0" w:line="182" w:lineRule="auto"/>
        <w:tabs>
          <w:tab w:leader="none" w:pos="120" w:val="left"/>
        </w:tabs>
        <w:numPr>
          <w:ilvl w:val="0"/>
          <w:numId w:val="3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Insert for Additional Call Option Confirmation.</w:t>
      </w:r>
    </w:p>
    <w:p>
      <w:pPr>
        <w:ind w:left="120" w:hanging="115"/>
        <w:spacing w:after="0" w:line="185" w:lineRule="auto"/>
        <w:tabs>
          <w:tab w:leader="none" w:pos="120" w:val="left"/>
        </w:tabs>
        <w:numPr>
          <w:ilvl w:val="0"/>
          <w:numId w:val="3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 in Additional Call Option Confirmation only.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1280"/>
          </w:cols>
          <w:pgMar w:left="300" w:top="1270" w:right="319" w:bottom="1440" w:gutter="0" w:footer="0" w:header="0"/>
        </w:sectPr>
      </w:pPr>
    </w:p>
    <w:bookmarkStart w:id="149" w:name="page150"/>
    <w:bookmarkEnd w:id="149"/>
    <w:p>
      <w:pPr>
        <w:jc w:val="both"/>
        <w:ind w:left="2040"/>
        <w:spacing w:after="0" w:line="256" w:lineRule="auto"/>
        <w:rPr>
          <w:sz w:val="20"/>
          <w:szCs w:val="20"/>
          <w:color w:val="auto"/>
        </w:rPr>
      </w:pPr>
      <w:r>
        <w:rPr>
          <w:rFonts w:ascii="Times New Roman" w:cs="Times New Roman" w:eastAsia="Times New Roman" w:hAnsi="Times New Roman"/>
          <w:sz w:val="14"/>
          <w:szCs w:val="14"/>
          <w:color w:val="auto"/>
        </w:rPr>
        <w:t xml:space="preserve">Termination Event and (z) the terminated portion of the Transaction were the sole Affected Transaction;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amount payable with respect to such termination shall not be greater than (1) the Applicable Percentage, </w:t>
      </w:r>
      <w:r>
        <w:rPr>
          <w:rFonts w:ascii="Times New Roman" w:cs="Times New Roman" w:eastAsia="Times New Roman" w:hAnsi="Times New Roman"/>
          <w:sz w:val="14"/>
          <w:szCs w:val="14"/>
          <w:i w:val="1"/>
          <w:iCs w:val="1"/>
          <w:color w:val="auto"/>
        </w:rPr>
        <w:t>multiplied by</w:t>
      </w:r>
      <w:r>
        <w:rPr>
          <w:rFonts w:ascii="Times New Roman" w:cs="Times New Roman" w:eastAsia="Times New Roman" w:hAnsi="Times New Roman"/>
          <w:sz w:val="14"/>
          <w:szCs w:val="14"/>
          <w:color w:val="auto"/>
        </w:rPr>
        <w:t xml:space="preserve"> (2) the Affected Number of Options, </w:t>
      </w:r>
      <w:r>
        <w:rPr>
          <w:rFonts w:ascii="Times New Roman" w:cs="Times New Roman" w:eastAsia="Times New Roman" w:hAnsi="Times New Roman"/>
          <w:sz w:val="14"/>
          <w:szCs w:val="14"/>
          <w:i w:val="1"/>
          <w:iCs w:val="1"/>
          <w:color w:val="auto"/>
        </w:rPr>
        <w:t>multiplied by</w:t>
      </w:r>
      <w:r>
        <w:rPr>
          <w:rFonts w:ascii="Times New Roman" w:cs="Times New Roman" w:eastAsia="Times New Roman" w:hAnsi="Times New Roman"/>
          <w:sz w:val="14"/>
          <w:szCs w:val="14"/>
          <w:color w:val="auto"/>
        </w:rPr>
        <w:t xml:space="preserve"> (3) (x) the sum of (i) the amount of cash paid to the “Holder” (as such term is defined in the Indenture) of an Affected Convertible Note upon conversion of such Affected Convertible Note and (ii) the number of Shares delivered (if any) to the “Holder” (as such term is defined in the Indenture) of an Affected Convertible Note upon conversion of such Affected Convertible Note, </w:t>
      </w:r>
      <w:r>
        <w:rPr>
          <w:rFonts w:ascii="Times New Roman" w:cs="Times New Roman" w:eastAsia="Times New Roman" w:hAnsi="Times New Roman"/>
          <w:sz w:val="14"/>
          <w:szCs w:val="14"/>
          <w:i w:val="1"/>
          <w:iCs w:val="1"/>
          <w:color w:val="auto"/>
        </w:rPr>
        <w:t>multiplied by</w:t>
      </w:r>
      <w:r>
        <w:rPr>
          <w:rFonts w:ascii="Times New Roman" w:cs="Times New Roman" w:eastAsia="Times New Roman" w:hAnsi="Times New Roman"/>
          <w:sz w:val="14"/>
          <w:szCs w:val="14"/>
          <w:color w:val="auto"/>
        </w:rPr>
        <w:t xml:space="preserve"> the Applicable Limit Price on the relevant date of payment, </w:t>
      </w: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xml:space="preserve"> (y) the Synthetic Instrument Adjusted Issue Price per Convertible Note, as determined by the Calculation Agent in good faith and in a commercially reasonable manner. “</w:t>
      </w:r>
      <w:r>
        <w:rPr>
          <w:rFonts w:ascii="Times New Roman" w:cs="Times New Roman" w:eastAsia="Times New Roman" w:hAnsi="Times New Roman"/>
          <w:sz w:val="14"/>
          <w:szCs w:val="14"/>
          <w:b w:val="1"/>
          <w:bCs w:val="1"/>
          <w:color w:val="auto"/>
        </w:rPr>
        <w:t>Synthetic Instrument Adjusted Issue Price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per Convertible Note</w:t>
      </w:r>
      <w:r>
        <w:rPr>
          <w:rFonts w:ascii="Times New Roman" w:cs="Times New Roman" w:eastAsia="Times New Roman" w:hAnsi="Times New Roman"/>
          <w:sz w:val="14"/>
          <w:szCs w:val="14"/>
          <w:color w:val="auto"/>
        </w:rPr>
        <w:t>” shall mean the amount determined by the Calculation Agent utilizing the numbers in the table set forth below based on the date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payment of the amount due with respect to the relevant Affected Number of Options (the “</w:t>
      </w:r>
      <w:r>
        <w:rPr>
          <w:rFonts w:ascii="Times New Roman" w:cs="Times New Roman" w:eastAsia="Times New Roman" w:hAnsi="Times New Roman"/>
          <w:sz w:val="14"/>
          <w:szCs w:val="14"/>
          <w:b w:val="1"/>
          <w:bCs w:val="1"/>
          <w:color w:val="auto"/>
        </w:rPr>
        <w:t>Affected Unwind Date</w:t>
      </w:r>
      <w:r>
        <w:rPr>
          <w:rFonts w:ascii="Times New Roman" w:cs="Times New Roman" w:eastAsia="Times New Roman" w:hAnsi="Times New Roman"/>
          <w:sz w:val="14"/>
          <w:szCs w:val="14"/>
          <w:color w:val="auto"/>
        </w:rPr>
        <w:t>”). If the Affected Unwind Date is not listed below, the amount in the preceding sentence shall be determined by the Calculation Agent utilizing the numbers in the table below using a linear interpolation between the lower and higher Synthetic Instrument Adjusted Issue Prices per Convertible Note for the dates immediately preceding and immediately following the Affected Unwind Date. For the avoidance of doubt, any payment pursuant to this paragraph shall be subject to Section 9(l) of this Confirmation;</w:t>
      </w:r>
    </w:p>
    <w:p>
      <w:pPr>
        <w:spacing w:after="0" w:line="145" w:lineRule="exact"/>
        <w:rPr>
          <w:sz w:val="20"/>
          <w:szCs w:val="20"/>
          <w:color w:val="auto"/>
        </w:rPr>
      </w:pPr>
    </w:p>
    <w:tbl>
      <w:tblPr>
        <w:tblLayout w:type="fixed"/>
        <w:tblInd w:w="2070" w:type="dxa"/>
        <w:tblCellMar>
          <w:top w:w="0" w:type="dxa"/>
          <w:left w:w="0" w:type="dxa"/>
          <w:bottom w:w="0" w:type="dxa"/>
          <w:right w:w="0" w:type="dxa"/>
        </w:tblCellMar>
      </w:tblPr>
      <w:tr>
        <w:trPr>
          <w:trHeight w:val="149"/>
        </w:trPr>
        <w:tc>
          <w:tcPr>
            <w:tcW w:w="3100" w:type="dxa"/>
            <w:vAlign w:val="bottom"/>
            <w:tcBorders>
              <w:top w:val="single" w:sz="8" w:color="auto"/>
              <w:left w:val="single" w:sz="8" w:color="auto"/>
              <w:right w:val="single" w:sz="8" w:color="auto"/>
            </w:tcBorders>
            <w:shd w:val="clear" w:color="auto" w:fill="DBDBDB"/>
          </w:tcPr>
          <w:p>
            <w:pPr>
              <w:jc w:val="center"/>
              <w:spacing w:after="0" w:line="149" w:lineRule="exact"/>
              <w:rPr>
                <w:sz w:val="20"/>
                <w:szCs w:val="20"/>
                <w:color w:val="auto"/>
              </w:rPr>
            </w:pPr>
            <w:r>
              <w:rPr>
                <w:rFonts w:ascii="Times New Roman" w:cs="Times New Roman" w:eastAsia="Times New Roman" w:hAnsi="Times New Roman"/>
                <w:sz w:val="14"/>
                <w:szCs w:val="14"/>
                <w:color w:val="auto"/>
              </w:rPr>
              <w:t>Affected Unwind Date</w:t>
            </w:r>
          </w:p>
        </w:tc>
        <w:tc>
          <w:tcPr>
            <w:tcW w:w="3320" w:type="dxa"/>
            <w:vAlign w:val="bottom"/>
            <w:tcBorders>
              <w:top w:val="single" w:sz="8" w:color="auto"/>
              <w:right w:val="single" w:sz="8" w:color="auto"/>
            </w:tcBorders>
            <w:shd w:val="clear" w:color="auto" w:fill="DBDBDB"/>
          </w:tcPr>
          <w:p>
            <w:pPr>
              <w:jc w:val="center"/>
              <w:ind w:right="9"/>
              <w:spacing w:after="0" w:line="149" w:lineRule="exact"/>
              <w:rPr>
                <w:sz w:val="20"/>
                <w:szCs w:val="20"/>
                <w:color w:val="auto"/>
              </w:rPr>
            </w:pPr>
            <w:r>
              <w:rPr>
                <w:rFonts w:ascii="Times New Roman" w:cs="Times New Roman" w:eastAsia="Times New Roman" w:hAnsi="Times New Roman"/>
                <w:sz w:val="14"/>
                <w:szCs w:val="14"/>
                <w:color w:val="auto"/>
              </w:rPr>
              <w:t>Synthetic Instrument Adjusted</w:t>
            </w:r>
          </w:p>
        </w:tc>
      </w:tr>
      <w:tr>
        <w:trPr>
          <w:trHeight w:val="191"/>
        </w:trPr>
        <w:tc>
          <w:tcPr>
            <w:tcW w:w="3100" w:type="dxa"/>
            <w:vAlign w:val="bottom"/>
            <w:tcBorders>
              <w:left w:val="single" w:sz="8" w:color="auto"/>
              <w:bottom w:val="single" w:sz="8" w:color="auto"/>
              <w:right w:val="single" w:sz="8" w:color="auto"/>
            </w:tcBorders>
            <w:shd w:val="clear" w:color="auto" w:fill="DBDBDB"/>
          </w:tcPr>
          <w:p>
            <w:pPr>
              <w:spacing w:after="0"/>
              <w:rPr>
                <w:sz w:val="16"/>
                <w:szCs w:val="16"/>
                <w:color w:val="auto"/>
              </w:rPr>
            </w:pPr>
          </w:p>
        </w:tc>
        <w:tc>
          <w:tcPr>
            <w:tcW w:w="33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4"/>
                <w:szCs w:val="14"/>
                <w:color w:val="auto"/>
              </w:rPr>
              <w:t>Issue Price per Convertible Note</w:t>
            </w:r>
          </w:p>
        </w:tc>
      </w:tr>
      <w:tr>
        <w:trPr>
          <w:trHeight w:val="171"/>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[[__], 2026</w:t>
            </w: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USD [_______]</w:t>
            </w:r>
          </w:p>
        </w:tc>
      </w:tr>
      <w:tr>
        <w:trPr>
          <w:trHeight w:val="171"/>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April 1, 2027</w:t>
            </w: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USD [_______]</w:t>
            </w:r>
          </w:p>
        </w:tc>
      </w:tr>
      <w:tr>
        <w:trPr>
          <w:trHeight w:val="171"/>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October 1, 2027</w:t>
            </w: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USD [_______]</w:t>
            </w:r>
          </w:p>
        </w:tc>
      </w:tr>
      <w:tr>
        <w:trPr>
          <w:trHeight w:val="171"/>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April 1, 2028</w:t>
            </w: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USD [_______]</w:t>
            </w:r>
          </w:p>
        </w:tc>
      </w:tr>
      <w:tr>
        <w:trPr>
          <w:trHeight w:val="171"/>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October 1, 2028</w:t>
            </w: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USD [_______]</w:t>
            </w:r>
          </w:p>
        </w:tc>
      </w:tr>
      <w:tr>
        <w:trPr>
          <w:trHeight w:val="171"/>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April 1, 2029</w:t>
            </w: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USD [_______]</w:t>
            </w:r>
          </w:p>
        </w:tc>
      </w:tr>
      <w:tr>
        <w:trPr>
          <w:trHeight w:val="171"/>
        </w:trPr>
        <w:tc>
          <w:tcPr>
            <w:tcW w:w="3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October 1, 2029</w:t>
            </w: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USD 1,000.00]</w:t>
            </w: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(ii)</w:t>
      </w:r>
    </w:p>
    <w:p>
      <w:pPr>
        <w:spacing w:after="0" w:line="157" w:lineRule="exact"/>
        <w:rPr>
          <w:sz w:val="20"/>
          <w:szCs w:val="20"/>
          <w:color w:val="auto"/>
        </w:rPr>
      </w:pPr>
    </w:p>
    <w:p>
      <w:pPr>
        <w:jc w:val="both"/>
        <w:ind w:left="2040" w:hanging="507"/>
        <w:spacing w:after="0" w:line="264" w:lineRule="auto"/>
        <w:tabs>
          <w:tab w:leader="none" w:pos="203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avoidance of doubt, in determining the amount payable in respect of such Affected Transaction pursuant to Section 6 of the Agreement, the Calculation Agent shall assume that (x) the relevant Early Conversion and any conversions, adjustments, agreements, payments, deliveries or acquisitions by or on behalf of Counterparty leading thereto had not occurred, (y) no adjustments to the “Conversion Rate” (as such term is defined in the Indenture) have occurred pursuant to any Excluded Provision and (z) the corresponding Convertible Notes remain outstanding; and</w:t>
      </w:r>
    </w:p>
    <w:p>
      <w:pPr>
        <w:spacing w:after="0" w:line="108" w:lineRule="exact"/>
        <w:rPr>
          <w:rFonts w:ascii="Times New Roman" w:cs="Times New Roman" w:eastAsia="Times New Roman" w:hAnsi="Times New Roman"/>
          <w:sz w:val="14"/>
          <w:szCs w:val="14"/>
          <w:color w:val="auto"/>
        </w:rPr>
      </w:pPr>
    </w:p>
    <w:p>
      <w:pPr>
        <w:ind w:left="2040" w:hanging="507"/>
        <w:spacing w:after="0" w:line="287" w:lineRule="auto"/>
        <w:tabs>
          <w:tab w:leader="none" w:pos="2032"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Transaction shall remain in full force and effect, except that, as of the Early Termination Date for such Early Conversion, the Number of Options shall be reduced by the Affected Number of Options.</w:t>
      </w:r>
    </w:p>
    <w:p>
      <w:pPr>
        <w:spacing w:after="0" w:line="81" w:lineRule="exact"/>
        <w:rPr>
          <w:rFonts w:ascii="Times New Roman" w:cs="Times New Roman" w:eastAsia="Times New Roman" w:hAnsi="Times New Roman"/>
          <w:sz w:val="14"/>
          <w:szCs w:val="14"/>
          <w:color w:val="auto"/>
        </w:rPr>
      </w:pPr>
    </w:p>
    <w:p>
      <w:pPr>
        <w:jc w:val="both"/>
        <w:ind w:left="1540" w:hanging="517"/>
        <w:spacing w:after="0" w:line="233" w:lineRule="auto"/>
        <w:tabs>
          <w:tab w:leader="none" w:pos="15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in this Confirmation, if an event of default with respect to Counterparty occurs under the terms of the Convertible Notes as set forth in Section 6.01 of the Indenture and the Convertible Notes are declared due and payable as a result thereof, then such event of default shall constitute an Additional Termination Event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1280"/>
          </w:cols>
          <w:pgMar w:left="300" w:top="1279" w:right="319" w:bottom="1440" w:gutter="0" w:footer="0" w:header="0"/>
        </w:sectPr>
      </w:pPr>
    </w:p>
    <w:bookmarkStart w:id="150" w:name="page151"/>
    <w:bookmarkEnd w:id="150"/>
    <w:p>
      <w:pPr>
        <w:ind w:left="1540"/>
        <w:spacing w:after="0" w:line="255" w:lineRule="auto"/>
        <w:rPr>
          <w:sz w:val="20"/>
          <w:szCs w:val="20"/>
          <w:color w:val="auto"/>
        </w:rPr>
      </w:pPr>
      <w:r>
        <w:rPr>
          <w:rFonts w:ascii="Times New Roman" w:cs="Times New Roman" w:eastAsia="Times New Roman" w:hAnsi="Times New Roman"/>
          <w:sz w:val="14"/>
          <w:szCs w:val="14"/>
          <w:color w:val="auto"/>
        </w:rPr>
        <w:t>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w:t>
      </w:r>
    </w:p>
    <w:p>
      <w:pPr>
        <w:spacing w:after="0" w:line="82" w:lineRule="exact"/>
        <w:rPr>
          <w:sz w:val="20"/>
          <w:szCs w:val="20"/>
          <w:color w:val="auto"/>
        </w:rPr>
      </w:pPr>
    </w:p>
    <w:p>
      <w:pPr>
        <w:ind w:left="1520" w:hanging="497"/>
        <w:spacing w:after="0"/>
        <w:tabs>
          <w:tab w:leader="none" w:pos="1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125" w:lineRule="exact"/>
        <w:rPr>
          <w:rFonts w:ascii="Times New Roman" w:cs="Times New Roman" w:eastAsia="Times New Roman" w:hAnsi="Times New Roman"/>
          <w:sz w:val="14"/>
          <w:szCs w:val="14"/>
          <w:color w:val="auto"/>
        </w:rPr>
      </w:pPr>
    </w:p>
    <w:p>
      <w:pPr>
        <w:jc w:val="both"/>
        <w:ind w:left="1540" w:hanging="517"/>
        <w:spacing w:after="0" w:line="216" w:lineRule="auto"/>
        <w:tabs>
          <w:tab w:leader="none" w:pos="1535"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promptly as practicable (but in any event within fifteen Scheduled Trading Days) following any Repayment Event (as defined below), Counterparty (i) shall (solely to the extent that such Repayment Event results directly from a “Fundamental Change” (as defined in the Indenture)), and (ii) otherwise may, but shall not be obligated to, notify Dealer of such Repayment Event and the aggregate principal amount of Convertible Notes subject to such Repayment Event (any such notice, a “</w:t>
      </w:r>
      <w:r>
        <w:rPr>
          <w:rFonts w:ascii="Times New Roman" w:cs="Times New Roman" w:eastAsia="Times New Roman" w:hAnsi="Times New Roman"/>
          <w:sz w:val="14"/>
          <w:szCs w:val="14"/>
          <w:b w:val="1"/>
          <w:bCs w:val="1"/>
          <w:color w:val="auto"/>
        </w:rPr>
        <w:t>Repayment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Notice</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that in the case of clause (ii) only, such Repayment Notice shall contain the representation and warranty that Counterparty is not, on the date thereof,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aware of any material non-public information with respect to Counterparty or the Shares[;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xml:space="preserve">, that any “Repayment Notice” delivered to Dealer pursuant to the Base Call Option Confirmation shall be deemed to be a Repayment Notice pursuant to this Confirmation and the terms of such Repayment Notice shall apply, </w:t>
      </w:r>
      <w:r>
        <w:rPr>
          <w:rFonts w:ascii="Times New Roman" w:cs="Times New Roman" w:eastAsia="Times New Roman" w:hAnsi="Times New Roman"/>
          <w:sz w:val="14"/>
          <w:szCs w:val="14"/>
          <w:i w:val="1"/>
          <w:iCs w:val="1"/>
          <w:color w:val="auto"/>
        </w:rPr>
        <w:t>mutatis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mutandis</w:t>
      </w:r>
      <w:r>
        <w:rPr>
          <w:rFonts w:ascii="Times New Roman" w:cs="Times New Roman" w:eastAsia="Times New Roman" w:hAnsi="Times New Roman"/>
          <w:sz w:val="14"/>
          <w:szCs w:val="14"/>
          <w:color w:val="auto"/>
        </w:rPr>
        <w:t>, to this Confirmation]</w:t>
      </w:r>
      <w:r>
        <w:rPr>
          <w:rFonts w:ascii="Times New Roman" w:cs="Times New Roman" w:eastAsia="Times New Roman" w:hAnsi="Times New Roman"/>
          <w:sz w:val="18"/>
          <w:szCs w:val="18"/>
          <w:color w:val="auto"/>
          <w:vertAlign w:val="superscript"/>
        </w:rPr>
        <w:t>26</w:t>
      </w:r>
      <w:r>
        <w:rPr>
          <w:rFonts w:ascii="Times New Roman" w:cs="Times New Roman" w:eastAsia="Times New Roman" w:hAnsi="Times New Roman"/>
          <w:sz w:val="14"/>
          <w:szCs w:val="14"/>
          <w:color w:val="auto"/>
        </w:rPr>
        <w:t>. The receipt by Dealer from Counterparty of any Repayment Notice, within the applicable time period set forth in the preceding sentence,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shall constitute an Additional Termination Event as provided in this paragraph, it being understood that no Repayment Event shall constitute an Additional Termination Event hereunder unless Dealer has so received such Repayment Notice. Upon receipt of any such Repayment Notice, Dealer shall designate an Exchange Business Day following receipt of such Repayment Notice (which in no event shall be earlier than the date on which the relevant Repayment Event occurs or is consummated) as an Early Termination Date with respect to the portion of the Transaction corresponding to a number of Options (the “</w:t>
      </w:r>
      <w:r>
        <w:rPr>
          <w:rFonts w:ascii="Times New Roman" w:cs="Times New Roman" w:eastAsia="Times New Roman" w:hAnsi="Times New Roman"/>
          <w:sz w:val="14"/>
          <w:szCs w:val="14"/>
          <w:b w:val="1"/>
          <w:bCs w:val="1"/>
          <w:color w:val="auto"/>
        </w:rPr>
        <w:t>Repayment Options</w:t>
      </w:r>
      <w:r>
        <w:rPr>
          <w:rFonts w:ascii="Times New Roman" w:cs="Times New Roman" w:eastAsia="Times New Roman" w:hAnsi="Times New Roman"/>
          <w:sz w:val="14"/>
          <w:szCs w:val="14"/>
          <w:color w:val="auto"/>
        </w:rPr>
        <w:t xml:space="preserve">”) equal to the lesser of (A) [(x)] the aggregate principal amount of such Convertible Notes specified in such Repayment Notice, </w:t>
      </w:r>
      <w:r>
        <w:rPr>
          <w:rFonts w:ascii="Times New Roman" w:cs="Times New Roman" w:eastAsia="Times New Roman" w:hAnsi="Times New Roman"/>
          <w:sz w:val="14"/>
          <w:szCs w:val="14"/>
          <w:i w:val="1"/>
          <w:iCs w:val="1"/>
          <w:color w:val="auto"/>
        </w:rPr>
        <w:t>divided by</w:t>
      </w:r>
      <w:r>
        <w:rPr>
          <w:rFonts w:ascii="Times New Roman" w:cs="Times New Roman" w:eastAsia="Times New Roman" w:hAnsi="Times New Roman"/>
          <w:sz w:val="14"/>
          <w:szCs w:val="14"/>
          <w:color w:val="auto"/>
        </w:rPr>
        <w:t xml:space="preserve"> USD 1,000, [</w:t>
      </w: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xml:space="preserve"> (y) the number of “Repayment Options” (as defined in the Base Call Option Confirmation), if any, that relate to such Convertible Notes (and for the purposes of determining whether any Options under this Confirmation or under the Base Call Option Confirmation will be among the Repayment Options hereunder or under, and as defined in, the Base Call Option Confirmation, the Convertible Notes specified in such Repayment Notice shall be allocated first to the Base Call Option Confirmation until all Options thereunder are exercised or terminated)]</w:t>
      </w:r>
      <w:r>
        <w:rPr>
          <w:rFonts w:ascii="Times New Roman" w:cs="Times New Roman" w:eastAsia="Times New Roman" w:hAnsi="Times New Roman"/>
          <w:sz w:val="18"/>
          <w:szCs w:val="18"/>
          <w:color w:val="auto"/>
          <w:vertAlign w:val="superscript"/>
        </w:rPr>
        <w:t>27</w:t>
      </w:r>
      <w:r>
        <w:rPr>
          <w:rFonts w:ascii="Times New Roman" w:cs="Times New Roman" w:eastAsia="Times New Roman" w:hAnsi="Times New Roman"/>
          <w:sz w:val="14"/>
          <w:szCs w:val="14"/>
          <w:color w:val="auto"/>
        </w:rPr>
        <w:t>, and (B) the Number of Options as of the date Dealer designates such Early Termination Date and, as of such date, the Number of Options shall be reduced by the number of Repayment Options. Any payment hereunder with respect to such termination (the “</w:t>
      </w:r>
      <w:r>
        <w:rPr>
          <w:rFonts w:ascii="Times New Roman" w:cs="Times New Roman" w:eastAsia="Times New Roman" w:hAnsi="Times New Roman"/>
          <w:sz w:val="14"/>
          <w:szCs w:val="14"/>
          <w:b w:val="1"/>
          <w:bCs w:val="1"/>
          <w:color w:val="auto"/>
        </w:rPr>
        <w:t>Repayment Unwind Payment</w:t>
      </w:r>
      <w:r>
        <w:rPr>
          <w:rFonts w:ascii="Times New Roman" w:cs="Times New Roman" w:eastAsia="Times New Roman" w:hAnsi="Times New Roman"/>
          <w:sz w:val="14"/>
          <w:szCs w:val="14"/>
          <w:color w:val="auto"/>
        </w:rPr>
        <w:t>”) shall be calculated pursuant to Section 6 of the Agreement as if (1) an Early Termination Date had been designated in respect of a Transaction having terms identical to the Transaction and a Number of Options equal to the number of Repayment Options, (2) Counterparty were the sole Affected Party with respect to such Additional Termination Event and (3) the terminated portion of the Transaction were the sole Affected Transaction. For the avoidance of doubt, solely for purposes of calculating the amount payable pursuant to Section 6 of the Agreement pursuant to the immediately preceding sentence, Dealer shall assume that the relevant Repayment Event (and, if applicable, the related Fundamental Change and the announcement of such Fundamental Change) had not occurred. “</w:t>
      </w:r>
      <w:r>
        <w:rPr>
          <w:rFonts w:ascii="Times New Roman" w:cs="Times New Roman" w:eastAsia="Times New Roman" w:hAnsi="Times New Roman"/>
          <w:sz w:val="14"/>
          <w:szCs w:val="14"/>
          <w:b w:val="1"/>
          <w:bCs w:val="1"/>
          <w:color w:val="auto"/>
        </w:rPr>
        <w:t>Repayment Event</w:t>
      </w:r>
      <w:r>
        <w:rPr>
          <w:rFonts w:ascii="Times New Roman" w:cs="Times New Roman" w:eastAsia="Times New Roman" w:hAnsi="Times New Roman"/>
          <w:sz w:val="14"/>
          <w:szCs w:val="14"/>
          <w:color w:val="auto"/>
        </w:rPr>
        <w:t>” means that (i) any Convertible Notes are repurchased (whether in connection with or as a result of a Fundamental Change, upon redemption or for any other reason) by Counterparty or any of its subsidiaries, (ii) any Convertible Notes are delivered to Counterparty or any of its subsidiaries in exchange for delivery of any property or assets of such party (howsoever described), (iii) any principal of any of the Convertible Notes is repaid prior to the final maturity date of the Convertible Notes (for any reason other than as a result of an acceleration of the Convertible Notes that results in an Additional Termination Event pursuant to the preceding Section 9(i)(ii)), or (iv) any Convertible Notes are exchanged by or for the benefit of the holders thereof for any other securities of Counterparty or any of its subsidiaries (or any other property, or any combination thereof) pursuant to any exchange offer or similar transaction. For the avoidance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129349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93495" cy="6985"/>
                    </a:xfrm>
                    <a:prstGeom prst="rect">
                      <a:avLst/>
                    </a:prstGeom>
                    <a:noFill/>
                  </pic:spPr>
                </pic:pic>
              </a:graphicData>
            </a:graphic>
          </wp:anchor>
        </w:drawing>
      </w:r>
    </w:p>
    <w:p>
      <w:pPr>
        <w:spacing w:after="0" w:line="150" w:lineRule="exact"/>
        <w:rPr>
          <w:sz w:val="20"/>
          <w:szCs w:val="20"/>
          <w:color w:val="auto"/>
        </w:rPr>
      </w:pPr>
    </w:p>
    <w:p>
      <w:pPr>
        <w:ind w:left="120" w:hanging="115"/>
        <w:spacing w:after="0"/>
        <w:tabs>
          <w:tab w:leader="none" w:pos="120" w:val="left"/>
        </w:tabs>
        <w:numPr>
          <w:ilvl w:val="0"/>
          <w:numId w:val="4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Insert for Additional Call Option Confirmation.</w:t>
      </w:r>
    </w:p>
    <w:p>
      <w:pPr>
        <w:spacing w:after="0" w:line="7" w:lineRule="exact"/>
        <w:rPr>
          <w:rFonts w:ascii="Times New Roman" w:cs="Times New Roman" w:eastAsia="Times New Roman" w:hAnsi="Times New Roman"/>
          <w:sz w:val="17"/>
          <w:szCs w:val="17"/>
          <w:color w:val="auto"/>
          <w:vertAlign w:val="superscript"/>
        </w:rPr>
      </w:pPr>
    </w:p>
    <w:p>
      <w:pPr>
        <w:ind w:left="120" w:hanging="115"/>
        <w:spacing w:after="0" w:line="185" w:lineRule="auto"/>
        <w:tabs>
          <w:tab w:leader="none" w:pos="120" w:val="left"/>
        </w:tabs>
        <w:numPr>
          <w:ilvl w:val="0"/>
          <w:numId w:val="4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Insert for Additional Call Option Confirmation.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1280"/>
          </w:cols>
          <w:pgMar w:left="300" w:top="1270" w:right="319" w:bottom="1440" w:gutter="0" w:footer="0" w:header="0"/>
        </w:sectPr>
      </w:pPr>
    </w:p>
    <w:bookmarkStart w:id="151" w:name="page152"/>
    <w:bookmarkEnd w:id="151"/>
    <w:p>
      <w:pPr>
        <w:ind w:left="1026"/>
        <w:spacing w:after="0" w:line="255" w:lineRule="auto"/>
        <w:rPr>
          <w:sz w:val="20"/>
          <w:szCs w:val="20"/>
          <w:color w:val="auto"/>
        </w:rPr>
      </w:pPr>
      <w:r>
        <w:rPr>
          <w:rFonts w:ascii="Times New Roman" w:cs="Times New Roman" w:eastAsia="Times New Roman" w:hAnsi="Times New Roman"/>
          <w:sz w:val="14"/>
          <w:szCs w:val="14"/>
          <w:color w:val="auto"/>
        </w:rPr>
        <w:t>doubt, any conversion of Convertible Notes (whether into cash, Shares, reference property or any combination thereof) pursuant to the terms of the Indenture shall not constitute a Repayment Event.</w:t>
      </w:r>
    </w:p>
    <w:p>
      <w:pPr>
        <w:spacing w:after="0" w:line="80" w:lineRule="exact"/>
        <w:rPr>
          <w:sz w:val="20"/>
          <w:szCs w:val="20"/>
          <w:color w:val="auto"/>
        </w:rPr>
      </w:pPr>
    </w:p>
    <w:p>
      <w:pPr>
        <w:ind w:left="506" w:hanging="506"/>
        <w:spacing w:after="0"/>
        <w:tabs>
          <w:tab w:leader="none" w:pos="50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Amendments to Equity Definitions; Agreement</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jc w:val="both"/>
        <w:ind w:left="1026" w:hanging="517"/>
        <w:spacing w:after="0" w:line="225" w:lineRule="auto"/>
        <w:tabs>
          <w:tab w:leader="none" w:pos="1021"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Solely in respect of adjustments to the Cap Price pursuant to Section 9(y) of this Confirmation, Section 11.2(e)(vii) of the Equity Definitions is hereby amended by deleting the words “that may have a diluting or concentrative effect on the theoretical value of the relevant Shares” and replacing them with the words “that is the result of a</w:t>
      </w:r>
    </w:p>
    <w:p>
      <w:pPr>
        <w:spacing w:after="0" w:line="1" w:lineRule="exact"/>
        <w:rPr>
          <w:sz w:val="20"/>
          <w:szCs w:val="20"/>
          <w:color w:val="auto"/>
        </w:rPr>
      </w:pPr>
    </w:p>
    <w:p>
      <w:pPr>
        <w:ind w:left="1026"/>
        <w:spacing w:after="0" w:line="205" w:lineRule="auto"/>
        <w:rPr>
          <w:sz w:val="20"/>
          <w:szCs w:val="20"/>
          <w:color w:val="auto"/>
        </w:rPr>
      </w:pPr>
      <w:r>
        <w:rPr>
          <w:rFonts w:ascii="Times New Roman" w:cs="Times New Roman" w:eastAsia="Times New Roman" w:hAnsi="Times New Roman"/>
          <w:sz w:val="14"/>
          <w:szCs w:val="14"/>
          <w:color w:val="auto"/>
        </w:rPr>
        <w:t xml:space="preserve">corporate event involving the Issuer that is similar to the events described in Section 11.2(e)(i) through (vi) above and affects all holders of the Shares that, in the commercially reasonable judgment of the Calculation Agent, has a material economic effect on the Shares or options on the Shares;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event is not based on</w:t>
      </w:r>
    </w:p>
    <w:p>
      <w:pPr>
        <w:spacing w:after="0" w:line="1" w:lineRule="exact"/>
        <w:rPr>
          <w:sz w:val="20"/>
          <w:szCs w:val="20"/>
          <w:color w:val="auto"/>
        </w:rPr>
      </w:pPr>
    </w:p>
    <w:p>
      <w:pPr>
        <w:ind w:left="1026"/>
        <w:spacing w:after="0" w:line="235" w:lineRule="auto"/>
        <w:rPr>
          <w:sz w:val="20"/>
          <w:szCs w:val="20"/>
          <w:color w:val="auto"/>
        </w:rPr>
      </w:pPr>
      <w:r>
        <w:rPr>
          <w:rFonts w:ascii="Times New Roman" w:cs="Times New Roman" w:eastAsia="Times New Roman" w:hAnsi="Times New Roman"/>
          <w:sz w:val="14"/>
          <w:szCs w:val="14"/>
          <w:color w:val="auto"/>
        </w:rPr>
        <w:t>(a) an observable market, other than the market for the Issuer’s own stock or (b) an observable index, other than an index calculated and measured solely by reference to Issuer’s own operations.”</w:t>
      </w:r>
    </w:p>
    <w:p>
      <w:pPr>
        <w:spacing w:after="0" w:line="93" w:lineRule="exact"/>
        <w:rPr>
          <w:sz w:val="20"/>
          <w:szCs w:val="20"/>
          <w:color w:val="auto"/>
        </w:rPr>
      </w:pPr>
    </w:p>
    <w:p>
      <w:pPr>
        <w:jc w:val="both"/>
        <w:ind w:left="1026" w:hanging="517"/>
        <w:spacing w:after="0" w:line="233" w:lineRule="auto"/>
        <w:tabs>
          <w:tab w:leader="none" w:pos="1018"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12.6(a)(ii) of the Equity Definitions is hereby amended by (1) inserting “(1)” immediately following the word “means” in the first line thereof and (2) inserting immediately prior to the semi-colon at the end of subsection (B) thereof the following words: “or (2) the occurrence of any of the events specified in Section 5(a)(vii)(1) through (9) of the ISDA Master Agreement with respect to that Issuer”.</w:t>
      </w:r>
    </w:p>
    <w:p>
      <w:pPr>
        <w:spacing w:after="0" w:line="102" w:lineRule="exact"/>
        <w:rPr>
          <w:rFonts w:ascii="Times New Roman" w:cs="Times New Roman" w:eastAsia="Times New Roman" w:hAnsi="Times New Roman"/>
          <w:sz w:val="14"/>
          <w:szCs w:val="14"/>
          <w:color w:val="auto"/>
        </w:rPr>
      </w:pPr>
    </w:p>
    <w:p>
      <w:pPr>
        <w:jc w:val="both"/>
        <w:ind w:left="1026" w:hanging="517"/>
        <w:spacing w:after="0" w:line="229" w:lineRule="auto"/>
        <w:tabs>
          <w:tab w:leader="none" w:pos="1026"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first sentence of Section 12.7(b) of the Equity Definitions is hereby amended by inserting, prior to the period at the end thereof, the following phrase: “;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the case of a Merger Event or Tender Offer, the parties shall use commercially reasonable efforts to agree on such amount on or prior to the Merger Event Date or Tender Offer Date, as the case may be”.</w:t>
      </w:r>
    </w:p>
    <w:p>
      <w:pPr>
        <w:spacing w:after="0" w:line="103" w:lineRule="exact"/>
        <w:rPr>
          <w:rFonts w:ascii="Times New Roman" w:cs="Times New Roman" w:eastAsia="Times New Roman" w:hAnsi="Times New Roman"/>
          <w:sz w:val="14"/>
          <w:szCs w:val="14"/>
          <w:color w:val="auto"/>
        </w:rPr>
      </w:pPr>
    </w:p>
    <w:p>
      <w:pPr>
        <w:jc w:val="both"/>
        <w:ind w:left="1026" w:hanging="517"/>
        <w:spacing w:after="0" w:line="233" w:lineRule="auto"/>
        <w:tabs>
          <w:tab w:leader="none" w:pos="1018"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12.9(b)(i) of the Equity Definitions is hereby amended by (1) replacing “either party may elect” with “Dealer may elect or, if Counterparty represents to Dealer in writing at the time of such election that (i) it is not aware of any material nonpublic information with respect to Issuer or the Shares and (ii) it is not making such election as part of a plan or scheme to evade compliance with the U.S. federal securities laws, Counterparty may elect”.</w:t>
      </w:r>
    </w:p>
    <w:p>
      <w:pPr>
        <w:spacing w:after="0" w:line="93" w:lineRule="exact"/>
        <w:rPr>
          <w:rFonts w:ascii="Times New Roman" w:cs="Times New Roman" w:eastAsia="Times New Roman" w:hAnsi="Times New Roman"/>
          <w:sz w:val="14"/>
          <w:szCs w:val="14"/>
          <w:color w:val="auto"/>
        </w:rPr>
      </w:pPr>
    </w:p>
    <w:p>
      <w:pPr>
        <w:ind w:left="1026" w:hanging="517"/>
        <w:spacing w:after="0" w:line="255" w:lineRule="auto"/>
        <w:tabs>
          <w:tab w:leader="none" w:pos="1021"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12(a) of the Agreement is hereby amended by (1) deleting the phrase “or email” in the third line thereof and (2) deleting the phrase “or that communication is delivered (or attempted) or received, as applicable, after the close of business on a Local Business Day” in the final clause thereof.</w:t>
      </w:r>
    </w:p>
    <w:p>
      <w:pPr>
        <w:spacing w:after="0" w:line="80" w:lineRule="exact"/>
        <w:rPr>
          <w:rFonts w:ascii="Times New Roman" w:cs="Times New Roman" w:eastAsia="Times New Roman" w:hAnsi="Times New Roman"/>
          <w:sz w:val="14"/>
          <w:szCs w:val="14"/>
          <w:color w:val="auto"/>
        </w:rPr>
      </w:pPr>
    </w:p>
    <w:p>
      <w:pPr>
        <w:jc w:val="both"/>
        <w:ind w:left="506" w:hanging="506"/>
        <w:spacing w:after="0" w:line="234" w:lineRule="auto"/>
        <w:tabs>
          <w:tab w:leader="none" w:pos="504"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Setoff.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Notwithstanding any provision of the Agreement and this Confirmation (including without limitation this Section 9(k)) or any other agreement between the parties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contrary, each party waives any and all rights it may have to set off obligations arising under the Agreement and the Transaction against other obligations between the parties, whether arising under any other agreement, applicable law or otherwise.</w:t>
      </w:r>
    </w:p>
    <w:p>
      <w:pPr>
        <w:spacing w:after="0" w:line="102" w:lineRule="exact"/>
        <w:rPr>
          <w:sz w:val="20"/>
          <w:szCs w:val="20"/>
          <w:color w:val="auto"/>
        </w:rPr>
      </w:pPr>
    </w:p>
    <w:p>
      <w:pPr>
        <w:jc w:val="both"/>
        <w:ind w:left="506" w:hanging="506"/>
        <w:spacing w:after="0"/>
        <w:tabs>
          <w:tab w:leader="none" w:pos="501"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Alternative Calculations and Payment on Early Termination and on Certain Extraordinary Events</w:t>
      </w:r>
      <w:r>
        <w:rPr>
          <w:rFonts w:ascii="Times New Roman" w:cs="Times New Roman" w:eastAsia="Times New Roman" w:hAnsi="Times New Roman"/>
          <w:sz w:val="14"/>
          <w:szCs w:val="14"/>
          <w:color w:val="auto"/>
        </w:rPr>
        <w:t>. If (a) an Early Termination Date (whether as a result of an Event of Default or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Termination Event) occurs or is designated with respect to the Transaction or (b) the Transaction is cancelled or terminated upon the occurrence of an Extraordinary Event (except as a result of (i) a Nationalization, Insolvency or Merger Event in which the consideration to be paid to all holders of Shares consists solely of cash, (ii) an Announcement Event, Merger Event or Tender Offer that is within Counterparty’s control, or (iii) an Event of Default in which Counterparty is the Defaulting Party or a Termination Event in which Counterparty is the sole Affected Party other than an Event of Default of the type described in Section 5(a)(iii), (v), (vi), (vii) or (viii) of the Agreement or a Termination Event of the type described in Section 5(b) of the Agreement, in each case that resulted from an event or events outside Counterparty’s control), and if Dealer would owe any amount to Counterparty pursuant to Section 6(d)(ii) of the Agreement or any Cancellation Amount pursuant to Article 12 of the Equity Definitions (any such amount, a “</w:t>
      </w:r>
      <w:r>
        <w:rPr>
          <w:rFonts w:ascii="Times New Roman" w:cs="Times New Roman" w:eastAsia="Times New Roman" w:hAnsi="Times New Roman"/>
          <w:sz w:val="14"/>
          <w:szCs w:val="14"/>
          <w:b w:val="1"/>
          <w:bCs w:val="1"/>
          <w:color w:val="auto"/>
        </w:rPr>
        <w:t>Payment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Obligation</w:t>
      </w:r>
      <w:r>
        <w:rPr>
          <w:rFonts w:ascii="Times New Roman" w:cs="Times New Roman" w:eastAsia="Times New Roman" w:hAnsi="Times New Roman"/>
          <w:sz w:val="14"/>
          <w:szCs w:val="14"/>
          <w:color w:val="auto"/>
        </w:rPr>
        <w:t>”), then Dealer shall satisfy the Payment Obligation by the Share Termination Alternative (as defined below), unless (a) Counterparty gives irrevocable telephonic notice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494"/>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766"/>
          </w:cols>
          <w:pgMar w:left="814" w:top="1270" w:right="3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color w:val="auto"/>
        </w:rPr>
        <w:t>Dealer, confirmed in writing within one Scheduled Trading Day, no later than 5:00 p.m. (New York City time) on the date of the Announcement Event, Merger Date, Tender Offer</w:t>
      </w:r>
    </w:p>
    <w:p>
      <w:pPr>
        <w:spacing w:after="0" w:line="4"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4"/>
          <w:szCs w:val="14"/>
          <w:color w:val="auto"/>
        </w:rPr>
        <w:t>Date, Announcement Date (in the case of a Nationalization, Insolvency or Delisting), Early Termination Date or date of cancellation, as applicable, of its election that the Share Termination Alternative shall not apply, (b) Counterparty remakes the representation set forth in Section 8(f) of this Confirmation as of the date of such election and (c) Dealer agrees, in its commercially reasonable discretion, to such election, in which case the provisions of Section 12.7 or Section 12.9 of the Equity Definitions, or the provisions of Section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6(d)(ii) of the Agreement, as the case may be, shall apply.</w:t>
      </w:r>
    </w:p>
    <w:p>
      <w:pPr>
        <w:spacing w:after="0" w:line="109" w:lineRule="exact"/>
        <w:rPr>
          <w:sz w:val="20"/>
          <w:szCs w:val="20"/>
          <w:color w:val="auto"/>
        </w:rPr>
      </w:pPr>
    </w:p>
    <w:p>
      <w:pPr>
        <w:jc w:val="both"/>
        <w:ind w:left="1940" w:hanging="2545"/>
        <w:spacing w:after="0" w:line="264" w:lineRule="auto"/>
        <w:tabs>
          <w:tab w:leader="none" w:pos="1920" w:val="left"/>
        </w:tabs>
        <w:rPr>
          <w:sz w:val="20"/>
          <w:szCs w:val="20"/>
          <w:color w:val="auto"/>
        </w:rPr>
      </w:pPr>
      <w:r>
        <w:rPr>
          <w:rFonts w:ascii="Times New Roman" w:cs="Times New Roman" w:eastAsia="Times New Roman" w:hAnsi="Times New Roman"/>
          <w:sz w:val="14"/>
          <w:szCs w:val="14"/>
          <w:color w:val="auto"/>
        </w:rPr>
        <w:t>Share Termination Alternative:</w:t>
        <w:tab/>
        <w:t>If applicable, Dealer shall deliver to Counterparty the Share Termination Delivery Property on, or within a commercially reasonable period of time after, the date when the relevant Payment Obligation would otherwise be due pursuant to Section 12.7 or 12.9 of the Equity Definitions or Section 6(d)(ii) and 6(e) of the Agreement, as applicable, in satisfaction of such Payment Obligation in the manner reasonably requested by Counterparty free of payment.</w:t>
      </w:r>
    </w:p>
    <w:p>
      <w:pPr>
        <w:spacing w:after="0" w:line="119" w:lineRule="exact"/>
        <w:rPr>
          <w:sz w:val="20"/>
          <w:szCs w:val="20"/>
          <w:color w:val="auto"/>
        </w:rPr>
      </w:pPr>
    </w:p>
    <w:p>
      <w:pPr>
        <w:jc w:val="both"/>
        <w:ind w:left="2380" w:hanging="2545"/>
        <w:spacing w:after="0" w:line="264" w:lineRule="auto"/>
        <w:tabs>
          <w:tab w:leader="none" w:pos="2360" w:val="left"/>
        </w:tabs>
        <w:rPr>
          <w:sz w:val="20"/>
          <w:szCs w:val="20"/>
          <w:color w:val="auto"/>
        </w:rPr>
      </w:pPr>
      <w:r>
        <w:rPr>
          <w:rFonts w:ascii="Times New Roman" w:cs="Times New Roman" w:eastAsia="Times New Roman" w:hAnsi="Times New Roman"/>
          <w:sz w:val="14"/>
          <w:szCs w:val="14"/>
          <w:color w:val="auto"/>
        </w:rPr>
        <w:t>Share Termination Delivery Property:</w:t>
        <w:tab/>
        <w:t>A number of Share Termination Delivery Units, as calculated by the Calculation Agent, equal to the Payment Obligation divided by the Share Termination Unit Price. The Calculation Agent shall adjust the Share Termination Delivery Property by replacing any fractional portion of a security therein with an amount of cash equal to the value of such fractional security based on the values used to calculate the Share Termination Unit Price.</w:t>
      </w:r>
    </w:p>
    <w:p>
      <w:pPr>
        <w:spacing w:after="0" w:line="109" w:lineRule="exact"/>
        <w:rPr>
          <w:sz w:val="20"/>
          <w:szCs w:val="20"/>
          <w:color w:val="auto"/>
        </w:rPr>
      </w:pPr>
    </w:p>
    <w:p>
      <w:pPr>
        <w:jc w:val="both"/>
        <w:ind w:left="2160" w:hanging="2545"/>
        <w:spacing w:after="0" w:line="261" w:lineRule="auto"/>
        <w:tabs>
          <w:tab w:leader="none" w:pos="2140" w:val="left"/>
        </w:tabs>
        <w:rPr>
          <w:sz w:val="20"/>
          <w:szCs w:val="20"/>
          <w:color w:val="auto"/>
        </w:rPr>
      </w:pPr>
      <w:r>
        <w:rPr>
          <w:rFonts w:ascii="Times New Roman" w:cs="Times New Roman" w:eastAsia="Times New Roman" w:hAnsi="Times New Roman"/>
          <w:sz w:val="14"/>
          <w:szCs w:val="14"/>
          <w:color w:val="auto"/>
        </w:rPr>
        <w:t>Share Termination Delivery Unit:</w:t>
        <w:tab/>
        <w:t>One Share or, if the Shares have changed into cash or any other property or the right to receive cash or any other property as the result of a Nationalization, Insolvency or Merger Event (any such cash or other property, the “</w:t>
      </w:r>
      <w:r>
        <w:rPr>
          <w:rFonts w:ascii="Times New Roman" w:cs="Times New Roman" w:eastAsia="Times New Roman" w:hAnsi="Times New Roman"/>
          <w:sz w:val="14"/>
          <w:szCs w:val="14"/>
          <w:b w:val="1"/>
          <w:bCs w:val="1"/>
          <w:color w:val="auto"/>
        </w:rPr>
        <w:t>Exchange Property</w:t>
      </w:r>
      <w:r>
        <w:rPr>
          <w:rFonts w:ascii="Times New Roman" w:cs="Times New Roman" w:eastAsia="Times New Roman" w:hAnsi="Times New Roman"/>
          <w:sz w:val="14"/>
          <w:szCs w:val="14"/>
          <w:color w:val="auto"/>
        </w:rPr>
        <w:t>”), a unit consisting of the type and amount of such Exchange Property received by a holder of one Share (without consideration of any requirement to pay cash or other consideration in lieu of fractional amounts of any securities) in such Nationalization, Insolvency or Merger Event, as determined by the Calculation Agent.</w:t>
      </w:r>
    </w:p>
    <w:p>
      <w:pPr>
        <w:spacing w:after="0" w:line="111" w:lineRule="exact"/>
        <w:rPr>
          <w:sz w:val="20"/>
          <w:szCs w:val="20"/>
          <w:color w:val="auto"/>
        </w:rPr>
      </w:pPr>
    </w:p>
    <w:p>
      <w:pPr>
        <w:jc w:val="both"/>
        <w:ind w:left="1960" w:hanging="2545"/>
        <w:spacing w:after="0" w:line="264" w:lineRule="auto"/>
        <w:tabs>
          <w:tab w:leader="none" w:pos="1940" w:val="left"/>
        </w:tabs>
        <w:rPr>
          <w:sz w:val="20"/>
          <w:szCs w:val="20"/>
          <w:color w:val="auto"/>
        </w:rPr>
      </w:pPr>
      <w:r>
        <w:rPr>
          <w:rFonts w:ascii="Times New Roman" w:cs="Times New Roman" w:eastAsia="Times New Roman" w:hAnsi="Times New Roman"/>
          <w:sz w:val="14"/>
          <w:szCs w:val="14"/>
          <w:color w:val="auto"/>
        </w:rPr>
        <w:t>Share Termination Unit Price:</w:t>
        <w:tab/>
        <w:t>The value to Dealer of property contained in one Share Termination Delivery Unit, as determined by the Calculation Agent in its discretion by commercially reasonable means and notified by the Calculation Agent to Dealer at the time of notification of the Payment Obligation. For the avoidance of doubt, the parties agree that in determining the Share Termination Delivery Unit Price the Calculation Agent may consider the purchase price paid in connection with the purchase of Share Termination Delivery Property that was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260"/>
          </w:cols>
          <w:pgMar w:left="1320" w:top="1271" w:right="319" w:bottom="1440" w:gutter="0" w:footer="0" w:header="0"/>
        </w:sectPr>
      </w:pPr>
    </w:p>
    <w:bookmarkStart w:id="153" w:name="page154"/>
    <w:bookmarkEnd w:id="153"/>
    <w:p>
      <w:pPr>
        <w:jc w:val="center"/>
        <w:ind w:right="-65"/>
        <w:spacing w:after="0"/>
        <w:rPr>
          <w:sz w:val="20"/>
          <w:szCs w:val="20"/>
          <w:color w:val="auto"/>
        </w:rPr>
      </w:pPr>
      <w:r>
        <w:rPr>
          <w:rFonts w:ascii="Times New Roman" w:cs="Times New Roman" w:eastAsia="Times New Roman" w:hAnsi="Times New Roman"/>
          <w:sz w:val="14"/>
          <w:szCs w:val="14"/>
          <w:color w:val="auto"/>
        </w:rPr>
        <w:t>purchased in connection with the delivery of the Share Termination Delivery Units.</w:t>
      </w:r>
    </w:p>
    <w:p>
      <w:pPr>
        <w:spacing w:after="0" w:line="157" w:lineRule="exact"/>
        <w:rPr>
          <w:sz w:val="20"/>
          <w:szCs w:val="20"/>
          <w:color w:val="auto"/>
        </w:rPr>
      </w:pPr>
    </w:p>
    <w:p>
      <w:pPr>
        <w:ind w:left="506"/>
        <w:spacing w:after="0"/>
        <w:tabs>
          <w:tab w:leader="none" w:pos="1705" w:val="left"/>
        </w:tabs>
        <w:rPr>
          <w:sz w:val="20"/>
          <w:szCs w:val="20"/>
          <w:color w:val="auto"/>
        </w:rPr>
      </w:pPr>
      <w:r>
        <w:rPr>
          <w:rFonts w:ascii="Times New Roman" w:cs="Times New Roman" w:eastAsia="Times New Roman" w:hAnsi="Times New Roman"/>
          <w:sz w:val="14"/>
          <w:szCs w:val="14"/>
          <w:color w:val="auto"/>
        </w:rPr>
        <w:t>Failure to Deliver:</w:t>
        <w:tab/>
        <w:t>Applicable</w:t>
      </w:r>
    </w:p>
    <w:p>
      <w:pPr>
        <w:spacing w:after="0" w:line="147" w:lineRule="exact"/>
        <w:rPr>
          <w:sz w:val="20"/>
          <w:szCs w:val="20"/>
          <w:color w:val="auto"/>
        </w:rPr>
      </w:pPr>
    </w:p>
    <w:p>
      <w:pPr>
        <w:jc w:val="both"/>
        <w:ind w:left="2366" w:hanging="2545"/>
        <w:spacing w:after="0" w:line="261" w:lineRule="auto"/>
        <w:tabs>
          <w:tab w:leader="none" w:pos="2345" w:val="left"/>
        </w:tabs>
        <w:rPr>
          <w:sz w:val="20"/>
          <w:szCs w:val="20"/>
          <w:color w:val="auto"/>
        </w:rPr>
      </w:pPr>
      <w:r>
        <w:rPr>
          <w:rFonts w:ascii="Times New Roman" w:cs="Times New Roman" w:eastAsia="Times New Roman" w:hAnsi="Times New Roman"/>
          <w:sz w:val="14"/>
          <w:szCs w:val="14"/>
          <w:color w:val="auto"/>
        </w:rPr>
        <w:t>Other applicable provisions:</w:t>
      </w:r>
      <w:r>
        <w:rPr>
          <w:sz w:val="20"/>
          <w:szCs w:val="20"/>
          <w:color w:val="auto"/>
        </w:rPr>
        <w:tab/>
      </w:r>
      <w:r>
        <w:rPr>
          <w:rFonts w:ascii="Times New Roman" w:cs="Times New Roman" w:eastAsia="Times New Roman" w:hAnsi="Times New Roman"/>
          <w:sz w:val="14"/>
          <w:szCs w:val="14"/>
          <w:color w:val="auto"/>
        </w:rPr>
        <w:t>If Share Termination Alternative is applicable, the provisions of Sections 9.8, 9.9 and 9.11 (as modified above) of the Equity Definitions and the provisions set forth opposite the caption “Representation and Agreement” in Section 2 of this Confirmation will be applicable, except that all references in such provisions to “Physically-settled” shall be read as references to “Share Termination Settled” and all references to “Shares” shall be read as references to “Share Termination Delivery Units”. “Share Termination Settled” in relation to the Transaction means that Share Termination Alternative is applicable to the Transaction.</w:t>
      </w:r>
    </w:p>
    <w:p>
      <w:pPr>
        <w:spacing w:after="0" w:line="99" w:lineRule="exact"/>
        <w:rPr>
          <w:sz w:val="20"/>
          <w:szCs w:val="20"/>
          <w:color w:val="auto"/>
        </w:rPr>
      </w:pPr>
    </w:p>
    <w:p>
      <w:pPr>
        <w:jc w:val="both"/>
        <w:ind w:left="506" w:hanging="506"/>
        <w:spacing w:after="0" w:line="227" w:lineRule="auto"/>
        <w:tabs>
          <w:tab w:leader="none" w:pos="501"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Waiver of Jury Trial</w:t>
      </w:r>
      <w:r>
        <w:rPr>
          <w:rFonts w:ascii="Times New Roman" w:cs="Times New Roman" w:eastAsia="Times New Roman" w:hAnsi="Times New Roman"/>
          <w:sz w:val="14"/>
          <w:szCs w:val="14"/>
          <w:color w:val="auto"/>
        </w:rPr>
        <w:t>. Each party waives, to the fullest extent permitted by applicable law, any right it may have to a trial by jury in respect of any suit, action or proceeding relating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the Transaction. Each party (i) certifies that no representative, agent or attorney of either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101" w:lineRule="exact"/>
        <w:rPr>
          <w:rFonts w:ascii="Times New Roman" w:cs="Times New Roman" w:eastAsia="Times New Roman" w:hAnsi="Times New Roman"/>
          <w:sz w:val="14"/>
          <w:szCs w:val="14"/>
          <w:color w:val="auto"/>
        </w:rPr>
      </w:pPr>
    </w:p>
    <w:p>
      <w:pPr>
        <w:jc w:val="both"/>
        <w:ind w:left="506" w:hanging="506"/>
        <w:spacing w:after="0" w:line="216" w:lineRule="auto"/>
        <w:tabs>
          <w:tab w:leader="none" w:pos="498"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Registration.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Counterparty hereby agrees that if, in the good faith reasonable judgment of Dealer, based on the advice of counsel, the Shares acquired and held by Dealer for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purpose of effecting a commercially reasonable hedge of its obligations pursuant to the Transaction (“</w:t>
      </w:r>
      <w:r>
        <w:rPr>
          <w:rFonts w:ascii="Times New Roman" w:cs="Times New Roman" w:eastAsia="Times New Roman" w:hAnsi="Times New Roman"/>
          <w:sz w:val="14"/>
          <w:szCs w:val="14"/>
          <w:b w:val="1"/>
          <w:bCs w:val="1"/>
          <w:color w:val="auto"/>
        </w:rPr>
        <w:t>Hedge Shares</w:t>
      </w:r>
      <w:r>
        <w:rPr>
          <w:rFonts w:ascii="Times New Roman" w:cs="Times New Roman" w:eastAsia="Times New Roman" w:hAnsi="Times New Roman"/>
          <w:sz w:val="14"/>
          <w:szCs w:val="14"/>
          <w:color w:val="auto"/>
        </w:rPr>
        <w:t>”) cannot be sold in the public market by Dealer without registration under the Securities Act (other than any such Hedge Shares that were, at the time of acquisition by Dealer, “restricted securities” (as defined in Rule 144 under the Securities Act)), Counterparty shall, at its election, either (i) in order to allow Dealer to sell the Hedge Shares in a registered offering, make available to Dealer an effective registration statement under the Securities Act and enter into an agreement, in form and substance reasonably satisfactory to Dealer, substantially in the form of an underwriting agreement for a registered secondary offering of substantially similar size and in a similar industry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if Dealer, in its sole reasonable discretion, is not satisfied with access to due diligence materials, the results of its due diligence investigation, or the procedures and documentation for the registered offering referred to above, then clause (ii) or clause (iii) of this paragraph shall apply at the election of Counterparty), (ii) in order to allow Dealer to sell the Hedge Shares in a private placement, enter into a private placement agreement substantially similar to private placement purchase agreements customary for private placements of equity securities of similar size and industry, in form and substance reasonably satisfactory to Dealer (in which case, the Calculation Agent shall make any adjustments to the terms of the Transaction that are necessary, in its reasonable judgment, to compensate Dealer for any commercially reasonable discount from the public market price of the Shares incurred on the sale of Hedge Shares in a private placement) or (iii) purchase the Hedge Shares from Dealer at the then-current market price on such Exchange Business Days, and in the amounts and at such time(s), requested by Dealer.</w:t>
      </w:r>
    </w:p>
    <w:p>
      <w:pPr>
        <w:spacing w:after="0" w:line="96" w:lineRule="exact"/>
        <w:rPr>
          <w:rFonts w:ascii="Times New Roman" w:cs="Times New Roman" w:eastAsia="Times New Roman" w:hAnsi="Times New Roman"/>
          <w:sz w:val="14"/>
          <w:szCs w:val="14"/>
          <w:color w:val="auto"/>
        </w:rPr>
      </w:pPr>
    </w:p>
    <w:p>
      <w:pPr>
        <w:jc w:val="both"/>
        <w:ind w:left="506" w:hanging="506"/>
        <w:spacing w:after="0" w:line="234" w:lineRule="auto"/>
        <w:tabs>
          <w:tab w:leader="none" w:pos="501"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Tax Disclosure</w:t>
      </w:r>
      <w:r>
        <w:rPr>
          <w:rFonts w:ascii="Times New Roman" w:cs="Times New Roman" w:eastAsia="Times New Roman" w:hAnsi="Times New Roman"/>
          <w:sz w:val="14"/>
          <w:szCs w:val="14"/>
          <w:color w:val="auto"/>
        </w:rPr>
        <w:t>. Effective from the date of commencement of discussions concerning the Transaction, Counterparty and each of its employees, representatives, or other agents may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102" w:lineRule="exact"/>
        <w:rPr>
          <w:rFonts w:ascii="Times New Roman" w:cs="Times New Roman" w:eastAsia="Times New Roman" w:hAnsi="Times New Roman"/>
          <w:sz w:val="14"/>
          <w:szCs w:val="14"/>
          <w:color w:val="auto"/>
        </w:rPr>
      </w:pPr>
    </w:p>
    <w:p>
      <w:pPr>
        <w:ind w:left="506" w:hanging="506"/>
        <w:spacing w:after="0" w:line="242" w:lineRule="auto"/>
        <w:tabs>
          <w:tab w:leader="none" w:pos="501"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Right to Extend</w:t>
      </w:r>
      <w:r>
        <w:rPr>
          <w:rFonts w:ascii="Times New Roman" w:cs="Times New Roman" w:eastAsia="Times New Roman" w:hAnsi="Times New Roman"/>
          <w:sz w:val="14"/>
          <w:szCs w:val="14"/>
          <w:color w:val="auto"/>
        </w:rPr>
        <w:t>. Dealer may postpone or add, in whole or in part, any Valid Day or Valid Days during the Settlement Averaging Period or any other date of valuation, payment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delivery by Dealer, with respect to some or all of the Options hereunder, to the extent Dealer reasonably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94"/>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0766"/>
          </w:cols>
          <w:pgMar w:left="814" w:top="1281" w:right="319" w:bottom="1440" w:gutter="0" w:footer="0" w:header="0"/>
        </w:sectPr>
      </w:pPr>
    </w:p>
    <w:bookmarkStart w:id="154" w:name="page155"/>
    <w:bookmarkEnd w:id="154"/>
    <w:p>
      <w:pPr>
        <w:ind w:left="506"/>
        <w:spacing w:after="0"/>
        <w:rPr>
          <w:sz w:val="20"/>
          <w:szCs w:val="20"/>
          <w:color w:val="auto"/>
        </w:rPr>
      </w:pPr>
      <w:r>
        <w:rPr>
          <w:rFonts w:ascii="Times New Roman" w:cs="Times New Roman" w:eastAsia="Times New Roman" w:hAnsi="Times New Roman"/>
          <w:sz w:val="14"/>
          <w:szCs w:val="14"/>
          <w:color w:val="auto"/>
        </w:rPr>
        <w:t>determines (and in the case of clause (ii) below, based on the advice of counsel), that such action is reasonably necessary or appropriate (i) to preserve Dealer’s commercially</w:t>
      </w:r>
    </w:p>
    <w:p>
      <w:pPr>
        <w:spacing w:after="0" w:line="4" w:lineRule="exact"/>
        <w:rPr>
          <w:sz w:val="20"/>
          <w:szCs w:val="20"/>
          <w:color w:val="auto"/>
        </w:rPr>
      </w:pPr>
    </w:p>
    <w:p>
      <w:pPr>
        <w:jc w:val="both"/>
        <w:ind w:left="506"/>
        <w:spacing w:after="0" w:line="210" w:lineRule="auto"/>
        <w:rPr>
          <w:sz w:val="20"/>
          <w:szCs w:val="20"/>
          <w:color w:val="auto"/>
        </w:rPr>
      </w:pPr>
      <w:r>
        <w:rPr>
          <w:rFonts w:ascii="Times New Roman" w:cs="Times New Roman" w:eastAsia="Times New Roman" w:hAnsi="Times New Roman"/>
          <w:sz w:val="14"/>
          <w:szCs w:val="14"/>
          <w:color w:val="auto"/>
        </w:rPr>
        <w:t>reasonable hedging or hedge unwind activity hereunder in light of existing liquidity conditions (but only if there is a material decrease in liquidity relative to Dealer’s expectations on the Trade Date) or (ii) to enable Dealer to effect purchases of Shares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w:t>
      </w:r>
    </w:p>
    <w:p>
      <w:pPr>
        <w:spacing w:after="0" w:line="2" w:lineRule="exact"/>
        <w:rPr>
          <w:sz w:val="20"/>
          <w:szCs w:val="20"/>
          <w:color w:val="auto"/>
        </w:rPr>
      </w:pPr>
    </w:p>
    <w:p>
      <w:pPr>
        <w:jc w:val="both"/>
        <w:ind w:left="506"/>
        <w:spacing w:after="0" w:line="220" w:lineRule="auto"/>
        <w:rPr>
          <w:sz w:val="20"/>
          <w:szCs w:val="20"/>
          <w:color w:val="auto"/>
        </w:rPr>
      </w:pPr>
      <w:r>
        <w:rPr>
          <w:rFonts w:ascii="Times New Roman" w:cs="Times New Roman" w:eastAsia="Times New Roman" w:hAnsi="Times New Roman"/>
          <w:sz w:val="14"/>
          <w:szCs w:val="14"/>
          <w:color w:val="auto"/>
        </w:rPr>
        <w:t xml:space="preserve">with related policies and procedures applicable to Dealer (so long as such policies or procedures are consistently applied to transactions similar to the Transaction);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 such Valid Day or other date of valuation, payment or delivery may be postponed or added more than 20 Valid Days after the original Valid Day or other date of valuation, payment or delivery, as the case may be.</w:t>
      </w:r>
    </w:p>
    <w:p>
      <w:pPr>
        <w:spacing w:after="0" w:line="102" w:lineRule="exact"/>
        <w:rPr>
          <w:sz w:val="20"/>
          <w:szCs w:val="20"/>
          <w:color w:val="auto"/>
        </w:rPr>
      </w:pPr>
    </w:p>
    <w:p>
      <w:pPr>
        <w:jc w:val="both"/>
        <w:ind w:left="506" w:hanging="506"/>
        <w:spacing w:after="0" w:line="227" w:lineRule="auto"/>
        <w:tabs>
          <w:tab w:leader="none" w:pos="501"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Status of Claims in Bankruptcy</w:t>
      </w:r>
      <w:r>
        <w:rPr>
          <w:rFonts w:ascii="Times New Roman" w:cs="Times New Roman" w:eastAsia="Times New Roman" w:hAnsi="Times New Roman"/>
          <w:sz w:val="14"/>
          <w:szCs w:val="14"/>
          <w:color w:val="auto"/>
        </w:rPr>
        <w:t>. Dealer acknowledges and agrees that this Confirmation is not intended to convey to Dealer rights against Counterparty with respect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Transaction that are senior to the claims of common stockholders of Counterparty in any United States bankruptcy proceedings of Counterparty;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nothing herein shall limit or shall be deemed to limit Dealer’s right to pursue remedies in the event of a breach by Counterparty of its obligations and agreements with respect to the Transaction; </w:t>
      </w:r>
      <w:r>
        <w:rPr>
          <w:rFonts w:ascii="Times New Roman" w:cs="Times New Roman" w:eastAsia="Times New Roman" w:hAnsi="Times New Roman"/>
          <w:sz w:val="14"/>
          <w:szCs w:val="14"/>
          <w:i w:val="1"/>
          <w:iCs w:val="1"/>
          <w:color w:val="auto"/>
        </w:rPr>
        <w:t xml:space="preserve">provided further </w:t>
      </w:r>
      <w:r>
        <w:rPr>
          <w:rFonts w:ascii="Times New Roman" w:cs="Times New Roman" w:eastAsia="Times New Roman" w:hAnsi="Times New Roman"/>
          <w:sz w:val="14"/>
          <w:szCs w:val="14"/>
          <w:color w:val="auto"/>
        </w:rPr>
        <w:t>that nothing herein shall limit or shall be deemed to limit Dealer’s rights in respect of any transactions other than the Transaction.</w:t>
      </w:r>
    </w:p>
    <w:p>
      <w:pPr>
        <w:spacing w:after="0" w:line="101" w:lineRule="exact"/>
        <w:rPr>
          <w:rFonts w:ascii="Times New Roman" w:cs="Times New Roman" w:eastAsia="Times New Roman" w:hAnsi="Times New Roman"/>
          <w:sz w:val="14"/>
          <w:szCs w:val="14"/>
          <w:color w:val="auto"/>
        </w:rPr>
      </w:pPr>
    </w:p>
    <w:p>
      <w:pPr>
        <w:jc w:val="both"/>
        <w:ind w:left="506" w:hanging="506"/>
        <w:spacing w:after="0" w:line="223" w:lineRule="auto"/>
        <w:tabs>
          <w:tab w:leader="none" w:pos="501"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Securities Contract; Swap Agreement</w:t>
      </w:r>
      <w:r>
        <w:rPr>
          <w:rFonts w:ascii="Times New Roman" w:cs="Times New Roman" w:eastAsia="Times New Roman" w:hAnsi="Times New Roman"/>
          <w:sz w:val="14"/>
          <w:szCs w:val="14"/>
          <w:color w:val="auto"/>
        </w:rPr>
        <w:t>. The parties hereto intend for (i) the Transaction to be a “securities contract” and a “swap agreement” as defined in the Bankruptcy Code,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parties hereto to be entitled to the protections afforded by, among other Sections, Sections 362(b)(6), 362(b)(17), 546(e), 546(g), 555 and 560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spacing w:after="0" w:line="100" w:lineRule="exact"/>
        <w:rPr>
          <w:rFonts w:ascii="Times New Roman" w:cs="Times New Roman" w:eastAsia="Times New Roman" w:hAnsi="Times New Roman"/>
          <w:sz w:val="14"/>
          <w:szCs w:val="14"/>
          <w:color w:val="auto"/>
        </w:rPr>
      </w:pPr>
    </w:p>
    <w:p>
      <w:pPr>
        <w:ind w:left="506" w:hanging="506"/>
        <w:spacing w:after="0"/>
        <w:tabs>
          <w:tab w:leader="none" w:pos="50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Notice of Certain Other Events</w:t>
      </w:r>
      <w:r>
        <w:rPr>
          <w:rFonts w:ascii="Times New Roman" w:cs="Times New Roman" w:eastAsia="Times New Roman" w:hAnsi="Times New Roman"/>
          <w:sz w:val="14"/>
          <w:szCs w:val="14"/>
          <w:color w:val="auto"/>
        </w:rPr>
        <w:t>. Counterparty covenants and agrees that:</w:t>
      </w:r>
    </w:p>
    <w:p>
      <w:pPr>
        <w:spacing w:after="0" w:line="116" w:lineRule="exact"/>
        <w:rPr>
          <w:rFonts w:ascii="Times New Roman" w:cs="Times New Roman" w:eastAsia="Times New Roman" w:hAnsi="Times New Roman"/>
          <w:sz w:val="14"/>
          <w:szCs w:val="14"/>
          <w:color w:val="auto"/>
        </w:rPr>
      </w:pPr>
    </w:p>
    <w:p>
      <w:pPr>
        <w:jc w:val="both"/>
        <w:ind w:left="1026" w:hanging="517"/>
        <w:spacing w:after="0" w:line="226" w:lineRule="auto"/>
        <w:tabs>
          <w:tab w:leader="none" w:pos="1021"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following the public announcement of the results of any election by the holders of Shares with respect to the consideration due upon consummation of any Merger Event, Counterparty shall give Dealer written notice of the types and amounts of consideration actually received by holders of Shares pursuant to such Merger Event (the date of such notification, the “</w:t>
      </w:r>
      <w:r>
        <w:rPr>
          <w:rFonts w:ascii="Times New Roman" w:cs="Times New Roman" w:eastAsia="Times New Roman" w:hAnsi="Times New Roman"/>
          <w:sz w:val="14"/>
          <w:szCs w:val="14"/>
          <w:b w:val="1"/>
          <w:bCs w:val="1"/>
          <w:color w:val="auto"/>
        </w:rPr>
        <w:t>Consideration Notification Date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no event shall the Consideration Notification Date be later than the date on which such Merger Event is consummated; and</w:t>
      </w:r>
    </w:p>
    <w:p>
      <w:pPr>
        <w:spacing w:after="0" w:line="104" w:lineRule="exact"/>
        <w:rPr>
          <w:rFonts w:ascii="Times New Roman" w:cs="Times New Roman" w:eastAsia="Times New Roman" w:hAnsi="Times New Roman"/>
          <w:sz w:val="14"/>
          <w:szCs w:val="14"/>
          <w:color w:val="auto"/>
        </w:rPr>
      </w:pPr>
    </w:p>
    <w:p>
      <w:pPr>
        <w:jc w:val="both"/>
        <w:ind w:left="1026" w:hanging="517"/>
        <w:spacing w:after="0" w:line="233" w:lineRule="auto"/>
        <w:tabs>
          <w:tab w:leader="none" w:pos="1018"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Counterparty shall give Dealer commercially reasonable advance (but in no event less than one Exchange Business Day) written notice of the section or sections of the Indenture and, if applicable, the formula therein, pursuant to which any adjustment will be made to the Convertible Notes in connection with any Potential Adjustment Event, Merger Event or Tender Offer and (B) promptly following any such adjustment, Counterparty shall give Dealer written notice of the details of such adjustment.</w:t>
      </w:r>
    </w:p>
    <w:p>
      <w:pPr>
        <w:spacing w:after="0" w:line="91" w:lineRule="exact"/>
        <w:rPr>
          <w:rFonts w:ascii="Times New Roman" w:cs="Times New Roman" w:eastAsia="Times New Roman" w:hAnsi="Times New Roman"/>
          <w:sz w:val="14"/>
          <w:szCs w:val="14"/>
          <w:color w:val="auto"/>
        </w:rPr>
      </w:pPr>
    </w:p>
    <w:p>
      <w:pPr>
        <w:jc w:val="both"/>
        <w:ind w:left="506" w:hanging="506"/>
        <w:spacing w:after="0"/>
        <w:tabs>
          <w:tab w:leader="none" w:pos="49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Wall Street Transparency and Accountability Act</w:t>
      </w:r>
      <w:r>
        <w:rPr>
          <w:rFonts w:ascii="Times New Roman" w:cs="Times New Roman" w:eastAsia="Times New Roman" w:hAnsi="Times New Roman"/>
          <w:sz w:val="14"/>
          <w:szCs w:val="14"/>
          <w:color w:val="auto"/>
        </w:rPr>
        <w:t>. In connection with Section 739 of the Wall Street Transparency and Accountability Act of 2010 (“</w:t>
      </w:r>
      <w:r>
        <w:rPr>
          <w:rFonts w:ascii="Times New Roman" w:cs="Times New Roman" w:eastAsia="Times New Roman" w:hAnsi="Times New Roman"/>
          <w:sz w:val="14"/>
          <w:szCs w:val="14"/>
          <w:b w:val="1"/>
          <w:bCs w:val="1"/>
          <w:color w:val="auto"/>
        </w:rPr>
        <w:t>WSTAA</w:t>
      </w:r>
      <w:r>
        <w:rPr>
          <w:rFonts w:ascii="Times New Roman" w:cs="Times New Roman" w:eastAsia="Times New Roman" w:hAnsi="Times New Roman"/>
          <w:sz w:val="14"/>
          <w:szCs w:val="14"/>
          <w:color w:val="auto"/>
        </w:rPr>
        <w:t>”), the parties hereby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agree 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an Excess Ownership Position, or Illegality (as defined in the Agreement)).</w:t>
      </w:r>
    </w:p>
    <w:p>
      <w:pPr>
        <w:spacing w:after="0" w:line="192" w:lineRule="exact"/>
        <w:rPr>
          <w:rFonts w:ascii="Times New Roman" w:cs="Times New Roman" w:eastAsia="Times New Roman" w:hAnsi="Times New Roman"/>
          <w:sz w:val="14"/>
          <w:szCs w:val="14"/>
          <w:color w:val="auto"/>
        </w:rPr>
      </w:pPr>
    </w:p>
    <w:p>
      <w:pPr>
        <w:jc w:val="both"/>
        <w:ind w:left="506" w:hanging="506"/>
        <w:spacing w:after="0" w:line="229" w:lineRule="auto"/>
        <w:tabs>
          <w:tab w:leader="none" w:pos="501"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Agreements and Acknowledgements Regarding Hedging</w:t>
      </w:r>
      <w:r>
        <w:rPr>
          <w:rFonts w:ascii="Times New Roman" w:cs="Times New Roman" w:eastAsia="Times New Roman" w:hAnsi="Times New Roman"/>
          <w:sz w:val="14"/>
          <w:szCs w:val="14"/>
          <w:color w:val="auto"/>
        </w:rPr>
        <w:t>. Counterparty understands, acknowledges and agrees that: (A) at any time on and prior to the Expiration Date, Dealer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its Affiliates may buy or sell Shares or other securities or buy or sell options or futures contracts or enter into swaps or other derivative securities in order to adjust its hedge position with respect to the Transaction;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494"/>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0766"/>
          </w:cols>
          <w:pgMar w:left="814" w:top="1271" w:right="319" w:bottom="1440" w:gutter="0" w:footer="0" w:header="0"/>
        </w:sectPr>
      </w:pPr>
    </w:p>
    <w:bookmarkStart w:id="155" w:name="page156"/>
    <w:bookmarkEnd w:id="155"/>
    <w:p>
      <w:pPr>
        <w:jc w:val="both"/>
        <w:ind w:left="1020"/>
        <w:spacing w:after="0" w:line="226" w:lineRule="auto"/>
        <w:rPr>
          <w:sz w:val="20"/>
          <w:szCs w:val="20"/>
          <w:color w:val="auto"/>
        </w:rPr>
      </w:pPr>
      <w:r>
        <w:rPr>
          <w:rFonts w:ascii="Times New Roman" w:cs="Times New Roman" w:eastAsia="Times New Roman" w:hAnsi="Times New Roman"/>
          <w:sz w:val="14"/>
          <w:szCs w:val="14"/>
          <w:color w:val="auto"/>
        </w:rPr>
        <w:t>(B)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Relevant Prices; and (D) any market activities of Dealer and its Affiliates with respect to Shares may affect the market price and volatility of Shares, as well as the Relevant Prices, each in a manner that may be adverse to Counterparty.</w:t>
      </w:r>
    </w:p>
    <w:p>
      <w:pPr>
        <w:spacing w:after="0" w:line="101" w:lineRule="exact"/>
        <w:rPr>
          <w:sz w:val="20"/>
          <w:szCs w:val="20"/>
          <w:color w:val="auto"/>
        </w:rPr>
      </w:pPr>
    </w:p>
    <w:p>
      <w:pPr>
        <w:jc w:val="both"/>
        <w:ind w:left="1020" w:hanging="506"/>
        <w:spacing w:after="0" w:line="211" w:lineRule="auto"/>
        <w:tabs>
          <w:tab w:leader="none" w:pos="1015"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Early Unwind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the event the sale of the [“Firm Securities”]</w:t>
      </w:r>
      <w:r>
        <w:rPr>
          <w:rFonts w:ascii="Times New Roman" w:cs="Times New Roman" w:eastAsia="Times New Roman" w:hAnsi="Times New Roman"/>
          <w:sz w:val="18"/>
          <w:szCs w:val="18"/>
          <w:color w:val="auto"/>
          <w:vertAlign w:val="superscript"/>
        </w:rPr>
        <w:t>28</w:t>
      </w:r>
      <w:r>
        <w:rPr>
          <w:rFonts w:ascii="Times New Roman" w:cs="Times New Roman" w:eastAsia="Times New Roman" w:hAnsi="Times New Roman"/>
          <w:sz w:val="14"/>
          <w:szCs w:val="14"/>
          <w:color w:val="auto"/>
        </w:rPr>
        <w:t>[“Optional Securities”]</w:t>
      </w:r>
      <w:r>
        <w:rPr>
          <w:rFonts w:ascii="Times New Roman" w:cs="Times New Roman" w:eastAsia="Times New Roman" w:hAnsi="Times New Roman"/>
          <w:sz w:val="18"/>
          <w:szCs w:val="18"/>
          <w:color w:val="auto"/>
          <w:vertAlign w:val="superscript"/>
        </w:rPr>
        <w:t>29</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 defined in the Purchase Agreement (the “</w:t>
      </w:r>
      <w:r>
        <w:rPr>
          <w:rFonts w:ascii="Times New Roman" w:cs="Times New Roman" w:eastAsia="Times New Roman" w:hAnsi="Times New Roman"/>
          <w:sz w:val="14"/>
          <w:szCs w:val="14"/>
          <w:b w:val="1"/>
          <w:bCs w:val="1"/>
          <w:color w:val="auto"/>
        </w:rPr>
        <w:t>Purchase Agreement</w:t>
      </w:r>
      <w:r>
        <w:rPr>
          <w:rFonts w:ascii="Times New Roman" w:cs="Times New Roman" w:eastAsia="Times New Roman" w:hAnsi="Times New Roman"/>
          <w:sz w:val="14"/>
          <w:szCs w:val="14"/>
          <w:color w:val="auto"/>
        </w:rPr>
        <w:t>”) dated as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[________], 2026, between Counterparty and Goldman Sachs &amp; Co. LLC and J.P. Morgan Securities LLC, as representatives of the Purchasers party thereto (the “</w:t>
      </w:r>
      <w:r>
        <w:rPr>
          <w:rFonts w:ascii="Times New Roman" w:cs="Times New Roman" w:eastAsia="Times New Roman" w:hAnsi="Times New Roman"/>
          <w:sz w:val="14"/>
          <w:szCs w:val="14"/>
          <w:b w:val="1"/>
          <w:bCs w:val="1"/>
          <w:color w:val="auto"/>
        </w:rPr>
        <w:t>Initial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Purchasers</w:t>
      </w:r>
      <w:r>
        <w:rPr>
          <w:rFonts w:ascii="Times New Roman" w:cs="Times New Roman" w:eastAsia="Times New Roman" w:hAnsi="Times New Roman"/>
          <w:sz w:val="14"/>
          <w:szCs w:val="14"/>
          <w:color w:val="auto"/>
        </w:rPr>
        <w:t>”)) is not consummated with the Initial Purchasers for any reason by 5:00 p.m. (New York City time) on the Premium Payment Date, or such later date as agreed upon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parties (the Premium Payment Date or such later date, the “</w:t>
      </w:r>
      <w:r>
        <w:rPr>
          <w:rFonts w:ascii="Times New Roman" w:cs="Times New Roman" w:eastAsia="Times New Roman" w:hAnsi="Times New Roman"/>
          <w:sz w:val="14"/>
          <w:szCs w:val="14"/>
          <w:b w:val="1"/>
          <w:bCs w:val="1"/>
          <w:color w:val="auto"/>
        </w:rPr>
        <w:t>Early Unwind Date</w:t>
      </w:r>
      <w:r>
        <w:rPr>
          <w:rFonts w:ascii="Times New Roman" w:cs="Times New Roman" w:eastAsia="Times New Roman" w:hAnsi="Times New Roman"/>
          <w:sz w:val="14"/>
          <w:szCs w:val="14"/>
          <w:color w:val="auto"/>
        </w:rPr>
        <w:t>”), the Transaction shall automatically terminate (the “</w:t>
      </w:r>
      <w:r>
        <w:rPr>
          <w:rFonts w:ascii="Times New Roman" w:cs="Times New Roman" w:eastAsia="Times New Roman" w:hAnsi="Times New Roman"/>
          <w:sz w:val="14"/>
          <w:szCs w:val="14"/>
          <w:b w:val="1"/>
          <w:bCs w:val="1"/>
          <w:color w:val="auto"/>
        </w:rPr>
        <w:t>Early Unwind</w:t>
      </w:r>
      <w:r>
        <w:rPr>
          <w:rFonts w:ascii="Times New Roman" w:cs="Times New Roman" w:eastAsia="Times New Roman" w:hAnsi="Times New Roman"/>
          <w:sz w:val="14"/>
          <w:szCs w:val="14"/>
          <w:color w:val="auto"/>
        </w:rPr>
        <w:t>”) on the Early Unwind Date and (i) the Transaction and all of the respective rights and obligations of Dealer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and Counterparty represents and acknowledges to the other that upon an Early Unwind, all obligations with respect to the Transaction shall be deemed fully and finally discharged.</w:t>
      </w:r>
    </w:p>
    <w:p>
      <w:pPr>
        <w:spacing w:after="0" w:line="101"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Tax Matters</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jc w:val="both"/>
        <w:ind w:left="1020" w:firstLine="3"/>
        <w:spacing w:after="0" w:line="259" w:lineRule="auto"/>
        <w:tabs>
          <w:tab w:leader="none" w:pos="1524"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 </w:t>
      </w:r>
      <w:r>
        <w:rPr>
          <w:rFonts w:ascii="Times New Roman" w:cs="Times New Roman" w:eastAsia="Times New Roman" w:hAnsi="Times New Roman"/>
          <w:sz w:val="14"/>
          <w:szCs w:val="14"/>
          <w:i w:val="1"/>
          <w:iCs w:val="1"/>
          <w:color w:val="auto"/>
        </w:rPr>
        <w:t>Withholding Tax imposed on payments to non-U.S. counterparties under the United States Foreign Account Tax Compliance provisions of the HIRE Act</w:t>
      </w:r>
      <w:r>
        <w:rPr>
          <w:rFonts w:ascii="Times New Roman" w:cs="Times New Roman" w:eastAsia="Times New Roman" w:hAnsi="Times New Roman"/>
          <w:sz w:val="14"/>
          <w:szCs w:val="14"/>
          <w:color w:val="auto"/>
        </w:rPr>
        <w:t>. The parties hereto agree that for the Transaction the term “Indemnifiable Tax” as defined in Section 14 of the Agreement, shall not include (i) any Tax imposed pursuant to Sections 1471 through 1474 of the Code, as amended,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Times New Roman" w:cs="Times New Roman" w:eastAsia="Times New Roman" w:hAnsi="Times New Roman"/>
          <w:sz w:val="14"/>
          <w:szCs w:val="14"/>
          <w:b w:val="1"/>
          <w:bCs w:val="1"/>
          <w:color w:val="auto"/>
        </w:rPr>
        <w:t>FATCA Withholding Tax</w:t>
      </w:r>
      <w:r>
        <w:rPr>
          <w:rFonts w:ascii="Times New Roman" w:cs="Times New Roman" w:eastAsia="Times New Roman" w:hAnsi="Times New Roman"/>
          <w:sz w:val="14"/>
          <w:szCs w:val="14"/>
          <w:color w:val="auto"/>
        </w:rPr>
        <w:t>”) or (ii) any Tax imposed on amounts treated as dividends from sources within the United States under Section 871(m) of the Code (or any Treasury regulations or other guidance issued thereunder) (a “</w:t>
      </w:r>
      <w:r>
        <w:rPr>
          <w:rFonts w:ascii="Times New Roman" w:cs="Times New Roman" w:eastAsia="Times New Roman" w:hAnsi="Times New Roman"/>
          <w:sz w:val="14"/>
          <w:szCs w:val="14"/>
          <w:b w:val="1"/>
          <w:bCs w:val="1"/>
          <w:color w:val="auto"/>
        </w:rPr>
        <w:t>Section 871(m) Tax</w:t>
      </w:r>
      <w:r>
        <w:rPr>
          <w:rFonts w:ascii="Times New Roman" w:cs="Times New Roman" w:eastAsia="Times New Roman" w:hAnsi="Times New Roman"/>
          <w:sz w:val="14"/>
          <w:szCs w:val="14"/>
          <w:color w:val="auto"/>
        </w:rPr>
        <w:t>”). For the avoidance of doubt, a FATCA Withholding Tax and a Section 871(m) Tax are each a Tax the deduction or withholding of which is required by applicable law for the purposes of Section 2(d)(i) of the Agreement.</w:t>
      </w:r>
    </w:p>
    <w:p>
      <w:pPr>
        <w:spacing w:after="0" w:line="110" w:lineRule="exact"/>
        <w:rPr>
          <w:rFonts w:ascii="Times New Roman" w:cs="Times New Roman" w:eastAsia="Times New Roman" w:hAnsi="Times New Roman"/>
          <w:sz w:val="14"/>
          <w:szCs w:val="14"/>
          <w:color w:val="auto"/>
        </w:rPr>
      </w:pPr>
    </w:p>
    <w:p>
      <w:pPr>
        <w:jc w:val="both"/>
        <w:ind w:left="1020" w:firstLine="3"/>
        <w:spacing w:after="0" w:line="244" w:lineRule="auto"/>
        <w:tabs>
          <w:tab w:leader="none" w:pos="1524"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(ii) </w:t>
      </w:r>
      <w:r>
        <w:rPr>
          <w:rFonts w:ascii="Times New Roman" w:cs="Times New Roman" w:eastAsia="Times New Roman" w:hAnsi="Times New Roman"/>
          <w:sz w:val="14"/>
          <w:szCs w:val="14"/>
          <w:i w:val="1"/>
          <w:iCs w:val="1"/>
          <w:color w:val="auto"/>
        </w:rPr>
        <w:t>Tax Documentation</w:t>
      </w:r>
      <w:r>
        <w:rPr>
          <w:rFonts w:ascii="Times New Roman" w:cs="Times New Roman" w:eastAsia="Times New Roman" w:hAnsi="Times New Roman"/>
          <w:sz w:val="14"/>
          <w:szCs w:val="14"/>
          <w:color w:val="auto"/>
        </w:rPr>
        <w:t>. For purposes of Section 4(a)(i) and (ii) of the Agreement, (i) Counterparty agrees to deliver to Dealer one duly executed and completed United States Internal Revenue Service Form W-9 (or successor thereto) and (ii) Dealer agrees to deliver to Counterparty [one duly executed and completed applicable Internal Revenue Service Form W-9 (or successor thereto)]</w:t>
      </w:r>
      <w:r>
        <w:rPr>
          <w:rFonts w:ascii="Times New Roman" w:cs="Times New Roman" w:eastAsia="Times New Roman" w:hAnsi="Times New Roman"/>
          <w:sz w:val="18"/>
          <w:szCs w:val="18"/>
          <w:color w:val="auto"/>
          <w:vertAlign w:val="superscript"/>
        </w:rPr>
        <w:t>30</w:t>
      </w:r>
      <w:r>
        <w:rPr>
          <w:rFonts w:ascii="Times New Roman" w:cs="Times New Roman" w:eastAsia="Times New Roman" w:hAnsi="Times New Roman"/>
          <w:sz w:val="14"/>
          <w:szCs w:val="14"/>
          <w:color w:val="auto"/>
        </w:rPr>
        <w:t>, in each case, (A) on or before the date of execution of this Confirmation, (B) promptly upon learning that any such tax form previously provided by it has become obsolete or incorrect and (C) promptly upon reasonable request of the other party. Additionally, each party shall, promptly upon request by the other party, provide such other tax forms and documents reasonably requested by the other party.</w:t>
      </w:r>
    </w:p>
    <w:p>
      <w:pPr>
        <w:spacing w:after="0" w:line="121" w:lineRule="exact"/>
        <w:rPr>
          <w:rFonts w:ascii="Times New Roman" w:cs="Times New Roman" w:eastAsia="Times New Roman" w:hAnsi="Times New Roman"/>
          <w:sz w:val="14"/>
          <w:szCs w:val="14"/>
          <w:color w:val="auto"/>
        </w:rPr>
      </w:pPr>
    </w:p>
    <w:p>
      <w:pPr>
        <w:jc w:val="both"/>
        <w:ind w:left="1020" w:firstLine="3"/>
        <w:spacing w:after="0" w:line="271" w:lineRule="auto"/>
        <w:tabs>
          <w:tab w:leader="none" w:pos="1524"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(iii) </w:t>
      </w:r>
      <w:r>
        <w:rPr>
          <w:rFonts w:ascii="Times New Roman" w:cs="Times New Roman" w:eastAsia="Times New Roman" w:hAnsi="Times New Roman"/>
          <w:sz w:val="14"/>
          <w:szCs w:val="14"/>
          <w:i w:val="1"/>
          <w:iCs w:val="1"/>
          <w:color w:val="auto"/>
        </w:rPr>
        <w:t>Payee Tax Representations</w:t>
      </w:r>
      <w:r>
        <w:rPr>
          <w:rFonts w:ascii="Times New Roman" w:cs="Times New Roman" w:eastAsia="Times New Roman" w:hAnsi="Times New Roman"/>
          <w:sz w:val="14"/>
          <w:szCs w:val="14"/>
          <w:color w:val="auto"/>
        </w:rPr>
        <w:t>. For the purpose of Section 3(f) of the Agreement, the parties make the following representations: Counterparty is a corporation for U.S. federal income tax purposes and is organized under the laws of the State of Delaware. Counterparty is a “U.S. person” (as that term is used in section 1.1441-4(a)(3)(ii) of United States Treasury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129349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93495" cy="6985"/>
                    </a:xfrm>
                    <a:prstGeom prst="rect">
                      <a:avLst/>
                    </a:prstGeom>
                    <a:noFill/>
                  </pic:spPr>
                </pic:pic>
              </a:graphicData>
            </a:graphic>
          </wp:anchor>
        </w:drawing>
      </w:r>
    </w:p>
    <w:p>
      <w:pPr>
        <w:spacing w:after="0" w:line="143" w:lineRule="exact"/>
        <w:rPr>
          <w:sz w:val="20"/>
          <w:szCs w:val="20"/>
          <w:color w:val="auto"/>
        </w:rPr>
      </w:pPr>
    </w:p>
    <w:p>
      <w:pPr>
        <w:ind w:left="120" w:hanging="115"/>
        <w:spacing w:after="0"/>
        <w:tabs>
          <w:tab w:leader="none" w:pos="120" w:val="left"/>
        </w:tabs>
        <w:numPr>
          <w:ilvl w:val="0"/>
          <w:numId w:val="5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Insert for Base Call Option Confirmation.</w:t>
      </w:r>
    </w:p>
    <w:p>
      <w:pPr>
        <w:spacing w:after="0" w:line="7" w:lineRule="exact"/>
        <w:rPr>
          <w:rFonts w:ascii="Times New Roman" w:cs="Times New Roman" w:eastAsia="Times New Roman" w:hAnsi="Times New Roman"/>
          <w:sz w:val="17"/>
          <w:szCs w:val="17"/>
          <w:color w:val="auto"/>
          <w:vertAlign w:val="superscript"/>
        </w:rPr>
      </w:pPr>
    </w:p>
    <w:p>
      <w:pPr>
        <w:ind w:left="120" w:hanging="115"/>
        <w:spacing w:after="0" w:line="182" w:lineRule="auto"/>
        <w:tabs>
          <w:tab w:leader="none" w:pos="120" w:val="left"/>
        </w:tabs>
        <w:numPr>
          <w:ilvl w:val="0"/>
          <w:numId w:val="5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Insert for Additional Call Option Confirmation.</w:t>
      </w:r>
    </w:p>
    <w:p>
      <w:pPr>
        <w:ind w:left="120" w:hanging="115"/>
        <w:spacing w:after="0" w:line="185" w:lineRule="auto"/>
        <w:tabs>
          <w:tab w:leader="none" w:pos="120" w:val="left"/>
        </w:tabs>
        <w:numPr>
          <w:ilvl w:val="0"/>
          <w:numId w:val="5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To be updated as appropriate for Dealer.</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1280"/>
          </w:cols>
          <w:pgMar w:left="300" w:top="1271" w:right="319" w:bottom="1440" w:gutter="0" w:footer="0" w:header="0"/>
        </w:sectPr>
      </w:pPr>
    </w:p>
    <w:bookmarkStart w:id="156" w:name="page157"/>
    <w:bookmarkEnd w:id="156"/>
    <w:p>
      <w:pPr>
        <w:jc w:val="both"/>
        <w:ind w:left="1020"/>
        <w:spacing w:after="0" w:line="237" w:lineRule="auto"/>
        <w:rPr>
          <w:sz w:val="20"/>
          <w:szCs w:val="20"/>
          <w:color w:val="auto"/>
        </w:rPr>
      </w:pPr>
      <w:r>
        <w:rPr>
          <w:rFonts w:ascii="Times New Roman" w:cs="Times New Roman" w:eastAsia="Times New Roman" w:hAnsi="Times New Roman"/>
          <w:sz w:val="14"/>
          <w:szCs w:val="14"/>
          <w:color w:val="auto"/>
        </w:rPr>
        <w:t>for U.S. federal income tax purposes and an exempt recipient under Treasury Regulation Section 1.6049-4(c)(1)(ii). [Dealer is a “U.S. person” (as that term is used in section 1.1441-4(a)(3)(ii) of United States Treasury Regulations) for U.S. federal income tax purposes and an exempt recipient under Treasury Regulation Section 1.6049-4(c)(1)(ii).]</w:t>
      </w:r>
      <w:r>
        <w:rPr>
          <w:rFonts w:ascii="Times New Roman" w:cs="Times New Roman" w:eastAsia="Times New Roman" w:hAnsi="Times New Roman"/>
          <w:sz w:val="18"/>
          <w:szCs w:val="18"/>
          <w:color w:val="auto"/>
          <w:vertAlign w:val="superscript"/>
        </w:rPr>
        <w:t>31</w:t>
      </w:r>
      <w:r>
        <w:rPr>
          <w:rFonts w:ascii="Times New Roman" w:cs="Times New Roman" w:eastAsia="Times New Roman" w:hAnsi="Times New Roman"/>
          <w:sz w:val="14"/>
          <w:szCs w:val="14"/>
          <w:color w:val="auto"/>
        </w:rPr>
        <w:t xml:space="preserve"> Each party agrees to give notice of any failure of a representation made by it under this Section 9(w)(iii) to be accurate and true promptly upon learning of such failure.</w:t>
      </w:r>
    </w:p>
    <w:p>
      <w:pPr>
        <w:spacing w:after="0" w:line="123" w:lineRule="exact"/>
        <w:rPr>
          <w:sz w:val="20"/>
          <w:szCs w:val="20"/>
          <w:color w:val="auto"/>
        </w:rPr>
      </w:pPr>
    </w:p>
    <w:p>
      <w:pPr>
        <w:jc w:val="both"/>
        <w:ind w:left="1020" w:hanging="506"/>
        <w:spacing w:after="0" w:line="227" w:lineRule="auto"/>
        <w:tabs>
          <w:tab w:leader="none" w:pos="1018"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Payment by Counterparty</w:t>
      </w:r>
      <w:r>
        <w:rPr>
          <w:rFonts w:ascii="Times New Roman" w:cs="Times New Roman" w:eastAsia="Times New Roman" w:hAnsi="Times New Roman"/>
          <w:sz w:val="14"/>
          <w:szCs w:val="14"/>
          <w:color w:val="auto"/>
        </w:rPr>
        <w:t>. In the event that, following payment of the Premium, (i) an Early Termination Date occurs or is designated with respect to the Transaction as a result of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Termination Event or an Event of Default (other than an Event of Default arising under Section 5(a)(ii) or 5(a)(iv) of the Agreement) and, as a result, Counterparty owes to Dealer an amount calculated under Section 6(e) of the Agreement, or (ii) Counterparty owes to Dealer, pursuant to Section 12.7 or Section 12.9 of the Equity Definitions, an amount calculated under Section 12.8 of the Equity Definitions, such amount shall be deemed to be zero.</w:t>
      </w:r>
    </w:p>
    <w:p>
      <w:pPr>
        <w:spacing w:after="0" w:line="91" w:lineRule="exact"/>
        <w:rPr>
          <w:sz w:val="20"/>
          <w:szCs w:val="20"/>
          <w:color w:val="auto"/>
        </w:rPr>
      </w:pPr>
    </w:p>
    <w:p>
      <w:pPr>
        <w:jc w:val="both"/>
        <w:ind w:left="1020" w:hanging="506"/>
        <w:spacing w:after="0" w:line="217" w:lineRule="auto"/>
        <w:tabs>
          <w:tab w:leader="none" w:pos="1017"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Other Adjustments Pursuant to the Equity Definitions</w:t>
      </w:r>
      <w:r>
        <w:rPr>
          <w:rFonts w:ascii="Times New Roman" w:cs="Times New Roman" w:eastAsia="Times New Roman" w:hAnsi="Times New Roman"/>
          <w:sz w:val="14"/>
          <w:szCs w:val="14"/>
          <w:color w:val="auto"/>
        </w:rPr>
        <w:t>. Notwithstanding anything to the contrary in the Agreement, the Equity Definitions or this Confirmation, upon the occurrence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a Merger Date, the occurrence of a Tender Offer Date, or declaration by Counterparty of the terms of any Potential Adjustment Event, the Calculation Agent shall determine in good faith and in a commercially reasonable manner whether such occurrence or declaration, as applicable, has had a material economic effect on the Transaction, and if so, shall, in its good faith and commercially reasonable discretion, adjust the Cap Price to account for the economic effect on the Transaction of such occurrence or declaration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(x) in no event shall the Cap Price be less than the Strike Price; (y) solely in the case of a Potential Adjustment Event pursuant to Section 11.2(e)(i), (ii)(A) or (iv) of the Equity Definitions, no adjustments will be made to account solely for changes in volatility, expected dividends, stock loan rate or liquidity relative to the relevant Shares; and (z) any adjustment to the Cap Price made pursuant to this section shall be made without duplication of any other adjustment hereunder). Solely for purposes of this Section 9(y): (x) the terms “Potential Adjustment Event,” “Merger Event,” and “Tender Offer” shall each have the meanings assigned to each such term in the Equity Definitions (in the case of the definition of “Potential Adjustment Event”, as amended by Section 9(j)(i), and in the case of the definition of “Tender Offer”, as amended by the provisions opposite the caption “Announcement Event” in Section 3) and (y) “Extraordinary Dividend” means any cash dividend on the Shares.</w:t>
      </w:r>
    </w:p>
    <w:p>
      <w:pPr>
        <w:spacing w:after="0" w:line="149"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(ab)</w:t>
            </w:r>
          </w:p>
        </w:tc>
        <w:tc>
          <w:tcPr>
            <w:tcW w:w="9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Notwithstanding anything to the contrary in this Confirmation, any reacquisition of Shares pursuant to Counterparty’s employee incentive plans in connection with the</w:t>
            </w:r>
          </w:p>
        </w:tc>
      </w:tr>
      <w:tr>
        <w:trPr>
          <w:trHeight w:val="170"/>
        </w:trPr>
        <w:tc>
          <w:tcPr>
            <w:tcW w:w="360" w:type="dxa"/>
            <w:vAlign w:val="bottom"/>
          </w:tcPr>
          <w:p>
            <w:pPr>
              <w:spacing w:after="0"/>
              <w:rPr>
                <w:sz w:val="14"/>
                <w:szCs w:val="14"/>
                <w:color w:val="auto"/>
              </w:rPr>
            </w:pPr>
          </w:p>
        </w:tc>
        <w:tc>
          <w:tcPr>
            <w:tcW w:w="10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related equity transactions, Counterparty’s withholding of Shares to cover tax liabilities associated with such equity transactions or any Share repurchases by Counterparty,</w:t>
            </w:r>
          </w:p>
        </w:tc>
      </w:tr>
      <w:tr>
        <w:trPr>
          <w:trHeight w:val="170"/>
        </w:trPr>
        <w:tc>
          <w:tcPr>
            <w:tcW w:w="360" w:type="dxa"/>
            <w:vAlign w:val="bottom"/>
          </w:tcPr>
          <w:p>
            <w:pPr>
              <w:spacing w:after="0"/>
              <w:rPr>
                <w:sz w:val="14"/>
                <w:szCs w:val="14"/>
                <w:color w:val="auto"/>
              </w:rPr>
            </w:pPr>
          </w:p>
        </w:tc>
        <w:tc>
          <w:tcPr>
            <w:tcW w:w="10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including, without limitation, pursuant to Rule 10b-18 of the Exchange Act, Rule 10b5-1 of the Exchange Act, pursuant to forward contracts, accelerated stock repurchase contracts</w:t>
            </w:r>
          </w:p>
        </w:tc>
      </w:tr>
      <w:tr>
        <w:trPr>
          <w:trHeight w:val="170"/>
        </w:trPr>
        <w:tc>
          <w:tcPr>
            <w:tcW w:w="360" w:type="dxa"/>
            <w:vAlign w:val="bottom"/>
          </w:tcPr>
          <w:p>
            <w:pPr>
              <w:spacing w:after="0"/>
              <w:rPr>
                <w:sz w:val="14"/>
                <w:szCs w:val="14"/>
                <w:color w:val="auto"/>
              </w:rPr>
            </w:pPr>
          </w:p>
        </w:tc>
        <w:tc>
          <w:tcPr>
            <w:tcW w:w="10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or derivatives transactions on customary terms, at prevailing market prices, volume-average weighted prices or discounts thereto shall only constitute a Potential Adjustment Event</w:t>
            </w:r>
          </w:p>
        </w:tc>
      </w:tr>
      <w:tr>
        <w:trPr>
          <w:trHeight w:val="170"/>
        </w:trPr>
        <w:tc>
          <w:tcPr>
            <w:tcW w:w="360" w:type="dxa"/>
            <w:vAlign w:val="bottom"/>
          </w:tcPr>
          <w:p>
            <w:pPr>
              <w:spacing w:after="0"/>
              <w:rPr>
                <w:sz w:val="14"/>
                <w:szCs w:val="14"/>
                <w:color w:val="auto"/>
              </w:rPr>
            </w:pPr>
          </w:p>
        </w:tc>
        <w:tc>
          <w:tcPr>
            <w:tcW w:w="10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for purposes of this Section 9(y) to the extent that, after giving effect to any such transaction, the aggregate number of Shares repurchased during the term of the Transaction</w:t>
            </w:r>
          </w:p>
        </w:tc>
      </w:tr>
      <w:tr>
        <w:trPr>
          <w:trHeight w:val="170"/>
        </w:trPr>
        <w:tc>
          <w:tcPr>
            <w:tcW w:w="360" w:type="dxa"/>
            <w:vAlign w:val="bottom"/>
          </w:tcPr>
          <w:p>
            <w:pPr>
              <w:spacing w:after="0"/>
              <w:rPr>
                <w:sz w:val="14"/>
                <w:szCs w:val="14"/>
                <w:color w:val="auto"/>
              </w:rPr>
            </w:pPr>
          </w:p>
        </w:tc>
        <w:tc>
          <w:tcPr>
            <w:tcW w:w="10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pursuant to all such transactions described in this paragraph of Section 9(y) would exceed 25% of the greater of (1) the number of Shares outstanding as of the Trade Date (which,</w:t>
            </w:r>
          </w:p>
        </w:tc>
      </w:tr>
      <w:tr>
        <w:trPr>
          <w:trHeight w:val="170"/>
        </w:trPr>
        <w:tc>
          <w:tcPr>
            <w:tcW w:w="360" w:type="dxa"/>
            <w:vAlign w:val="bottom"/>
          </w:tcPr>
          <w:p>
            <w:pPr>
              <w:spacing w:after="0"/>
              <w:rPr>
                <w:sz w:val="14"/>
                <w:szCs w:val="14"/>
                <w:color w:val="auto"/>
              </w:rPr>
            </w:pPr>
          </w:p>
        </w:tc>
        <w:tc>
          <w:tcPr>
            <w:tcW w:w="10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for the avoidance of doubt, shall be deemed to include any Shares repurchased on the Trade Date in connection with the offering of the Convertible Notes) and (2) the number of</w:t>
            </w:r>
          </w:p>
        </w:tc>
      </w:tr>
      <w:tr>
        <w:trPr>
          <w:trHeight w:val="170"/>
        </w:trPr>
        <w:tc>
          <w:tcPr>
            <w:tcW w:w="360" w:type="dxa"/>
            <w:vAlign w:val="bottom"/>
          </w:tcPr>
          <w:p>
            <w:pPr>
              <w:spacing w:after="0"/>
              <w:rPr>
                <w:sz w:val="14"/>
                <w:szCs w:val="14"/>
                <w:color w:val="auto"/>
              </w:rPr>
            </w:pPr>
          </w:p>
        </w:tc>
        <w:tc>
          <w:tcPr>
            <w:tcW w:w="10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Shares outstanding as of the end of the Issuer’s most recently completed fiscal quarter, in each case as determined by Calculation Agent and as adjusted by the Calculation Agent to</w:t>
            </w:r>
          </w:p>
        </w:tc>
      </w:tr>
      <w:tr>
        <w:trPr>
          <w:trHeight w:val="184"/>
        </w:trPr>
        <w:tc>
          <w:tcPr>
            <w:tcW w:w="360" w:type="dxa"/>
            <w:vAlign w:val="bottom"/>
          </w:tcPr>
          <w:p>
            <w:pPr>
              <w:spacing w:after="0"/>
              <w:rPr>
                <w:sz w:val="16"/>
                <w:szCs w:val="16"/>
                <w:color w:val="auto"/>
              </w:rPr>
            </w:pPr>
          </w:p>
        </w:tc>
        <w:tc>
          <w:tcPr>
            <w:tcW w:w="10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account for any subdivision or combination with respect to the Shares.</w:t>
            </w:r>
          </w:p>
        </w:tc>
      </w:tr>
      <w:tr>
        <w:trPr>
          <w:trHeight w:val="329"/>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(ac)</w:t>
            </w:r>
          </w:p>
        </w:tc>
        <w:tc>
          <w:tcPr>
            <w:tcW w:w="10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Insert preferred form of US QFC Stay Rule language for each Dealer, as applicable.</w:t>
            </w:r>
            <w:r>
              <w:rPr>
                <w:rFonts w:ascii="Times New Roman" w:cs="Times New Roman" w:eastAsia="Times New Roman" w:hAnsi="Times New Roman"/>
                <w:sz w:val="14"/>
                <w:szCs w:val="14"/>
                <w:color w:val="auto"/>
              </w:rPr>
              <w:t>]</w:t>
            </w:r>
          </w:p>
        </w:tc>
      </w:tr>
      <w:tr>
        <w:trPr>
          <w:trHeight w:val="308"/>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(ad)</w:t>
            </w:r>
          </w:p>
        </w:tc>
        <w:tc>
          <w:tcPr>
            <w:tcW w:w="10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Insert additional Dealer boilerplate, if applicable.</w:t>
            </w: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323850</wp:posOffset>
            </wp:positionV>
            <wp:extent cx="129349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93495" cy="698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120" w:hanging="115"/>
        <w:spacing w:after="0"/>
        <w:tabs>
          <w:tab w:leader="none" w:pos="120" w:val="left"/>
        </w:tabs>
        <w:numPr>
          <w:ilvl w:val="0"/>
          <w:numId w:val="5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To be updated as appropriate for Dealer.</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1280"/>
          </w:cols>
          <w:pgMar w:left="300" w:top="1281" w:right="31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Pages Follow</w:t>
      </w: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127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1279" w:right="1440" w:bottom="1440" w:gutter="0" w:footer="0" w:header="0"/>
          <w:type w:val="continuous"/>
        </w:sectPr>
      </w:pPr>
    </w:p>
    <w:bookmarkStart w:id="158" w:name="page159"/>
    <w:bookmarkEnd w:id="158"/>
    <w:p>
      <w:pPr>
        <w:ind w:left="515"/>
        <w:spacing w:after="0"/>
        <w:rPr>
          <w:sz w:val="20"/>
          <w:szCs w:val="20"/>
          <w:color w:val="auto"/>
        </w:rPr>
      </w:pPr>
      <w:r>
        <w:rPr>
          <w:rFonts w:ascii="Times New Roman" w:cs="Times New Roman" w:eastAsia="Times New Roman" w:hAnsi="Times New Roman"/>
          <w:sz w:val="14"/>
          <w:szCs w:val="14"/>
          <w:color w:val="auto"/>
        </w:rPr>
        <w:t>Please confirm that the foregoing correctly sets forth the terms of our agreement by executing this Confirmation and returning it to Dealer.</w:t>
      </w:r>
    </w:p>
    <w:p>
      <w:pPr>
        <w:spacing w:after="0" w:line="147" w:lineRule="exact"/>
        <w:rPr>
          <w:sz w:val="20"/>
          <w:szCs w:val="20"/>
          <w:color w:val="auto"/>
        </w:rPr>
      </w:pPr>
    </w:p>
    <w:p>
      <w:pPr>
        <w:ind w:left="3055"/>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84" w:lineRule="exact"/>
        <w:rPr>
          <w:sz w:val="20"/>
          <w:szCs w:val="20"/>
          <w:color w:val="auto"/>
        </w:rPr>
      </w:pPr>
    </w:p>
    <w:p>
      <w:pPr>
        <w:ind w:left="3575"/>
        <w:spacing w:after="0"/>
        <w:rPr>
          <w:sz w:val="20"/>
          <w:szCs w:val="20"/>
          <w:color w:val="auto"/>
        </w:rPr>
      </w:pPr>
      <w:r>
        <w:rPr>
          <w:rFonts w:ascii="Times New Roman" w:cs="Times New Roman" w:eastAsia="Times New Roman" w:hAnsi="Times New Roman"/>
          <w:sz w:val="14"/>
          <w:szCs w:val="14"/>
          <w:b w:val="1"/>
          <w:bCs w:val="1"/>
          <w:color w:val="auto"/>
        </w:rPr>
        <w:t>[DEALER]</w:t>
      </w:r>
      <w:r>
        <w:rPr>
          <w:rFonts w:ascii="Times New Roman" w:cs="Times New Roman" w:eastAsia="Times New Roman" w:hAnsi="Times New Roman"/>
          <w:sz w:val="18"/>
          <w:szCs w:val="18"/>
          <w:b w:val="1"/>
          <w:bCs w:val="1"/>
          <w:color w:val="auto"/>
          <w:vertAlign w:val="superscript"/>
        </w:rPr>
        <w:t>32</w:t>
      </w:r>
    </w:p>
    <w:p>
      <w:pPr>
        <w:spacing w:after="0" w:line="16" w:lineRule="exact"/>
        <w:rPr>
          <w:sz w:val="20"/>
          <w:szCs w:val="20"/>
          <w:color w:val="auto"/>
        </w:rPr>
      </w:pPr>
    </w:p>
    <w:p>
      <w:pPr>
        <w:ind w:left="3615"/>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2600325</wp:posOffset>
            </wp:positionH>
            <wp:positionV relativeFrom="paragraph">
              <wp:posOffset>4445</wp:posOffset>
            </wp:positionV>
            <wp:extent cx="192659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926590" cy="6985"/>
                    </a:xfrm>
                    <a:prstGeom prst="rect">
                      <a:avLst/>
                    </a:prstGeom>
                    <a:noFill/>
                  </pic:spPr>
                </pic:pic>
              </a:graphicData>
            </a:graphic>
          </wp:anchor>
        </w:drawing>
      </w:r>
    </w:p>
    <w:p>
      <w:pPr>
        <w:ind w:left="3995"/>
        <w:spacing w:after="0"/>
        <w:rPr>
          <w:sz w:val="20"/>
          <w:szCs w:val="20"/>
          <w:color w:val="auto"/>
        </w:rPr>
      </w:pPr>
      <w:r>
        <w:rPr>
          <w:rFonts w:ascii="Times New Roman" w:cs="Times New Roman" w:eastAsia="Times New Roman" w:hAnsi="Times New Roman"/>
          <w:sz w:val="14"/>
          <w:szCs w:val="14"/>
          <w:color w:val="auto"/>
        </w:rPr>
        <w:t>Name:</w:t>
      </w:r>
    </w:p>
    <w:p>
      <w:pPr>
        <w:spacing w:after="0" w:line="51" w:lineRule="exact"/>
        <w:rPr>
          <w:sz w:val="20"/>
          <w:szCs w:val="20"/>
          <w:color w:val="auto"/>
        </w:rPr>
      </w:pPr>
    </w:p>
    <w:p>
      <w:pPr>
        <w:ind w:left="3995"/>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284480</wp:posOffset>
            </wp:positionV>
            <wp:extent cx="129349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93495" cy="698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15" w:hanging="115"/>
        <w:spacing w:after="0"/>
        <w:tabs>
          <w:tab w:leader="none" w:pos="115" w:val="left"/>
        </w:tabs>
        <w:numPr>
          <w:ilvl w:val="0"/>
          <w:numId w:val="5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 Dealer preferred signature page information,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695"/>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[Base][Additional] Capped Call Confirmation</w:t>
      </w:r>
      <w:r>
        <w:rPr>
          <w:rFonts w:ascii="Times New Roman" w:cs="Times New Roman" w:eastAsia="Times New Roman" w:hAnsi="Times New Roman"/>
          <w:sz w:val="14"/>
          <w:szCs w:val="14"/>
          <w:color w:val="auto"/>
        </w:rPr>
        <w:t>]</w:t>
      </w:r>
    </w:p>
    <w:p>
      <w:pPr>
        <w:sectPr>
          <w:pgSz w:w="11900" w:h="16838" w:orient="portrait"/>
          <w:cols w:equalWidth="0" w:num="1">
            <w:col w:w="10154"/>
          </w:cols>
          <w:pgMar w:left="305" w:top="1143" w:right="1440"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4"/>
          <w:szCs w:val="14"/>
          <w:color w:val="auto"/>
        </w:rPr>
        <w:t>Accepted and confirmed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the Trade Date:</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ROBINHOOD MARKETS, INC.</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By:</w:t>
      </w:r>
    </w:p>
    <w:p>
      <w:pPr>
        <w:spacing w:after="0" w:line="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-101600</wp:posOffset>
            </wp:positionV>
            <wp:extent cx="282321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823210" cy="6985"/>
                    </a:xfrm>
                    <a:prstGeom prst="rect">
                      <a:avLst/>
                    </a:prstGeom>
                    <a:noFill/>
                  </pic:spPr>
                </pic:pic>
              </a:graphicData>
            </a:graphic>
          </wp:anchor>
        </w:drawing>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267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[Base][Additional] Capped Call Confirmation</w:t>
      </w:r>
      <w:r>
        <w:rPr>
          <w:rFonts w:ascii="Times New Roman" w:cs="Times New Roman" w:eastAsia="Times New Roman" w:hAnsi="Times New Roman"/>
          <w:sz w:val="14"/>
          <w:szCs w:val="14"/>
          <w:color w:val="auto"/>
        </w:rPr>
        <w:t>]</w:t>
      </w:r>
    </w:p>
    <w:p>
      <w:pPr>
        <w:sectPr>
          <w:pgSz w:w="11900" w:h="16838" w:orient="portrait"/>
          <w:cols w:equalWidth="0" w:num="1">
            <w:col w:w="10159"/>
          </w:cols>
          <w:pgMar w:left="300" w:top="1143" w:right="1440"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Robinhood Closes Offering of $2.2 Billion of 0.00% Convertible Senior Notes Due 2029</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Transaction raised $2.2 billion, enhancing strategic flexibility to invest for future growth</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Approximately $290 million of proceeds used to repurchase outstanding Class A common stock</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$123.2 million of proceeds used to acquire capped calls intended to offset any share dilution elevating conversion price to $174.42 per share</w:t>
      </w:r>
    </w:p>
    <w:p>
      <w:pPr>
        <w:spacing w:after="0" w:line="179"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14"/>
          <w:szCs w:val="14"/>
          <w:color w:val="auto"/>
        </w:rPr>
        <w:t>With the capped calls, Robinhood anticipates no net dilution from the transaction until its share price exceeds approximately $237.85 or an approximately 154% increase from today’s closing price. Factoring in the share repurchase, Robinhood anticipates no net dilution from the transaction until its share price exceeds $303.95</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MENLO PARK, Calif., June 25, 2026— Robinhood Markets, Inc. (“Robinhood”) (NASDAQ: HOOD) today announced the closing of its previously announced private offering of $2.2 billion</w:t>
      </w:r>
    </w:p>
    <w:p>
      <w:pPr>
        <w:spacing w:after="0" w:line="4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aggregate principal amount of its 0.00% convertible senior notes due 2029 (the “Notes”) in a private placement (the “Offering”) to persons reasonably believed to be qualified institutional buyers pursuant to Rule 144A of the Securities Act of 1933, as amended (the “Securities Act”). The offering represents the aggregate of both the previously announced offering of $2.0 billion, as well as the full exercise of the $200 million option to purchase additional Notes granted by Robinhood to the initial purchasers of the Notes.</w:t>
      </w:r>
    </w:p>
    <w:p>
      <w:pPr>
        <w:spacing w:after="0" w:line="136"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“Our business continues to grow rapidly as we deliver industry-leading products to our customers,” said Shiv Verma, Robinhood Chief Financial Officer. “And this transaction gives us even more strategic flexibility to invest for future growth.”</w:t>
      </w:r>
    </w:p>
    <w:p>
      <w:pPr>
        <w:spacing w:after="0" w:line="12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The net proceeds from the offering were approximately $2.169 billion, after deducting the initial purchasers’ discounts and estimated expenses payable by Robinhood. Robinhood used approximately $290 million of the net proceeds from the Offering to repurchase 2.743 million shares of its Class A common stock and $123.2 million of the net proceeds from the Offering to fund the costs of the capped call transactions described below. It intends to use the remainder of the net proceeds from the Offering, if any, for general corporate purposes, which may include organic growth investments, potential acquisitions and/or capital expenditures. In addition, following the Offering, Robinhood may repurchase additional shares of its Class A common stock pursuant to Robinhood’s stock repurchase program.</w:t>
      </w:r>
    </w:p>
    <w:p>
      <w:pPr>
        <w:spacing w:after="0" w:line="143"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The capped call transactions entered into in connection with the offering are expected to generally reduce potential dilution to the common stock upon conversion of the Notes or to offset any cash payments the Company is required to make in excess of the principal amount of converted Notes, as the case may be, with the reduction or offset subject to a cap initially equal to approximately $237.85 per share (an approximately 125% premium to the closing price of Robinhood’s Class A common stock on the offering date of June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230505</wp:posOffset>
            </wp:positionV>
            <wp:extent cx="4204335"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204335" cy="698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Robinhood</w:t>
      </w:r>
    </w:p>
    <w:p>
      <w:pPr>
        <w:spacing w:after="0" w:line="202"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Robinhood Markets, Inc. (NASDAQ: HOOD) transformed financial services by introducing commission-free stock trading and democratizing access to the markets for millions of investors. Today, Robinhood, through its subsidiaries, lets you trade stocks, options, futures (which includes event contracts), and crypto, invest for retirement, earn with Robinhood Gold, and access an expert-managed portfolio with Robinhood Strategies. Headquartered in Menlo Park, California, Robinhood puts customers in the driver’s seat, delivering unprecedented</w:t>
      </w:r>
    </w:p>
    <w:p>
      <w:pPr>
        <w:sectPr>
          <w:pgSz w:w="11900" w:h="16838" w:orient="portrait"/>
          <w:cols w:equalWidth="0" w:num="1">
            <w:col w:w="11280"/>
          </w:cols>
          <w:pgMar w:left="300" w:top="1141" w:right="31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4"/>
          <w:szCs w:val="14"/>
          <w:color w:val="auto"/>
        </w:rPr>
        <w:t>value and products intentionally designed for a new generation of investors. Additional information about Robinhood can be found at www.robinhood.com.</w:t>
      </w:r>
    </w:p>
    <w:p>
      <w:pPr>
        <w:spacing w:after="0" w:line="20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Robinhood uses the “Overview” tab of its Investor Relations website (accessible at investors.robinhood.com/overview) and its Newsroom (accessible at newsroom.aboutrobinhood.com), as means of disclosing information to the public in a broad, non-exclusionary manner for purposes of the U.S. Securities and Exchange Commission (“SEC”) Regulation Fair Disclosure (Reg. FD). Investors should routinely monitor those web pages, in addition to Robinhood’s press releases, SEC filings, and public conference calls and webcasts, as information posted on them could be deemed to be material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“Robinhood” and the Robinhood feather logo are registered trademarks of Robinhood Markets, Inc. All other names are trademarks and/or registered trademarks of their respective owners.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Contacts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Investor Relations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ir@robinhood.com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Media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press@robinhood.com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This press release contains forward-looking statements regarding Robinhood and its consolidated subsidiaries (“we,” “Robinhood,” or the “Company”), including, but not limited to, statements regarding the anticipated effects of entering into the capped call transactions, and the intended use of the net proceeds from the Offering and the anticipated effects thereof. In some cases, you can identify forward-looking statements because they contain words such as “believe,” “may,” “will,” “should,” “expect,” “plan,” “anticipate,” “could,” “intend,” “target,” “project,” “contemplate,” “estimate,” “predict,” “potential,” or “continue,” or the negative of these words or other similar terms or expressions that concern our expectations, strategy, plans, or intentions. Our forward-looking statements are subject to a number of known and unknown risks, uncertainties, assumptions, and other factors that may cause our actual future results, performance, or achievements to differ materially from any future results expressed or implied in this press release. Factors that contribute to the uncertain nature of our forward-looking statements include, among others, risks and uncertainties associated with market conditions, including market interest rates, the trading price and volatility of Robinhood’s Class A common stock and risks related to this Offering, and Robinhood’s business and operations and results of operations. Because some of these risks and uncertainties cannot be predicted or quantified and some are beyond our control, you should not rely on our forward-looking statements as predictions of future events. More information about potential risks and uncertainties that could affect our business and financial results can be found in Part II, Item 1A of our Quarterly Report on Form 10-Q for the quarter ended March 31, 2026, as well as in our other filings with the SEC, all of which are available on the SEC’s web site at www.sec.gov. Moreover, we operate in a very competitive and rapidly changing environment; new risks and uncertainties may emerge from time to time, and it is not possible for us to predict all risks nor identify all uncertainties. The events and circumstances reflected in our forward-looking statements might not be achieved and actual results could differ materially from those projected in the forward-looking statements. Except as otherwise noted, all forward-looking statements in this press release are made as of the date of this press release, June 25, 2026, and are based on information and estimates available to us at this time. Although we believe that the expectations reflected in our forward-looking statements are reasonable, we cannot guarantee future results, performance, or achievements. Except as required by law, Robinhood assumes no obligation to update any of the statements in this press release whether as a result of any new information, future events, changed circumstances, or otherwise. You should read this press release with the understanding that our actual future results, performance, events, and circumstances might be materially different from what we expect.</w:t>
      </w:r>
    </w:p>
    <w:sectPr>
      <w:pgSz w:w="11900" w:h="16838" w:orient="portrait"/>
      <w:cols w:equalWidth="0" w:num="1">
        <w:col w:w="11220"/>
      </w:cols>
      <w:pgMar w:left="300" w:top="114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1"/>
      <w:numFmt w:val="bullet"/>
      <w:start w:val="1"/>
    </w:lvl>
  </w:abstractNum>
  <w:abstractNum w:abstractNumId="2">
    <w:nsid w:val="836C40E"/>
    <w:multiLevelType w:val="hybridMultilevel"/>
    <w:lvl w:ilvl="0">
      <w:lvlJc w:val="left"/>
      <w:lvlText w:val="8"/>
      <w:numFmt w:val="bullet"/>
      <w:start w:val="1"/>
    </w:lvl>
  </w:abstractNum>
  <w:abstractNum w:abstractNumId="3">
    <w:nsid w:val="2901D82"/>
    <w:multiLevelType w:val="hybridMultilevel"/>
    <w:lvl w:ilvl="0">
      <w:lvlJc w:val="left"/>
      <w:lvlText w:val="%1."/>
      <w:numFmt w:val="decimal"/>
      <w:start w:val="2"/>
    </w:lvl>
  </w:abstractNum>
  <w:abstractNum w:abstractNumId="4">
    <w:nsid w:val="3A95F874"/>
    <w:multiLevelType w:val="hybridMultilevel"/>
    <w:lvl w:ilvl="0">
      <w:lvlJc w:val="left"/>
      <w:lvlText w:val="%1"/>
      <w:numFmt w:val="decimal"/>
      <w:start w:val="11"/>
    </w:lvl>
  </w:abstractNum>
  <w:abstractNum w:abstractNumId="5">
    <w:nsid w:val="8138641"/>
    <w:multiLevelType w:val="hybridMultilevel"/>
    <w:lvl w:ilvl="0">
      <w:lvlJc w:val="left"/>
      <w:lvlText w:val="%1"/>
      <w:numFmt w:val="decimal"/>
      <w:start w:val="13"/>
    </w:lvl>
  </w:abstractNum>
  <w:abstractNum w:abstractNumId="6">
    <w:nsid w:val="1E7FF521"/>
    <w:multiLevelType w:val="hybridMultilevel"/>
    <w:lvl w:ilvl="0">
      <w:lvlJc w:val="left"/>
      <w:lvlText w:val="%1"/>
      <w:numFmt w:val="decimal"/>
      <w:start w:val="14"/>
    </w:lvl>
  </w:abstractNum>
  <w:abstractNum w:abstractNumId="7">
    <w:nsid w:val="7C3DBD3D"/>
    <w:multiLevelType w:val="hybridMultilevel"/>
    <w:lvl w:ilvl="0">
      <w:lvlJc w:val="left"/>
      <w:lvlText w:val="%1"/>
      <w:numFmt w:val="decimal"/>
      <w:start w:val="16"/>
    </w:lvl>
  </w:abstractNum>
  <w:abstractNum w:abstractNumId="8">
    <w:nsid w:val="737B8DDC"/>
    <w:multiLevelType w:val="hybridMultilevel"/>
    <w:lvl w:ilvl="0">
      <w:lvlJc w:val="left"/>
      <w:lvlText w:val="(%1)"/>
      <w:numFmt w:val="lowerRoman"/>
      <w:start w:val="1"/>
    </w:lvl>
  </w:abstractNum>
  <w:abstractNum w:abstractNumId="9">
    <w:nsid w:val="6CEAF087"/>
    <w:multiLevelType w:val="hybridMultilevel"/>
    <w:lvl w:ilvl="0">
      <w:lvlJc w:val="left"/>
      <w:lvlText w:val="(%1)"/>
      <w:numFmt w:val="lowerRoman"/>
      <w:start w:val="1"/>
    </w:lvl>
  </w:abstractNum>
  <w:abstractNum w:abstractNumId="10">
    <w:nsid w:val="22221A70"/>
    <w:multiLevelType w:val="hybridMultilevel"/>
    <w:lvl w:ilvl="0">
      <w:lvlJc w:val="left"/>
      <w:lvlText w:val="%1"/>
      <w:numFmt w:val="lowerRoman"/>
      <w:start w:val="1"/>
    </w:lvl>
    <w:lvl w:ilvl="1">
      <w:lvlJc w:val="left"/>
      <w:lvlText w:val="(%2)"/>
      <w:numFmt w:val="decimal"/>
      <w:start w:val="2"/>
    </w:lvl>
  </w:abstractNum>
  <w:abstractNum w:abstractNumId="11">
    <w:nsid w:val="4516DDE9"/>
    <w:multiLevelType w:val="hybridMultilevel"/>
    <w:lvl w:ilvl="0">
      <w:lvlJc w:val="left"/>
      <w:lvlText w:val="(%1)"/>
      <w:numFmt w:val="lowerRoman"/>
      <w:start w:val="2"/>
    </w:lvl>
    <w:lvl w:ilvl="1">
      <w:lvlJc w:val="left"/>
      <w:lvlText w:val="(%2)"/>
      <w:numFmt w:val="decimal"/>
      <w:start w:val="1"/>
    </w:lvl>
  </w:abstractNum>
  <w:abstractNum w:abstractNumId="12">
    <w:nsid w:val="3006C83E"/>
    <w:multiLevelType w:val="hybridMultilevel"/>
    <w:lvl w:ilvl="0">
      <w:lvlJc w:val="left"/>
      <w:lvlText w:val="(%1)"/>
      <w:numFmt w:val="upperLetter"/>
      <w:start w:val="24"/>
    </w:lvl>
  </w:abstractNum>
  <w:abstractNum w:abstractNumId="13">
    <w:nsid w:val="614FD4A1"/>
    <w:multiLevelType w:val="hybridMultilevel"/>
    <w:lvl w:ilvl="0">
      <w:lvlJc w:val="left"/>
      <w:lvlText w:val="(%1)"/>
      <w:numFmt w:val="lowerRoman"/>
      <w:start w:val="2"/>
    </w:lvl>
  </w:abstractNum>
  <w:abstractNum w:abstractNumId="14">
    <w:nsid w:val="419AC241"/>
    <w:multiLevelType w:val="hybridMultilevel"/>
    <w:lvl w:ilvl="0">
      <w:lvlJc w:val="left"/>
      <w:lvlText w:val="%1."/>
      <w:numFmt w:val="decimal"/>
      <w:start w:val="6"/>
    </w:lvl>
  </w:abstractNum>
  <w:abstractNum w:abstractNumId="15">
    <w:nsid w:val="5577F8E1"/>
    <w:multiLevelType w:val="hybridMultilevel"/>
    <w:lvl w:ilvl="0">
      <w:lvlJc w:val="left"/>
      <w:lvlText w:val="(%1)"/>
      <w:numFmt w:val="lowerLetter"/>
      <w:start w:val="1"/>
    </w:lvl>
  </w:abstractNum>
  <w:abstractNum w:abstractNumId="16">
    <w:nsid w:val="440BADFC"/>
    <w:multiLevelType w:val="hybridMultilevel"/>
    <w:lvl w:ilvl="0">
      <w:lvlJc w:val="left"/>
      <w:lvlText w:val="%1"/>
      <w:numFmt w:val="decimal"/>
      <w:start w:val="17"/>
    </w:lvl>
  </w:abstractNum>
  <w:abstractNum w:abstractNumId="17">
    <w:nsid w:val="5072367"/>
    <w:multiLevelType w:val="hybridMultilevel"/>
    <w:lvl w:ilvl="0">
      <w:lvlJc w:val="left"/>
      <w:lvlText w:val="(%1)"/>
      <w:numFmt w:val="lowerLetter"/>
      <w:start w:val="1"/>
    </w:lvl>
  </w:abstractNum>
  <w:abstractNum w:abstractNumId="18">
    <w:nsid w:val="3804823E"/>
    <w:multiLevelType w:val="hybridMultilevel"/>
    <w:lvl w:ilvl="0">
      <w:lvlJc w:val="left"/>
      <w:lvlText w:val="(%1)"/>
      <w:numFmt w:val="lowerLetter"/>
      <w:start w:val="1"/>
    </w:lvl>
  </w:abstractNum>
  <w:abstractNum w:abstractNumId="19">
    <w:nsid w:val="77465F01"/>
    <w:multiLevelType w:val="hybridMultilevel"/>
    <w:lvl w:ilvl="0">
      <w:lvlJc w:val="left"/>
      <w:lvlText w:val="(%1)"/>
      <w:numFmt w:val="lowerLetter"/>
      <w:start w:val="2"/>
    </w:lvl>
  </w:abstractNum>
  <w:abstractNum w:abstractNumId="20">
    <w:nsid w:val="7724C67E"/>
    <w:multiLevelType w:val="hybridMultilevel"/>
    <w:lvl w:ilvl="0">
      <w:lvlJc w:val="left"/>
      <w:lvlText w:val="(%1)"/>
      <w:numFmt w:val="lowerLetter"/>
      <w:start w:val="1"/>
    </w:lvl>
  </w:abstractNum>
  <w:abstractNum w:abstractNumId="21">
    <w:nsid w:val="5C482A97"/>
    <w:multiLevelType w:val="hybridMultilevel"/>
    <w:lvl w:ilvl="0">
      <w:lvlJc w:val="left"/>
      <w:lvlText w:val="%1"/>
      <w:numFmt w:val="decimal"/>
      <w:start w:val="18"/>
    </w:lvl>
  </w:abstractNum>
  <w:abstractNum w:abstractNumId="22">
    <w:nsid w:val="2463B9EA"/>
    <w:multiLevelType w:val="hybridMultilevel"/>
    <w:lvl w:ilvl="0">
      <w:lvlJc w:val="left"/>
      <w:lvlText w:val="(%1)"/>
      <w:numFmt w:val="lowerLetter"/>
      <w:start w:val="3"/>
    </w:lvl>
  </w:abstractNum>
  <w:abstractNum w:abstractNumId="23">
    <w:nsid w:val="5E884ADC"/>
    <w:multiLevelType w:val="hybridMultilevel"/>
    <w:lvl w:ilvl="0">
      <w:lvlJc w:val="left"/>
      <w:lvlText w:val="(%1)"/>
      <w:numFmt w:val="lowerLetter"/>
      <w:start w:val="1"/>
    </w:lvl>
  </w:abstractNum>
  <w:abstractNum w:abstractNumId="24">
    <w:nsid w:val="51EAD36B"/>
    <w:multiLevelType w:val="hybridMultilevel"/>
    <w:lvl w:ilvl="0">
      <w:lvlJc w:val="left"/>
      <w:lvlText w:val="%1"/>
      <w:numFmt w:val="decimal"/>
      <w:start w:val="19"/>
    </w:lvl>
  </w:abstractNum>
  <w:abstractNum w:abstractNumId="25">
    <w:nsid w:val="2D517796"/>
    <w:multiLevelType w:val="hybridMultilevel"/>
    <w:lvl w:ilvl="0">
      <w:lvlJc w:val="left"/>
      <w:lvlText w:val="(%1)"/>
      <w:numFmt w:val="lowerLetter"/>
      <w:start w:val="2"/>
    </w:lvl>
  </w:abstractNum>
  <w:abstractNum w:abstractNumId="26">
    <w:nsid w:val="580BD78F"/>
    <w:multiLevelType w:val="hybridMultilevel"/>
    <w:lvl w:ilvl="0">
      <w:lvlJc w:val="left"/>
      <w:lvlText w:val="%1"/>
      <w:numFmt w:val="decimal"/>
      <w:start w:val="20"/>
    </w:lvl>
  </w:abstractNum>
  <w:abstractNum w:abstractNumId="27">
    <w:nsid w:val="153EA438"/>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8">
    <w:nsid w:val="3855585C"/>
    <w:multiLevelType w:val="hybridMultilevel"/>
    <w:lvl w:ilvl="0">
      <w:lvlJc w:val="left"/>
      <w:lvlText w:val="(%1)"/>
      <w:numFmt w:val="upperLetter"/>
      <w:start w:val="6"/>
    </w:lvl>
  </w:abstractNum>
  <w:abstractNum w:abstractNumId="29">
    <w:nsid w:val="70A64E2A"/>
    <w:multiLevelType w:val="hybridMultilevel"/>
    <w:lvl w:ilvl="0">
      <w:lvlJc w:val="left"/>
      <w:lvlText w:val="%1"/>
      <w:numFmt w:val="lowerRoman"/>
      <w:start w:val="1"/>
    </w:lvl>
    <w:lvl w:ilvl="1">
      <w:lvlJc w:val="left"/>
      <w:lvlText w:val="(%2)"/>
      <w:numFmt w:val="upperLetter"/>
      <w:start w:val="1"/>
    </w:lvl>
  </w:abstractNum>
  <w:abstractNum w:abstractNumId="30">
    <w:nsid w:val="6A2342EC"/>
    <w:multiLevelType w:val="hybridMultilevel"/>
    <w:lvl w:ilvl="0">
      <w:lvlJc w:val="left"/>
      <w:lvlText w:val="(%1)"/>
      <w:numFmt w:val="lowerRoman"/>
      <w:start w:val="2"/>
    </w:lvl>
    <w:lvl w:ilvl="1">
      <w:lvlJc w:val="left"/>
      <w:lvlText w:val="%2"/>
      <w:numFmt w:val="upperLetter"/>
      <w:start w:val="1"/>
    </w:lvl>
  </w:abstractNum>
  <w:abstractNum w:abstractNumId="31">
    <w:nsid w:val="2A487CB0"/>
    <w:multiLevelType w:val="hybridMultilevel"/>
    <w:lvl w:ilvl="0">
      <w:lvlJc w:val="left"/>
      <w:lvlText w:val="%1"/>
      <w:numFmt w:val="decimal"/>
      <w:start w:val="22"/>
    </w:lvl>
  </w:abstractNum>
  <w:abstractNum w:abstractNumId="32">
    <w:nsid w:val="1D4ED43B"/>
    <w:multiLevelType w:val="hybridMultilevel"/>
    <w:lvl w:ilvl="0">
      <w:lvlJc w:val="left"/>
      <w:lvlText w:val="%1"/>
      <w:numFmt w:val="lowerLetter"/>
      <w:start w:val="1"/>
    </w:lvl>
    <w:lvl w:ilvl="1">
      <w:lvlJc w:val="left"/>
      <w:lvlText w:val="(%2)"/>
      <w:numFmt w:val="lowerLetter"/>
      <w:start w:val="61"/>
    </w:lvl>
  </w:abstractNum>
  <w:abstractNum w:abstractNumId="33">
    <w:nsid w:val="725A06FB"/>
    <w:multiLevelType w:val="hybridMultilevel"/>
    <w:lvl w:ilvl="0">
      <w:lvlJc w:val="left"/>
      <w:lvlText w:val="(%1)"/>
      <w:numFmt w:val="lowerLetter"/>
      <w:start w:val="6"/>
    </w:lvl>
    <w:lvl w:ilvl="1">
      <w:lvlJc w:val="left"/>
      <w:lvlText w:val="(%2)"/>
      <w:numFmt w:val="lowerLetter"/>
      <w:start w:val="9"/>
    </w:lvl>
  </w:abstractNum>
  <w:abstractNum w:abstractNumId="34">
    <w:nsid w:val="2CD89A32"/>
    <w:multiLevelType w:val="hybridMultilevel"/>
    <w:lvl w:ilvl="0">
      <w:lvlJc w:val="left"/>
      <w:lvlText w:val="(%1)"/>
      <w:numFmt w:val="lowerRoman"/>
      <w:start w:val="2"/>
    </w:lvl>
  </w:abstractNum>
  <w:abstractNum w:abstractNumId="35">
    <w:nsid w:val="57E4CCAF"/>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36">
    <w:nsid w:val="7A6D8D3C"/>
    <w:multiLevelType w:val="hybridMultilevel"/>
    <w:lvl w:ilvl="0">
      <w:lvlJc w:val="left"/>
      <w:lvlText w:val="%1"/>
      <w:numFmt w:val="decimal"/>
      <w:start w:val="23"/>
    </w:lvl>
  </w:abstractNum>
  <w:abstractNum w:abstractNumId="37">
    <w:nsid w:val="4B588F54"/>
    <w:multiLevelType w:val="hybridMultilevel"/>
    <w:lvl w:ilvl="0">
      <w:lvlJc w:val="left"/>
      <w:lvlText w:val="%1"/>
      <w:numFmt w:val="lowerRoman"/>
      <w:start w:val="1"/>
    </w:lvl>
    <w:lvl w:ilvl="1">
      <w:lvlJc w:val="left"/>
      <w:lvlText w:val="(%2)"/>
      <w:numFmt w:val="upperLetter"/>
      <w:start w:val="5"/>
    </w:lvl>
  </w:abstractNum>
  <w:abstractNum w:abstractNumId="38">
    <w:nsid w:val="542289EC"/>
    <w:multiLevelType w:val="hybridMultilevel"/>
    <w:lvl w:ilvl="0">
      <w:lvlJc w:val="left"/>
      <w:lvlText w:val="(%1)"/>
      <w:numFmt w:val="lowerRoman"/>
      <w:start w:val="3"/>
    </w:lvl>
    <w:lvl w:ilvl="1">
      <w:lvlJc w:val="left"/>
      <w:lvlText w:val="%2"/>
      <w:numFmt w:val="upperLetter"/>
      <w:start w:val="1"/>
    </w:lvl>
  </w:abstractNum>
  <w:abstractNum w:abstractNumId="39">
    <w:nsid w:val="6DE91B18"/>
    <w:multiLevelType w:val="hybridMultilevel"/>
    <w:lvl w:ilvl="0">
      <w:lvlJc w:val="left"/>
      <w:lvlText w:val="(%1)"/>
      <w:numFmt w:val="lowerRoman"/>
      <w:start w:val="4"/>
    </w:lvl>
  </w:abstractNum>
  <w:abstractNum w:abstractNumId="40">
    <w:nsid w:val="38437FDB"/>
    <w:multiLevelType w:val="hybridMultilevel"/>
    <w:lvl w:ilvl="0">
      <w:lvlJc w:val="left"/>
      <w:lvlText w:val="%1"/>
      <w:numFmt w:val="decimal"/>
      <w:start w:val="26"/>
    </w:lvl>
  </w:abstractNum>
  <w:abstractNum w:abstractNumId="41">
    <w:nsid w:val="7644A45C"/>
    <w:multiLevelType w:val="hybridMultilevel"/>
    <w:lvl w:ilvl="0">
      <w:lvlJc w:val="left"/>
      <w:lvlText w:val="(%1)"/>
      <w:numFmt w:val="lowerLetter"/>
      <w:start w:val="10"/>
    </w:lvl>
    <w:lvl w:ilvl="1">
      <w:lvlJc w:val="left"/>
      <w:lvlText w:val="(%2)"/>
      <w:numFmt w:val="lowerLetter"/>
      <w:start w:val="9"/>
    </w:lvl>
  </w:abstractNum>
  <w:abstractNum w:abstractNumId="42">
    <w:nsid w:val="32FFF902"/>
    <w:multiLevelType w:val="hybridMultilevel"/>
    <w:lvl w:ilvl="0">
      <w:lvlJc w:val="left"/>
      <w:lvlText w:val="%1"/>
      <w:numFmt w:val="lowerLetter"/>
      <w:start w:val="1"/>
    </w:lvl>
    <w:lvl w:ilvl="1">
      <w:lvlJc w:val="left"/>
      <w:lvlText w:val="(%2)"/>
      <w:numFmt w:val="lowerRoman"/>
      <w:start w:val="2"/>
    </w:lvl>
  </w:abstractNum>
  <w:abstractNum w:abstractNumId="43">
    <w:nsid w:val="684A481A"/>
    <w:multiLevelType w:val="hybridMultilevel"/>
    <w:lvl w:ilvl="0">
      <w:lvlJc w:val="left"/>
      <w:lvlText w:val="(%1)"/>
      <w:numFmt w:val="lowerLetter"/>
      <w:start w:val="1"/>
    </w:lvl>
    <w:lvl w:ilvl="1">
      <w:lvlJc w:val="left"/>
      <w:lvlText w:val="%2"/>
      <w:numFmt w:val="lowerRoman"/>
      <w:start w:val="1"/>
    </w:lvl>
  </w:abstractNum>
  <w:abstractNum w:abstractNumId="44">
    <w:nsid w:val="579478FE"/>
    <w:multiLevelType w:val="hybridMultilevel"/>
    <w:lvl w:ilvl="0">
      <w:lvlJc w:val="left"/>
      <w:lvlText w:val="(%1)"/>
      <w:numFmt w:val="lowerLetter"/>
      <w:start w:val="11"/>
    </w:lvl>
  </w:abstractNum>
  <w:abstractNum w:abstractNumId="45">
    <w:nsid w:val="749ABB43"/>
    <w:multiLevelType w:val="hybridMultilevel"/>
    <w:lvl w:ilvl="0">
      <w:lvlJc w:val="left"/>
      <w:lvlText w:val="(%1)"/>
      <w:numFmt w:val="lowerLetter"/>
      <w:start w:val="12"/>
    </w:lvl>
  </w:abstractNum>
  <w:abstractNum w:abstractNumId="46">
    <w:nsid w:val="3DC240FB"/>
    <w:multiLevelType w:val="hybridMultilevel"/>
    <w:lvl w:ilvl="0">
      <w:lvlJc w:val="left"/>
      <w:lvlText w:val="(%1)"/>
      <w:numFmt w:val="lowerLetter"/>
      <w:start w:val="16"/>
    </w:lvl>
    <w:lvl w:ilvl="1">
      <w:lvlJc w:val="left"/>
      <w:lvlText w:val="(%2)"/>
      <w:numFmt w:val="lowerRoman"/>
      <w:start w:val="1"/>
    </w:lvl>
  </w:abstractNum>
  <w:abstractNum w:abstractNumId="47">
    <w:nsid w:val="1BA026FA"/>
    <w:multiLevelType w:val="hybridMultilevel"/>
    <w:lvl w:ilvl="0">
      <w:lvlJc w:val="left"/>
      <w:lvlText w:val="(%1)"/>
      <w:numFmt w:val="lowerLetter"/>
      <w:start w:val="21"/>
    </w:lvl>
  </w:abstractNum>
  <w:abstractNum w:abstractNumId="48">
    <w:nsid w:val="79A1DEAA"/>
    <w:multiLevelType w:val="hybridMultilevel"/>
    <w:lvl w:ilvl="0">
      <w:lvlJc w:val="left"/>
      <w:lvlText w:val="(%1)"/>
      <w:numFmt w:val="lowerLetter"/>
      <w:start w:val="23"/>
    </w:lvl>
  </w:abstractNum>
  <w:abstractNum w:abstractNumId="49">
    <w:nsid w:val="75C6C33A"/>
    <w:multiLevelType w:val="hybridMultilevel"/>
    <w:lvl w:ilvl="0">
      <w:lvlJc w:val="left"/>
      <w:lvlText w:val="%1"/>
      <w:numFmt w:val="decimal"/>
      <w:start w:val="28"/>
    </w:lvl>
  </w:abstractNum>
  <w:abstractNum w:abstractNumId="50">
    <w:nsid w:val="12E685FB"/>
    <w:multiLevelType w:val="hybridMultilevel"/>
    <w:lvl w:ilvl="0">
      <w:lvlJc w:val="left"/>
      <w:lvlText w:val="(%1)"/>
      <w:numFmt w:val="lowerLetter"/>
      <w:start w:val="26"/>
    </w:lvl>
  </w:abstractNum>
  <w:abstractNum w:abstractNumId="51">
    <w:nsid w:val="70C6A529"/>
    <w:multiLevelType w:val="hybridMultilevel"/>
    <w:lvl w:ilvl="0">
      <w:lvlJc w:val="left"/>
      <w:lvlText w:val="(%1)"/>
      <w:numFmt w:val="lowerLetter"/>
      <w:start w:val="27"/>
    </w:lvl>
  </w:abstractNum>
  <w:abstractNum w:abstractNumId="52">
    <w:nsid w:val="520EEDD1"/>
    <w:multiLevelType w:val="hybridMultilevel"/>
    <w:lvl w:ilvl="0">
      <w:lvlJc w:val="left"/>
      <w:lvlText w:val="%1"/>
      <w:numFmt w:val="decimal"/>
      <w:start w:val="31"/>
    </w:lvl>
  </w:abstractNum>
  <w:abstractNum w:abstractNumId="53">
    <w:nsid w:val="374A3FE6"/>
    <w:multiLevelType w:val="hybridMultilevel"/>
    <w:lvl w:ilvl="0">
      <w:lvlJc w:val="left"/>
      <w:lvlText w:val="%1"/>
      <w:numFmt w:val="decimal"/>
      <w:start w:val="3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2026-06-25T17:38:42Z</dcterms:created>
  <dcterms:modified xsi:type="dcterms:W3CDTF">2026-06-25T17:38:42Z</dcterms:modified>
</cp:coreProperties>
</file>