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Robinhood Markets,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WILLOW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Robinhood Ventures Fund I</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RVI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124,319</w:t>
            </w:r>
          </w:p>
        </w:tc>
        <w:tc>
          <w:tcPr>
            <w:tcW w:w="4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24.77</w:t>
            </w:r>
          </w:p>
        </w:tc>
        <w:tc>
          <w:tcPr>
            <w:tcW w:w="12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12,921,815</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shares held reflects the stock split that was effective immediately before the completion of the initial public offering, which resulted in each share outstanding as of March 5, 2026 being classified into 1.0239 shares of beneficial interest.</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common shares of beneficial interest held by Robinhood Markets, Inc. and Robinhood Employee Fund, LP. Robinhood Employee Fund GP, LLC is the general partner of Robinhood Employee Fund, LP. Robinhood Employee Fund GP, LLC is wholly-owned by Robinhood Markets, Inc.</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Robinhood Markets, Inc. and Robinhood Employee Fund, LP disclaims beneficial ownership of the common shares of beneficial interest reported herein except to the extent of its pecuniary interest therein, and this report shall not be deemed an admission that any person or entity is the beneficial owner of such securities for purposes of Section 16 of the Securities Exchange Act of 1934, as amended, or for any other purpose.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Robinhood Markets, Inc.,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Manan Shah, Name:</w:t>
      </w:r>
      <w:r>
        <w:rPr>
          <w:sz w:val="20"/>
          <w:szCs w:val="20"/>
          <w:color w:val="auto"/>
        </w:rPr>
        <w:tab/>
      </w:r>
      <w:r>
        <w:rPr>
          <w:rFonts w:ascii="Times New Roman" w:cs="Times New Roman" w:eastAsia="Times New Roman" w:hAnsi="Times New Roman"/>
          <w:sz w:val="17"/>
          <w:szCs w:val="17"/>
          <w:color w:val="0000FF"/>
        </w:rPr>
        <w:t>10/30/2026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Manan Shah, Title: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7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83879" TargetMode="External"/><Relationship Id="rId14" Type="http://schemas.openxmlformats.org/officeDocument/2006/relationships/hyperlink" Target="http://www.sec.gov/cgi-bin/browse-edgar?action=getcompany&amp;CIK=0002085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2026-10-30T16:58:36Z</dcterms:created>
  <dcterms:modified xsi:type="dcterms:W3CDTF">2026-10-30T16:58:36Z</dcterms:modified>
</cp:coreProperties>
</file>