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00"/>
        <w:ind w:left="0" w:right="0" w:firstLine="360"/>
        <w:jc w:val="center"/>
        <w:rPr/>
      </w:pPr>
      <w:r>
        <w:rPr/>
      </w:r>
    </w:p>
    <w:p>
      <w:pPr>
        <w:pStyle w:val="TextBody"/>
        <w:spacing w:before="0" w:after="0"/>
        <w:ind w:left="0" w:right="0" w:firstLine="720"/>
        <w:jc w:val="center"/>
        <w:rPr/>
      </w:pPr>
      <w:r>
        <w:rPr/>
      </w:r>
    </w:p>
    <w:p>
      <w:pPr>
        <w:pStyle w:val="TextBody"/>
        <w:spacing w:lineRule="auto" w:line="288" w:before="0" w:after="0"/>
        <w:ind w:left="0" w:right="0" w:firstLine="720"/>
        <w:jc w:val="center"/>
        <w:rPr>
          <w:rFonts w:ascii="Helvetica;sans-serif" w:hAnsi="Helvetica;sans-serif"/>
          <w:b/>
          <w:color w:val="000000"/>
          <w:sz w:val="32"/>
        </w:rPr>
      </w:pPr>
      <w:r>
        <w:rPr>
          <w:rFonts w:ascii="Helvetica;sans-serif" w:hAnsi="Helvetica;sans-serif"/>
          <w:b/>
          <w:color w:val="000000"/>
          <w:sz w:val="32"/>
        </w:rPr>
        <w:t>UNITED STATES</w:t>
      </w:r>
    </w:p>
    <w:p>
      <w:pPr>
        <w:pStyle w:val="TextBody"/>
        <w:spacing w:lineRule="auto" w:line="288" w:before="0" w:after="0"/>
        <w:ind w:left="0" w:right="0" w:firstLine="360"/>
        <w:jc w:val="center"/>
        <w:rPr>
          <w:rFonts w:ascii="Helvetica;sans-serif" w:hAnsi="Helvetica;sans-serif"/>
          <w:b/>
          <w:color w:val="000000"/>
          <w:sz w:val="32"/>
        </w:rPr>
      </w:pPr>
      <w:r>
        <w:rPr>
          <w:rFonts w:ascii="Helvetica;sans-serif" w:hAnsi="Helvetica;sans-serif"/>
          <w:b/>
          <w:color w:val="000000"/>
          <w:sz w:val="32"/>
        </w:rPr>
        <w:t>SECURITIES AND EXCHANGE COMMISSION</w:t>
      </w:r>
    </w:p>
    <w:p>
      <w:pPr>
        <w:pStyle w:val="TextBody"/>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Washington, D.C. 20549</w:t>
      </w:r>
    </w:p>
    <w:p>
      <w:pPr>
        <w:pStyle w:val="TextBody"/>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spacing w:lineRule="auto" w:line="288" w:before="240" w:after="283"/>
        <w:ind w:left="0" w:right="0" w:firstLine="360"/>
        <w:jc w:val="center"/>
        <w:rPr>
          <w:rFonts w:ascii="Helvetica;sans-serif" w:hAnsi="Helvetica;sans-serif"/>
          <w:b/>
          <w:color w:val="000000"/>
          <w:sz w:val="36"/>
        </w:rPr>
      </w:pPr>
      <w:r>
        <w:rPr>
          <w:rFonts w:ascii="Helvetica;sans-serif" w:hAnsi="Helvetica;sans-serif"/>
          <w:b/>
          <w:color w:val="000000"/>
          <w:sz w:val="36"/>
        </w:rPr>
        <w:t>FORM 10-Q</w:t>
      </w:r>
    </w:p>
    <w:p>
      <w:pPr>
        <w:pStyle w:val="TextBody"/>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spacing w:lineRule="auto" w:line="288" w:before="0" w:after="0"/>
        <w:rPr>
          <w:rFonts w:ascii="Helvetica;sans-serif" w:hAnsi="Helvetica;sans-serif"/>
          <w:b w:val="false"/>
          <w:color w:val="000000"/>
          <w:sz w:val="18"/>
        </w:rPr>
      </w:pPr>
      <w:r>
        <w:rPr>
          <w:rFonts w:ascii="Helvetica;sans-serif" w:hAnsi="Helvetica;sans-serif"/>
          <w:b w:val="false"/>
          <w:color w:val="000000"/>
          <w:sz w:val="18"/>
        </w:rPr>
        <w:t>(Mark One)</w:t>
      </w:r>
    </w:p>
    <w:tbl>
      <w:tblPr>
        <w:tblW w:w="9716" w:type="dxa"/>
        <w:jc w:val="left"/>
        <w:tblInd w:w="0" w:type="dxa"/>
        <w:tblCellMar>
          <w:top w:w="28" w:type="dxa"/>
          <w:left w:w="28" w:type="dxa"/>
          <w:bottom w:w="28" w:type="dxa"/>
          <w:right w:w="28" w:type="dxa"/>
        </w:tblCellMar>
      </w:tblPr>
      <w:tblGrid>
        <w:gridCol w:w="124"/>
        <w:gridCol w:w="109"/>
        <w:gridCol w:w="109"/>
        <w:gridCol w:w="2740"/>
        <w:gridCol w:w="2740"/>
        <w:gridCol w:w="389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2740" w:type="dxa"/>
            <w:tcBorders/>
            <w:shd w:fill="auto" w:val="clear"/>
            <w:vAlign w:val="center"/>
          </w:tcPr>
          <w:p>
            <w:pPr>
              <w:pStyle w:val="TableContents"/>
              <w:spacing w:before="0" w:after="283"/>
              <w:rPr>
                <w:sz w:val="4"/>
                <w:szCs w:val="4"/>
              </w:rPr>
            </w:pPr>
            <w:r>
              <w:rPr>
                <w:sz w:val="4"/>
                <w:szCs w:val="4"/>
              </w:rPr>
            </w:r>
          </w:p>
        </w:tc>
        <w:tc>
          <w:tcPr>
            <w:tcW w:w="389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both"/>
              <w:rPr>
                <w:color w:val="000000"/>
              </w:rPr>
            </w:pPr>
            <w:r>
              <w:rPr>
                <w:color w:val="000000"/>
              </w:rPr>
              <w:t>☒</w:t>
            </w:r>
          </w:p>
        </w:tc>
        <w:tc>
          <w:tcPr>
            <w:tcW w:w="93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QUARTERLY REPORT PURSUANT TO SECTION 13 OR 15(d) OF THE SECURITIES EXCHANGE ACT OF 1934</w:t>
            </w:r>
          </w:p>
        </w:tc>
      </w:tr>
    </w:tbl>
    <w:p>
      <w:pPr>
        <w:pStyle w:val="TextBody"/>
        <w:spacing w:lineRule="auto" w:line="288" w:before="0" w:after="200"/>
        <w:ind w:left="0" w:right="0" w:firstLine="360"/>
        <w:jc w:val="center"/>
        <w:rPr/>
      </w:pPr>
      <w:r>
        <w:rPr>
          <w:rFonts w:ascii="Helvetica;sans-serif" w:hAnsi="Helvetica;sans-serif"/>
          <w:b/>
          <w:color w:val="000000"/>
          <w:sz w:val="20"/>
        </w:rPr>
        <w:t>For the quarterly period ended</w:t>
      </w:r>
      <w:r>
        <w:rPr>
          <w:color w:val="000000"/>
        </w:rPr>
        <w:t xml:space="preserve"> </w:t>
      </w:r>
      <w:r>
        <w:rPr>
          <w:rFonts w:ascii="Helvetica;sans-serif" w:hAnsi="Helvetica;sans-serif"/>
          <w:b/>
          <w:color w:val="000000"/>
          <w:sz w:val="20"/>
        </w:rPr>
        <w:t>March 31, 2023</w:t>
      </w:r>
    </w:p>
    <w:p>
      <w:pPr>
        <w:pStyle w:val="TextBody"/>
        <w:spacing w:lineRule="auto" w:line="288" w:before="0" w:after="0"/>
        <w:ind w:left="0" w:right="0" w:firstLine="360"/>
        <w:jc w:val="center"/>
        <w:rPr>
          <w:rFonts w:ascii="Helvetica;sans-serif" w:hAnsi="Helvetica;sans-serif"/>
          <w:b/>
          <w:color w:val="000000"/>
          <w:sz w:val="20"/>
        </w:rPr>
      </w:pPr>
      <w:r>
        <w:rPr>
          <w:rFonts w:ascii="Helvetica;sans-serif" w:hAnsi="Helvetica;sans-serif"/>
          <w:b/>
          <w:color w:val="000000"/>
          <w:sz w:val="20"/>
        </w:rPr>
        <w:t>OR</w:t>
      </w:r>
    </w:p>
    <w:tbl>
      <w:tblPr>
        <w:tblW w:w="9686" w:type="dxa"/>
        <w:jc w:val="left"/>
        <w:tblInd w:w="0" w:type="dxa"/>
        <w:tblCellMar>
          <w:top w:w="28" w:type="dxa"/>
          <w:left w:w="28" w:type="dxa"/>
          <w:bottom w:w="28" w:type="dxa"/>
          <w:right w:w="28" w:type="dxa"/>
        </w:tblCellMar>
      </w:tblPr>
      <w:tblGrid>
        <w:gridCol w:w="124"/>
        <w:gridCol w:w="109"/>
        <w:gridCol w:w="109"/>
        <w:gridCol w:w="2737"/>
        <w:gridCol w:w="2737"/>
        <w:gridCol w:w="387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2737" w:type="dxa"/>
            <w:tcBorders/>
            <w:shd w:fill="auto" w:val="clear"/>
            <w:vAlign w:val="center"/>
          </w:tcPr>
          <w:p>
            <w:pPr>
              <w:pStyle w:val="TableContents"/>
              <w:spacing w:before="0" w:after="283"/>
              <w:rPr>
                <w:sz w:val="4"/>
                <w:szCs w:val="4"/>
              </w:rPr>
            </w:pPr>
            <w:r>
              <w:rPr>
                <w:sz w:val="4"/>
                <w:szCs w:val="4"/>
              </w:rPr>
            </w:r>
          </w:p>
        </w:tc>
        <w:tc>
          <w:tcPr>
            <w:tcW w:w="387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34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8"/>
              </w:rPr>
            </w:pPr>
            <w:r>
              <w:rPr>
                <w:rFonts w:ascii="Helvetica;sans-serif" w:hAnsi="Helvetica;sans-serif"/>
                <w:b/>
                <w:color w:val="000000"/>
                <w:sz w:val="18"/>
              </w:rPr>
              <w:t>TRANSITION REPORT PURSUANT TO SECTION 13 OR 15(d) OF THE SECURITIES EXCHANGE ACT OF 1934</w:t>
            </w:r>
          </w:p>
        </w:tc>
      </w:tr>
    </w:tbl>
    <w:p>
      <w:pPr>
        <w:pStyle w:val="TextBody"/>
        <w:spacing w:lineRule="auto" w:line="288" w:before="0" w:after="1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For the transition period from  ________ to ________</w:t>
      </w:r>
    </w:p>
    <w:p>
      <w:pPr>
        <w:pStyle w:val="TextBody"/>
        <w:spacing w:lineRule="auto" w:line="288" w:before="240" w:after="283"/>
        <w:ind w:left="0" w:right="0" w:firstLine="360"/>
        <w:jc w:val="center"/>
        <w:rPr/>
      </w:pPr>
      <w:r>
        <w:rPr>
          <w:rFonts w:ascii="Helvetica;sans-serif" w:hAnsi="Helvetica;sans-serif"/>
          <w:b w:val="false"/>
          <w:color w:val="000000"/>
          <w:sz w:val="20"/>
        </w:rPr>
        <w:t xml:space="preserve">Commission File Number: </w:t>
      </w:r>
      <w:r>
        <w:rPr>
          <w:rFonts w:ascii="Helvetica;sans-serif" w:hAnsi="Helvetica;sans-serif"/>
          <w:b/>
          <w:color w:val="000000"/>
          <w:sz w:val="20"/>
        </w:rPr>
        <w:t>001-40691</w:t>
      </w:r>
    </w:p>
    <w:p>
      <w:pPr>
        <w:pStyle w:val="TextBody"/>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p>
      <w:pPr>
        <w:pStyle w:val="TextBody"/>
        <w:spacing w:lineRule="auto" w:line="288" w:before="240" w:after="283"/>
        <w:ind w:left="0" w:right="0" w:firstLine="360"/>
        <w:jc w:val="center"/>
        <w:rPr>
          <w:rFonts w:ascii="Helvetica;sans-serif" w:hAnsi="Helvetica;sans-serif"/>
          <w:b/>
          <w:color w:val="000000"/>
          <w:sz w:val="48"/>
        </w:rPr>
      </w:pPr>
      <w:r>
        <w:rPr>
          <w:rFonts w:ascii="Helvetica;sans-serif" w:hAnsi="Helvetica;sans-serif"/>
          <w:b/>
          <w:color w:val="000000"/>
          <w:sz w:val="48"/>
        </w:rPr>
        <w:t>Robinhood Markets, Inc.</w:t>
      </w:r>
    </w:p>
    <w:p>
      <w:pPr>
        <w:pStyle w:val="TextBody"/>
        <w:spacing w:lineRule="auto" w:line="288" w:before="60" w:after="6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(Exact name of registrant as specified in its charter)</w:t>
      </w:r>
    </w:p>
    <w:p>
      <w:pPr>
        <w:pStyle w:val="TextBody"/>
        <w:spacing w:lineRule="auto" w:line="288" w:before="0" w:after="0"/>
        <w:ind w:left="0" w:right="0" w:firstLine="360"/>
        <w:jc w:val="center"/>
        <w:rPr>
          <w:rFonts w:ascii="Helvetica;sans-serif" w:hAnsi="Helvetica;sans-serif"/>
          <w:b/>
          <w:color w:val="000000"/>
          <w:sz w:val="24"/>
        </w:rPr>
      </w:pPr>
      <w:r>
        <w:rPr>
          <w:rFonts w:ascii="Helvetica;sans-serif" w:hAnsi="Helvetica;sans-serif"/>
          <w:b/>
          <w:color w:val="000000"/>
          <w:sz w:val="24"/>
        </w:rPr>
        <w:t>______________________</w:t>
      </w:r>
    </w:p>
    <w:tbl>
      <w:tblPr>
        <w:tblW w:w="3987" w:type="dxa"/>
        <w:jc w:val="left"/>
        <w:tblInd w:w="0" w:type="dxa"/>
        <w:tblCellMar>
          <w:top w:w="28" w:type="dxa"/>
          <w:left w:w="28" w:type="dxa"/>
          <w:bottom w:w="28" w:type="dxa"/>
          <w:right w:w="28" w:type="dxa"/>
        </w:tblCellMar>
      </w:tblPr>
      <w:tblGrid>
        <w:gridCol w:w="815"/>
        <w:gridCol w:w="715"/>
        <w:gridCol w:w="720"/>
        <w:gridCol w:w="109"/>
        <w:gridCol w:w="109"/>
        <w:gridCol w:w="109"/>
        <w:gridCol w:w="412"/>
        <w:gridCol w:w="412"/>
        <w:gridCol w:w="586"/>
      </w:tblGrid>
      <w:tr>
        <w:trPr/>
        <w:tc>
          <w:tcPr>
            <w:tcW w:w="815"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20"/>
              </w:rPr>
            </w:pPr>
            <w:r>
              <w:rPr>
                <w:rFonts w:ascii="Helvetica;sans-serif" w:hAnsi="Helvetica;sans-serif"/>
                <w:b/>
                <w:color w:val="000000"/>
                <w:sz w:val="20"/>
              </w:rPr>
              <w:t>Delaware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20"/>
              </w:rPr>
            </w:pPr>
            <w:r>
              <w:rPr>
                <w:rFonts w:ascii="Helvetica;sans-serif" w:hAnsi="Helvetica;sans-serif"/>
                <w:b/>
                <w:color w:val="000000"/>
                <w:sz w:val="20"/>
              </w:rPr>
              <w:t>46-4364776</w:t>
            </w:r>
          </w:p>
        </w:tc>
      </w:tr>
      <w:tr>
        <w:trPr/>
        <w:tc>
          <w:tcPr>
            <w:tcW w:w="225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(State or other jurisdiction of</w:t>
              <w:br/>
              <w:t>incorporation or organization)</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(IRS Employer</w:t>
              <w:br/>
              <w:t>Identification No.)</w:t>
            </w:r>
          </w:p>
        </w:tc>
      </w:tr>
    </w:tbl>
    <w:p>
      <w:pPr>
        <w:pStyle w:val="TextBody"/>
        <w:spacing w:lineRule="auto" w:line="288" w:before="0" w:after="0"/>
        <w:ind w:left="0" w:right="0" w:firstLine="360"/>
        <w:jc w:val="center"/>
        <w:rPr>
          <w:rFonts w:ascii="Helvetica;sans-serif" w:hAnsi="Helvetica;sans-serif"/>
          <w:b/>
          <w:color w:val="000000"/>
          <w:sz w:val="20"/>
          <w:highlight w:val="white"/>
        </w:rPr>
      </w:pPr>
      <w:r>
        <w:rPr>
          <w:rFonts w:ascii="Helvetica;sans-serif" w:hAnsi="Helvetica;sans-serif"/>
          <w:b/>
          <w:color w:val="000000"/>
          <w:sz w:val="20"/>
          <w:highlight w:val="white"/>
        </w:rPr>
        <w:t>85 Willow Rd</w:t>
      </w:r>
    </w:p>
    <w:p>
      <w:pPr>
        <w:pStyle w:val="TextBody"/>
        <w:spacing w:lineRule="auto" w:line="288" w:before="0" w:after="0"/>
        <w:ind w:left="0" w:right="0" w:firstLine="360"/>
        <w:jc w:val="center"/>
        <w:rPr>
          <w:rFonts w:ascii="Helvetica;sans-serif" w:hAnsi="Helvetica;sans-serif"/>
          <w:b/>
          <w:color w:val="000000"/>
          <w:sz w:val="20"/>
          <w:highlight w:val="white"/>
        </w:rPr>
      </w:pPr>
      <w:r>
        <w:rPr>
          <w:rFonts w:ascii="Helvetica;sans-serif" w:hAnsi="Helvetica;sans-serif"/>
          <w:b/>
          <w:color w:val="000000"/>
          <w:sz w:val="20"/>
          <w:highlight w:val="white"/>
        </w:rPr>
        <w:t>Menlo Park, CA 94025</w:t>
      </w:r>
    </w:p>
    <w:p>
      <w:pPr>
        <w:pStyle w:val="TextBody"/>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(Address of principal executive offices, including zip code)</w:t>
      </w:r>
    </w:p>
    <w:p>
      <w:pPr>
        <w:pStyle w:val="TextBody"/>
        <w:spacing w:lineRule="auto" w:line="288" w:before="120" w:after="283"/>
        <w:ind w:left="0" w:right="0" w:firstLine="360"/>
        <w:jc w:val="center"/>
        <w:rPr>
          <w:rFonts w:ascii="Helvetica;sans-serif" w:hAnsi="Helvetica;sans-serif"/>
          <w:b/>
          <w:color w:val="000000"/>
          <w:sz w:val="20"/>
        </w:rPr>
      </w:pPr>
      <w:r>
        <w:rPr>
          <w:rFonts w:ascii="Helvetica;sans-serif" w:hAnsi="Helvetica;sans-serif"/>
          <w:b/>
          <w:color w:val="000000"/>
          <w:sz w:val="20"/>
        </w:rPr>
        <w:t>(844) 428-5411</w:t>
      </w:r>
    </w:p>
    <w:p>
      <w:pPr>
        <w:pStyle w:val="TextBody"/>
        <w:spacing w:lineRule="auto" w:line="288" w:before="0" w:after="0"/>
        <w:ind w:left="0" w:right="0" w:firstLine="360"/>
        <w:jc w:val="center"/>
        <w:rPr>
          <w:rFonts w:ascii="Helvetica;sans-serif" w:hAnsi="Helvetica;sans-serif"/>
          <w:b w:val="false"/>
          <w:color w:val="000000"/>
          <w:sz w:val="16"/>
        </w:rPr>
      </w:pPr>
      <w:r>
        <w:rPr>
          <w:rFonts w:ascii="Helvetica;sans-serif" w:hAnsi="Helvetica;sans-serif"/>
          <w:b w:val="false"/>
          <w:color w:val="000000"/>
          <w:sz w:val="16"/>
        </w:rPr>
        <w:t>(Registrant’s telephone number, including area code)</w:t>
      </w:r>
    </w:p>
    <w:p>
      <w:pPr>
        <w:pStyle w:val="TextBody"/>
        <w:spacing w:before="0" w:after="0"/>
        <w:ind w:left="0" w:right="0" w:firstLine="360"/>
        <w:jc w:val="center"/>
        <w:rPr/>
      </w:pPr>
      <w:r>
        <w:rPr/>
      </w:r>
    </w:p>
    <w:p>
      <w:pPr>
        <w:pStyle w:val="TextBody"/>
        <w:spacing w:lineRule="auto" w:line="288" w:before="0" w:after="120"/>
        <w:jc w:val="both"/>
        <w:rPr>
          <w:rFonts w:ascii="Helvetica;sans-serif" w:hAnsi="Helvetica;sans-serif"/>
          <w:b w:val="false"/>
          <w:color w:val="000000"/>
          <w:sz w:val="18"/>
        </w:rPr>
      </w:pPr>
      <w:r>
        <w:rPr>
          <w:rFonts w:ascii="Helvetica;sans-serif" w:hAnsi="Helvetica;sans-serif"/>
          <w:b w:val="false"/>
          <w:color w:val="000000"/>
          <w:sz w:val="18"/>
        </w:rPr>
        <w:t>Securities registered pursuant to Section 12(b) of the Act:</w:t>
      </w:r>
    </w:p>
    <w:tbl>
      <w:tblPr>
        <w:tblW w:w="7439" w:type="dxa"/>
        <w:jc w:val="center"/>
        <w:tblInd w:w="0" w:type="dxa"/>
        <w:tblCellMar>
          <w:top w:w="28" w:type="dxa"/>
          <w:left w:w="28" w:type="dxa"/>
          <w:bottom w:w="28" w:type="dxa"/>
          <w:right w:w="28" w:type="dxa"/>
        </w:tblCellMar>
      </w:tblPr>
      <w:tblGrid>
        <w:gridCol w:w="815"/>
        <w:gridCol w:w="716"/>
        <w:gridCol w:w="719"/>
        <w:gridCol w:w="464"/>
        <w:gridCol w:w="464"/>
        <w:gridCol w:w="466"/>
        <w:gridCol w:w="1108"/>
        <w:gridCol w:w="1108"/>
        <w:gridCol w:w="1579"/>
      </w:tblGrid>
      <w:tr>
        <w:trPr/>
        <w:tc>
          <w:tcPr>
            <w:tcW w:w="815"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19"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579" w:type="dxa"/>
            <w:tcBorders/>
            <w:shd w:fill="auto" w:val="clear"/>
            <w:vAlign w:val="center"/>
          </w:tcPr>
          <w:p>
            <w:pPr>
              <w:pStyle w:val="TableContents"/>
              <w:spacing w:before="0" w:after="283"/>
              <w:rPr>
                <w:sz w:val="4"/>
                <w:szCs w:val="4"/>
              </w:rPr>
            </w:pPr>
            <w:r>
              <w:rPr>
                <w:sz w:val="4"/>
                <w:szCs w:val="4"/>
              </w:rPr>
            </w:r>
          </w:p>
        </w:tc>
      </w:tr>
      <w:tr>
        <w:trPr/>
        <w:tc>
          <w:tcPr>
            <w:tcW w:w="2250"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Title of each class</w:t>
            </w:r>
          </w:p>
        </w:tc>
        <w:tc>
          <w:tcPr>
            <w:tcW w:w="139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Trading Symbol</w:t>
            </w:r>
          </w:p>
        </w:tc>
        <w:tc>
          <w:tcPr>
            <w:tcW w:w="3795"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Helvetica;sans-serif" w:hAnsi="Helvetica;sans-serif"/>
                <w:b w:val="false"/>
                <w:color w:val="000000"/>
                <w:sz w:val="18"/>
              </w:rPr>
            </w:pPr>
            <w:r>
              <w:rPr>
                <w:rFonts w:ascii="Helvetica;sans-serif" w:hAnsi="Helvetica;sans-serif"/>
                <w:b w:val="false"/>
                <w:color w:val="000000"/>
                <w:sz w:val="18"/>
              </w:rPr>
              <w:t>Name of each exchange on which registered</w:t>
            </w:r>
          </w:p>
        </w:tc>
      </w:tr>
      <w:tr>
        <w:trPr/>
        <w:tc>
          <w:tcPr>
            <w:tcW w:w="2250"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Class A Common Stock</w:t>
              <w:br/>
              <w:t>$0.0001 par value per share</w:t>
            </w:r>
          </w:p>
        </w:tc>
        <w:tc>
          <w:tcPr>
            <w:tcW w:w="139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HOOD</w:t>
            </w:r>
          </w:p>
        </w:tc>
        <w:tc>
          <w:tcPr>
            <w:tcW w:w="3795"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The Nasdaq Stock Market LLC</w:t>
            </w:r>
          </w:p>
        </w:tc>
      </w:tr>
    </w:tbl>
    <w:p>
      <w:pPr>
        <w:pStyle w:val="TextBody"/>
        <w:spacing w:lineRule="auto" w:line="288" w:before="0" w:after="0"/>
        <w:ind w:left="0" w:right="0" w:firstLine="360"/>
        <w:rPr/>
      </w:pPr>
      <w:r>
        <w:rPr>
          <w:rFonts w:ascii="Helvetica;sans-serif" w:hAnsi="Helvetica;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spacing w:before="0" w:after="0"/>
        <w:jc w:val="both"/>
        <w:rPr/>
      </w:pPr>
      <w:r>
        <w:rPr/>
      </w:r>
    </w:p>
    <w:p>
      <w:pPr>
        <w:pStyle w:val="TextBody"/>
        <w:spacing w:lineRule="auto" w:line="288" w:before="0" w:after="0"/>
        <w:jc w:val="both"/>
        <w:rPr/>
      </w:pPr>
      <w:r>
        <w:rPr>
          <w:rFonts w:ascii="Helvetica;sans-serif" w:hAnsi="Helvetica;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Helvetica;sans-serif" w:hAnsi="Helvetica;sans-serif"/>
          <w:b w:val="false"/>
          <w:color w:val="000000"/>
          <w:sz w:val="18"/>
        </w:rPr>
        <w:t>No </w:t>
      </w:r>
      <w:r>
        <w:rPr>
          <w:rFonts w:ascii="Wingdings;sans-serif" w:hAnsi="Wingdings;sans-serif"/>
          <w:b w:val="false"/>
          <w:color w:val="000000"/>
          <w:sz w:val="18"/>
        </w:rPr>
        <w:t>o</w:t>
      </w:r>
    </w:p>
    <w:p>
      <w:pPr>
        <w:pStyle w:val="TextBody"/>
        <w:spacing w:before="0" w:after="0"/>
        <w:jc w:val="both"/>
        <w:rPr/>
      </w:pPr>
      <w:r>
        <w:rPr/>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pStyle w:val="TextBody"/>
        <w:spacing w:before="0" w:after="0"/>
        <w:jc w:val="both"/>
        <w:rPr/>
      </w:pPr>
      <w:r>
        <w:rPr/>
      </w:r>
    </w:p>
    <w:p>
      <w:pPr>
        <w:pStyle w:val="TextBody"/>
        <w:spacing w:lineRule="auto" w:line="288" w:before="0" w:after="0"/>
        <w:jc w:val="center"/>
        <w:rPr/>
      </w:pPr>
      <w:r>
        <w:rPr>
          <w:rFonts w:ascii="Helvetica;sans-serif" w:hAnsi="Helvetica;sans-serif"/>
          <w:b w:val="false"/>
          <w:color w:val="000000"/>
          <w:sz w:val="18"/>
        </w:rPr>
        <w:t>Large accelerated filer </w:t>
      </w:r>
      <w:r>
        <w:rPr>
          <w:color w:val="000000"/>
        </w:rPr>
        <w:t xml:space="preserve">☒     </w:t>
      </w:r>
      <w:r>
        <w:rPr>
          <w:rFonts w:ascii="Helvetica;sans-serif" w:hAnsi="Helvetica;sans-serif"/>
          <w:b w:val="false"/>
          <w:color w:val="000000"/>
          <w:sz w:val="18"/>
        </w:rPr>
        <w:t>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Non-accelerated filer </w:t>
      </w:r>
      <w:r>
        <w:rPr>
          <w:rFonts w:ascii="Wingdings;sans-serif" w:hAnsi="Wingdings;sans-serif"/>
          <w:b w:val="false"/>
          <w:color w:val="000000"/>
          <w:sz w:val="18"/>
        </w:rPr>
        <w:t>o</w:t>
      </w:r>
      <w:r>
        <w:rPr>
          <w:color w:val="000000"/>
        </w:rPr>
        <w:t xml:space="preserve">  </w:t>
      </w:r>
      <w:r>
        <w:rPr>
          <w:rFonts w:ascii="Helvetica;sans-serif" w:hAnsi="Helvetica;sans-serif"/>
          <w:b w:val="false"/>
          <w:color w:val="000000"/>
          <w:sz w:val="18"/>
        </w:rPr>
        <w:t>Smaller reporting company </w:t>
      </w:r>
      <w:r>
        <w:rPr>
          <w:color w:val="000000"/>
        </w:rPr>
        <w:t xml:space="preserve">☐ </w:t>
      </w:r>
      <w:r>
        <w:rPr>
          <w:rFonts w:ascii="Helvetica;sans-serif" w:hAnsi="Helvetica;sans-serif"/>
          <w:b w:val="false"/>
          <w:color w:val="000000"/>
          <w:sz w:val="18"/>
        </w:rPr>
        <w:t xml:space="preserve">Emerging growth company </w:t>
      </w:r>
      <w:r>
        <w:rPr>
          <w:color w:val="000000"/>
        </w:rPr>
        <w:t>☐</w:t>
      </w:r>
    </w:p>
    <w:p>
      <w:pPr>
        <w:pStyle w:val="TextBody"/>
        <w:spacing w:before="0" w:after="0"/>
        <w:jc w:val="both"/>
        <w:rPr/>
      </w:pPr>
      <w:r>
        <w:rPr/>
      </w:r>
    </w:p>
    <w:p>
      <w:pPr>
        <w:pStyle w:val="TextBody"/>
        <w:spacing w:lineRule="auto" w:line="288" w:before="0" w:after="0"/>
        <w:jc w:val="both"/>
        <w:rPr/>
      </w:pPr>
      <w:r>
        <w:rPr>
          <w:rFonts w:ascii="Helvetica;sans-serif" w:hAnsi="Helvetica;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spacing w:before="0" w:after="0"/>
        <w:ind w:left="0" w:right="0" w:firstLine="360"/>
        <w:jc w:val="both"/>
        <w:rPr/>
      </w:pPr>
      <w:r>
        <w:rPr/>
      </w:r>
    </w:p>
    <w:p>
      <w:pPr>
        <w:pStyle w:val="TextBody"/>
        <w:spacing w:lineRule="auto" w:line="288" w:before="0" w:after="0"/>
        <w:jc w:val="both"/>
        <w:rPr/>
      </w:pPr>
      <w:r>
        <w:rPr>
          <w:rFonts w:ascii="Helvetica;sans-serif" w:hAnsi="Helvetica;sans-serif"/>
          <w:b w:val="false"/>
          <w:color w:val="000000"/>
          <w:sz w:val="18"/>
        </w:rPr>
        <w:t>Indicate by check mark whether the registrant is a shell company (as defined in Rule 12b-2 of the Exchange Act).    Yes  </w:t>
      </w:r>
      <w:r>
        <w:rPr>
          <w:rFonts w:ascii="Wingdings;sans-serif" w:hAnsi="Wingdings;sans-serif"/>
          <w:b w:val="false"/>
          <w:color w:val="000000"/>
          <w:sz w:val="18"/>
        </w:rPr>
        <w:t>o</w:t>
      </w:r>
      <w:r>
        <w:rPr>
          <w:color w:val="000000"/>
        </w:rPr>
        <w:t>    </w:t>
      </w:r>
      <w:r>
        <w:rPr>
          <w:rFonts w:ascii="Helvetica;sans-serif" w:hAnsi="Helvetica;sans-serif"/>
          <w:b w:val="false"/>
          <w:color w:val="000000"/>
          <w:sz w:val="18"/>
        </w:rPr>
        <w:t>No  </w:t>
      </w:r>
      <w:r>
        <w:rPr>
          <w:color w:val="000000"/>
        </w:rPr>
        <w:t>☒</w:t>
      </w:r>
    </w:p>
    <w:p>
      <w:pPr>
        <w:pStyle w:val="TextBody"/>
        <w:spacing w:lineRule="auto" w:line="288" w:before="0" w:after="0"/>
        <w:jc w:val="both"/>
        <w:rPr>
          <w:rFonts w:ascii="Helvetica;sans-serif" w:hAnsi="Helvetica;sans-serif"/>
          <w:b w:val="false"/>
          <w:color w:val="000000"/>
          <w:sz w:val="18"/>
        </w:rPr>
      </w:pPr>
      <w:r>
        <w:rPr>
          <w:rFonts w:ascii="Helvetica;sans-serif" w:hAnsi="Helvetica;sans-serif"/>
          <w:b w:val="false"/>
          <w:color w:val="000000"/>
          <w:sz w:val="18"/>
        </w:rPr>
        <w:t xml:space="preserve">As of May 4, 2023, the numbers of shares of the issuer’s Class A and Class B common stock outstanding were 775,510,054 and 127,445,988.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00"/>
                        <w:jc w:val="center"/>
                        <w:rPr/>
                      </w:pPr>
                      <w:r>
                        <w:rPr/>
                      </w:r>
                    </w:p>
                  </w:txbxContent>
                </v:textbox>
              </v:rect>
            </w:pict>
          </mc:Fallback>
        </mc:AlternateContent>
      </w:r>
    </w:p>
    <w:p>
      <w:pPr>
        <w:pStyle w:val="TextBody"/>
        <w:spacing w:before="0" w:after="0"/>
        <w:rPr/>
      </w:pPr>
      <w:r>
        <w:rPr/>
      </w:r>
    </w:p>
    <w:p>
      <w:pPr>
        <w:pStyle w:val="TextBody"/>
        <w:spacing w:before="0" w:after="220"/>
        <w:jc w:val="center"/>
        <w:rPr/>
      </w:pPr>
      <w:r>
        <w:rPr/>
      </w:r>
    </w:p>
    <w:p>
      <w:pPr>
        <w:pStyle w:val="TextBody"/>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TABLE OF CONTENTS</w:t>
      </w:r>
    </w:p>
    <w:tbl>
      <w:tblPr>
        <w:tblW w:w="10205" w:type="dxa"/>
        <w:jc w:val="left"/>
        <w:tblInd w:w="0" w:type="dxa"/>
        <w:tblCellMar>
          <w:top w:w="28" w:type="dxa"/>
          <w:left w:w="28" w:type="dxa"/>
          <w:bottom w:w="28" w:type="dxa"/>
          <w:right w:w="28" w:type="dxa"/>
        </w:tblCellMar>
      </w:tblPr>
      <w:tblGrid>
        <w:gridCol w:w="601"/>
        <w:gridCol w:w="529"/>
        <w:gridCol w:w="529"/>
        <w:gridCol w:w="2487"/>
        <w:gridCol w:w="2432"/>
        <w:gridCol w:w="2429"/>
        <w:gridCol w:w="109"/>
        <w:gridCol w:w="109"/>
        <w:gridCol w:w="109"/>
        <w:gridCol w:w="109"/>
        <w:gridCol w:w="221"/>
        <w:gridCol w:w="221"/>
        <w:gridCol w:w="320"/>
      </w:tblGrid>
      <w:tr>
        <w:trPr/>
        <w:tc>
          <w:tcPr>
            <w:tcW w:w="601"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2487"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4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320" w:type="dxa"/>
            <w:tcBorders/>
            <w:shd w:fill="auto" w:val="clear"/>
            <w:vAlign w:val="center"/>
          </w:tcPr>
          <w:p>
            <w:pPr>
              <w:pStyle w:val="TableContents"/>
              <w:spacing w:before="0" w:after="283"/>
              <w:rPr>
                <w:sz w:val="4"/>
                <w:szCs w:val="4"/>
              </w:rPr>
            </w:pPr>
            <w:r>
              <w:rPr>
                <w:sz w:val="4"/>
                <w:szCs w:val="4"/>
              </w:rPr>
            </w:r>
          </w:p>
        </w:tc>
      </w:tr>
      <w:tr>
        <w:trPr/>
        <w:tc>
          <w:tcPr>
            <w:tcW w:w="9007" w:type="dxa"/>
            <w:gridSpan w:val="6"/>
            <w:tcBorders/>
            <w:shd w:fill="CCEE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color w:val="000000"/>
                <w:sz w:val="20"/>
              </w:rPr>
            </w:pPr>
            <w:r>
              <w:rPr>
                <w:rFonts w:ascii="Helvetica;sans-serif" w:hAnsi="Helvetica;sans-serif"/>
                <w:b/>
                <w:color w:val="000000"/>
                <w:sz w:val="20"/>
              </w:rPr>
              <w:t>PART I - FINANCIAL INFORMATION</w:t>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 xml:space="preserve">PAGE </w:t>
            </w:r>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3">
              <w:r>
                <w:rPr>
                  <w:rStyle w:val="InternetLink"/>
                  <w:rFonts w:ascii="Helvetica;sans-serif" w:hAnsi="Helvetica;sans-serif"/>
                  <w:b w:val="false"/>
                  <w:color w:val="0000FF"/>
                  <w:sz w:val="20"/>
                  <w:u w:val="single"/>
                </w:rPr>
                <w:t>Unaudited Financial Statements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6">
              <w:r>
                <w:rPr>
                  <w:rStyle w:val="InternetLink"/>
                  <w:rFonts w:ascii="Helvetica;sans-serif" w:hAnsi="Helvetica;sans-serif"/>
                  <w:b w:val="false"/>
                  <w:color w:val="0000FF"/>
                  <w:sz w:val="20"/>
                  <w:u w:val="single"/>
                </w:rPr>
                <w:t xml:space="preserve">Condensed Consolidated Balance Sheets </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6">
              <w:r>
                <w:rPr>
                  <w:rStyle w:val="InternetLink"/>
                  <w:rFonts w:ascii="Helvetica;sans-serif" w:hAnsi="Helvetica;sans-serif"/>
                  <w:b w:val="false"/>
                  <w:color w:val="0000FF"/>
                  <w:sz w:val="20"/>
                  <w:u w:val="single"/>
                </w:rPr>
                <w:t>5</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9">
              <w:r>
                <w:rPr>
                  <w:rStyle w:val="InternetLink"/>
                  <w:rFonts w:ascii="Helvetica;sans-serif" w:hAnsi="Helvetica;sans-serif"/>
                  <w:b w:val="false"/>
                  <w:color w:val="0000FF"/>
                  <w:sz w:val="20"/>
                  <w:u w:val="single"/>
                </w:rPr>
                <w:t>Condensed Consolidated Statements of Operations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9">
              <w:r>
                <w:rPr>
                  <w:rStyle w:val="InternetLink"/>
                  <w:rFonts w:ascii="Helvetica;sans-serif" w:hAnsi="Helvetica;sans-serif"/>
                  <w:b w:val="false"/>
                  <w:color w:val="0000FF"/>
                  <w:sz w:val="20"/>
                  <w:u w:val="single"/>
                </w:rPr>
                <w:t>6</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hyperlink w:anchor="i81c1e4c08fcc417da7d3307b6ebd033d_22">
              <w:r>
                <w:rPr>
                  <w:rStyle w:val="InternetLink"/>
                  <w:rFonts w:ascii="Helvetica;sans-serif" w:hAnsi="Helvetica;sans-serif"/>
                  <w:b w:val="false"/>
                  <w:color w:val="0000FF"/>
                  <w:sz w:val="20"/>
                  <w:u w:val="single"/>
                </w:rPr>
                <w:t>Condensed Consolidated Statements of Comprehensive Loss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2">
              <w:r>
                <w:rPr>
                  <w:rStyle w:val="InternetLink"/>
                  <w:rFonts w:ascii="Helvetica;sans-serif" w:hAnsi="Helvetica;sans-serif"/>
                  <w:b w:val="false"/>
                  <w:color w:val="0000FF"/>
                  <w:sz w:val="20"/>
                  <w:u w:val="single"/>
                </w:rPr>
                <w:t>7</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5">
              <w:r>
                <w:rPr>
                  <w:rStyle w:val="InternetLink"/>
                  <w:rFonts w:ascii="Helvetica;sans-serif" w:hAnsi="Helvetica;sans-serif"/>
                  <w:b w:val="false"/>
                  <w:color w:val="0000FF"/>
                  <w:sz w:val="20"/>
                  <w:u w:val="single"/>
                </w:rPr>
                <w:t xml:space="preserve">Condensed Consolidated Statements of Cash Flows </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5">
              <w:r>
                <w:rPr>
                  <w:rStyle w:val="InternetLink"/>
                  <w:rFonts w:ascii="Helvetica;sans-serif" w:hAnsi="Helvetica;sans-serif"/>
                  <w:b w:val="false"/>
                  <w:color w:val="0000FF"/>
                  <w:sz w:val="20"/>
                  <w:u w:val="single"/>
                </w:rPr>
                <w:t>8</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8">
              <w:r>
                <w:rPr>
                  <w:rStyle w:val="InternetLink"/>
                  <w:rFonts w:ascii="Helvetica;sans-serif" w:hAnsi="Helvetica;sans-serif"/>
                  <w:b w:val="false"/>
                  <w:color w:val="0000FF"/>
                  <w:sz w:val="20"/>
                  <w:u w:val="single"/>
                </w:rPr>
                <w:t>Condensed Consolidated Statements of Stockholders’ (Deficit) Equity</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8">
              <w:r>
                <w:rPr>
                  <w:rStyle w:val="InternetLink"/>
                  <w:rFonts w:ascii="Helvetica;sans-serif" w:hAnsi="Helvetica;sans-serif"/>
                  <w:b w:val="false"/>
                  <w:color w:val="0000FF"/>
                  <w:sz w:val="20"/>
                  <w:u w:val="single"/>
                </w:rPr>
                <w:t>9</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34">
              <w:r>
                <w:rPr>
                  <w:rStyle w:val="InternetLink"/>
                  <w:rFonts w:ascii="Helvetica;sans-serif" w:hAnsi="Helvetica;sans-serif"/>
                  <w:b w:val="false"/>
                  <w:color w:val="0000FF"/>
                  <w:sz w:val="20"/>
                  <w:u w:val="single"/>
                </w:rPr>
                <w:t>Notes to Unaudited Condensed Consolidated Financial Statements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37">
              <w:r>
                <w:rPr>
                  <w:rStyle w:val="InternetLink"/>
                  <w:rFonts w:ascii="Helvetica;sans-serif" w:hAnsi="Helvetica;sans-serif"/>
                  <w:b w:val="false"/>
                  <w:color w:val="0000FF"/>
                  <w:sz w:val="20"/>
                  <w:u w:val="single"/>
                </w:rPr>
                <w:t>Note 1 - Description of Business and Summary of Significant Accounting Policies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37">
              <w:r>
                <w:rPr>
                  <w:rStyle w:val="InternetLink"/>
                  <w:rFonts w:ascii="Helvetica;sans-serif" w:hAnsi="Helvetica;sans-serif"/>
                  <w:b w:val="false"/>
                  <w:color w:val="0000FF"/>
                  <w:sz w:val="20"/>
                  <w:u w:val="single"/>
                </w:rPr>
                <w:t>11</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40">
              <w:r>
                <w:rPr>
                  <w:rStyle w:val="InternetLink"/>
                  <w:rFonts w:ascii="Helvetica;sans-serif" w:hAnsi="Helvetica;sans-serif"/>
                  <w:b w:val="false"/>
                  <w:color w:val="0000FF"/>
                  <w:sz w:val="20"/>
                  <w:u w:val="single"/>
                </w:rPr>
                <w:t>Note 2 - Recent Accounting Pronouncements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40">
              <w:r>
                <w:rPr>
                  <w:rStyle w:val="InternetLink"/>
                  <w:rFonts w:ascii="Helvetica;sans-serif" w:hAnsi="Helvetica;sans-serif"/>
                  <w:b w:val="false"/>
                  <w:color w:val="0000FF"/>
                  <w:sz w:val="20"/>
                  <w:u w:val="single"/>
                </w:rPr>
                <w:t>13</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49">
              <w:r>
                <w:rPr>
                  <w:rStyle w:val="InternetLink"/>
                  <w:rFonts w:ascii="Helvetica;sans-serif" w:hAnsi="Helvetica;sans-serif"/>
                  <w:b w:val="false"/>
                  <w:color w:val="0000FF"/>
                  <w:sz w:val="20"/>
                  <w:u w:val="single"/>
                </w:rPr>
                <w:t>Note 3 - Revenues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49">
              <w:r>
                <w:rPr>
                  <w:rStyle w:val="InternetLink"/>
                  <w:rFonts w:ascii="Helvetica;sans-serif" w:hAnsi="Helvetica;sans-serif"/>
                  <w:b w:val="false"/>
                  <w:color w:val="0000FF"/>
                  <w:sz w:val="20"/>
                  <w:u w:val="single"/>
                </w:rPr>
                <w:t>14</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55">
              <w:r>
                <w:rPr>
                  <w:rStyle w:val="InternetLink"/>
                  <w:rFonts w:ascii="Helvetica;sans-serif" w:hAnsi="Helvetica;sans-serif"/>
                  <w:b w:val="false"/>
                  <w:color w:val="0000FF"/>
                  <w:sz w:val="20"/>
                  <w:u w:val="single"/>
                </w:rPr>
                <w:t>Note 4 - Allowance for Credit Losses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55">
              <w:r>
                <w:rPr>
                  <w:rStyle w:val="InternetLink"/>
                  <w:rFonts w:ascii="Helvetica;sans-serif" w:hAnsi="Helvetica;sans-serif"/>
                  <w:b w:val="false"/>
                  <w:color w:val="0000FF"/>
                  <w:sz w:val="20"/>
                  <w:u w:val="single"/>
                </w:rPr>
                <w:t>15</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58">
              <w:r>
                <w:rPr>
                  <w:rStyle w:val="InternetLink"/>
                  <w:rFonts w:ascii="Helvetica;sans-serif" w:hAnsi="Helvetica;sans-serif"/>
                  <w:b w:val="false"/>
                  <w:color w:val="0000FF"/>
                  <w:sz w:val="20"/>
                  <w:u w:val="single"/>
                </w:rPr>
                <w:t>Note 5 - Investments and Fair Value Measurement</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58">
              <w:r>
                <w:rPr>
                  <w:rStyle w:val="InternetLink"/>
                  <w:rFonts w:ascii="Helvetica;sans-serif" w:hAnsi="Helvetica;sans-serif"/>
                  <w:b w:val="false"/>
                  <w:color w:val="0000FF"/>
                  <w:sz w:val="20"/>
                  <w:u w:val="single"/>
                </w:rPr>
                <w:t>15</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61">
              <w:r>
                <w:rPr>
                  <w:rStyle w:val="InternetLink"/>
                  <w:rFonts w:ascii="Helvetica;sans-serif" w:hAnsi="Helvetica;sans-serif"/>
                  <w:b w:val="false"/>
                  <w:color w:val="0000FF"/>
                  <w:sz w:val="20"/>
                  <w:u w:val="single"/>
                </w:rPr>
                <w:t>Note 6 - Income Taxes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61">
              <w:r>
                <w:rPr>
                  <w:rStyle w:val="InternetLink"/>
                  <w:rFonts w:ascii="Helvetica;sans-serif" w:hAnsi="Helvetica;sans-serif"/>
                  <w:b w:val="false"/>
                  <w:color w:val="0000FF"/>
                  <w:sz w:val="20"/>
                  <w:u w:val="single"/>
                </w:rPr>
                <w:t>19</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64">
              <w:r>
                <w:rPr>
                  <w:rStyle w:val="InternetLink"/>
                  <w:rFonts w:ascii="Helvetica;sans-serif" w:hAnsi="Helvetica;sans-serif"/>
                  <w:b w:val="false"/>
                  <w:color w:val="0000FF"/>
                  <w:sz w:val="20"/>
                  <w:u w:val="single"/>
                </w:rPr>
                <w:t>Note 7 - Securities Borrowing and Lending</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64">
              <w:r>
                <w:rPr>
                  <w:rStyle w:val="InternetLink"/>
                  <w:rFonts w:ascii="Helvetica;sans-serif" w:hAnsi="Helvetica;sans-serif"/>
                  <w:b w:val="false"/>
                  <w:color w:val="0000FF"/>
                  <w:sz w:val="20"/>
                  <w:u w:val="single"/>
                </w:rPr>
                <w:t>19</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67">
              <w:r>
                <w:rPr>
                  <w:rStyle w:val="InternetLink"/>
                  <w:rFonts w:ascii="Helvetica;sans-serif" w:hAnsi="Helvetica;sans-serif"/>
                  <w:b w:val="false"/>
                  <w:color w:val="0000FF"/>
                  <w:sz w:val="20"/>
                  <w:u w:val="single"/>
                </w:rPr>
                <w:t>Note 8 - Financing Activities and Off-Balance Sheet Risk</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67">
              <w:r>
                <w:rPr>
                  <w:rStyle w:val="InternetLink"/>
                  <w:rFonts w:ascii="Helvetica;sans-serif" w:hAnsi="Helvetica;sans-serif"/>
                  <w:b w:val="false"/>
                  <w:color w:val="0000FF"/>
                  <w:sz w:val="20"/>
                  <w:u w:val="single"/>
                </w:rPr>
                <w:t>21</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70">
              <w:r>
                <w:rPr>
                  <w:rStyle w:val="InternetLink"/>
                  <w:rFonts w:ascii="Helvetica;sans-serif" w:hAnsi="Helvetica;sans-serif"/>
                  <w:b w:val="false"/>
                  <w:color w:val="0000FF"/>
                  <w:sz w:val="20"/>
                  <w:u w:val="single"/>
                </w:rPr>
                <w:t>Note 9 - Common Stock and Stockholders' (Deficit) Equity</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70">
              <w:r>
                <w:rPr>
                  <w:rStyle w:val="InternetLink"/>
                  <w:rFonts w:ascii="Helvetica;sans-serif" w:hAnsi="Helvetica;sans-serif"/>
                  <w:b w:val="false"/>
                  <w:color w:val="0000FF"/>
                  <w:sz w:val="20"/>
                  <w:u w:val="single"/>
                </w:rPr>
                <w:t>22</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73">
              <w:r>
                <w:rPr>
                  <w:rStyle w:val="InternetLink"/>
                  <w:rFonts w:ascii="Helvetica;sans-serif" w:hAnsi="Helvetica;sans-serif"/>
                  <w:b w:val="false"/>
                  <w:color w:val="0000FF"/>
                  <w:sz w:val="20"/>
                  <w:u w:val="single"/>
                </w:rPr>
                <w:t>Note 10 - Net Income (Loss) per Share</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73">
              <w:r>
                <w:rPr>
                  <w:rStyle w:val="InternetLink"/>
                  <w:rFonts w:ascii="Helvetica;sans-serif" w:hAnsi="Helvetica;sans-serif"/>
                  <w:b w:val="false"/>
                  <w:color w:val="0000FF"/>
                  <w:sz w:val="20"/>
                  <w:u w:val="single"/>
                </w:rPr>
                <w:t>24</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76">
              <w:r>
                <w:rPr>
                  <w:rStyle w:val="InternetLink"/>
                  <w:rFonts w:ascii="Helvetica;sans-serif" w:hAnsi="Helvetica;sans-serif"/>
                  <w:b w:val="false"/>
                  <w:color w:val="0000FF"/>
                  <w:sz w:val="20"/>
                  <w:u w:val="single"/>
                </w:rPr>
                <w:t>Note 11 - Related Party Transactions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76">
              <w:r>
                <w:rPr>
                  <w:rStyle w:val="InternetLink"/>
                  <w:rFonts w:ascii="Helvetica;sans-serif" w:hAnsi="Helvetica;sans-serif"/>
                  <w:b w:val="false"/>
                  <w:color w:val="0000FF"/>
                  <w:sz w:val="20"/>
                  <w:u w:val="single"/>
                </w:rPr>
                <w:t>25</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79">
              <w:r>
                <w:rPr>
                  <w:rStyle w:val="InternetLink"/>
                  <w:rFonts w:ascii="Helvetica;sans-serif" w:hAnsi="Helvetica;sans-serif"/>
                  <w:b w:val="false"/>
                  <w:color w:val="0000FF"/>
                  <w:sz w:val="20"/>
                  <w:u w:val="single"/>
                </w:rPr>
                <w:t>Note 12 - Leases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79">
              <w:r>
                <w:rPr>
                  <w:rStyle w:val="InternetLink"/>
                  <w:rFonts w:ascii="Helvetica;sans-serif" w:hAnsi="Helvetica;sans-serif"/>
                  <w:b w:val="false"/>
                  <w:color w:val="0000FF"/>
                  <w:sz w:val="20"/>
                  <w:u w:val="single"/>
                </w:rPr>
                <w:t>25</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82">
              <w:r>
                <w:rPr>
                  <w:rStyle w:val="InternetLink"/>
                  <w:rFonts w:ascii="Helvetica;sans-serif" w:hAnsi="Helvetica;sans-serif"/>
                  <w:b w:val="false"/>
                  <w:color w:val="0000FF"/>
                  <w:sz w:val="20"/>
                  <w:u w:val="single"/>
                </w:rPr>
                <w:t>Note 13 - Commitments &amp; Contingencies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82">
              <w:r>
                <w:rPr>
                  <w:rStyle w:val="InternetLink"/>
                  <w:rFonts w:ascii="Helvetica;sans-serif" w:hAnsi="Helvetica;sans-serif"/>
                  <w:b w:val="false"/>
                  <w:color w:val="0000FF"/>
                  <w:sz w:val="20"/>
                  <w:u w:val="single"/>
                </w:rPr>
                <w:t>26</w:t>
              </w:r>
            </w:hyperlink>
          </w:p>
        </w:tc>
      </w:tr>
      <w:tr>
        <w:trPr/>
        <w:tc>
          <w:tcPr>
            <w:tcW w:w="1659" w:type="dxa"/>
            <w:gridSpan w:val="3"/>
            <w:tcBorders/>
            <w:shd w:fill="auto" w:val="clear"/>
            <w:vAlign w:val="center"/>
          </w:tcPr>
          <w:p>
            <w:pPr>
              <w:pStyle w:val="TableContents"/>
              <w:spacing w:before="0" w:after="283"/>
              <w:rPr>
                <w:sz w:val="4"/>
                <w:szCs w:val="4"/>
              </w:rPr>
            </w:pPr>
            <w:r>
              <w:rPr>
                <w:sz w:val="4"/>
                <w:szCs w:val="4"/>
              </w:rPr>
            </w:r>
          </w:p>
        </w:tc>
        <w:tc>
          <w:tcPr>
            <w:tcW w:w="734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03">
              <w:r>
                <w:rPr>
                  <w:rStyle w:val="InternetLink"/>
                  <w:rFonts w:ascii="Helvetica;sans-serif" w:hAnsi="Helvetica;sans-serif"/>
                  <w:b w:val="false"/>
                  <w:color w:val="0000FF"/>
                  <w:sz w:val="20"/>
                  <w:u w:val="single"/>
                </w:rPr>
                <w:t>Management’s Discussion and Analysis of Financial Condition and Results of Operations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03">
              <w:r>
                <w:rPr>
                  <w:rStyle w:val="InternetLink"/>
                  <w:rFonts w:ascii="Helvetica;sans-serif" w:hAnsi="Helvetica;sans-serif"/>
                  <w:b w:val="false"/>
                  <w:color w:val="0000FF"/>
                  <w:sz w:val="20"/>
                  <w:u w:val="single"/>
                </w:rPr>
                <w:t>32</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3. </w:t>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84">
              <w:r>
                <w:rPr>
                  <w:rStyle w:val="InternetLink"/>
                  <w:rFonts w:ascii="Helvetica;sans-serif" w:hAnsi="Helvetica;sans-serif"/>
                  <w:b w:val="false"/>
                  <w:color w:val="0000FF"/>
                  <w:sz w:val="20"/>
                  <w:u w:val="single"/>
                </w:rPr>
                <w:t>Quantitative and Qualitative Disclosures About Market Risk</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84">
              <w:r>
                <w:rPr>
                  <w:rStyle w:val="InternetLink"/>
                  <w:rFonts w:ascii="Helvetica;sans-serif" w:hAnsi="Helvetica;sans-serif"/>
                  <w:b w:val="false"/>
                  <w:color w:val="0000FF"/>
                  <w:sz w:val="20"/>
                  <w:u w:val="single"/>
                </w:rPr>
                <w:t>47</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4. </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87">
              <w:r>
                <w:rPr>
                  <w:rStyle w:val="InternetLink"/>
                  <w:rFonts w:ascii="Helvetica;sans-serif" w:hAnsi="Helvetica;sans-serif"/>
                  <w:b w:val="false"/>
                  <w:color w:val="0000FF"/>
                  <w:sz w:val="20"/>
                  <w:u w:val="single"/>
                </w:rPr>
                <w:t>Controls and Procedures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87">
              <w:r>
                <w:rPr>
                  <w:rStyle w:val="InternetLink"/>
                  <w:rFonts w:ascii="Helvetica;sans-serif" w:hAnsi="Helvetica;sans-serif"/>
                  <w:b w:val="false"/>
                  <w:color w:val="0000FF"/>
                  <w:sz w:val="20"/>
                  <w:u w:val="single"/>
                </w:rPr>
                <w:t>48</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9007" w:type="dxa"/>
            <w:gridSpan w:val="6"/>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90">
              <w:r>
                <w:rPr>
                  <w:rStyle w:val="InternetLink"/>
                  <w:rFonts w:ascii="Helvetica;sans-serif" w:hAnsi="Helvetica;sans-serif"/>
                  <w:b/>
                  <w:color w:val="0000FF"/>
                  <w:sz w:val="20"/>
                  <w:u w:val="single"/>
                </w:rPr>
                <w:t>PART II - OTHER INFORMATION</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1.</w:t>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93">
              <w:r>
                <w:rPr>
                  <w:rStyle w:val="InternetLink"/>
                  <w:rFonts w:ascii="Helvetica;sans-serif" w:hAnsi="Helvetica;sans-serif"/>
                  <w:b w:val="false"/>
                  <w:color w:val="0000FF"/>
                  <w:sz w:val="20"/>
                  <w:u w:val="single"/>
                </w:rPr>
                <w:t>Legal Proceedings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93">
              <w:r>
                <w:rPr>
                  <w:rStyle w:val="InternetLink"/>
                  <w:rFonts w:ascii="Helvetica;sans-serif" w:hAnsi="Helvetica;sans-serif"/>
                  <w:b w:val="false"/>
                  <w:color w:val="0000FF"/>
                  <w:sz w:val="20"/>
                  <w:u w:val="single"/>
                </w:rPr>
                <w:t>49</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1A. </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96">
              <w:r>
                <w:rPr>
                  <w:rStyle w:val="InternetLink"/>
                  <w:rFonts w:ascii="Helvetica;sans-serif" w:hAnsi="Helvetica;sans-serif"/>
                  <w:b w:val="false"/>
                  <w:color w:val="0000FF"/>
                  <w:sz w:val="20"/>
                  <w:u w:val="single"/>
                </w:rPr>
                <w:t>Risk Factors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96">
              <w:r>
                <w:rPr>
                  <w:rStyle w:val="InternetLink"/>
                  <w:rFonts w:ascii="Helvetica;sans-serif" w:hAnsi="Helvetica;sans-serif"/>
                  <w:b w:val="false"/>
                  <w:color w:val="0000FF"/>
                  <w:sz w:val="20"/>
                  <w:u w:val="single"/>
                </w:rPr>
                <w:t>50</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2.</w:t>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199">
              <w:r>
                <w:rPr>
                  <w:rStyle w:val="InternetLink"/>
                  <w:rFonts w:ascii="Helvetica;sans-serif" w:hAnsi="Helvetica;sans-serif"/>
                  <w:b w:val="false"/>
                  <w:color w:val="0000FF"/>
                  <w:sz w:val="20"/>
                  <w:u w:val="single"/>
                </w:rPr>
                <w:t>Unregistered Sales of Equity Securities and Use of Proceeds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199">
              <w:r>
                <w:rPr>
                  <w:rStyle w:val="InternetLink"/>
                  <w:rFonts w:ascii="Helvetica;sans-serif" w:hAnsi="Helvetica;sans-serif"/>
                  <w:b w:val="false"/>
                  <w:color w:val="0000FF"/>
                  <w:sz w:val="20"/>
                  <w:u w:val="single"/>
                </w:rPr>
                <w:t>99</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ITEM 3.</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02">
              <w:r>
                <w:rPr>
                  <w:rStyle w:val="InternetLink"/>
                  <w:rFonts w:ascii="Helvetica;sans-serif" w:hAnsi="Helvetica;sans-serif"/>
                  <w:b w:val="false"/>
                  <w:color w:val="0000FF"/>
                  <w:sz w:val="20"/>
                  <w:u w:val="single"/>
                </w:rPr>
                <w:t>Defaults Upon Senior Securities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02">
              <w:r>
                <w:rPr>
                  <w:rStyle w:val="InternetLink"/>
                  <w:rFonts w:ascii="Helvetica;sans-serif" w:hAnsi="Helvetica;sans-serif"/>
                  <w:b w:val="false"/>
                  <w:color w:val="0000FF"/>
                  <w:sz w:val="20"/>
                  <w:u w:val="single"/>
                </w:rPr>
                <w:t>100</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4. </w:t>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05">
              <w:r>
                <w:rPr>
                  <w:rStyle w:val="InternetLink"/>
                  <w:rFonts w:ascii="Helvetica;sans-serif" w:hAnsi="Helvetica;sans-serif"/>
                  <w:b w:val="false"/>
                  <w:color w:val="0000FF"/>
                  <w:sz w:val="20"/>
                  <w:u w:val="single"/>
                </w:rPr>
                <w:t>Mine Safety Disclosures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05">
              <w:r>
                <w:rPr>
                  <w:rStyle w:val="InternetLink"/>
                  <w:rFonts w:ascii="Helvetica;sans-serif" w:hAnsi="Helvetica;sans-serif"/>
                  <w:b w:val="false"/>
                  <w:color w:val="0000FF"/>
                  <w:sz w:val="20"/>
                  <w:u w:val="single"/>
                </w:rPr>
                <w:t>100</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5. </w:t>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08">
              <w:r>
                <w:rPr>
                  <w:rStyle w:val="InternetLink"/>
                  <w:rFonts w:ascii="Helvetica;sans-serif" w:hAnsi="Helvetica;sans-serif"/>
                  <w:b w:val="false"/>
                  <w:color w:val="0000FF"/>
                  <w:sz w:val="20"/>
                  <w:u w:val="single"/>
                </w:rPr>
                <w:t>Other Information</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08">
              <w:r>
                <w:rPr>
                  <w:rStyle w:val="InternetLink"/>
                  <w:rFonts w:ascii="Helvetica;sans-serif" w:hAnsi="Helvetica;sans-serif"/>
                  <w:b w:val="false"/>
                  <w:color w:val="0000FF"/>
                  <w:sz w:val="20"/>
                  <w:u w:val="single"/>
                </w:rPr>
                <w:t>100</w:t>
              </w:r>
            </w:hyperlink>
          </w:p>
        </w:tc>
      </w:tr>
      <w:tr>
        <w:trPr/>
        <w:tc>
          <w:tcPr>
            <w:tcW w:w="16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ITEM 6. </w:t>
            </w:r>
          </w:p>
        </w:tc>
        <w:tc>
          <w:tcPr>
            <w:tcW w:w="734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11">
              <w:r>
                <w:rPr>
                  <w:rStyle w:val="InternetLink"/>
                  <w:rFonts w:ascii="Helvetica;sans-serif" w:hAnsi="Helvetica;sans-serif"/>
                  <w:b w:val="false"/>
                  <w:color w:val="0000FF"/>
                  <w:sz w:val="20"/>
                  <w:u w:val="single"/>
                </w:rPr>
                <w:t>Exhibit Index</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11">
              <w:r>
                <w:rPr>
                  <w:rStyle w:val="InternetLink"/>
                  <w:rFonts w:ascii="Helvetica;sans-serif" w:hAnsi="Helvetica;sans-serif"/>
                  <w:b w:val="false"/>
                  <w:color w:val="0000FF"/>
                  <w:sz w:val="20"/>
                  <w:u w:val="single"/>
                </w:rPr>
                <w:t>101</w:t>
              </w:r>
            </w:hyperlink>
          </w:p>
        </w:tc>
      </w:tr>
      <w:tr>
        <w:trPr/>
        <w:tc>
          <w:tcPr>
            <w:tcW w:w="165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4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i81c1e4c08fcc417da7d3307b6ebd033d_214">
              <w:r>
                <w:rPr>
                  <w:rStyle w:val="InternetLink"/>
                  <w:rFonts w:ascii="Helvetica;sans-serif" w:hAnsi="Helvetica;sans-serif"/>
                  <w:b w:val="false"/>
                  <w:color w:val="0000FF"/>
                  <w:sz w:val="20"/>
                  <w:u w:val="single"/>
                </w:rPr>
                <w:t>Signatures</w:t>
              </w:r>
            </w:hyperlink>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pPr>
            <w:hyperlink w:anchor="i81c1e4c08fcc417da7d3307b6ebd033d_214">
              <w:r>
                <w:rPr>
                  <w:rStyle w:val="InternetLink"/>
                  <w:rFonts w:ascii="Helvetica;sans-serif" w:hAnsi="Helvetica;sans-serif"/>
                  <w:b w:val="false"/>
                  <w:color w:val="0000FF"/>
                  <w:sz w:val="20"/>
                  <w:u w:val="single"/>
                </w:rPr>
                <w:t>103</w:t>
              </w:r>
            </w:hyperlink>
          </w:p>
        </w:tc>
      </w:tr>
    </w:tbl>
    <w:p>
      <w:pPr>
        <w:pStyle w:val="TextBody"/>
        <w:spacing w:before="0" w:after="20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050"/>
                <wp:effectExtent l="0" t="0" r="0" b="0"/>
                <wp:wrapNone/>
                <wp:docPr id="2" name="Frame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w:t>
                      </w:r>
                    </w:p>
                  </w:txbxContent>
                </v:textbox>
              </v:rect>
            </w:pict>
          </mc:Fallback>
        </mc:AlternateContent>
      </w:r>
    </w:p>
    <w:p>
      <w:pPr>
        <w:pStyle w:val="TextBody"/>
        <w:spacing w:before="0" w:after="200"/>
        <w:ind w:left="0" w:right="0" w:firstLine="360"/>
        <w:jc w:val="both"/>
        <w:rPr/>
      </w:pPr>
      <w:r>
        <w:rPr/>
      </w:r>
    </w:p>
    <w:p>
      <w:pPr>
        <w:pStyle w:val="TextBody"/>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CAUTIONARY NOTE REGARDING FORWARD</w:t>
        <w:noBreakHyphen/>
        <w:t>LOOKING STATEMENTS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Quarterly Report on Form 10-Q (this “Quarterly Report”) of Robinhood Markets, Inc (together with its subsidiaries, “we”,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Quarterly Report includes, among others, forward-looking statements regarding:</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expectations regarding legal and regulatory proceedings and investigations;</w:t>
      </w:r>
    </w:p>
    <w:p>
      <w:pPr>
        <w:pStyle w:val="TextBody"/>
        <w:spacing w:lineRule="auto" w:line="268" w:before="0" w:after="0"/>
        <w:ind w:left="0" w:right="0" w:hanging="360"/>
        <w:jc w:val="both"/>
        <w:rPr/>
      </w:pPr>
      <w:r>
        <w:rPr>
          <w:color w:val="000000"/>
        </w:rPr>
        <w:t>•</w:t>
      </w:r>
      <w:r>
        <w:rPr>
          <w:rFonts w:ascii="Helvetica;sans-serif" w:hAnsi="Helvetica;sans-serif"/>
          <w:b w:val="false"/>
          <w:color w:val="000000"/>
          <w:sz w:val="20"/>
        </w:rPr>
        <w:t xml:space="preserve">our intent to expand our operations outside of the United States and our goal to offer brokerage services in the U.K. by the end of 2023; </w:t>
      </w:r>
    </w:p>
    <w:p>
      <w:pPr>
        <w:pStyle w:val="TextBody"/>
        <w:spacing w:before="0" w:after="0"/>
        <w:jc w:val="both"/>
        <w:rPr/>
      </w:pPr>
      <w:r>
        <w:rPr/>
      </w:r>
    </w:p>
    <w:p>
      <w:pPr>
        <w:pStyle w:val="TextBody"/>
        <w:spacing w:lineRule="auto" w:line="268" w:before="0" w:after="0"/>
        <w:ind w:left="0" w:right="0" w:hanging="360"/>
        <w:jc w:val="both"/>
        <w:rPr/>
      </w:pPr>
      <w:r>
        <w:rPr>
          <w:color w:val="000000"/>
        </w:rPr>
        <w:t>•</w:t>
      </w:r>
      <w:r>
        <w:rPr>
          <w:rFonts w:ascii="Helvetica;sans-serif" w:hAnsi="Helvetica;sans-serif"/>
          <w:b w:val="false"/>
          <w:color w:val="000000"/>
          <w:sz w:val="20"/>
        </w:rPr>
        <w:t>our expectations for no credit losses for our held-to-maturity investments that are obligations of states and political subdivisions and securities issued by U.S. government sponsored agencies;</w:t>
      </w:r>
    </w:p>
    <w:p>
      <w:pPr>
        <w:pStyle w:val="TextBody"/>
        <w:spacing w:before="0" w:after="0"/>
        <w:jc w:val="both"/>
        <w:rPr/>
      </w:pPr>
      <w:r>
        <w:rPr/>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belief that, based on our current level of operations, our primary sources of liquidity will be adequate to meet our current liquidity needs for the next 12 months; and</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our belief that the 2021 Founders Award Cancellation (defined below) will lower our operating expenses by up to $50 million per quarter starting in the second quarter of 2023.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forward-looking statements are subject to a number of known and unknown risks, uncertainties, assumptions, and other factors that may cause our actual future results, performance, or achievements to differ materially from any future results expressed or implied in this Quarterly Report. Reported results should not be considered an indication of future performance. Factors that contribute to the uncertain nature of our forward-looking statements include, among others: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limited operating experience at our current scale;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difficulty of managing our business effectively, including the size of our workforce, and the risk of continued declining or negative growth;</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fluctuations in our financial results and key metrics from quarter to quarter;</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reliance on transaction-based revenue, including payment for order flow (“PFOF”), and the risk of new regulation or bans on PFOF and similar practices;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exposure to fluctuations in interest rates and rapidly changing interest rate environments;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the difficulty of raising additional capital (to provide liquidity needs and support business growth and objectives) on reasonable terms, if at all;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need to maintain capital levels required by regulators and self-regulatory organizations (“SROs”);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risk that we might mishandle the cash, securities, and cryptocurrencies we hold on behalf of customers, and our exposure to liability for processing, operational, or technical errors in clearing functions;</w:t>
      </w: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050"/>
                <wp:effectExtent l="0" t="0" r="0" b="0"/>
                <wp:wrapNone/>
                <wp:docPr id="3" name="Frame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impact of negative publicity on our brand and reputation;</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risk that changes in business, economic, or political conditions that impact the global financial markets, or a systemic market event, might harm our business;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dependence on key employees and a skilled workforce;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difficulty of complying with an extensive, complex, and changing regulatory environment and the need to adjust our business model in response to new or modified laws and regulations;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possibility of adverse developments in pending litigation and regulatory investigations;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effects of competition;</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need to innovate and invest in new products and services in order to attract and retain customers and deepen their engagement with us in order to maintain growth;</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reliance on third parties to perform some key functions and the risk that processing, operational or technological failures could impair the availability or stability of our platform;</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risk of cybersecurity incidents, theft, data breaches, and other online attacks;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difficulty of processing customer data in compliance with privacy laws;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need as a regulated financial services company to develop and maintain effective compliance and risk management infrastructures;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volatility of cryptocurrency prices and trading volumes;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risk that our platform could be exploited to facilitate illegal payments; and</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risk that substantial future sales of Class A common shares in the public market, or the perception that they may occur, could cause the price of our stock to fall.</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Quarterly Report titled “Risk Factors” and our other filings with the U.S. Securities and Exchange Commission (“SEC”),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Quarterly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Quarterly Report whether as a result of any new information, future events, changed circumstances, or otherwise. You should read this Quarterly Report with the understanding that our actual future results, performance, events, and circumstances might be materially different from what we expect.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the "Overview" tab of our Investor Relations website (accessible at investors.robinhood.com/overview) and its blog, Under the Hood (accessible at blog.robinhood.com), as means of disclosing information to the public in a broad, non-exclusionary manner for purposes of the SEC’s Regulation Fair Disclosure (“Reg. FD”). Investors should routinely monitor those web pages, in addition to our press </w:t>
      </w: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releases, SEC filings, and public conference calls and webcasts, as information posted on them could be deemed to be material information. The contents of our websites are not intended to be incorporated by reference into this Quarterly Report or in any other report or document we file with the SEC, and any references to our websites are intended to be inactive textual references only.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w:t>
                      </w:r>
                    </w:p>
                  </w:txbxContent>
                </v:textbox>
              </v:rect>
            </w:pict>
          </mc:Fallback>
        </mc:AlternateContent>
      </w:r>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spacing w:before="0" w:after="20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center"/>
        <w:tblInd w:w="0" w:type="dxa"/>
        <w:tblCellMar>
          <w:top w:w="28" w:type="dxa"/>
          <w:left w:w="28" w:type="dxa"/>
          <w:bottom w:w="28" w:type="dxa"/>
          <w:right w:w="28" w:type="dxa"/>
        </w:tblCellMar>
      </w:tblPr>
      <w:tblGrid>
        <w:gridCol w:w="2925"/>
        <w:gridCol w:w="2187"/>
        <w:gridCol w:w="2196"/>
        <w:gridCol w:w="109"/>
        <w:gridCol w:w="109"/>
        <w:gridCol w:w="109"/>
        <w:gridCol w:w="211"/>
        <w:gridCol w:w="697"/>
        <w:gridCol w:w="117"/>
        <w:gridCol w:w="109"/>
        <w:gridCol w:w="109"/>
        <w:gridCol w:w="109"/>
        <w:gridCol w:w="196"/>
        <w:gridCol w:w="646"/>
        <w:gridCol w:w="109"/>
        <w:gridCol w:w="109"/>
        <w:gridCol w:w="158"/>
      </w:tblGrid>
      <w:tr>
        <w:trPr/>
        <w:tc>
          <w:tcPr>
            <w:tcW w:w="2925" w:type="dxa"/>
            <w:tcBorders/>
            <w:shd w:fill="auto" w:val="clear"/>
            <w:vAlign w:val="center"/>
          </w:tcPr>
          <w:p>
            <w:pPr>
              <w:pStyle w:val="TableContents"/>
              <w:spacing w:before="0" w:after="283"/>
              <w:rPr>
                <w:sz w:val="4"/>
                <w:szCs w:val="4"/>
              </w:rPr>
            </w:pPr>
            <w:r>
              <w:rPr>
                <w:sz w:val="4"/>
                <w:szCs w:val="4"/>
              </w:rPr>
            </w:r>
          </w:p>
        </w:tc>
        <w:tc>
          <w:tcPr>
            <w:tcW w:w="2187" w:type="dxa"/>
            <w:tcBorders/>
            <w:shd w:fill="auto" w:val="clear"/>
            <w:vAlign w:val="center"/>
          </w:tcPr>
          <w:p>
            <w:pPr>
              <w:pStyle w:val="TableContents"/>
              <w:spacing w:before="0" w:after="283"/>
              <w:rPr>
                <w:sz w:val="4"/>
                <w:szCs w:val="4"/>
              </w:rPr>
            </w:pPr>
            <w:r>
              <w:rPr>
                <w:sz w:val="4"/>
                <w:szCs w:val="4"/>
              </w:rPr>
            </w:r>
          </w:p>
        </w:tc>
        <w:tc>
          <w:tcPr>
            <w:tcW w:w="2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6,339 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segregated under federal and other regulations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2,995 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76 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3,218 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Asset related to user cryptocurrencies safeguarding obligation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8,431 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User-held fractional shares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Held-to-maturity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Prepaid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22,917 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27,188 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Property, software, and equipment,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Goodwill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Intangible assets, net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held-to-maturity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Non-current 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17 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132 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assets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23,337 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185 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4,701 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1,834 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2,609 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 xml:space="preserve">User cryptocurrencies safeguarding obligation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8,431 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Fractional shares repurchase obligation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997 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105 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16,253 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20,617 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16,381 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Commitments and contingencies (Note 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Preferred stock, $0.0001 par value. 210,000,000 shares authorized, no shares issued and outstanding as of December 31, 2022 and March 31, 2023.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 xml:space="preserve">Class A common stock, $0.0001 par value. 21,000,000,000 shares authorized, 764,888,917 shares issued and outstanding as of December 31, 2022; 21,000,000,000 shares authorized, 772,702,942 shares issued and outstanding as of March 31, 2023.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B common stock, $0.0001 par value. 700,000,000 shares authorized; 127,862,654 shares issued and outstanding as of December 31, 2022; 700,000,000 shares authorized, 127,538,580 shares issued and outstanding as of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16"/>
              </w:rPr>
            </w:pPr>
            <w:r>
              <w:rPr>
                <w:rFonts w:ascii="Helvetica;sans-serif" w:hAnsi="Helvetica;sans-serif"/>
                <w:b w:val="false"/>
                <w:color w:val="000000"/>
                <w:sz w:val="16"/>
              </w:rPr>
              <w:t>Class C common stock, $0.0001 par value. 7,000,000,000 shares authorized, no shares issued and outstanding as of December 31, 2022 and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11,861 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12,462 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Accumulated deficit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(4,905)</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(5,416)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16"/>
              </w:rPr>
            </w:pPr>
            <w:r>
              <w:rPr>
                <w:rFonts w:ascii="Helvetica;sans-serif" w:hAnsi="Helvetica;sans-serif"/>
                <w:b w:val="false"/>
                <w:color w:val="000000"/>
                <w:sz w:val="16"/>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6,956 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730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23,337 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27,785 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spacing w:before="0" w:after="200"/>
        <w:rPr/>
      </w:pPr>
      <w:r>
        <w:rPr/>
      </w:r>
    </w:p>
    <w:tbl>
      <w:tblPr>
        <w:tblW w:w="10205" w:type="dxa"/>
        <w:jc w:val="left"/>
        <w:tblInd w:w="0" w:type="dxa"/>
        <w:tblCellMar>
          <w:top w:w="28" w:type="dxa"/>
          <w:left w:w="28" w:type="dxa"/>
          <w:bottom w:w="28" w:type="dxa"/>
          <w:right w:w="28" w:type="dxa"/>
        </w:tblCellMar>
      </w:tblPr>
      <w:tblGrid>
        <w:gridCol w:w="2458"/>
        <w:gridCol w:w="1866"/>
        <w:gridCol w:w="1855"/>
        <w:gridCol w:w="109"/>
        <w:gridCol w:w="109"/>
        <w:gridCol w:w="129"/>
        <w:gridCol w:w="129"/>
        <w:gridCol w:w="129"/>
        <w:gridCol w:w="129"/>
        <w:gridCol w:w="345"/>
        <w:gridCol w:w="886"/>
        <w:gridCol w:w="129"/>
        <w:gridCol w:w="109"/>
        <w:gridCol w:w="109"/>
        <w:gridCol w:w="109"/>
        <w:gridCol w:w="345"/>
        <w:gridCol w:w="886"/>
        <w:gridCol w:w="109"/>
        <w:gridCol w:w="109"/>
        <w:gridCol w:w="156"/>
      </w:tblGrid>
      <w:tr>
        <w:trPr/>
        <w:tc>
          <w:tcPr>
            <w:tcW w:w="2458"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76" w:type="dxa"/>
            <w:gridSpan w:val="7"/>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265" w:type="dxa"/>
            <w:gridSpan w:val="2"/>
            <w:tcBorders/>
            <w:shd w:fill="auto" w:val="clear"/>
          </w:tcPr>
          <w:p>
            <w:pPr>
              <w:pStyle w:val="TableContents"/>
              <w:spacing w:before="0" w:after="283"/>
              <w:rPr>
                <w:sz w:val="4"/>
                <w:szCs w:val="4"/>
              </w:rPr>
            </w:pPr>
            <w:r>
              <w:rPr>
                <w:sz w:val="4"/>
                <w:szCs w:val="4"/>
              </w:rPr>
            </w:r>
          </w:p>
        </w:tc>
      </w:tr>
      <w:tr>
        <w:trPr/>
        <w:tc>
          <w:tcPr>
            <w:tcW w:w="61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bookmarkStart w:id="0" w:name="iff73a5d9c58e46ccba52d8d2e9a7e085_2-0-1-"/>
            <w:bookmarkEnd w:id="0"/>
            <w:r>
              <w:rPr>
                <w:rFonts w:ascii="Helvetica;sans-serif" w:hAnsi="Helvetica;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vAlign w:val="center"/>
          </w:tcPr>
          <w:p>
            <w:pPr>
              <w:pStyle w:val="TableContents"/>
              <w:spacing w:before="0" w:after="283"/>
              <w:rPr>
                <w:sz w:val="4"/>
                <w:szCs w:val="4"/>
              </w:rPr>
            </w:pPr>
            <w:r>
              <w:rPr>
                <w:sz w:val="4"/>
                <w:szCs w:val="4"/>
              </w:rPr>
            </w:r>
          </w:p>
        </w:tc>
        <w:tc>
          <w:tcPr>
            <w:tcW w:w="136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4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2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(0.45)</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(0.45)</w:t>
            </w:r>
          </w:p>
        </w:tc>
        <w:tc>
          <w:tcPr>
            <w:tcW w:w="12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doub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867,769,168 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896,924,695 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ind w:left="0" w:right="0" w:hanging="270"/>
              <w:rPr>
                <w:sz w:val="4"/>
                <w:szCs w:val="4"/>
              </w:rPr>
            </w:pPr>
            <w:r>
              <w:rPr>
                <w:sz w:val="4"/>
                <w:szCs w:val="4"/>
              </w:rPr>
            </w:r>
          </w:p>
        </w:tc>
      </w:tr>
      <w:tr>
        <w:trPr/>
        <w:tc>
          <w:tcPr>
            <w:tcW w:w="617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867,769,168 </w:t>
            </w:r>
          </w:p>
        </w:tc>
        <w:tc>
          <w:tcPr>
            <w:tcW w:w="12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896,924,695 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7" name="Frame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6</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COMPREHENSIVE LOSS</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7219" w:type="dxa"/>
        <w:jc w:val="center"/>
        <w:tblInd w:w="0" w:type="dxa"/>
        <w:tblCellMar>
          <w:top w:w="28" w:type="dxa"/>
          <w:left w:w="28" w:type="dxa"/>
          <w:bottom w:w="28" w:type="dxa"/>
          <w:right w:w="28" w:type="dxa"/>
        </w:tblCellMar>
      </w:tblPr>
      <w:tblGrid>
        <w:gridCol w:w="1374"/>
        <w:gridCol w:w="1203"/>
        <w:gridCol w:w="1219"/>
        <w:gridCol w:w="109"/>
        <w:gridCol w:w="109"/>
        <w:gridCol w:w="177"/>
        <w:gridCol w:w="177"/>
        <w:gridCol w:w="343"/>
        <w:gridCol w:w="880"/>
        <w:gridCol w:w="177"/>
        <w:gridCol w:w="109"/>
        <w:gridCol w:w="109"/>
        <w:gridCol w:w="109"/>
        <w:gridCol w:w="211"/>
        <w:gridCol w:w="541"/>
        <w:gridCol w:w="109"/>
        <w:gridCol w:w="109"/>
        <w:gridCol w:w="154"/>
      </w:tblGrid>
      <w:tr>
        <w:trPr/>
        <w:tc>
          <w:tcPr>
            <w:tcW w:w="1374" w:type="dxa"/>
            <w:tcBorders/>
            <w:shd w:fill="auto" w:val="clear"/>
            <w:vAlign w:val="center"/>
          </w:tcPr>
          <w:p>
            <w:pPr>
              <w:pStyle w:val="TableContents"/>
              <w:spacing w:before="0" w:after="283"/>
              <w:rPr>
                <w:sz w:val="4"/>
                <w:szCs w:val="4"/>
              </w:rPr>
            </w:pPr>
            <w:r>
              <w:rPr>
                <w:sz w:val="4"/>
                <w:szCs w:val="4"/>
              </w:rPr>
            </w:r>
          </w:p>
        </w:tc>
        <w:tc>
          <w:tcPr>
            <w:tcW w:w="1203" w:type="dxa"/>
            <w:tcBorders/>
            <w:shd w:fill="auto" w:val="clear"/>
            <w:vAlign w:val="center"/>
          </w:tcPr>
          <w:p>
            <w:pPr>
              <w:pStyle w:val="TableContents"/>
              <w:spacing w:before="0" w:after="283"/>
              <w:rPr>
                <w:sz w:val="4"/>
                <w:szCs w:val="4"/>
              </w:rPr>
            </w:pPr>
            <w:r>
              <w:rPr>
                <w:sz w:val="4"/>
                <w:szCs w:val="4"/>
              </w:rPr>
            </w:r>
          </w:p>
        </w:tc>
        <w:tc>
          <w:tcPr>
            <w:tcW w:w="121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88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37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4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4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Foreign currency translation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loss, net of tax</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22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79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3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(393)</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8" name="Frame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7</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tbl>
      <w:tblPr>
        <w:tblW w:w="9059" w:type="dxa"/>
        <w:jc w:val="center"/>
        <w:tblInd w:w="0" w:type="dxa"/>
        <w:tblCellMar>
          <w:top w:w="28" w:type="dxa"/>
          <w:left w:w="28" w:type="dxa"/>
          <w:bottom w:w="28" w:type="dxa"/>
          <w:right w:w="28" w:type="dxa"/>
        </w:tblCellMar>
      </w:tblPr>
      <w:tblGrid>
        <w:gridCol w:w="2328"/>
        <w:gridCol w:w="2036"/>
        <w:gridCol w:w="1966"/>
        <w:gridCol w:w="109"/>
        <w:gridCol w:w="109"/>
        <w:gridCol w:w="109"/>
        <w:gridCol w:w="196"/>
        <w:gridCol w:w="646"/>
        <w:gridCol w:w="109"/>
        <w:gridCol w:w="109"/>
        <w:gridCol w:w="109"/>
        <w:gridCol w:w="109"/>
        <w:gridCol w:w="196"/>
        <w:gridCol w:w="556"/>
        <w:gridCol w:w="109"/>
        <w:gridCol w:w="109"/>
        <w:gridCol w:w="154"/>
      </w:tblGrid>
      <w:tr>
        <w:trPr/>
        <w:tc>
          <w:tcPr>
            <w:tcW w:w="2328" w:type="dxa"/>
            <w:tcBorders/>
            <w:shd w:fill="auto" w:val="clear"/>
            <w:vAlign w:val="center"/>
          </w:tcPr>
          <w:p>
            <w:pPr>
              <w:pStyle w:val="TableContents"/>
              <w:spacing w:before="0" w:after="283"/>
              <w:rPr>
                <w:sz w:val="4"/>
                <w:szCs w:val="4"/>
              </w:rPr>
            </w:pPr>
            <w:r>
              <w:rPr>
                <w:sz w:val="4"/>
                <w:szCs w:val="4"/>
              </w:rPr>
            </w:r>
          </w:p>
        </w:tc>
        <w:tc>
          <w:tcPr>
            <w:tcW w:w="2036" w:type="dxa"/>
            <w:tcBorders/>
            <w:shd w:fill="auto" w:val="clear"/>
            <w:vAlign w:val="center"/>
          </w:tcPr>
          <w:p>
            <w:pPr>
              <w:pStyle w:val="TableContents"/>
              <w:spacing w:before="0" w:after="283"/>
              <w:rPr>
                <w:sz w:val="4"/>
                <w:szCs w:val="4"/>
              </w:rPr>
            </w:pPr>
            <w:r>
              <w:rPr>
                <w:sz w:val="4"/>
                <w:szCs w:val="4"/>
              </w:rPr>
            </w:r>
          </w:p>
        </w:tc>
        <w:tc>
          <w:tcPr>
            <w:tcW w:w="19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598 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brokers, dealers, and clearing organizations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 net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borrowed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(327)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Deposits with clearing organizations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Current and non-current prepaid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Accounts payable and 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Payables to users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Securities loaned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(1,500)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Other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 of property, software, and equipment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Capitalization of internally developed software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 of available-for-sale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Proceeds from maturities of available-for-sale investments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Purchase of held-to-maturity investments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(485)</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Payments of debt issuance costs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Draws on credit facilities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Repayments on credit facilities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Proceeds from exercise of stock options, net of repurchases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Effect of foreign exchange rate changes on cash and cash equivalents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increase in cash, cash equivalents, segregated cash and restricted cash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beginning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10,270 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and cash equivalents, end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6,191 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Segregated cash,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Restricted cash (current and non-current), end of the period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cash equivalents, segregated cash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9,693 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Supplemental disclosures: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Cash paid for income taxes, net of refund received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3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9" name="Frame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8</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(DEFICIT) EQUITY</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spacing w:before="0" w:after="200"/>
        <w:ind w:left="0" w:right="0" w:hanging="270"/>
        <w:jc w:val="both"/>
        <w:rPr/>
      </w:pPr>
      <w:r>
        <w:rPr/>
      </w:r>
    </w:p>
    <w:tbl>
      <w:tblPr>
        <w:tblW w:w="10205" w:type="dxa"/>
        <w:jc w:val="left"/>
        <w:tblInd w:w="0" w:type="dxa"/>
        <w:tblCellMar>
          <w:top w:w="28" w:type="dxa"/>
          <w:left w:w="28" w:type="dxa"/>
          <w:bottom w:w="28" w:type="dxa"/>
          <w:right w:w="28" w:type="dxa"/>
        </w:tblCellMar>
      </w:tblPr>
      <w:tblGrid>
        <w:gridCol w:w="944"/>
        <w:gridCol w:w="308"/>
        <w:gridCol w:w="310"/>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36"/>
        <w:gridCol w:w="782"/>
        <w:gridCol w:w="133"/>
        <w:gridCol w:w="109"/>
        <w:gridCol w:w="109"/>
        <w:gridCol w:w="109"/>
        <w:gridCol w:w="256"/>
        <w:gridCol w:w="531"/>
        <w:gridCol w:w="144"/>
        <w:gridCol w:w="109"/>
        <w:gridCol w:w="109"/>
        <w:gridCol w:w="109"/>
        <w:gridCol w:w="222"/>
        <w:gridCol w:w="649"/>
        <w:gridCol w:w="124"/>
        <w:gridCol w:w="109"/>
        <w:gridCol w:w="109"/>
        <w:gridCol w:w="109"/>
        <w:gridCol w:w="196"/>
        <w:gridCol w:w="556"/>
        <w:gridCol w:w="161"/>
      </w:tblGrid>
      <w:tr>
        <w:trPr/>
        <w:tc>
          <w:tcPr>
            <w:tcW w:w="944"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8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w:t>
              <w:br/>
              <w:t>income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(deficit) equity</w:t>
            </w:r>
          </w:p>
        </w:tc>
        <w:tc>
          <w:tcPr>
            <w:tcW w:w="1240" w:type="dxa"/>
            <w:gridSpan w:val="6"/>
            <w:tcBorders/>
            <w:shd w:fill="auto" w:val="clear"/>
          </w:tcPr>
          <w:p>
            <w:pPr>
              <w:pStyle w:val="TableContents"/>
              <w:spacing w:before="0" w:after="283"/>
              <w:rPr>
                <w:sz w:val="4"/>
                <w:szCs w:val="4"/>
              </w:rPr>
            </w:pPr>
            <w:r>
              <w:rPr>
                <w:sz w:val="4"/>
                <w:szCs w:val="4"/>
              </w:rPr>
            </w:r>
          </w:p>
        </w:tc>
      </w:tr>
      <w:tr>
        <w:trPr/>
        <w:tc>
          <w:tcPr>
            <w:tcW w:w="156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5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5"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863,912,613 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11,169 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(3,877)</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7,293 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(392)</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issued in connection with stock option exercise, net of repurchases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1,438,358 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4,457,038 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Change in other comprehensive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w:t>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w:t>
            </w:r>
          </w:p>
        </w:tc>
        <w:tc>
          <w:tcPr>
            <w:tcW w:w="10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w:t>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w:t>
            </w:r>
          </w:p>
        </w:tc>
        <w:tc>
          <w:tcPr>
            <w:tcW w:w="8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869,808,009 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11,400 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(4,269)</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7,131 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10" name="Frame1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9</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CONDENSED CONSOLIDATED STATEMENTS OF STOCKHOLDERS’ (DEFICIT) EQUITY</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spacing w:before="0" w:after="0"/>
        <w:jc w:val="both"/>
        <w:rPr/>
      </w:pPr>
      <w:r>
        <w:rPr/>
      </w:r>
    </w:p>
    <w:p>
      <w:pPr>
        <w:pStyle w:val="TextBody"/>
        <w:spacing w:before="0" w:after="200"/>
        <w:jc w:val="both"/>
        <w:rPr/>
      </w:pPr>
      <w:r>
        <w:rPr/>
      </w:r>
    </w:p>
    <w:tbl>
      <w:tblPr>
        <w:tblW w:w="10205" w:type="dxa"/>
        <w:jc w:val="center"/>
        <w:tblInd w:w="0" w:type="dxa"/>
        <w:tblCellMar>
          <w:top w:w="28" w:type="dxa"/>
          <w:left w:w="28" w:type="dxa"/>
          <w:bottom w:w="28" w:type="dxa"/>
          <w:right w:w="28" w:type="dxa"/>
        </w:tblCellMar>
      </w:tblPr>
      <w:tblGrid>
        <w:gridCol w:w="863"/>
        <w:gridCol w:w="329"/>
        <w:gridCol w:w="330"/>
        <w:gridCol w:w="109"/>
        <w:gridCol w:w="109"/>
        <w:gridCol w:w="109"/>
        <w:gridCol w:w="111"/>
        <w:gridCol w:w="111"/>
        <w:gridCol w:w="111"/>
        <w:gridCol w:w="111"/>
        <w:gridCol w:w="525"/>
        <w:gridCol w:w="526"/>
        <w:gridCol w:w="186"/>
        <w:gridCol w:w="109"/>
        <w:gridCol w:w="109"/>
        <w:gridCol w:w="109"/>
        <w:gridCol w:w="207"/>
        <w:gridCol w:w="428"/>
        <w:gridCol w:w="116"/>
        <w:gridCol w:w="195"/>
        <w:gridCol w:w="195"/>
        <w:gridCol w:w="196"/>
        <w:gridCol w:w="243"/>
        <w:gridCol w:w="806"/>
        <w:gridCol w:w="137"/>
        <w:gridCol w:w="109"/>
        <w:gridCol w:w="109"/>
        <w:gridCol w:w="109"/>
        <w:gridCol w:w="256"/>
        <w:gridCol w:w="531"/>
        <w:gridCol w:w="144"/>
        <w:gridCol w:w="109"/>
        <w:gridCol w:w="109"/>
        <w:gridCol w:w="109"/>
        <w:gridCol w:w="223"/>
        <w:gridCol w:w="652"/>
        <w:gridCol w:w="125"/>
        <w:gridCol w:w="109"/>
        <w:gridCol w:w="109"/>
        <w:gridCol w:w="109"/>
        <w:gridCol w:w="196"/>
        <w:gridCol w:w="556"/>
        <w:gridCol w:w="161"/>
      </w:tblGrid>
      <w:tr>
        <w:trPr/>
        <w:tc>
          <w:tcPr>
            <w:tcW w:w="863"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1"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5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Common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Additional</w:t>
              <w:br/>
              <w:t>paid-in</w:t>
              <w:br/>
              <w:t>capital</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 other comprehensive loss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Accumulated</w:t>
              <w:br/>
              <w:t>deficit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Total stockholders’</w:t>
              <w:br/>
              <w:t>(deficit) equity</w:t>
            </w:r>
          </w:p>
        </w:tc>
        <w:tc>
          <w:tcPr>
            <w:tcW w:w="1240" w:type="dxa"/>
            <w:gridSpan w:val="6"/>
            <w:tcBorders/>
            <w:shd w:fill="auto" w:val="clear"/>
          </w:tcPr>
          <w:p>
            <w:pPr>
              <w:pStyle w:val="TableContents"/>
              <w:spacing w:before="0" w:after="283"/>
              <w:rPr>
                <w:sz w:val="4"/>
                <w:szCs w:val="4"/>
              </w:rPr>
            </w:pPr>
            <w:r>
              <w:rPr>
                <w:sz w:val="4"/>
                <w:szCs w:val="4"/>
              </w:rPr>
            </w:r>
          </w:p>
        </w:tc>
      </w:tr>
      <w:tr>
        <w:trPr/>
        <w:tc>
          <w:tcPr>
            <w:tcW w:w="152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4"/>
              </w:rPr>
            </w:pPr>
            <w:r>
              <w:rPr>
                <w:rFonts w:ascii="Helvetica;sans-serif" w:hAnsi="Helvetica;sans-serif"/>
                <w:b w:val="false"/>
                <w:i/>
                <w:color w:val="000000"/>
                <w:sz w:val="14"/>
              </w:rPr>
              <w:t>(in millions, except for number of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Shares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51" w:type="dxa"/>
            <w:gridSpan w:val="3"/>
            <w:vMerge w:val="continue"/>
            <w:tcBorders/>
            <w:shd w:fill="auto" w:val="clear"/>
            <w:tcMar>
              <w:top w:w="0" w:type="dxa"/>
              <w:left w:w="0" w:type="dxa"/>
              <w:bottom w:w="0" w:type="dxa"/>
              <w:right w:w="0" w:type="dxa"/>
            </w:tcMar>
            <w:vAlign w:val="center"/>
          </w:tcPr>
          <w:p>
            <w:pPr>
              <w:pStyle w:val="Normal"/>
              <w:rPr/>
            </w:pPr>
            <w:r>
              <w:rPr/>
            </w:r>
          </w:p>
        </w:tc>
        <w:tc>
          <w:tcPr>
            <w:tcW w:w="5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4"/>
              </w:rPr>
            </w:pPr>
            <w:r>
              <w:rPr>
                <w:rFonts w:ascii="Helvetica;sans-serif" w:hAnsi="Helvetica;sans-serif"/>
                <w:b/>
                <w:color w:val="000000"/>
                <w:sz w:val="14"/>
              </w:rPr>
              <w:t>Amount</w:t>
            </w:r>
          </w:p>
        </w:tc>
        <w:tc>
          <w:tcPr>
            <w:tcW w:w="118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892,751,571 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11,861 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(4,905)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6,956 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(511)</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Shares issued in connection with stock option exercise, net of repurchases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502,862 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Issuance of common stock upon settlement of restricted stock units, net of shares withheld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6,987,089 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22"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auto" w:val="clear"/>
            <w:vAlign w:val="center"/>
          </w:tcPr>
          <w:p>
            <w:pPr>
              <w:pStyle w:val="TableContents"/>
              <w:spacing w:before="0" w:after="283"/>
              <w:rPr>
                <w:sz w:val="4"/>
                <w:szCs w:val="4"/>
              </w:rPr>
            </w:pPr>
            <w:r>
              <w:rPr>
                <w:sz w:val="4"/>
                <w:szCs w:val="4"/>
              </w:rPr>
            </w:r>
          </w:p>
        </w:tc>
        <w:tc>
          <w:tcPr>
            <w:tcW w:w="123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51"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c>
          <w:tcPr>
            <w:tcW w:w="11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3" w:type="dxa"/>
            <w:gridSpan w:val="3"/>
            <w:tcBorders/>
            <w:shd w:fill="auto" w:val="clear"/>
            <w:vAlign w:val="center"/>
          </w:tcPr>
          <w:p>
            <w:pPr>
              <w:pStyle w:val="TableContents"/>
              <w:spacing w:before="0" w:after="283"/>
              <w:rPr>
                <w:sz w:val="4"/>
                <w:szCs w:val="4"/>
              </w:rPr>
            </w:pPr>
            <w:r>
              <w:rPr>
                <w:sz w:val="4"/>
                <w:szCs w:val="4"/>
              </w:rPr>
            </w:r>
          </w:p>
        </w:tc>
      </w:tr>
      <w:tr>
        <w:trPr/>
        <w:tc>
          <w:tcPr>
            <w:tcW w:w="152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Share-based compensation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602 </w:t>
            </w:r>
          </w:p>
        </w:tc>
        <w:tc>
          <w:tcPr>
            <w:tcW w:w="1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2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Balance as of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900,241,522 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8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12,462 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(5,416)</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7,046 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center"/>
        <w:rPr>
          <w:rFonts w:ascii="Helvetica;sans-serif" w:hAnsi="Helvetica;sans-serif"/>
          <w:b w:val="false"/>
          <w:i/>
          <w:color w:val="000000"/>
          <w:sz w:val="20"/>
        </w:rPr>
      </w:pPr>
      <w:r>
        <w:rPr>
          <w:rFonts w:ascii="Helvetica;sans-serif" w:hAnsi="Helvetica;sans-serif"/>
          <w:b w:val="false"/>
          <w:i/>
          <w:color w:val="000000"/>
          <w:sz w:val="20"/>
        </w:rPr>
        <w:t>See Accompanying Notes to the Unaudited Condensed Consolidated Financial Statements.</w:t>
      </w:r>
    </w:p>
    <w:p>
      <w:pPr>
        <w:pStyle w:val="TextBody"/>
        <w:spacing w:before="0" w:after="200"/>
        <w:rPr/>
      </w:pPr>
      <w:r>
        <w:rPr/>
      </w:r>
    </w:p>
    <w:p>
      <w:pPr>
        <w:pStyle w:val="TextBody"/>
        <w:spacing w:before="0" w:after="20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11" name="Frame1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10</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
        <w:jc w:val="center"/>
        <w:rPr>
          <w:rFonts w:ascii="Helvetica;sans-serif" w:hAnsi="Helvetica;sans-serif"/>
          <w:b/>
          <w:color w:val="000000"/>
          <w:sz w:val="20"/>
        </w:rPr>
      </w:pPr>
      <w:r>
        <w:rPr>
          <w:rFonts w:ascii="Helvetica;sans-serif" w:hAnsi="Helvetica;sans-serif"/>
          <w:b/>
          <w:color w:val="000000"/>
          <w:sz w:val="20"/>
        </w:rPr>
        <w:t>ROBINHOOD MARKETS, INC.</w:t>
      </w:r>
    </w:p>
    <w:p>
      <w:pPr>
        <w:pStyle w:val="TextBody"/>
        <w:spacing w:lineRule="auto" w:line="288" w:before="0" w:after="0"/>
        <w:jc w:val="center"/>
        <w:rPr>
          <w:rFonts w:ascii="Helvetica;sans-serif" w:hAnsi="Helvetica;sans-serif"/>
          <w:b/>
          <w:color w:val="000000"/>
          <w:sz w:val="20"/>
        </w:rPr>
      </w:pPr>
      <w:r>
        <w:rPr>
          <w:rFonts w:ascii="Helvetica;sans-serif" w:hAnsi="Helvetica;sans-serif"/>
          <w:b/>
          <w:color w:val="000000"/>
          <w:sz w:val="20"/>
        </w:rPr>
        <w:t>NOTES TO THE CONDENSED CONSOLIDATED FINANCIAL STATEMENTS</w:t>
      </w:r>
    </w:p>
    <w:p>
      <w:pPr>
        <w:pStyle w:val="TextBody"/>
        <w:spacing w:lineRule="auto" w:line="288" w:before="0" w:after="200"/>
        <w:jc w:val="center"/>
        <w:rPr>
          <w:rFonts w:ascii="Helvetica;sans-serif" w:hAnsi="Helvetica;sans-serif"/>
          <w:b w:val="false"/>
          <w:i/>
          <w:color w:val="000000"/>
          <w:sz w:val="20"/>
        </w:rPr>
      </w:pPr>
      <w:r>
        <w:rPr>
          <w:rFonts w:ascii="Helvetica;sans-serif" w:hAnsi="Helvetica;sans-serif"/>
          <w:b w:val="false"/>
          <w:i/>
          <w:color w:val="000000"/>
          <w:sz w:val="20"/>
        </w:rPr>
        <w:t>(unaudited)</w:t>
      </w:r>
    </w:p>
    <w:p>
      <w:pPr>
        <w:pStyle w:val="TextBody"/>
        <w:spacing w:before="0" w:after="20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1: DESCRIPTION OF BUSINESS AND SUMMARY OF SIGNIFICANT ACCOUNTING POLICIES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Markets, Inc. (“RHM” and, together with its subsidiaries, “Robinhood,” the “Company,” “we,” or “us”) was incorporated in the State of Delaware on November 22, 2013. Our most significant, wholly-owned subsidiaries are: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Robinhood Financial LLC (“RHF”), a registered introducing broker-dealer;</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Robinhood Securities, LLC (“RHS”), a registered clearing broker-dealer;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Robinhood Crypto, LLC (“RHC”), which provides users the ability to buy, sell, and transfer cryptocurrencies and is responsible for the custody of user cryptocurrencies held on our platform; and</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Robinhood Money, LLC (“RHY”), which offers a pre-paid debit card (the “Robinhood Cash Card”) and a spending account that help customers invest, save, and earn rewards.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Acting as the agent of the user, we facilitate the purchase and sale of options, cryptocurrencies, and equities through our platform by routing transactions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 Our users have ownership of the securities they transact on our platform, including those that collateralize margin loans, and, as a result, such securities are not presented on our unaudited condensed consolidated balance sheets, other than user-held fractional shares which are presented gross. Our users also have ownership of the cryptocurrencies they transact on our platform (none of which are allowed to be purchased on margin and which do not serve as collateral for margin loans), and we recognize a liability to reflect our safeguarding obligation along with a corresponding asset on our balance sheet related to the cryptocurrencies we hold in custody for users.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Basis of Presentation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accompanying unaudited condensed consolidated financial statements have been prepared in accordance with generally accepted accounting principles in the United States (“GAAP”) and pursuant to the rules and regulations of the SEC for interim financial reporting. The condensed consolidated financial statements are unaudited, and in management’s opinion, include all adjustments, including normal recurring adjustments and accruals necessary for a fair presentation of the results for the interim periods presented. Operating results for the periods presented are not necessarily indicative of the results that may be expected for the full fiscal year ending December 31, 2023 or any future period. These unaudited condensed consolidated financial statements should be read in conjunction with the audited annual consolidated financial statements and notes included in our Annual Report on Form 10-K for the year ended December 31, 2022 (“2022 Form 10-K”).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have been no material changes in our significant accounting policies as described in our audited consolidated financial statements included in our 2022 Form 10-K. The unaudited condensed consolidated financial statements include the accounts of RHM and its wholly-owned subsidiaries. All intercompany balances and transactions have been eliminated.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prior-period amounts have been reclassified to conform to the current period’s presentation. The impact of these reclassifications is immaterial to the presentation of the unaudited condensed </w:t>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2" name="Frame1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consolidated financial statements and had no impact on previously reported total assets, total liabilities and net loss.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During the three months ended March 31, 2023, we reorganized our management reporting structure from a single entity-level reporting unit into four reporting units. As a result, we performed a goodwill impairment assessment immediately before and after the reorganization. This quantitative assessment did not result in impairment, considering the fair value of each reporting unit significantly exceeded the corresponding carrying amount of net assets. We continue to operate and report financial information in one operating segment.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Use of Estimates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preparation of unaudited condensed consolidated financial statements in accordance with GAAP requires management to make estimates and assumptions that affect the reported amounts in the unaudited condensed consolidated financial statements and accompanying notes. We base our estimates on historical experience, and other assumptions we believe to be reasonable under the circumstances. Assumptions and estimates used in preparing our unaudited condensed consolidated financial statements include, but are not limited to, those related to revenue recognition and share-based compensation, the determination of allowances for credit losses, valuation of user cryptocurrencies safeguarding obligation and corresponding asset, investment valuation, capitalization of internally developed software, useful lives of property, software, and equipment, valuation and useful lives of intangible assets, incremental borrowing rate used to calculate operating lease right-of-use assets and related liabilities, impairment of long-lived assets, uncertain tax positions, income taxes, accrued and contingent liabilities. Actual results could differ from these estimates and could have a material adverse effect on our operating results.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Concentrations of Revenue and Credit Risk</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Concentrations of Revenue</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derived transaction-based revenues from individual market makers in excess of 10% of total revenues, as follows:</w:t>
      </w:r>
    </w:p>
    <w:tbl>
      <w:tblPr>
        <w:tblW w:w="8569" w:type="dxa"/>
        <w:jc w:val="left"/>
        <w:tblInd w:w="0" w:type="dxa"/>
        <w:tblCellMar>
          <w:top w:w="28" w:type="dxa"/>
          <w:left w:w="28" w:type="dxa"/>
          <w:bottom w:w="28" w:type="dxa"/>
          <w:right w:w="28" w:type="dxa"/>
        </w:tblCellMar>
      </w:tblPr>
      <w:tblGrid>
        <w:gridCol w:w="2013"/>
        <w:gridCol w:w="1768"/>
        <w:gridCol w:w="1784"/>
        <w:gridCol w:w="109"/>
        <w:gridCol w:w="109"/>
        <w:gridCol w:w="203"/>
        <w:gridCol w:w="203"/>
        <w:gridCol w:w="203"/>
        <w:gridCol w:w="203"/>
        <w:gridCol w:w="203"/>
        <w:gridCol w:w="203"/>
        <w:gridCol w:w="534"/>
        <w:gridCol w:w="109"/>
        <w:gridCol w:w="109"/>
        <w:gridCol w:w="109"/>
        <w:gridCol w:w="188"/>
        <w:gridCol w:w="188"/>
        <w:gridCol w:w="331"/>
      </w:tblGrid>
      <w:tr>
        <w:trPr/>
        <w:tc>
          <w:tcPr>
            <w:tcW w:w="2013" w:type="dxa"/>
            <w:tcBorders/>
            <w:shd w:fill="auto" w:val="clear"/>
            <w:vAlign w:val="center"/>
          </w:tcPr>
          <w:p>
            <w:pPr>
              <w:pStyle w:val="TableContents"/>
              <w:spacing w:before="0" w:after="283"/>
              <w:rPr>
                <w:sz w:val="4"/>
                <w:szCs w:val="4"/>
              </w:rPr>
            </w:pPr>
            <w:r>
              <w:rPr>
                <w:sz w:val="4"/>
                <w:szCs w:val="4"/>
              </w:rPr>
            </w:r>
          </w:p>
        </w:tc>
        <w:tc>
          <w:tcPr>
            <w:tcW w:w="1768" w:type="dxa"/>
            <w:tcBorders/>
            <w:shd w:fill="auto" w:val="clear"/>
            <w:vAlign w:val="center"/>
          </w:tcPr>
          <w:p>
            <w:pPr>
              <w:pStyle w:val="TableContents"/>
              <w:spacing w:before="0" w:after="283"/>
              <w:rPr>
                <w:sz w:val="4"/>
                <w:szCs w:val="4"/>
              </w:rPr>
            </w:pPr>
            <w:r>
              <w:rPr>
                <w:sz w:val="4"/>
                <w:szCs w:val="4"/>
              </w:rPr>
            </w:r>
          </w:p>
        </w:tc>
        <w:tc>
          <w:tcPr>
            <w:tcW w:w="17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34" w:type="dxa"/>
            <w:gridSpan w:val="6"/>
            <w:tcBorders/>
            <w:shd w:fill="auto" w:val="clear"/>
          </w:tcPr>
          <w:p>
            <w:pPr>
              <w:pStyle w:val="TableContents"/>
              <w:spacing w:before="0" w:after="283"/>
              <w:rPr>
                <w:sz w:val="4"/>
                <w:szCs w:val="4"/>
              </w:rPr>
            </w:pPr>
            <w:r>
              <w:rPr>
                <w:sz w:val="4"/>
                <w:szCs w:val="4"/>
              </w:rPr>
            </w:r>
          </w:p>
        </w:tc>
      </w:tr>
      <w:tr>
        <w:trPr/>
        <w:tc>
          <w:tcPr>
            <w:tcW w:w="55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maker: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Citadel Securities, LLC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Entities affiliated with Susquehanna International Group, LLP</w:t>
            </w:r>
            <w:r>
              <w:rPr>
                <w:rFonts w:ascii="Helvetica;sans-serif" w:hAnsi="Helvetica;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5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pPr>
            <w:r>
              <w:rPr>
                <w:rFonts w:ascii="Helvetica;sans-serif" w:hAnsi="Helvetica;sans-serif"/>
                <w:b w:val="false"/>
                <w:color w:val="000000"/>
                <w:sz w:val="20"/>
              </w:rPr>
              <w:t>Entities affiliated with Wolverine Holdings, L.P.</w:t>
            </w:r>
            <w:r>
              <w:rPr>
                <w:rFonts w:ascii="Helvetica;sans-serif" w:hAnsi="Helvetica;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53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33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rPr>
                <w:sz w:val="4"/>
                <w:szCs w:val="4"/>
              </w:rPr>
            </w:pPr>
            <w:r>
              <w:rPr>
                <w:sz w:val="4"/>
                <w:szCs w:val="4"/>
              </w:rPr>
            </w:r>
          </w:p>
        </w:tc>
      </w:tr>
      <w:tr>
        <w:trPr/>
        <w:tc>
          <w:tcPr>
            <w:tcW w:w="556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auto" w:val="clear"/>
            <w:vAlign w:val="center"/>
          </w:tcPr>
          <w:p>
            <w:pPr>
              <w:pStyle w:val="TableContents"/>
              <w:spacing w:before="0" w:after="283"/>
              <w:rPr>
                <w:sz w:val="4"/>
                <w:szCs w:val="4"/>
              </w:rPr>
            </w:pPr>
            <w:r>
              <w:rPr>
                <w:sz w:val="4"/>
                <w:szCs w:val="4"/>
              </w:rPr>
            </w:r>
          </w:p>
        </w:tc>
        <w:tc>
          <w:tcPr>
            <w:tcW w:w="94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7"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All others individually less than 10%</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28 </w:t>
            </w:r>
          </w:p>
        </w:tc>
        <w:tc>
          <w:tcPr>
            <w:tcW w:w="53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 percentage of total revenue: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72 </w:t>
            </w:r>
          </w:p>
        </w:tc>
        <w:tc>
          <w:tcPr>
            <w:tcW w:w="5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(1)Consists of Global Execution Brokers, LP and G1X Execution Services, LLC</w:t>
      </w:r>
    </w:p>
    <w:p>
      <w:pPr>
        <w:pStyle w:val="TextBody"/>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(2)Consists of Wolverine Execution Services, LLC and Wolverine Securities, LLC </w:t>
      </w:r>
    </w:p>
    <w:p>
      <w:pPr>
        <w:pStyle w:val="TextBody"/>
        <w:spacing w:before="0" w:after="180"/>
        <w:jc w:val="both"/>
        <w:rPr/>
      </w:pPr>
      <w:r>
        <w:rPr/>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Concentrations of Credit Risk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engaged in various trading and brokerage activities in which the counterparties primarily include broker-dealers, banks, and other financial institutions. In the event our counterparties do not fulfill their obligations, we may be exposed to risk. The risk of default depends on the creditworthiness of the counterparty. Default of a counterparty in equities and options trades, which are facilitated through </w:t>
      </w:r>
    </w:p>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3" name="Frame1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clearinghouses, would generally be spread among the clearinghouse's members rather than falling entirely on us. It is our policy to review, as necessary, the credit standing of each counterparty.</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March 2023, certain U.S. banks failed and were taken over by the U.S. Federal Deposit Insurance Corporation (“FDIC”). Our exposure to impacted U.S. banks is immaterial as of March 31, 2023. However, we have taken steps to help ensure that the loss of all or a significant portion of any uninsured amount would not have an adverse effect on our ability to pay our operational expenses or make other payments.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Investments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invest in marketable debt securities and determine the classification at the time of purchase.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Available-for-sale investments are recorded at fair value. We have elected the fair value option for our available-for-sale investments as we believe carrying these investments at fair value and taking changes in fair value through earnings best reflects their underlying economics. Fair value adjustments are presented in other expense (income), net and interest earned on the debt securities as net interest revenues in our unaudited condensed consolidated statements of operations.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Held-to-maturity investments are securities that we have both the ability and positive intent to hold until maturity and are recorded at amortized cost. Interest income is calculated using the effective interest method, adjusted for deferred fees or costs, premium, or discount existing at the date of purchase. Interest earned is included in interest revenues, net in our unaudited condensed consolidated statements of operations. We evaluate held-to-maturity investment for credit losses on a quarterly basis. We do not expect credit losses for our held-to-maturity investments that are obligations of states and political subdivisions and securities issued by U.S. government sponsored agencies. We monitor remaining securities by type and standard credit rating. There was no reserve for credit losses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2: RECENT ACCOUNTING PRONOUNCEMENTS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Recently Adopted Accounting Pronouncements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are no recently adopted accounting pronouncements that are material to us as of March 31, 2023.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Recently Issued Accounting Pronouncements Not Yet Adopted</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are no new accounting pronouncements that we have not yet adopted that are material to us as of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4" name="Frame1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3: REVENUES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Disaggregation of Revenues</w:t>
      </w:r>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The following table presents our revenue disaggregated by revenue source:</w:t>
      </w:r>
    </w:p>
    <w:tbl>
      <w:tblPr>
        <w:tblW w:w="8617" w:type="dxa"/>
        <w:jc w:val="left"/>
        <w:tblInd w:w="0" w:type="dxa"/>
        <w:tblCellMar>
          <w:top w:w="28" w:type="dxa"/>
          <w:left w:w="28" w:type="dxa"/>
          <w:bottom w:w="28" w:type="dxa"/>
          <w:right w:w="28" w:type="dxa"/>
        </w:tblCellMar>
      </w:tblPr>
      <w:tblGrid>
        <w:gridCol w:w="2037"/>
        <w:gridCol w:w="1782"/>
        <w:gridCol w:w="1806"/>
        <w:gridCol w:w="109"/>
        <w:gridCol w:w="109"/>
        <w:gridCol w:w="221"/>
        <w:gridCol w:w="221"/>
        <w:gridCol w:w="221"/>
        <w:gridCol w:w="221"/>
        <w:gridCol w:w="428"/>
        <w:gridCol w:w="221"/>
        <w:gridCol w:w="221"/>
        <w:gridCol w:w="109"/>
        <w:gridCol w:w="109"/>
        <w:gridCol w:w="109"/>
        <w:gridCol w:w="227"/>
        <w:gridCol w:w="191"/>
        <w:gridCol w:w="275"/>
      </w:tblGrid>
      <w:tr>
        <w:trPr/>
        <w:tc>
          <w:tcPr>
            <w:tcW w:w="2037" w:type="dxa"/>
            <w:tcBorders/>
            <w:shd w:fill="auto" w:val="clear"/>
            <w:vAlign w:val="center"/>
          </w:tcPr>
          <w:p>
            <w:pPr>
              <w:pStyle w:val="TableContents"/>
              <w:spacing w:before="0" w:after="283"/>
              <w:rPr>
                <w:sz w:val="4"/>
                <w:szCs w:val="4"/>
              </w:rPr>
            </w:pPr>
            <w:r>
              <w:rPr>
                <w:sz w:val="4"/>
                <w:szCs w:val="4"/>
              </w:rPr>
            </w:r>
          </w:p>
        </w:tc>
        <w:tc>
          <w:tcPr>
            <w:tcW w:w="1782" w:type="dxa"/>
            <w:tcBorders/>
            <w:shd w:fill="auto" w:val="clear"/>
            <w:vAlign w:val="center"/>
          </w:tcPr>
          <w:p>
            <w:pPr>
              <w:pStyle w:val="TableContents"/>
              <w:spacing w:before="0" w:after="283"/>
              <w:rPr>
                <w:sz w:val="4"/>
                <w:szCs w:val="4"/>
              </w:rPr>
            </w:pPr>
            <w:r>
              <w:rPr>
                <w:sz w:val="4"/>
                <w:szCs w:val="4"/>
              </w:rPr>
            </w:r>
          </w:p>
        </w:tc>
        <w:tc>
          <w:tcPr>
            <w:tcW w:w="18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r>
      <w:tr>
        <w:trPr/>
        <w:tc>
          <w:tcPr>
            <w:tcW w:w="562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20" w:type="dxa"/>
            <w:gridSpan w:val="6"/>
            <w:tcBorders/>
            <w:shd w:fill="auto" w:val="clear"/>
          </w:tcPr>
          <w:p>
            <w:pPr>
              <w:pStyle w:val="TableContents"/>
              <w:spacing w:before="0" w:after="283"/>
              <w:rPr>
                <w:sz w:val="4"/>
                <w:szCs w:val="4"/>
              </w:rPr>
            </w:pPr>
            <w:r>
              <w:rPr>
                <w:sz w:val="4"/>
                <w:szCs w:val="4"/>
              </w:rPr>
            </w:r>
          </w:p>
        </w:tc>
      </w:tr>
      <w:tr>
        <w:trPr/>
        <w:tc>
          <w:tcPr>
            <w:tcW w:w="562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w:t>
            </w:r>
          </w:p>
        </w:tc>
      </w:tr>
      <w:tr>
        <w:trPr/>
        <w:tc>
          <w:tcPr>
            <w:tcW w:w="56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w:t>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53</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and cash equivalents and deposits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w:t>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22</w:t>
            </w:r>
          </w:p>
        </w:tc>
      </w:tr>
      <w:tr>
        <w:trPr/>
        <w:tc>
          <w:tcPr>
            <w:tcW w:w="562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w:t>
            </w:r>
          </w:p>
        </w:tc>
      </w:tr>
      <w:tr>
        <w:trPr/>
        <w:tc>
          <w:tcPr>
            <w:tcW w:w="5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r>
      <w:tr>
        <w:trPr/>
        <w:tc>
          <w:tcPr>
            <w:tcW w:w="56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3"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w:t>
            </w:r>
          </w:p>
        </w:tc>
      </w:tr>
    </w:tbl>
    <w:p>
      <w:pPr>
        <w:pStyle w:val="TextBody"/>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our fully-paid securities lending program under which we borrow fully-paid shares from participating users and lend them to third parties (“Fully-Paid Securities Lending”), we earn revenue for lending certain securities based on demand for those securities and portions of such revenues are paid to participating users, and those payments are recorded as interest expense. For the three months ended March 31, 2023, such interest revenue earned was $10 million and such interest expenses paid to participating users was $2 million. As the program was launched in the second quarter of 2022, no such interest revenue earned or expenses incurred for the three months ended March 31, 2022. </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Contract Balances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unaudited condensed consolidated balance sheets.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Contract liabilities, which consist of unearned subscription revenue, are recognized when users remit cash payments in advance of the time we satisfy our performance obligations and are recorded as other current liabilities on the unaudited condensed consolidated balance sheets. </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5" name="Frame1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sets forth contract receivables and liabilities for the period indicated:</w:t>
      </w:r>
    </w:p>
    <w:tbl>
      <w:tblPr>
        <w:tblW w:w="7388" w:type="dxa"/>
        <w:jc w:val="left"/>
        <w:tblInd w:w="0" w:type="dxa"/>
        <w:tblCellMar>
          <w:top w:w="28" w:type="dxa"/>
          <w:left w:w="28" w:type="dxa"/>
          <w:bottom w:w="28" w:type="dxa"/>
          <w:right w:w="28" w:type="dxa"/>
        </w:tblCellMar>
      </w:tblPr>
      <w:tblGrid>
        <w:gridCol w:w="1193"/>
        <w:gridCol w:w="1045"/>
        <w:gridCol w:w="1062"/>
        <w:gridCol w:w="109"/>
        <w:gridCol w:w="109"/>
        <w:gridCol w:w="109"/>
        <w:gridCol w:w="540"/>
        <w:gridCol w:w="963"/>
        <w:gridCol w:w="282"/>
        <w:gridCol w:w="109"/>
        <w:gridCol w:w="109"/>
        <w:gridCol w:w="109"/>
        <w:gridCol w:w="450"/>
        <w:gridCol w:w="868"/>
        <w:gridCol w:w="331"/>
      </w:tblGrid>
      <w:tr>
        <w:trPr/>
        <w:tc>
          <w:tcPr>
            <w:tcW w:w="1193"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96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50"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33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Receivables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Contract Liabilities</w:t>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of period, January 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 of period,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85 </w:t>
            </w:r>
          </w:p>
        </w:tc>
        <w:tc>
          <w:tcPr>
            <w:tcW w:w="2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during the period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25 </w:t>
            </w:r>
          </w:p>
        </w:tc>
        <w:tc>
          <w:tcPr>
            <w:tcW w:w="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difference between the opening and ending balances of our contract receivables primarily results from increased revenues and timing differences between our performance and counterparties’ payments. We recognized all revenue from amounts included in the opening contract liability balances in the three months ended March 31, 2023.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4: ALLOWANCE FOR CREDIT LOSSES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Substantially all of the allowance for credit losses relate to unsecured balances of receivables from users due to Fraudulent Deposit Transactions and losses on margin lending. Fraudulent Deposit Transactions occur when users initiate deposits into their accounts, make trades on our platform using a short-term extension of credit from us, and then repatriate or reverse the deposits, resulting in a loss to us of the credited amount. The following table summarizes the allowance for credit losses: </w:t>
      </w:r>
    </w:p>
    <w:tbl>
      <w:tblPr>
        <w:tblW w:w="5425" w:type="dxa"/>
        <w:jc w:val="left"/>
        <w:tblInd w:w="0" w:type="dxa"/>
        <w:tblCellMar>
          <w:top w:w="28" w:type="dxa"/>
          <w:left w:w="28" w:type="dxa"/>
          <w:bottom w:w="28" w:type="dxa"/>
          <w:right w:w="28" w:type="dxa"/>
        </w:tblCellMar>
      </w:tblPr>
      <w:tblGrid>
        <w:gridCol w:w="862"/>
        <w:gridCol w:w="755"/>
        <w:gridCol w:w="767"/>
        <w:gridCol w:w="109"/>
        <w:gridCol w:w="109"/>
        <w:gridCol w:w="169"/>
        <w:gridCol w:w="169"/>
        <w:gridCol w:w="169"/>
        <w:gridCol w:w="169"/>
        <w:gridCol w:w="327"/>
        <w:gridCol w:w="583"/>
        <w:gridCol w:w="169"/>
        <w:gridCol w:w="109"/>
        <w:gridCol w:w="109"/>
        <w:gridCol w:w="109"/>
        <w:gridCol w:w="211"/>
        <w:gridCol w:w="376"/>
        <w:gridCol w:w="154"/>
      </w:tblGrid>
      <w:tr>
        <w:trPr/>
        <w:tc>
          <w:tcPr>
            <w:tcW w:w="862"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068" w:type="dxa"/>
            <w:gridSpan w:val="6"/>
            <w:tcBorders/>
            <w:shd w:fill="auto" w:val="clear"/>
          </w:tcPr>
          <w:p>
            <w:pPr>
              <w:pStyle w:val="TableContents"/>
              <w:spacing w:before="0" w:after="283"/>
              <w:rPr>
                <w:sz w:val="4"/>
                <w:szCs w:val="4"/>
              </w:rPr>
            </w:pPr>
            <w:r>
              <w:rPr>
                <w:sz w:val="4"/>
                <w:szCs w:val="4"/>
              </w:rPr>
            </w:r>
          </w:p>
        </w:tc>
      </w:tr>
      <w:tr>
        <w:trPr/>
        <w:tc>
          <w:tcPr>
            <w:tcW w:w="23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Beginning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Write-offs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w:t>
            </w:r>
          </w:p>
        </w:tc>
        <w:tc>
          <w:tcPr>
            <w:tcW w:w="1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Ending balance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5: INVESTMENTS AND FAIR VALUE MEASUREMENT</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Investments</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Available-for-sale</w:t>
      </w:r>
    </w:p>
    <w:p>
      <w:pPr>
        <w:pStyle w:val="TextBody"/>
        <w:spacing w:lineRule="auto" w:line="288" w:before="0" w:after="200"/>
        <w:ind w:left="0" w:right="0" w:firstLine="360"/>
        <w:jc w:val="both"/>
        <w:rPr/>
      </w:pPr>
      <w:r>
        <w:rPr>
          <w:rFonts w:ascii="Helvetica;sans-serif" w:hAnsi="Helvetica;sans-serif"/>
          <w:b w:val="false"/>
          <w:color w:val="000000"/>
          <w:sz w:val="20"/>
        </w:rPr>
        <w:t xml:space="preserve">At December 31, 2022 and March 31, 2023, our available-for-sale investments which are included in other current assets on the unaudited condensed consolidated balance sheets were $10 million and $1 million, with no significant unrealized gains or losses. Refer to </w:t>
      </w:r>
      <w:r>
        <w:rPr>
          <w:rFonts w:ascii="Helvetica;sans-serif" w:hAnsi="Helvetica;sans-serif"/>
          <w:b w:val="false"/>
          <w:i/>
          <w:color w:val="000000"/>
          <w:sz w:val="20"/>
        </w:rPr>
        <w:t>Fair Value of Instruments</w:t>
      </w:r>
      <w:r>
        <w:rPr>
          <w:color w:val="000000"/>
        </w:rPr>
        <w:t xml:space="preserve"> </w:t>
      </w:r>
      <w:r>
        <w:rPr>
          <w:rFonts w:ascii="Helvetica;sans-serif" w:hAnsi="Helvetica;sans-serif"/>
          <w:b w:val="false"/>
          <w:color w:val="000000"/>
          <w:sz w:val="20"/>
        </w:rPr>
        <w:t xml:space="preserve">below for further details. As of December 31, 2022 and March 31, 2023, all of our available-for-sale investments had a stated contractual maturity or redemption date within one year. </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6" name="Frame1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Held-to-maturity</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had no held-to-maturity investments as of December 31, 2022. The following table summarizes our held-to-maturity investments as of March 31, 2023:</w:t>
      </w:r>
    </w:p>
    <w:tbl>
      <w:tblPr>
        <w:tblW w:w="10205" w:type="dxa"/>
        <w:jc w:val="left"/>
        <w:tblInd w:w="0" w:type="dxa"/>
        <w:tblCellMar>
          <w:top w:w="28" w:type="dxa"/>
          <w:left w:w="28" w:type="dxa"/>
          <w:bottom w:w="28" w:type="dxa"/>
          <w:right w:w="28" w:type="dxa"/>
        </w:tblCellMar>
      </w:tblPr>
      <w:tblGrid>
        <w:gridCol w:w="1033"/>
        <w:gridCol w:w="722"/>
        <w:gridCol w:w="733"/>
        <w:gridCol w:w="310"/>
        <w:gridCol w:w="709"/>
        <w:gridCol w:w="160"/>
        <w:gridCol w:w="109"/>
        <w:gridCol w:w="109"/>
        <w:gridCol w:w="109"/>
        <w:gridCol w:w="513"/>
        <w:gridCol w:w="989"/>
        <w:gridCol w:w="267"/>
        <w:gridCol w:w="109"/>
        <w:gridCol w:w="109"/>
        <w:gridCol w:w="109"/>
        <w:gridCol w:w="361"/>
        <w:gridCol w:w="698"/>
        <w:gridCol w:w="188"/>
        <w:gridCol w:w="109"/>
        <w:gridCol w:w="109"/>
        <w:gridCol w:w="109"/>
        <w:gridCol w:w="467"/>
        <w:gridCol w:w="600"/>
        <w:gridCol w:w="243"/>
        <w:gridCol w:w="109"/>
        <w:gridCol w:w="109"/>
        <w:gridCol w:w="109"/>
        <w:gridCol w:w="223"/>
        <w:gridCol w:w="509"/>
        <w:gridCol w:w="172"/>
      </w:tblGrid>
      <w:tr>
        <w:trPr/>
        <w:tc>
          <w:tcPr>
            <w:tcW w:w="1033" w:type="dxa"/>
            <w:tcBorders/>
            <w:shd w:fill="auto" w:val="clear"/>
            <w:vAlign w:val="center"/>
          </w:tcPr>
          <w:p>
            <w:pPr>
              <w:pStyle w:val="TableContents"/>
              <w:spacing w:before="0" w:after="283"/>
              <w:rPr>
                <w:sz w:val="4"/>
                <w:szCs w:val="4"/>
              </w:rPr>
            </w:pPr>
            <w:r>
              <w:rPr>
                <w:sz w:val="4"/>
                <w:szCs w:val="4"/>
              </w:rPr>
            </w:r>
          </w:p>
        </w:tc>
        <w:tc>
          <w:tcPr>
            <w:tcW w:w="722" w:type="dxa"/>
            <w:tcBorders/>
            <w:shd w:fill="auto" w:val="clear"/>
            <w:vAlign w:val="center"/>
          </w:tcPr>
          <w:p>
            <w:pPr>
              <w:pStyle w:val="TableContents"/>
              <w:spacing w:before="0" w:after="283"/>
              <w:rPr>
                <w:sz w:val="4"/>
                <w:szCs w:val="4"/>
              </w:rPr>
            </w:pPr>
            <w:r>
              <w:rPr>
                <w:sz w:val="4"/>
                <w:szCs w:val="4"/>
              </w:rPr>
            </w:r>
          </w:p>
        </w:tc>
        <w:tc>
          <w:tcPr>
            <w:tcW w:w="733" w:type="dxa"/>
            <w:tcBorders/>
            <w:shd w:fill="auto" w:val="clear"/>
            <w:vAlign w:val="center"/>
          </w:tcPr>
          <w:p>
            <w:pPr>
              <w:pStyle w:val="TableContents"/>
              <w:spacing w:before="0" w:after="283"/>
              <w:rPr>
                <w:sz w:val="4"/>
                <w:szCs w:val="4"/>
              </w:rPr>
            </w:pPr>
            <w:r>
              <w:rPr>
                <w:sz w:val="4"/>
                <w:szCs w:val="4"/>
              </w:rPr>
            </w:r>
          </w:p>
        </w:tc>
        <w:tc>
          <w:tcPr>
            <w:tcW w:w="310"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69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600"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5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r>
      <w:tr>
        <w:trPr/>
        <w:tc>
          <w:tcPr>
            <w:tcW w:w="24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7"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Amortized 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Allowance for Credit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Fair Value</w:t>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7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1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7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101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72"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101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4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72"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8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There were no sales of held-to-maturity investments for the three months ended March 31, 2023.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table below presents the amortized cost and fair value of held-to-maturity investments by contractual maturity and the maximum maturity per security is two years:</w:t>
      </w:r>
    </w:p>
    <w:tbl>
      <w:tblPr>
        <w:tblW w:w="7275" w:type="dxa"/>
        <w:jc w:val="left"/>
        <w:tblInd w:w="0" w:type="dxa"/>
        <w:tblCellMar>
          <w:top w:w="28" w:type="dxa"/>
          <w:left w:w="28" w:type="dxa"/>
          <w:bottom w:w="28" w:type="dxa"/>
          <w:right w:w="28" w:type="dxa"/>
        </w:tblCellMar>
      </w:tblPr>
      <w:tblGrid>
        <w:gridCol w:w="1150"/>
        <w:gridCol w:w="1009"/>
        <w:gridCol w:w="1021"/>
        <w:gridCol w:w="300"/>
        <w:gridCol w:w="685"/>
        <w:gridCol w:w="155"/>
        <w:gridCol w:w="109"/>
        <w:gridCol w:w="109"/>
        <w:gridCol w:w="109"/>
        <w:gridCol w:w="268"/>
        <w:gridCol w:w="613"/>
        <w:gridCol w:w="138"/>
        <w:gridCol w:w="109"/>
        <w:gridCol w:w="109"/>
        <w:gridCol w:w="109"/>
        <w:gridCol w:w="109"/>
        <w:gridCol w:w="109"/>
        <w:gridCol w:w="109"/>
        <w:gridCol w:w="109"/>
        <w:gridCol w:w="211"/>
        <w:gridCol w:w="481"/>
        <w:gridCol w:w="154"/>
      </w:tblGrid>
      <w:tr>
        <w:trPr/>
        <w:tc>
          <w:tcPr>
            <w:tcW w:w="1150" w:type="dxa"/>
            <w:tcBorders/>
            <w:shd w:fill="auto" w:val="clear"/>
            <w:vAlign w:val="center"/>
          </w:tcPr>
          <w:p>
            <w:pPr>
              <w:pStyle w:val="TableContents"/>
              <w:spacing w:before="0" w:after="283"/>
              <w:rPr>
                <w:sz w:val="4"/>
                <w:szCs w:val="4"/>
              </w:rPr>
            </w:pPr>
            <w:r>
              <w:rPr>
                <w:sz w:val="4"/>
                <w:szCs w:val="4"/>
              </w:rPr>
            </w:r>
          </w:p>
        </w:tc>
        <w:tc>
          <w:tcPr>
            <w:tcW w:w="1009" w:type="dxa"/>
            <w:tcBorders/>
            <w:shd w:fill="auto" w:val="clear"/>
            <w:vAlign w:val="center"/>
          </w:tcPr>
          <w:p>
            <w:pPr>
              <w:pStyle w:val="TableContents"/>
              <w:spacing w:before="0" w:after="283"/>
              <w:rPr>
                <w:sz w:val="4"/>
                <w:szCs w:val="4"/>
              </w:rPr>
            </w:pPr>
            <w:r>
              <w:rPr>
                <w:sz w:val="4"/>
                <w:szCs w:val="4"/>
              </w:rPr>
            </w:r>
          </w:p>
        </w:tc>
        <w:tc>
          <w:tcPr>
            <w:tcW w:w="102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68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613"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2" w:type="dxa"/>
            <w:gridSpan w:val="13"/>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2023</w:t>
            </w:r>
          </w:p>
        </w:tc>
        <w:tc>
          <w:tcPr>
            <w:tcW w:w="1173" w:type="dxa"/>
            <w:gridSpan w:val="6"/>
            <w:tcBorders/>
            <w:shd w:fill="auto" w:val="clea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Within 1 Year</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1 to 2 Years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Amortized cost</w:t>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Fair value</w:t>
            </w:r>
          </w:p>
        </w:tc>
        <w:tc>
          <w:tcPr>
            <w:tcW w:w="114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Debt securities:</w:t>
            </w:r>
          </w:p>
        </w:tc>
        <w:tc>
          <w:tcPr>
            <w:tcW w:w="114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30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9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9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3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held-to-maturity investments</w:t>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7" name="Frame1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Fair Value of Financial Instruments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Financial assets and liabilities measured at fair value on a recurring basis were presented on our unaudited condensed consolidated balance sheets as follows:</w:t>
      </w:r>
    </w:p>
    <w:tbl>
      <w:tblPr>
        <w:tblW w:w="10205" w:type="dxa"/>
        <w:jc w:val="left"/>
        <w:tblInd w:w="0" w:type="dxa"/>
        <w:tblCellMar>
          <w:top w:w="28" w:type="dxa"/>
          <w:left w:w="28" w:type="dxa"/>
          <w:bottom w:w="28" w:type="dxa"/>
          <w:right w:w="28" w:type="dxa"/>
        </w:tblCellMar>
      </w:tblPr>
      <w:tblGrid>
        <w:gridCol w:w="2301"/>
        <w:gridCol w:w="1448"/>
        <w:gridCol w:w="1452"/>
        <w:gridCol w:w="211"/>
        <w:gridCol w:w="646"/>
        <w:gridCol w:w="109"/>
        <w:gridCol w:w="109"/>
        <w:gridCol w:w="109"/>
        <w:gridCol w:w="109"/>
        <w:gridCol w:w="211"/>
        <w:gridCol w:w="646"/>
        <w:gridCol w:w="109"/>
        <w:gridCol w:w="109"/>
        <w:gridCol w:w="109"/>
        <w:gridCol w:w="109"/>
        <w:gridCol w:w="211"/>
        <w:gridCol w:w="406"/>
        <w:gridCol w:w="109"/>
        <w:gridCol w:w="109"/>
        <w:gridCol w:w="109"/>
        <w:gridCol w:w="109"/>
        <w:gridCol w:w="211"/>
        <w:gridCol w:w="751"/>
        <w:gridCol w:w="403"/>
      </w:tblGrid>
      <w:tr>
        <w:trPr/>
        <w:tc>
          <w:tcPr>
            <w:tcW w:w="2301"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52"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r>
      <w:tr>
        <w:trPr/>
        <w:tc>
          <w:tcPr>
            <w:tcW w:w="52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4" w:type="dxa"/>
            <w:gridSpan w:val="21"/>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 2022</w:t>
            </w:r>
          </w:p>
        </w:tc>
      </w:tr>
      <w:tr>
        <w:trPr/>
        <w:tc>
          <w:tcPr>
            <w:tcW w:w="520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735 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520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Available-for-sale investments:</w:t>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ind w:left="0" w:right="0" w:firstLine="270"/>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403" w:type="dxa"/>
            <w:tcBorders/>
            <w:shd w:fill="FFFF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Government bonds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403" w:type="dxa"/>
            <w:tcBorders/>
            <w:shd w:fill="CCEEFF" w:val="clear"/>
            <w:tcMar>
              <w:top w:w="0" w:type="dxa"/>
              <w:left w:w="0" w:type="dxa"/>
              <w:bottom w:w="0" w:type="dxa"/>
              <w:right w:w="0" w:type="dxa"/>
            </w:tcMar>
            <w:vAlign w:val="center"/>
          </w:tcPr>
          <w:p>
            <w:pPr>
              <w:pStyle w:val="TableContents"/>
              <w:spacing w:before="0" w:after="283"/>
              <w:ind w:left="0" w:right="0" w:firstLine="270"/>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bonds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403"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 related to user cryptocurrencies safeguarding obligation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403"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10,181 </w:t>
            </w:r>
          </w:p>
        </w:tc>
        <w:tc>
          <w:tcPr>
            <w:tcW w:w="40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rPr>
                <w:sz w:val="4"/>
                <w:szCs w:val="4"/>
              </w:rPr>
            </w:pPr>
            <w:r>
              <w:rPr>
                <w:sz w:val="4"/>
                <w:szCs w:val="4"/>
              </w:rPr>
            </w:r>
          </w:p>
        </w:tc>
      </w:tr>
      <w:tr>
        <w:trPr/>
        <w:tc>
          <w:tcPr>
            <w:tcW w:w="5201"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 cryptocurrencies safeguarding obligation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40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 repurchase obligations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997 </w:t>
            </w:r>
          </w:p>
        </w:tc>
        <w:tc>
          <w:tcPr>
            <w:tcW w:w="40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20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9,428 </w:t>
            </w:r>
          </w:p>
        </w:tc>
        <w:tc>
          <w:tcPr>
            <w:tcW w:w="4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8" name="Frame1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tbl>
      <w:tblPr>
        <w:tblW w:w="10205" w:type="dxa"/>
        <w:jc w:val="left"/>
        <w:tblInd w:w="0" w:type="dxa"/>
        <w:tblCellMar>
          <w:top w:w="28" w:type="dxa"/>
          <w:left w:w="28" w:type="dxa"/>
          <w:bottom w:w="28" w:type="dxa"/>
          <w:right w:w="28" w:type="dxa"/>
        </w:tblCellMar>
      </w:tblPr>
      <w:tblGrid>
        <w:gridCol w:w="2363"/>
        <w:gridCol w:w="1483"/>
        <w:gridCol w:w="1497"/>
        <w:gridCol w:w="211"/>
        <w:gridCol w:w="646"/>
        <w:gridCol w:w="109"/>
        <w:gridCol w:w="109"/>
        <w:gridCol w:w="109"/>
        <w:gridCol w:w="109"/>
        <w:gridCol w:w="211"/>
        <w:gridCol w:w="751"/>
        <w:gridCol w:w="109"/>
        <w:gridCol w:w="109"/>
        <w:gridCol w:w="109"/>
        <w:gridCol w:w="109"/>
        <w:gridCol w:w="211"/>
        <w:gridCol w:w="406"/>
        <w:gridCol w:w="109"/>
        <w:gridCol w:w="109"/>
        <w:gridCol w:w="109"/>
        <w:gridCol w:w="109"/>
        <w:gridCol w:w="211"/>
        <w:gridCol w:w="751"/>
        <w:gridCol w:w="156"/>
      </w:tblGrid>
      <w:tr>
        <w:trPr/>
        <w:tc>
          <w:tcPr>
            <w:tcW w:w="2363"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49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62"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534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equivalents: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Money market funds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Equity securities - securities owned</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Available-for-sale investments: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ind w:left="0" w:right="0" w:firstLine="180"/>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bonds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ind w:left="0" w:right="0" w:hanging="270"/>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Asset related to user cryptocurrencies safeguarding obligation</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User-held fractional shares</w:t>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w:t>
            </w:r>
          </w:p>
        </w:tc>
        <w:tc>
          <w:tcPr>
            <w:tcW w:w="96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auto" w:val="clear"/>
            <w:vAlign w:val="center"/>
          </w:tcPr>
          <w:p>
            <w:pPr>
              <w:pStyle w:val="TableContents"/>
              <w:spacing w:before="0" w:after="283"/>
              <w:rPr>
                <w:sz w:val="4"/>
                <w:szCs w:val="4"/>
              </w:rPr>
            </w:pPr>
            <w:r>
              <w:rPr>
                <w:sz w:val="4"/>
                <w:szCs w:val="4"/>
              </w:rPr>
            </w:r>
          </w:p>
        </w:tc>
        <w:tc>
          <w:tcPr>
            <w:tcW w:w="9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8" w:type="dxa"/>
            <w:gridSpan w:val="3"/>
            <w:tcBorders/>
            <w:shd w:fill="auto" w:val="cle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User cryptocurrencies safeguarding obligation</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Fractional share repurchase obligations</w:t>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34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12,706 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for certain financial instruments that are not required to be measured or reported at fair value was presented on our unaudited condensed consolidated balance sheets as follows:</w:t>
      </w:r>
    </w:p>
    <w:tbl>
      <w:tblPr>
        <w:tblW w:w="7335" w:type="dxa"/>
        <w:jc w:val="left"/>
        <w:tblInd w:w="0" w:type="dxa"/>
        <w:tblCellMar>
          <w:top w:w="28" w:type="dxa"/>
          <w:left w:w="28" w:type="dxa"/>
          <w:bottom w:w="28" w:type="dxa"/>
          <w:right w:w="28" w:type="dxa"/>
        </w:tblCellMar>
      </w:tblPr>
      <w:tblGrid>
        <w:gridCol w:w="1399"/>
        <w:gridCol w:w="886"/>
        <w:gridCol w:w="895"/>
        <w:gridCol w:w="211"/>
        <w:gridCol w:w="481"/>
        <w:gridCol w:w="109"/>
        <w:gridCol w:w="109"/>
        <w:gridCol w:w="109"/>
        <w:gridCol w:w="109"/>
        <w:gridCol w:w="211"/>
        <w:gridCol w:w="481"/>
        <w:gridCol w:w="109"/>
        <w:gridCol w:w="109"/>
        <w:gridCol w:w="109"/>
        <w:gridCol w:w="109"/>
        <w:gridCol w:w="211"/>
        <w:gridCol w:w="406"/>
        <w:gridCol w:w="109"/>
        <w:gridCol w:w="109"/>
        <w:gridCol w:w="109"/>
        <w:gridCol w:w="109"/>
        <w:gridCol w:w="211"/>
        <w:gridCol w:w="481"/>
        <w:gridCol w:w="154"/>
      </w:tblGrid>
      <w:tr>
        <w:trPr/>
        <w:tc>
          <w:tcPr>
            <w:tcW w:w="1399"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89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55" w:type="dxa"/>
            <w:gridSpan w:val="21"/>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31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Held-to-maturity investments:</w:t>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Corporate debt securities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Treasury securities</w:t>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Commercial Paper</w:t>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Certificates of deposit</w:t>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U.S. government agency securities</w:t>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financial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484 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During the three months ended March 31, 2023, we did not have any transfers in or out of Level 3 assets or liabilities.</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9" name="Frame1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Safeguarded user cryptocurrencies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Safeguarded user cryptocurrencies were as follows:</w:t>
      </w:r>
    </w:p>
    <w:tbl>
      <w:tblPr>
        <w:tblW w:w="9675" w:type="dxa"/>
        <w:jc w:val="left"/>
        <w:tblInd w:w="0" w:type="dxa"/>
        <w:tblCellMar>
          <w:top w:w="28" w:type="dxa"/>
          <w:left w:w="28" w:type="dxa"/>
          <w:bottom w:w="28" w:type="dxa"/>
          <w:right w:w="28" w:type="dxa"/>
        </w:tblCellMar>
      </w:tblPr>
      <w:tblGrid>
        <w:gridCol w:w="2441"/>
        <w:gridCol w:w="2137"/>
        <w:gridCol w:w="2157"/>
        <w:gridCol w:w="109"/>
        <w:gridCol w:w="109"/>
        <w:gridCol w:w="109"/>
        <w:gridCol w:w="255"/>
        <w:gridCol w:w="783"/>
        <w:gridCol w:w="132"/>
        <w:gridCol w:w="109"/>
        <w:gridCol w:w="109"/>
        <w:gridCol w:w="109"/>
        <w:gridCol w:w="211"/>
        <w:gridCol w:w="751"/>
        <w:gridCol w:w="154"/>
      </w:tblGrid>
      <w:tr>
        <w:trPr/>
        <w:tc>
          <w:tcPr>
            <w:tcW w:w="2441" w:type="dxa"/>
            <w:tcBorders/>
            <w:shd w:fill="auto" w:val="clear"/>
            <w:vAlign w:val="center"/>
          </w:tcPr>
          <w:p>
            <w:pPr>
              <w:pStyle w:val="TableContents"/>
              <w:spacing w:before="0" w:after="283"/>
              <w:rPr>
                <w:sz w:val="4"/>
                <w:szCs w:val="4"/>
              </w:rPr>
            </w:pPr>
            <w:r>
              <w:rPr>
                <w:sz w:val="4"/>
                <w:szCs w:val="4"/>
              </w:rPr>
            </w:r>
          </w:p>
        </w:tc>
        <w:tc>
          <w:tcPr>
            <w:tcW w:w="2137" w:type="dxa"/>
            <w:tcBorders/>
            <w:shd w:fill="auto" w:val="clear"/>
            <w:vAlign w:val="center"/>
          </w:tcPr>
          <w:p>
            <w:pPr>
              <w:pStyle w:val="TableContents"/>
              <w:spacing w:before="0" w:after="283"/>
              <w:rPr>
                <w:sz w:val="4"/>
                <w:szCs w:val="4"/>
              </w:rPr>
            </w:pPr>
            <w:r>
              <w:rPr>
                <w:sz w:val="4"/>
                <w:szCs w:val="4"/>
              </w:rPr>
            </w:r>
          </w:p>
        </w:tc>
        <w:tc>
          <w:tcPr>
            <w:tcW w:w="21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7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67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Bitcoin (BTC)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Ethereum (ETH)</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3,292 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Dogecoin (DOGE)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2,802 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961 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1,293 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user cryptocurrencies safeguarding obligation and corresponding asset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8,431 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11,489 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fair value of the user cryptocurrencies safeguarding obligation and the corresponding asset were determined based on observed market pricing representing the last price executed for trades of each cryptocurrency as of December 31, 2022 and March 31,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6: INCOME TAXES</w:t>
      </w:r>
    </w:p>
    <w:tbl>
      <w:tblPr>
        <w:tblW w:w="5854" w:type="dxa"/>
        <w:jc w:val="left"/>
        <w:tblInd w:w="0" w:type="dxa"/>
        <w:tblCellMar>
          <w:top w:w="28" w:type="dxa"/>
          <w:left w:w="28" w:type="dxa"/>
          <w:bottom w:w="28" w:type="dxa"/>
          <w:right w:w="28" w:type="dxa"/>
        </w:tblCellMar>
      </w:tblPr>
      <w:tblGrid>
        <w:gridCol w:w="896"/>
        <w:gridCol w:w="788"/>
        <w:gridCol w:w="791"/>
        <w:gridCol w:w="109"/>
        <w:gridCol w:w="109"/>
        <w:gridCol w:w="129"/>
        <w:gridCol w:w="129"/>
        <w:gridCol w:w="129"/>
        <w:gridCol w:w="129"/>
        <w:gridCol w:w="251"/>
        <w:gridCol w:w="644"/>
        <w:gridCol w:w="340"/>
        <w:gridCol w:w="109"/>
        <w:gridCol w:w="109"/>
        <w:gridCol w:w="109"/>
        <w:gridCol w:w="211"/>
        <w:gridCol w:w="541"/>
        <w:gridCol w:w="331"/>
      </w:tblGrid>
      <w:tr>
        <w:trPr/>
        <w:tc>
          <w:tcPr>
            <w:tcW w:w="89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7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644"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410" w:type="dxa"/>
            <w:gridSpan w:val="6"/>
            <w:tcBorders/>
            <w:shd w:fill="auto" w:val="clea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percentages)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33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Effective tax rate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(0.3)</w:t>
            </w:r>
          </w:p>
        </w:tc>
        <w:tc>
          <w:tcPr>
            <w:tcW w:w="34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w:t>
            </w:r>
          </w:p>
        </w:tc>
        <w:tc>
          <w:tcPr>
            <w:tcW w:w="33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tax provision for interim periods is determined using an estimated annual effective tax rate (“ETR”), adjusted for discrete items arising in the period. In each quarter, we update our estimated annual ETR and make a year-to-date calculation of the provision.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the three months ended March 31, 2022 and March 31, 2023 the ETR was lower than the U.S. federal statutory rate primarily due to the full valuation allowance on our U.S. federal and state deferred tax assets offset by current taxes payable.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realization of tax benefits of net deferred tax assets is dependent upon future levels of taxable income, of an appropriate character, in the periods the items are expected to be deductible or taxable. Based on the available objective evidence during the three months ended March 31, 2023, we believe it is more likely than not that the tax benefits of the remaining U.S. net deferred tax assets may not be realized.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Utilization of the net operating loss and credit carryforwards may be subject to a substantial annual limitation due to the ownership change limitations provided by the Internal Revenue Code of 1986, as amended, and similar state provisions. The annual limitation may result in the expiration of net operating losses and tax credits before utilization.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7: SECURITIES BORROWING AND LENDING</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When we lend securities to third parties we receive cash as collateral for the securities loaned. In the table below, the cash collateral we hold related to loaned securities is presented in “securities loaned” and the fair value of securities lent is presented in “security collateral pledged.” Similarly, when we borrow securities from third parties or fully-paid securities from users, we provide cash collateral. In the table below, the amount of that cash collateral is presented in “securities borrowed” and the fair value of the securities received is presented in “security collateral received.” </w:t>
      </w: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20" name="Frame2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19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securities lending transactions are subject to enforceable master netting arrangements with other broker-dealers; however, we do not net securities borrowing and lending transactions. Therefore, activity related to securities borrowing and lending activities are presented gross in our unaudited condensed consolidated balance sheets.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tables set forth certain balances related to our securities borrowing and lending activities as of December 31, 2022 and March 31, 2023:</w:t>
      </w:r>
    </w:p>
    <w:tbl>
      <w:tblPr>
        <w:tblW w:w="9902" w:type="dxa"/>
        <w:jc w:val="left"/>
        <w:tblInd w:w="0" w:type="dxa"/>
        <w:tblCellMar>
          <w:top w:w="28" w:type="dxa"/>
          <w:left w:w="28" w:type="dxa"/>
          <w:bottom w:w="28" w:type="dxa"/>
          <w:right w:w="28" w:type="dxa"/>
        </w:tblCellMar>
      </w:tblPr>
      <w:tblGrid>
        <w:gridCol w:w="2786"/>
        <w:gridCol w:w="2293"/>
        <w:gridCol w:w="2315"/>
        <w:gridCol w:w="255"/>
        <w:gridCol w:w="783"/>
        <w:gridCol w:w="132"/>
        <w:gridCol w:w="109"/>
        <w:gridCol w:w="109"/>
        <w:gridCol w:w="109"/>
        <w:gridCol w:w="211"/>
        <w:gridCol w:w="646"/>
        <w:gridCol w:w="154"/>
      </w:tblGrid>
      <w:tr>
        <w:trPr/>
        <w:tc>
          <w:tcPr>
            <w:tcW w:w="2786" w:type="dxa"/>
            <w:tcBorders/>
            <w:shd w:fill="auto" w:val="clear"/>
            <w:vAlign w:val="center"/>
          </w:tcPr>
          <w:p>
            <w:pPr>
              <w:pStyle w:val="TableContents"/>
              <w:spacing w:before="0" w:after="283"/>
              <w:rPr>
                <w:sz w:val="4"/>
                <w:szCs w:val="4"/>
              </w:rPr>
            </w:pPr>
            <w:r>
              <w:rPr>
                <w:sz w:val="4"/>
                <w:szCs w:val="4"/>
              </w:rPr>
            </w:r>
          </w:p>
        </w:tc>
        <w:tc>
          <w:tcPr>
            <w:tcW w:w="2293" w:type="dxa"/>
            <w:tcBorders/>
            <w:shd w:fill="auto" w:val="clear"/>
            <w:vAlign w:val="center"/>
          </w:tcPr>
          <w:p>
            <w:pPr>
              <w:pStyle w:val="TableContents"/>
              <w:spacing w:before="0" w:after="283"/>
              <w:rPr>
                <w:sz w:val="4"/>
                <w:szCs w:val="4"/>
              </w:rPr>
            </w:pPr>
            <w:r>
              <w:rPr>
                <w:sz w:val="4"/>
                <w:szCs w:val="4"/>
              </w:rPr>
            </w:r>
          </w:p>
        </w:tc>
        <w:tc>
          <w:tcPr>
            <w:tcW w:w="231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8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7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7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Assets</w:t>
            </w:r>
          </w:p>
        </w:tc>
        <w:tc>
          <w:tcPr>
            <w:tcW w:w="2508"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Securities borrowed</w:t>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securities borrowed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offset on the consolidated balance sheets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assets presented on the consolidated balance sheets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securities borrowed not offset on the consolidated balance sheets: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borrowed</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844 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Security collateral received</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(846)</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3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Liabilities</w:t>
            </w:r>
          </w:p>
        </w:tc>
        <w:tc>
          <w:tcPr>
            <w:tcW w:w="2508" w:type="dxa"/>
            <w:gridSpan w:val="9"/>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Securities loaned</w:t>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securities loaned</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securities loaned offset on the consolidated balance sheets</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Amounts of liabilities presented on the consolidated balance sheets</w:t>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1,834 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amount of securities loaned not offset on the consolidated balance sheets:</w:t>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loaned</w:t>
            </w:r>
          </w:p>
        </w:tc>
        <w:tc>
          <w:tcPr>
            <w:tcW w:w="10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1,834 </w:t>
            </w:r>
          </w:p>
        </w:tc>
        <w:tc>
          <w:tcPr>
            <w:tcW w:w="13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2,609 </w:t>
            </w:r>
          </w:p>
        </w:tc>
        <w:tc>
          <w:tcPr>
            <w:tcW w:w="154"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Security collateral pledged</w:t>
            </w:r>
          </w:p>
        </w:tc>
        <w:tc>
          <w:tcPr>
            <w:tcW w:w="10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(1,629)</w:t>
            </w:r>
          </w:p>
        </w:tc>
        <w:tc>
          <w:tcPr>
            <w:tcW w:w="13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(2,368)</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73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amount</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205 </w:t>
            </w:r>
          </w:p>
        </w:tc>
        <w:tc>
          <w:tcPr>
            <w:tcW w:w="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obtain securities on terms that permit us to pledge and/or transfer securities to others. As of December 31, 2022 and March 31, 2023, we were permitted to re-pledge securities with a fair value of $4.36 billion for both periods under margin account agreements with users, and securities with a fair value of $18.4 million and $1.0 million that we had borrowed under master securities loan agreements (“MSLAs”) with third parties. Under the Fully-Paid Securities Lending program, as of March 31, 2023, we were permitted to re-pledge securities with a fair value of $6.34 billion including securities with a fair value of $845.0 million that we had borrowed from users.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December 31, 2022 and March 31, 2023, we had re-pledged securities with a fair value of $1.63 billion and $2.37 billion, in each case under MSLAs and fixed-term securities lending agreements with third parties. In addition, as of December 31, 2022 and March 31, 2023, we had re-pledged $231.2 million and $430.7 million of the permitted amounts under the Margin Securities Lending program with clearing organizations to meet deposit requirements. </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21" name="Frame2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8: FINANCING ACTIVITIES AND OFF-BALANCE SHEET RISK</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Revolving Credit Facilities</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October 2019 Credit Facility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October 2019, we entered into a $200 million committed and unsecured revolving line of credit with a syndicate of banks maturing in October 2023 (the “October 2019 Credit Facility”). The October 2019 Credit Facility was subsequently amended to, among other things, increase the aggregate committed and unsecured revolving line of credit amount to $625 million with a maturity date of October 29, 2024 and change the applicable interest rates. Refer to Note 12 - Financing Activities and Off-Balance Sheet Risk, of the 2022 Form 10-K for more information.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April 2023 Credit Agreement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March 24, 2023, RHS, our wholly-owned subsidiary, entered into the Second Amended and Restated Credit Agreement (the “April 2023 Credit Agreement”) among RHS, as borrower, the lenders party thereto, and JPMorgan Chase Bank, N.A., as administrative agent, amending and restating the $2.275 billion 364-day senior secured revolving credit facility entered into in April 2022 (Refer to Note 12 - Financing Activities and Off-Balance Sheet Risk, of the 2022 Form 10-K for more information).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April 2023 Credit Agreement provides for a 364-day senior secured revolving credit facility with a total commitment of $2.175 billion. Under circumstances described in the April 2023 Credit Agreement, the aggregate commitments may be increased by up to $1.0875 billion, for a total commitment under the April 2023 Credit Agreement of $3.2625 billion. Borrowings under the credit facility must be specified to be Tranche A, Tranche B, Tranche C or a combination thereof. Tranche A loans are secured by users’ securities purchased on margin and are used primarily to finance margin loans. Tranche B loans are secured by the right to the return from National Securities Clearing Corporation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Securities Exchange Act of 1934, as amended (the "Exchange Act").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Borrowings under the April 2023 Credit Agreement will bear interest at a rate per annum equal to the greatest of (i) Daily Simple Secured Overnight Financing Rate ("SOFR") plus 0.10%, (ii) the Federal Funds Effective Rate (as defined in the April 2023 Credit Agreement) and (iii) the Overnight Bank Funding Rate (as defined in the April 2023 Credit Agreement), in each case, as of the day the loan is initiated, plus an applicable margin rate. The applicable margin rate is 1.25% for Tranche A loans and 2.50% for Tranche B and Tranche C loans. Undrawn commitments will accrue commitment fees at a rate per annum equal to 0.50%.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April 2023 Credit Agreement requires RHS to maintain a minimum consolidated tangible net worth and a minimum excess net capital, and subjects RHS to a specified limit on minimum net capital to aggregate debit items. In addition, the April 2023 Credit Agreement contains certain customary affirmative and negative covenants, including limitations with respect to debt, liens, fundamental changes, asset sales, restricted payments, investments and transactions with affiliates, subject to certain exceptions. Amounts due under the April 2023 Credit Agreement may be accelerated upon an “event of default,” as defined in the April 2023 Credit Agreement, such as failure to pay amounts owed thereunder when due, breach of a covenant, material inaccuracy of a representation, or occurrence of bankruptcy or insolvency, subject in some cases to cure periods.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2022 and March 31, 2023, there were no borrowings outstanding under our revolving credit facilities.</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2" name="Frame2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were in compliance with all covenants, as applicable, under our revolving credit facilities as of December 31, 2022 and March 31, 2023.</w:t>
      </w:r>
    </w:p>
    <w:p>
      <w:pPr>
        <w:pStyle w:val="TextBody"/>
        <w:spacing w:before="0" w:after="0"/>
        <w:jc w:val="both"/>
        <w:rPr/>
      </w:pPr>
      <w:r>
        <w:rPr/>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Off-Balance Sheet Risk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the normal course of business, we engage in activities involving settlement and financing of securities transactions. User securities transactions are recorded on a settlement date basis, which is generally two business days after the trade date for equities and one business day after the trade date for options.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9: COMMON STOCK AND STOCKHOLDERS' (DEFICIT) EQUITY</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Preferred Stock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no terms of the preferred stock were designated, and no shares of preferred stock were outstanding.</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Common Stock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Amended and Restated Certificate of Incorporation (our "Charter") or applicable law.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Warrants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warrants outstanding consisted of warrants to purchase 14.3 million shares of Class A common stock with a strike price of $26.60 per share. The warrants expire on February 12, 2031 and can be exercised with cash or net shares at the holder’s option. In aggregate, the maximum purchase amount of all warrants is $380 million. As of March 31, 2023, the warrants have not been exercised and are included as a component of additional paid in capital on the unaudited condensed consolidated balance sheets.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Equity Incentive Plans</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 xml:space="preserve">Amended and Restated 2013 Stock Plan and 2020 Equity Incentive Plan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Amended and Restated 2013 Stock Plan, as amended (the “2013 Plan”), and our 2020 Equity Incentive Plan, as amended (the “2020 Plan”), provided for share-based awards to eligible participants, granted as incentive stock options (“ISOs”), non-statutory stock options (“NSOs”), restricted stock units ("RSUs"), stock appreciation rights (“SARs”) or restricted stock awards (“RSAs”). Our 2013 Plan was terminated in connection with adoption of our 2020 Plan, and our 2020 Plan was terminated in connection with the adoption of our 2021 Omnibus Incentive Plan (the "2021 Plan") but any awards outstanding under our 2013 Plan and 2020 Plan remain in effect in accordance with their terms. Any shares that were or otherwise would become available for grant under the 2013 Plan or 2020 Plan will be available for grant under the 2021 Plan. No new awards may be granted under our 2013 Plan or 2020 Plan.</w:t>
      </w: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3" name="Frame2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2021 Omnibus Incentive Plan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2021 Plan became effective on July 27, 2021, and provides for the grant of share-based awards (such as options, including ISOs and NSOs, SARs, RSAs, RSUs, performance units, and other equity-based awards) and cash-based awards.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an aggregate of 405 million shares had been authorized for issuance under the 2013 Plan, 2020 Plan, and 2021 Plan, of which 106 million shares had been issued under the plans, 101 million shares were reserved for issuance upon the exercise or settlement of outstanding equity awards under the plans, and 198 million shares remained available for new grants under the 2021 Plan.</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Time-Based RSUs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grant RSUs that vest upon the satisfaction of a time-based service condition (“Time-Based RSUs”). The following table summarizes the activity related to our Time-Based RSUs for the three months ended March 31, 2023, which is the period we grant our company-wide annual refresh grants: </w:t>
      </w:r>
    </w:p>
    <w:tbl>
      <w:tblPr>
        <w:tblW w:w="8092" w:type="dxa"/>
        <w:jc w:val="left"/>
        <w:tblInd w:w="0" w:type="dxa"/>
        <w:tblCellMar>
          <w:top w:w="28" w:type="dxa"/>
          <w:left w:w="28" w:type="dxa"/>
          <w:bottom w:w="28" w:type="dxa"/>
          <w:right w:w="28" w:type="dxa"/>
        </w:tblCellMar>
      </w:tblPr>
      <w:tblGrid>
        <w:gridCol w:w="1058"/>
        <w:gridCol w:w="930"/>
        <w:gridCol w:w="936"/>
        <w:gridCol w:w="563"/>
        <w:gridCol w:w="563"/>
        <w:gridCol w:w="476"/>
        <w:gridCol w:w="109"/>
        <w:gridCol w:w="109"/>
        <w:gridCol w:w="109"/>
        <w:gridCol w:w="676"/>
        <w:gridCol w:w="2070"/>
        <w:gridCol w:w="493"/>
      </w:tblGrid>
      <w:tr>
        <w:trPr/>
        <w:tc>
          <w:tcPr>
            <w:tcW w:w="1058" w:type="dxa"/>
            <w:tcBorders/>
            <w:shd w:fill="auto" w:val="clear"/>
            <w:vAlign w:val="center"/>
          </w:tcPr>
          <w:p>
            <w:pPr>
              <w:pStyle w:val="TableContents"/>
              <w:spacing w:before="0" w:after="283"/>
              <w:rPr>
                <w:sz w:val="4"/>
                <w:szCs w:val="4"/>
              </w:rPr>
            </w:pPr>
            <w:r>
              <w:rPr>
                <w:sz w:val="4"/>
                <w:szCs w:val="4"/>
              </w:rPr>
            </w:r>
          </w:p>
        </w:tc>
        <w:tc>
          <w:tcPr>
            <w:tcW w:w="930"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070"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Number of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2022</w:t>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56,116,782 </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18.55 </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19,251,484 </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9.72 </w:t>
            </w:r>
          </w:p>
        </w:tc>
        <w:tc>
          <w:tcPr>
            <w:tcW w:w="4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(7,078,184)</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15.53 </w:t>
            </w:r>
          </w:p>
        </w:tc>
        <w:tc>
          <w:tcPr>
            <w:tcW w:w="49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Forfeited</w:t>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(4,700,651)</w:t>
            </w:r>
          </w:p>
        </w:tc>
        <w:tc>
          <w:tcPr>
            <w:tcW w:w="47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4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17.24 </w:t>
            </w:r>
          </w:p>
        </w:tc>
        <w:tc>
          <w:tcPr>
            <w:tcW w:w="49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March 31, 2023</w:t>
            </w:r>
          </w:p>
        </w:tc>
        <w:tc>
          <w:tcPr>
            <w:tcW w:w="112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63,589,431 </w:t>
            </w:r>
          </w:p>
        </w:tc>
        <w:tc>
          <w:tcPr>
            <w:tcW w:w="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0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17.33 </w:t>
            </w:r>
          </w:p>
        </w:tc>
        <w:tc>
          <w:tcPr>
            <w:tcW w:w="4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Market-Based RSUs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2019 and 2021, we granted to our founders RSUs under which vesting is conditioned upon both the achievement of share price targets and the continued employment by each recipient over defined service periods (“Market-Based RSUs”).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February 2023, we cancelled the 2021 Market-Based RSUs of 35.5 million unvested shares (the “2021 Founders Award Cancellation”). We recognized $485 million share-based compensation (“SBC”) expense related to the cancellation during the three months ended March 31, 2023, which was included in the general and administrative expense in our unaudited condensed statement of operations. No further expense associated with these awards were recognized after the cancellation. No other payments, replacement equity awards or benefits were granted in connection with the cancellation.</w:t>
      </w:r>
    </w:p>
    <w:p>
      <w:pPr>
        <w:pStyle w:val="TextBody"/>
        <w:spacing w:lineRule="auto" w:line="288" w:before="0" w:after="20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The following table summarizes the activity related to our Market-Based RSUs for the three months ended March 31, 2023: </w:t>
      </w:r>
    </w:p>
    <w:tbl>
      <w:tblPr>
        <w:tblW w:w="10205" w:type="dxa"/>
        <w:jc w:val="left"/>
        <w:tblInd w:w="0" w:type="dxa"/>
        <w:tblCellMar>
          <w:top w:w="28" w:type="dxa"/>
          <w:left w:w="28" w:type="dxa"/>
          <w:bottom w:w="28" w:type="dxa"/>
          <w:right w:w="28" w:type="dxa"/>
        </w:tblCellMar>
      </w:tblPr>
      <w:tblGrid>
        <w:gridCol w:w="793"/>
        <w:gridCol w:w="697"/>
        <w:gridCol w:w="702"/>
        <w:gridCol w:w="489"/>
        <w:gridCol w:w="442"/>
        <w:gridCol w:w="392"/>
        <w:gridCol w:w="109"/>
        <w:gridCol w:w="109"/>
        <w:gridCol w:w="109"/>
        <w:gridCol w:w="599"/>
        <w:gridCol w:w="571"/>
        <w:gridCol w:w="460"/>
        <w:gridCol w:w="109"/>
        <w:gridCol w:w="109"/>
        <w:gridCol w:w="109"/>
        <w:gridCol w:w="624"/>
        <w:gridCol w:w="577"/>
        <w:gridCol w:w="482"/>
        <w:gridCol w:w="109"/>
        <w:gridCol w:w="109"/>
        <w:gridCol w:w="109"/>
        <w:gridCol w:w="499"/>
        <w:gridCol w:w="1528"/>
        <w:gridCol w:w="369"/>
      </w:tblGrid>
      <w:tr>
        <w:trPr/>
        <w:tc>
          <w:tcPr>
            <w:tcW w:w="793"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577"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528"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3"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Eligible to Vest</w:t>
            </w:r>
            <w:r>
              <w:rPr>
                <w:rFonts w:ascii="Helvetica;sans-serif" w:hAnsi="Helvetica;sans-serif"/>
                <w:b/>
                <w:color w:val="000000"/>
                <w:sz w:val="10"/>
              </w:rPr>
              <w:t>(1)</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Helvetica;sans-serif" w:hAnsi="Helvetica;sans-serif"/>
                <w:b/>
                <w:color w:val="000000"/>
                <w:sz w:val="16"/>
              </w:rPr>
              <w:t>Not Eligible to Vest</w:t>
            </w:r>
            <w:r>
              <w:rPr>
                <w:rFonts w:ascii="Helvetica;sans-serif" w:hAnsi="Helvetica;sans-serif"/>
                <w:b/>
                <w:color w:val="000000"/>
                <w:sz w:val="10"/>
              </w:rPr>
              <w:t>(2)</w:t>
            </w:r>
            <w:r>
              <w:rPr>
                <w:color w:val="000000"/>
              </w:rPr>
              <w:t xml:space="preserv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Number of RSUs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Weighted- average grant date fair value</w:t>
            </w:r>
          </w:p>
        </w:tc>
      </w:tr>
      <w:tr>
        <w:trPr/>
        <w:tc>
          <w:tcPr>
            <w:tcW w:w="2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December 31, 2022</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806,858 </w:t>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57,650,926 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58,457,784 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23.67 </w:t>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Granted</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Vested</w:t>
            </w:r>
          </w:p>
        </w:tc>
        <w:tc>
          <w:tcPr>
            <w:tcW w:w="9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(115,266)</w:t>
            </w:r>
          </w:p>
        </w:tc>
        <w:tc>
          <w:tcPr>
            <w:tcW w:w="3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(115,266)</w:t>
            </w:r>
          </w:p>
        </w:tc>
        <w:tc>
          <w:tcPr>
            <w:tcW w:w="4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2"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Cancelled</w:t>
            </w:r>
          </w:p>
        </w:tc>
        <w:tc>
          <w:tcPr>
            <w:tcW w:w="9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(35,520,000)</w:t>
            </w:r>
          </w:p>
        </w:tc>
        <w:tc>
          <w:tcPr>
            <w:tcW w:w="4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(35,520,000)</w:t>
            </w:r>
          </w:p>
        </w:tc>
        <w:tc>
          <w:tcPr>
            <w:tcW w:w="4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22.68 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92"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Unvested at March 31, 2023</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691,592 </w:t>
            </w:r>
          </w:p>
        </w:tc>
        <w:tc>
          <w:tcPr>
            <w:tcW w:w="3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22,130,926 </w:t>
            </w:r>
          </w:p>
        </w:tc>
        <w:tc>
          <w:tcPr>
            <w:tcW w:w="4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22,822,518 </w:t>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5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25.32 </w:t>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2192" w:type="dxa"/>
            <w:gridSpan w:val="3"/>
            <w:tcBorders/>
            <w:shd w:fill="auto" w:val="clear"/>
            <w:vAlign w:val="center"/>
          </w:tcPr>
          <w:p>
            <w:pPr>
              <w:pStyle w:val="TableContents"/>
              <w:spacing w:before="0" w:after="283"/>
              <w:rPr>
                <w:sz w:val="4"/>
                <w:szCs w:val="4"/>
              </w:rPr>
            </w:pPr>
            <w:r>
              <w:rPr>
                <w:sz w:val="4"/>
                <w:szCs w:val="4"/>
              </w:rPr>
            </w:r>
          </w:p>
        </w:tc>
        <w:tc>
          <w:tcPr>
            <w:tcW w:w="132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8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3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spacing w:lineRule="auto" w:line="288" w:before="0" w:after="2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(1)Represents RSUs that became eligible to vest upon achievement of share price targets and vest upon satisfaction of time-based service requirements. </w:t>
      </w:r>
    </w:p>
    <w:p>
      <w:pPr>
        <w:pStyle w:val="TextBody"/>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(2)Represents RSUs that have not yet become eligible to vest because share price targets have not yet been achieved. </w:t>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4" name="Frame2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before="0" w:after="200"/>
        <w:ind w:left="0" w:right="0" w:firstLine="360"/>
        <w:jc w:val="both"/>
        <w:rPr/>
      </w:pPr>
      <w:r>
        <w:rPr/>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Share-Based Compensation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SBC on our unaudited condensed consolidated statements of operations for the periods indicated:</w:t>
      </w:r>
    </w:p>
    <w:tbl>
      <w:tblPr>
        <w:tblW w:w="5873" w:type="dxa"/>
        <w:jc w:val="left"/>
        <w:tblInd w:w="0" w:type="dxa"/>
        <w:tblCellMar>
          <w:top w:w="28" w:type="dxa"/>
          <w:left w:w="28" w:type="dxa"/>
          <w:bottom w:w="28" w:type="dxa"/>
          <w:right w:w="28" w:type="dxa"/>
        </w:tblCellMar>
      </w:tblPr>
      <w:tblGrid>
        <w:gridCol w:w="988"/>
        <w:gridCol w:w="866"/>
        <w:gridCol w:w="876"/>
        <w:gridCol w:w="109"/>
        <w:gridCol w:w="109"/>
        <w:gridCol w:w="187"/>
        <w:gridCol w:w="187"/>
        <w:gridCol w:w="363"/>
        <w:gridCol w:w="828"/>
        <w:gridCol w:w="187"/>
        <w:gridCol w:w="109"/>
        <w:gridCol w:w="109"/>
        <w:gridCol w:w="109"/>
        <w:gridCol w:w="211"/>
        <w:gridCol w:w="481"/>
        <w:gridCol w:w="154"/>
      </w:tblGrid>
      <w:tr>
        <w:trPr/>
        <w:tc>
          <w:tcPr>
            <w:tcW w:w="988"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2"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173" w:type="dxa"/>
            <w:gridSpan w:val="6"/>
            <w:tcBorders/>
            <w:shd w:fill="auto" w:val="clea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3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Brokerage and transaction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Technology and development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Operations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8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18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Total</w:t>
            </w:r>
            <w:r>
              <w:rPr>
                <w:rFonts w:ascii="Helvetica;sans-serif" w:hAnsi="Helvetica;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3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spacing w:lineRule="auto" w:line="288" w:before="0" w:after="200"/>
        <w:ind w:left="0" w:right="0" w:firstLine="360"/>
        <w:jc w:val="both"/>
        <w:rPr/>
      </w:pPr>
      <w:r>
        <w:rPr>
          <w:rFonts w:ascii="Helvetica;sans-serif" w:hAnsi="Helvetica;sans-serif"/>
          <w:b w:val="false"/>
          <w:color w:val="000000"/>
          <w:sz w:val="13"/>
        </w:rPr>
        <w:t>(1</w:t>
      </w:r>
      <w:r>
        <w:rPr>
          <w:rFonts w:ascii="Helvetica;sans-serif" w:hAnsi="Helvetica;sans-serif"/>
          <w:b w:val="false"/>
          <w:color w:val="000000"/>
          <w:sz w:val="10"/>
        </w:rPr>
        <w:t xml:space="preserve">) </w:t>
      </w:r>
      <w:r>
        <w:rPr>
          <w:rFonts w:ascii="Helvetica;sans-serif" w:hAnsi="Helvetica;sans-serif"/>
          <w:b w:val="false"/>
          <w:color w:val="000000"/>
          <w:sz w:val="16"/>
        </w:rPr>
        <w:t xml:space="preserve">For the three months ended March 31, 2023 and 2022, SBC expense primarily consisted of $528 million and $84 million related to Market-Based RSUs and $67 million and $130 million related to Time-Based RSUs. </w:t>
      </w:r>
    </w:p>
    <w:p>
      <w:pPr>
        <w:pStyle w:val="TextBody"/>
        <w:spacing w:lineRule="auto" w:line="288" w:before="20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capitalized SBC expense related to internally developed software of $4 million and $10 million during the three months ended March 31, 2023 and March 31, 2022, respectively. </w:t>
      </w:r>
    </w:p>
    <w:p>
      <w:pPr>
        <w:pStyle w:val="TextBody"/>
        <w:spacing w:lineRule="auto" w:line="288" w:before="0" w:after="0"/>
        <w:ind w:left="0" w:right="0" w:firstLine="270"/>
        <w:jc w:val="both"/>
        <w:rPr/>
      </w:pPr>
      <w:r>
        <w:rPr>
          <w:rFonts w:ascii="Helvetica;sans-serif" w:hAnsi="Helvetica;sans-serif"/>
          <w:b w:val="false"/>
          <w:color w:val="000000"/>
          <w:sz w:val="20"/>
          <w:highlight w:val="white"/>
        </w:rPr>
        <w:t xml:space="preserve">As of March 31, 2023, there was </w:t>
      </w:r>
      <w:r>
        <w:rPr>
          <w:rFonts w:ascii="Helvetica;sans-serif" w:hAnsi="Helvetica;sans-serif"/>
          <w:b w:val="false"/>
          <w:color w:val="000000"/>
          <w:sz w:val="20"/>
        </w:rPr>
        <w:t>$0.7 billion</w:t>
      </w:r>
      <w:r>
        <w:rPr>
          <w:color w:val="000000"/>
          <w:highlight w:val="white"/>
        </w:rPr>
        <w:t xml:space="preserve"> </w:t>
      </w:r>
      <w:r>
        <w:rPr>
          <w:rFonts w:ascii="Helvetica;sans-serif" w:hAnsi="Helvetica;sans-serif"/>
          <w:b w:val="false"/>
          <w:color w:val="000000"/>
          <w:sz w:val="20"/>
          <w:highlight w:val="white"/>
        </w:rPr>
        <w:t xml:space="preserve">of unrecognized SBC expense that is expected to be recognized over a weighted-average period of </w:t>
      </w:r>
      <w:r>
        <w:rPr>
          <w:rFonts w:ascii="Helvetica;sans-serif" w:hAnsi="Helvetica;sans-serif"/>
          <w:b w:val="false"/>
          <w:color w:val="000000"/>
          <w:sz w:val="20"/>
        </w:rPr>
        <w:t>1.3 years</w:t>
      </w:r>
      <w:r>
        <w:rPr>
          <w:rFonts w:ascii="Helvetica;sans-serif" w:hAnsi="Helvetica;sans-serif"/>
          <w:b w:val="false"/>
          <w:color w:val="000000"/>
          <w:sz w:val="20"/>
          <w:highlight w:val="white"/>
        </w:rPr>
        <w:t xml:space="preserve">. </w:t>
      </w:r>
    </w:p>
    <w:p>
      <w:pPr>
        <w:pStyle w:val="TextBody"/>
        <w:spacing w:before="0" w:after="200"/>
        <w:ind w:left="0" w:right="0" w:firstLine="27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10: NET LOSS PER SHARE</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present net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loss per share will, therefore, be the same for both Class A common stock and Class B common stock on an individual or combined basis.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5" name="Frame2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the calculation of basic and diluted loss per share:</w:t>
      </w:r>
    </w:p>
    <w:tbl>
      <w:tblPr>
        <w:tblW w:w="10205" w:type="dxa"/>
        <w:jc w:val="left"/>
        <w:tblInd w:w="0" w:type="dxa"/>
        <w:tblCellMar>
          <w:top w:w="28" w:type="dxa"/>
          <w:left w:w="28" w:type="dxa"/>
          <w:bottom w:w="28" w:type="dxa"/>
          <w:right w:w="28" w:type="dxa"/>
        </w:tblCellMar>
      </w:tblPr>
      <w:tblGrid>
        <w:gridCol w:w="2325"/>
        <w:gridCol w:w="2005"/>
        <w:gridCol w:w="2015"/>
        <w:gridCol w:w="109"/>
        <w:gridCol w:w="109"/>
        <w:gridCol w:w="139"/>
        <w:gridCol w:w="139"/>
        <w:gridCol w:w="139"/>
        <w:gridCol w:w="139"/>
        <w:gridCol w:w="345"/>
        <w:gridCol w:w="886"/>
        <w:gridCol w:w="139"/>
        <w:gridCol w:w="109"/>
        <w:gridCol w:w="109"/>
        <w:gridCol w:w="109"/>
        <w:gridCol w:w="345"/>
        <w:gridCol w:w="886"/>
        <w:gridCol w:w="158"/>
      </w:tblGrid>
      <w:tr>
        <w:trPr/>
        <w:tc>
          <w:tcPr>
            <w:tcW w:w="2325" w:type="dxa"/>
            <w:tcBorders/>
            <w:shd w:fill="auto" w:val="clear"/>
            <w:vAlign w:val="center"/>
          </w:tcPr>
          <w:p>
            <w:pPr>
              <w:pStyle w:val="TableContents"/>
              <w:spacing w:before="0" w:after="283"/>
              <w:rPr>
                <w:sz w:val="4"/>
                <w:szCs w:val="4"/>
              </w:rPr>
            </w:pPr>
            <w:r>
              <w:rPr>
                <w:sz w:val="4"/>
                <w:szCs w:val="4"/>
              </w:rPr>
            </w:r>
          </w:p>
        </w:tc>
        <w:tc>
          <w:tcPr>
            <w:tcW w:w="2005" w:type="dxa"/>
            <w:tcBorders/>
            <w:shd w:fill="auto" w:val="clear"/>
            <w:vAlign w:val="center"/>
          </w:tcPr>
          <w:p>
            <w:pPr>
              <w:pStyle w:val="TableContents"/>
              <w:spacing w:before="0" w:after="283"/>
              <w:rPr>
                <w:sz w:val="4"/>
                <w:szCs w:val="4"/>
              </w:rPr>
            </w:pPr>
            <w:r>
              <w:rPr>
                <w:sz w:val="4"/>
                <w:szCs w:val="4"/>
              </w:rPr>
            </w:r>
          </w:p>
        </w:tc>
        <w:tc>
          <w:tcPr>
            <w:tcW w:w="20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r>
      <w:tr>
        <w:trPr/>
        <w:tc>
          <w:tcPr>
            <w:tcW w:w="6345"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share and per share data)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26"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716" w:type="dxa"/>
            <w:gridSpan w:val="6"/>
            <w:tcBorders/>
            <w:shd w:fill="auto" w:val="clear"/>
          </w:tcPr>
          <w:p>
            <w:pPr>
              <w:pStyle w:val="TableContents"/>
              <w:spacing w:before="0" w:after="283"/>
              <w:rPr>
                <w:sz w:val="4"/>
                <w:szCs w:val="4"/>
              </w:rPr>
            </w:pPr>
            <w:r>
              <w:rPr>
                <w:sz w:val="4"/>
                <w:szCs w:val="4"/>
              </w:rPr>
            </w:r>
          </w:p>
        </w:tc>
      </w:tr>
      <w:tr>
        <w:trPr/>
        <w:tc>
          <w:tcPr>
            <w:tcW w:w="6345"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vAlign w:val="center"/>
          </w:tcPr>
          <w:p>
            <w:pPr>
              <w:pStyle w:val="TableContents"/>
              <w:spacing w:before="0" w:after="283"/>
              <w:rPr>
                <w:sz w:val="4"/>
                <w:szCs w:val="4"/>
              </w:rPr>
            </w:pPr>
            <w:r>
              <w:rPr>
                <w:sz w:val="4"/>
                <w:szCs w:val="4"/>
              </w:rPr>
            </w:r>
          </w:p>
        </w:tc>
        <w:tc>
          <w:tcPr>
            <w:tcW w:w="137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89"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loss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Weighted-average common shares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867,769,168 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896,924,695 </w:t>
            </w:r>
          </w:p>
        </w:tc>
        <w:tc>
          <w:tcPr>
            <w:tcW w:w="158"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Dilutive effect of stock options and unvested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Weighted-average common shares used to compute diluted loss per share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867,769,168 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896,924,695 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doub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Net loss per share attributable to common stockholders: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(0.45)</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(0.57)</w:t>
            </w:r>
          </w:p>
        </w:tc>
        <w:tc>
          <w:tcPr>
            <w:tcW w:w="15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34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(0.45)</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(0.57)</w:t>
            </w:r>
          </w:p>
        </w:tc>
        <w:tc>
          <w:tcPr>
            <w:tcW w:w="15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potential common shares were excluded from the calculation of diluted net loss per share because their effect would have been anti-dilutive or issuance of such shares is contingent upon the satisfaction of certain conditions which were not satisfied by the end of the period:</w:t>
      </w:r>
    </w:p>
    <w:tbl>
      <w:tblPr>
        <w:tblW w:w="7170" w:type="dxa"/>
        <w:jc w:val="left"/>
        <w:tblInd w:w="0" w:type="dxa"/>
        <w:tblCellMar>
          <w:top w:w="28" w:type="dxa"/>
          <w:left w:w="28" w:type="dxa"/>
          <w:bottom w:w="28" w:type="dxa"/>
          <w:right w:w="28" w:type="dxa"/>
        </w:tblCellMar>
      </w:tblPr>
      <w:tblGrid>
        <w:gridCol w:w="978"/>
        <w:gridCol w:w="859"/>
        <w:gridCol w:w="863"/>
        <w:gridCol w:w="109"/>
        <w:gridCol w:w="109"/>
        <w:gridCol w:w="250"/>
        <w:gridCol w:w="250"/>
        <w:gridCol w:w="250"/>
        <w:gridCol w:w="250"/>
        <w:gridCol w:w="854"/>
        <w:gridCol w:w="377"/>
        <w:gridCol w:w="250"/>
        <w:gridCol w:w="109"/>
        <w:gridCol w:w="109"/>
        <w:gridCol w:w="109"/>
        <w:gridCol w:w="615"/>
        <w:gridCol w:w="616"/>
        <w:gridCol w:w="213"/>
      </w:tblGrid>
      <w:tr>
        <w:trPr/>
        <w:tc>
          <w:tcPr>
            <w:tcW w:w="978"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6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8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771" w:type="dxa"/>
            <w:gridSpan w:val="6"/>
            <w:tcBorders/>
            <w:shd w:fill="auto" w:val="clear"/>
          </w:tcPr>
          <w:p>
            <w:pPr>
              <w:pStyle w:val="TableContents"/>
              <w:spacing w:before="0" w:after="283"/>
              <w:rPr>
                <w:sz w:val="4"/>
                <w:szCs w:val="4"/>
              </w:rPr>
            </w:pPr>
            <w:r>
              <w:rPr>
                <w:sz w:val="4"/>
                <w:szCs w:val="4"/>
              </w:rPr>
            </w:r>
          </w:p>
        </w:tc>
      </w:tr>
      <w:tr>
        <w:trPr/>
        <w:tc>
          <w:tcPr>
            <w:tcW w:w="27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70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vAlign w:val="center"/>
          </w:tcPr>
          <w:p>
            <w:pPr>
              <w:pStyle w:val="TableContents"/>
              <w:spacing w:before="0" w:after="283"/>
              <w:rPr>
                <w:sz w:val="4"/>
                <w:szCs w:val="4"/>
              </w:rPr>
            </w:pPr>
            <w:r>
              <w:rPr>
                <w:sz w:val="4"/>
                <w:szCs w:val="4"/>
              </w:rPr>
            </w:r>
          </w:p>
        </w:tc>
        <w:tc>
          <w:tcPr>
            <w:tcW w:w="14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44" w:type="dxa"/>
            <w:gridSpan w:val="3"/>
            <w:tcBorders/>
            <w:shd w:fill="auto" w:val="cle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Time-Based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77,721,705 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63,632,646 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Market-Based RSUs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58,803,580 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22,822,518 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17,486,667 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14,540,171 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Early-exercised stock 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7,362 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Warrants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14,278,034 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14,278,034 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ESPP shares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634,603 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1,070,783 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anti-dilutive securities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168,931,951 </w:t>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116,344,152 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11: RELATED PARTY TRANSACTIONS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Related party transactions may include any transaction between entities under common control or with a related party. We have defined related parties as members of the board of directors, executive officers, principal owners of our outstanding stock and any immediate family members of each such related party, as well as any other person or entity with significant influence over our management or operations and any other affiliates.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the three months ended March 31, 2023, we did not have any material related party transactions.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12: LEASES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operating leases are comprised of office facilities, with the most significant leases relating to our corporate headquarters in Menlo Park, CA and our office in New York City, NY. We do not have any finance leases. </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6" name="Frame2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Lease assets and liabilities recognized on our unaudited condensed consolidated balance sheets were as follows:</w:t>
      </w:r>
    </w:p>
    <w:tbl>
      <w:tblPr>
        <w:tblW w:w="8468" w:type="dxa"/>
        <w:jc w:val="left"/>
        <w:tblInd w:w="0" w:type="dxa"/>
        <w:tblCellMar>
          <w:top w:w="28" w:type="dxa"/>
          <w:left w:w="28" w:type="dxa"/>
          <w:bottom w:w="28" w:type="dxa"/>
          <w:right w:w="28" w:type="dxa"/>
        </w:tblCellMar>
      </w:tblPr>
      <w:tblGrid>
        <w:gridCol w:w="1201"/>
        <w:gridCol w:w="1050"/>
        <w:gridCol w:w="1064"/>
        <w:gridCol w:w="809"/>
        <w:gridCol w:w="809"/>
        <w:gridCol w:w="811"/>
        <w:gridCol w:w="109"/>
        <w:gridCol w:w="109"/>
        <w:gridCol w:w="109"/>
        <w:gridCol w:w="308"/>
        <w:gridCol w:w="703"/>
        <w:gridCol w:w="159"/>
        <w:gridCol w:w="109"/>
        <w:gridCol w:w="109"/>
        <w:gridCol w:w="109"/>
        <w:gridCol w:w="224"/>
        <w:gridCol w:w="512"/>
        <w:gridCol w:w="164"/>
      </w:tblGrid>
      <w:tr>
        <w:trPr/>
        <w:tc>
          <w:tcPr>
            <w:tcW w:w="1201"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06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8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12"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33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w:t>
            </w:r>
          </w:p>
        </w:tc>
      </w:tr>
      <w:tr>
        <w:trPr/>
        <w:tc>
          <w:tcPr>
            <w:tcW w:w="33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24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Classification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right-of-use assets:</w:t>
            </w:r>
          </w:p>
        </w:tc>
        <w:tc>
          <w:tcPr>
            <w:tcW w:w="242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assets</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w:t>
            </w:r>
          </w:p>
        </w:tc>
        <w:tc>
          <w:tcPr>
            <w:tcW w:w="2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operating lease liabilities</w:t>
            </w:r>
          </w:p>
        </w:tc>
        <w:tc>
          <w:tcPr>
            <w:tcW w:w="24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23 </w:t>
            </w:r>
          </w:p>
        </w:tc>
        <w:tc>
          <w:tcPr>
            <w:tcW w:w="16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Non-current operating lease liabilities</w:t>
            </w:r>
          </w:p>
        </w:tc>
        <w:tc>
          <w:tcPr>
            <w:tcW w:w="24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120 </w:t>
            </w:r>
          </w:p>
        </w:tc>
        <w:tc>
          <w:tcPr>
            <w:tcW w:w="1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lease liabilities</w:t>
            </w:r>
          </w:p>
        </w:tc>
        <w:tc>
          <w:tcPr>
            <w:tcW w:w="2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270"/>
        <w:rPr>
          <w:rFonts w:ascii="Helvetica;sans-serif" w:hAnsi="Helvetica;sans-serif"/>
          <w:b w:val="false"/>
          <w:color w:val="000000"/>
          <w:sz w:val="20"/>
        </w:rPr>
      </w:pPr>
      <w:r>
        <w:rPr>
          <w:rFonts w:ascii="Helvetica;sans-serif" w:hAnsi="Helvetica;sans-serif"/>
          <w:b w:val="false"/>
          <w:color w:val="000000"/>
          <w:sz w:val="20"/>
        </w:rPr>
        <w:t>Cash flows related to leases were as follows:</w:t>
      </w:r>
    </w:p>
    <w:tbl>
      <w:tblPr>
        <w:tblW w:w="7178" w:type="dxa"/>
        <w:jc w:val="left"/>
        <w:tblInd w:w="0" w:type="dxa"/>
        <w:tblCellMar>
          <w:top w:w="28" w:type="dxa"/>
          <w:left w:w="28" w:type="dxa"/>
          <w:bottom w:w="28" w:type="dxa"/>
          <w:right w:w="28" w:type="dxa"/>
        </w:tblCellMar>
      </w:tblPr>
      <w:tblGrid>
        <w:gridCol w:w="1831"/>
        <w:gridCol w:w="1600"/>
        <w:gridCol w:w="1624"/>
        <w:gridCol w:w="109"/>
        <w:gridCol w:w="109"/>
        <w:gridCol w:w="109"/>
        <w:gridCol w:w="211"/>
        <w:gridCol w:w="377"/>
        <w:gridCol w:w="109"/>
        <w:gridCol w:w="109"/>
        <w:gridCol w:w="109"/>
        <w:gridCol w:w="109"/>
        <w:gridCol w:w="211"/>
        <w:gridCol w:w="407"/>
        <w:gridCol w:w="154"/>
      </w:tblGrid>
      <w:tr>
        <w:trPr/>
        <w:tc>
          <w:tcPr>
            <w:tcW w:w="1831" w:type="dxa"/>
            <w:tcBorders/>
            <w:shd w:fill="auto" w:val="clear"/>
            <w:vAlign w:val="center"/>
          </w:tcPr>
          <w:p>
            <w:pPr>
              <w:pStyle w:val="TableContents"/>
              <w:spacing w:before="0" w:after="283"/>
              <w:rPr>
                <w:sz w:val="4"/>
                <w:szCs w:val="4"/>
              </w:rPr>
            </w:pPr>
            <w:r>
              <w:rPr>
                <w:sz w:val="4"/>
                <w:szCs w:val="4"/>
              </w:rPr>
            </w:r>
          </w:p>
        </w:tc>
        <w:tc>
          <w:tcPr>
            <w:tcW w:w="1600" w:type="dxa"/>
            <w:tcBorders/>
            <w:shd w:fill="auto" w:val="clear"/>
            <w:vAlign w:val="center"/>
          </w:tcPr>
          <w:p>
            <w:pPr>
              <w:pStyle w:val="TableContents"/>
              <w:spacing w:before="0" w:after="283"/>
              <w:rPr>
                <w:sz w:val="4"/>
                <w:szCs w:val="4"/>
              </w:rPr>
            </w:pPr>
            <w:r>
              <w:rPr>
                <w:sz w:val="4"/>
                <w:szCs w:val="4"/>
              </w:rPr>
            </w:r>
          </w:p>
        </w:tc>
        <w:tc>
          <w:tcPr>
            <w:tcW w:w="16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0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9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50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cash flows: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for operating lease liabilities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Supplemental cash flow data: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5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Lease liabilities arising from obtaining right-of-use assets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NOTE 13: COMMITMENTS &amp; CONTINGENCIES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$85 million as of December 31, 2022 and $88 million as of March 31, 2023. In our opinion, an adequate accrual had been made as of each such date to provide for the probable losses of which we are aware and for which we can reasonably estimate an amount.</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Legal and Regulatory Matters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securities industry is highly regulated and many aspects of our business involve substantial risk of liability. In past years, there has been an increase in litigation and regulatory investigations involving the brokerage and cryptocurrency industries. Litigation has included and may in the future include class action suits that generally seek substantial and, in some cases, punitive damages. Federal and state regulators, exchanges, or other SROs investigate issues related to regulatory compliance that may result in enforcement action. We are also subject to periodic regulatory audits and inspections that have in the past and could in the future lead to enforcement investigations or actions.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 </w:t>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7" name="Frame2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matters discussed below, we believe, based on current knowledge, that any losses (in excess of amounts accrued, if applicable) as of March 31, 2023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Described below are certain pending matters in which there is at least a reasonable possibility that a material loss could be incurred. We intend to continue to defend these matters vigorously. </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Best Execution, Payment for Order Flow, and Sources of Revenue Civil Litigation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Beginning in December 2020, multiple putative securities fraud class action lawsuits were filed against RHM,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March 2020 Outages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consolidated putative class action lawsuit relating to the service outages on our stock trading platform on March 2-3, 2020 and March 9, 2020 (“March 2020 Outages”) is pending in the United States District Court for the Northern District of California. The lawsuit generally alleges that putative class members were unable to execute trades during the March 2020 Outages because our platform was inadequately designed to handle customer demand and we failed to implement appropriate backup systems. The lawsuit includes, among other things, claims for breach of contract, negligence, gross negligence, breach of fiduciary duty, unjust enrichment and violations of certain California consumer protection statutes. The lawsuit generally seeks damages, restitution, and/or disgorgement, as well as declaratory and injunctive relief. In May 2022, the parties notified the court that they had reached an agreement in principle resolving this action. The settlement agreement has been preliminarily approved by the court.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September 2021, approximately 400 jointly-represented customers initiated an arbitration of individual claims against us arising out of the March 2020 Outages and other alleged system outages. The parties have reached an agreement to resolve this matter.</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State Regulatory Matters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Certain state regulatory authorities have conducted investigations regarding RHF’s options trading and related customer communications and displays, options and margin trading approval process, the March 2020 Outages, and customer support prior to June 2020. RHF reached settlements with several state regulators including the Alabama Securities Commission, the California Department of Financial Protection and Innovation, the Colorado Division of Securities, the Delaware Department of Justice - Investor Protection Unit, the New Jersey Bureau of Securities, the South Dakota Division of Insurance, </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8" name="Frame2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and the Texas State Securities Board, under which we have agreed to pay a monetary penalty of $200,000 per state. RHF anticipates additional potential state settlements as part of a multi-state settlement related to these issues totaling up to approximately $10 million. The Financial Industry Regulatory Authority (“FINRA”) previously conducted an investigation and reached a settlement with RHF regarding many of these issues.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Brokerage Enforcement Matters </w:t>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FINRA Enforcement staff are conducting investigations related to, among other things, RHS’s reporting of fractional share trades, as applicable, to a Trade Reporting Facility, the Over-the-Counter Reporting Facility, the Order Audit Trail System, and the Consolidated Audit Trail; RHS’s reporting of accounts holding significant options positions to the Large Option Position Report system; processing of certain requests for transfers of assets from Robinhood through the Automated Customer Account Transfer System; responses to Electronic Blue Sheets requests from FINRA; the delays in notification from third parties and process failures within our brokerage systems and operations in connection with the handling of a 1-for-25 reverse stock split transaction of Cosmo Health, Inc, in December 2022 (the “Q4 2022 Processing Error”); RHF’s compliance with FINRA registration requirements for member personnel; marketing involving social media influencers and affiliates; collaring the prices of certain trade orders; and RHS’ compliance with best execution obligations. We are cooperating with these investigations.</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RHS has received requests from the SEC Division of Enforcement regarding its compliance with Regulation SHO’s trade reporting and other requirements in connection with securities lending, fractional share trading, and the Q4 2022 Processing Error, and previously received similar requests from FINRA examinations staff. RHS and RHF have also received requests from the SEC Division of Enforcement and FINRA Enforcement staff related to the Firms’ compliance with recordkeeping requirements, including requests regarding off-channel communications. We are cooperating with these investigations.</w:t>
      </w:r>
    </w:p>
    <w:p>
      <w:pPr>
        <w:pStyle w:val="TextBody"/>
        <w:spacing w:before="0" w:after="0"/>
        <w:rPr/>
      </w:pPr>
      <w:r>
        <w:rPr/>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Robinhood Crypto Matters</w:t>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RHC has received subpoenas from the California Attorney General’s Office seeking information about, among other things, RHC’s trading platform, business and operations, custody of customer assets, customer disclosures, and coin listings. RHC is cooperating with this investigation. </w:t>
      </w:r>
    </w:p>
    <w:p>
      <w:pPr>
        <w:pStyle w:val="TextBody"/>
        <w:spacing w:before="0" w:after="0"/>
        <w:rPr/>
      </w:pPr>
      <w:r>
        <w:rPr/>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 xml:space="preserve">Account Takeovers, Anti-Money Laundering, and Cybersecurity Matters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FINRA Enforcement and the SEC Division of Enforcement are investigating account takeovers (i.e., circumstances under which an unauthorized actor successfully logs into a customer account), as well as anti-money laundering compliance and cybersecurity issues. The SEC’s Division of Enforcement is also investigating issues related to compliance with the Electronic Funds Transfer Act. We are cooperating with these investigations.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2021, Siddharth Mehta filed a putative class action in California state court against RHF and RHS, purportedly on behalf of approximately 2,000 Robinhood customers whose accounts were allegedly accessed by unauthorized users. RHF and RHS removed this action to the United States District Court for the Northern District of California. Plaintiff generally alleges that RHF and RHS breached commitments made and duties owed to customers to safeguard customer data and assets and seeks monetary damages and injunctive relief. In April 2022, the parties reached a settlement in principle to resolve this matter. The settlement agreement has been preliminarily approved by the court.</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Massachusetts Securities Division Matter</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December 2020, the Enforcement Section of the Massachusetts Securities Division (“MSD”) filed an administrative complaint against RHF, which stems from an investigation initiated by the MSD in July 2020. The complaint alleged three counts of Massachusetts securities law violations regarding alleged unethical and dishonest conduct or practices, failure to supervise, and failure to act in accordance with the Massachusetts fiduciary duty standard, which became effective on March 6, 2020 and had an </w:t>
      </w: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9" name="Frame2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effective enforcement date beginning September 1, 2020. Among other things, the MSD alleged that our product features and marketing strategies, outages, and options trading approval process constitute violations of Massachusetts securities laws. MSD subsequently filed an amended complaint that seeks, among other things, injunctive relief (a permanent cease and desist order), censure, restitution, disgorgement, appointment of an independent consultant, an administrative fine, and revocation of RHF's license to operate in Massachusetts. If RHF were to lose its license to operate in Massachusetts, we would not be able to acquire any new customers in Massachusetts, and we expect that our current customers in Massachusetts would be unable to continue utilizing any of the services or products offered on our platform (other than closing their positions) and that we may be forced to transfer such customers’ accounts to other broker-dealers. Additionally, revocation of RHF’s Massachusetts license could trigger similar disqualification or proceedings to restrict or condition RHF’s registration by other state regulators. A revocation of RHF’s license to operate in Massachusetts would result in RHF and RHS being subject to statutory disqualification by FINRA and the SEC, which would then result in RHF needing to obtain relief from FINRA subject to SEC review in order to remain a FINRA member and RHS possibly needing relief from FINRA or other SROs.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April 2021, RHF filed a complaint and motion for preliminary injunction and declaratory relief in Massachusetts state court seeking to enjoin the MSD administrative proceeding and challenging the legality of the Massachusetts fiduciary duty standard. In September 2021, the parties filed cross-motions for partial judgment on the pleadings. In March 2022, the court ruled in favor of RHF, declaring that the Massachusetts fiduciary duty regulation was unlawful. The MSD is appealing the ruling and it is scheduled to be heard by the Massachusetts Supreme Judicial Court in May 2023. A hearing on the two remaining counts alleged by the MSD in its amended administrative complaint has been continued pending resolution of the appeal.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Text Message Litigation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2021, Cooper Moore filed a putative class action against RHF alleging that RHF initiated or assisted in the transmission of commercial electronic text messages to Washington State residents without their consent in violation of Washington state law. The complaint seeks statutory and treble damages, injunctive relief, and attorneys’ fees and costs. The case is currently pending in the U.S. District Court for the Western District of Washington. RHF filed a motion to dismiss the complaint. In February 2022, Moore and Andrew Gillette filed an amended complaint, which RHF again moved to dismiss. In August 2022, the court denied RHF’s motion to dismiss.</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Early 2021 Trading Restrictions Matters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platform (the “Early 2021 Trading Restrictions”).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 In July 2021, plaintiffs filed consolidated complaints seeking monetary damages in connection with the federal antitrust and state law tranches. The federal antitrust complaint asserted one violation of Section 1 of the Sherman Act; the state law complaint asserted negligence and breach of fiduciary duty claims. In August 2021, we moved to dismiss both of these complaints.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30" name="Frame3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29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September 2021, plaintiffs filed an amended complaint asserting state law claims of negligence, breach of fiduciary duty, tortious interference with contract and business relationship, civil conspiracy, and breaches of the covenant of good faith and fair dealing and implied duty of care. In January 2022, the court dismissed the state law complaint with prejudice. Plaintiffs have appealed the court’s order to the United States Court of Appeals for the Eleventh Circuit.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November 2021, the court dismissed the federal antitrust complaint without prejudice. In January 2022, plaintiffs filed an amended complaint in connection with the federal antitrust tranche and Robinhood moved to dismiss the amended complaint. In May 2022, the court dismissed the federal antitrust complaint with prejudice. Plaintiffs have appealed the court’s order to the United States Court of Appeals for the Eleventh Circuit.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November 2021, plaintiffs for the federal securities tranche filed a complaint alleging violations of Sections 9(a) and 10(b) of the Exchange Act. In January 2022, we moved to dismiss the federal securities law complaint. In August 2022, the court granted in part and denied in part Robinhood’s motion to dismiss.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RHM, RHF, RHS, and our Co-Founder and CEO, Vladimir Tenev, among others, have received requests for information, and in some cases, subpoenas and requests for testimony, related to investigations and examinations of the Early 2021 Trading Restrictions from the United States Attorney’s Office for the Northern District of California (“USAO”), the U.S. Department of Justice ("DOJ”), Antitrust Division, the SEC’s Division of Enforcement,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also received requests from the SEC Division of Enforcement and FINRA related to employee trading in certain securities that were subject to the Early 2021 Trading Restrictions, including GameStop Corp. and AMC Entertainment Holdings, Inc., during the week of January 25, 2021. These matters include requests related to whether any employee trading in these securities may have occurred after the decision to impose the Early 2021 Trading Restrictions and before the public announcement of the Early 2021 Trading Restrictions on January 28, 2021. We are cooperating with these investigations. FINRA Enforcement has also requested information about policies, procedures, and supervision related to employee trading generally.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January 2023, approximately 4,700 jointly represented customers filed a statement of claim with FINRA to initiate arbitration of individual claims against RHF and RHS arising out of the Early 2021 Trading Restrictions.</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IPO Litigation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December 2021, Philip Golubowski filed a putative class action in the U.S. District Court for the Northern District of California against RHM, the officers and directors who signed Robinhood’s initial public offering (“IPO”) offering documents, and Robinhood’s IPO underwriters. Plaintiff’s claims are based on alleged false or misleading statements in Robinhood’s IPO offering documents allegedly in violation of Sections 11 and 12(a) of the Securities Act of 1933, as amended (the “Securities Act”). Plaintiff seeks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w:t>
      </w: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3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Robinhood’s IPO offering documents, and plaintiff seeks an award of damages and restitution to the Company, injunctive relief, and an award for attorney’s fees and costs. In March 2022, the district court entered a stay of this litigation pending resolution of Robinhood’s motion to dismiss in the Golubowski securities action discussed above.</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data security incident we experienced in November 2021 when an unauthorized third-party socially engineered a customer support employee by phone and obtained access to certain customer support systems (the “November 2021 Data Security Incident”). The Board has formed a Demand Review Committee that is reviewing the demand.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3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ITEM 2. MANAGEMENT’S DISCUSSION AND ANALYSIS OF FINANCIAL CONDITION AND RESULTS OF OPERATIONS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Quarterly Report, and should be read in conjunction with our interim unaudited condensed consolidated financial statements and notes elsewhere in this Quarterly Report and our audited consolidated financial statements and the related notes and the discussion under the heading "Management's Discussion and Analysis of Financial Condition and Results of Operations" included in our 2022 Form 10-K.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Data as of and for the three months ended March 31, 2022 and 2023 has been derived from our unaudited condensed consolidated financial statements appearing at the beginning of this Quarterly Report. Results for any interim period should not be construed as an inference of what our results would be for any full fiscal year or future period.</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refer to our “users” and our “customers” interchangeably throughout this Quarterly Report to refer to individuals who hold accounts on our platform.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Glossary Terms</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Automated Customer Account Transfer Service (“ACATS”)</w:t>
      </w:r>
      <w:r>
        <w:rPr>
          <w:rFonts w:ascii="Helvetica;sans-serif" w:hAnsi="Helvetica;sans-serif"/>
          <w:b w:val="false"/>
          <w:color w:val="000000"/>
          <w:sz w:val="20"/>
        </w:rPr>
        <w:t>: A system that automates and standardizes procedures for the transfer of assets in a customer account from one brokerage firm and/or bank to another.</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Churned Account:</w:t>
      </w:r>
      <w:r>
        <w:rPr>
          <w:color w:val="000000"/>
        </w:rPr>
        <w:t xml:space="preserve"> </w:t>
      </w:r>
      <w:r>
        <w:rPr>
          <w:rFonts w:ascii="Helvetica;sans-serif" w:hAnsi="Helvetica;sans-serif"/>
          <w:b w:val="false"/>
          <w:color w:val="000000"/>
          <w:sz w:val="20"/>
        </w:rPr>
        <w:t xml:space="preserve">An account is considered “Churned” if it was ever a New Funded Account whose account balance (measured as the fair value of assets in the account less any amount due from the user and excluding certain Company-initiated Credits) drops to or below zero for at least 45 consecutive calendar days. Negative balances typically result from Fraudulent Deposit Transactions (as defined below) and unauthorized debit card use, and less often, from margin loans.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Company-initiated Credits:</w:t>
      </w:r>
      <w:r>
        <w:rPr>
          <w:color w:val="000000"/>
        </w:rPr>
        <w:t xml:space="preserve"> </w:t>
      </w:r>
      <w:r>
        <w:rPr>
          <w:rFonts w:ascii="Helvetica;sans-serif" w:hAnsi="Helvetica;sans-serif"/>
          <w:b w:val="false"/>
          <w:color w:val="000000"/>
          <w:sz w:val="20"/>
        </w:rPr>
        <w:t>Company-initiated Credits are amounts that are deposited into a Robinhood Account by the Company with no action taken by the user. Examples of Company-initiated Credits excluded for purposes of identifying Churned Accounts and Resurrected Accounts are price correction credits, related interest adjustments, and fee adjustments.</w:t>
      </w:r>
    </w:p>
    <w:p>
      <w:pPr>
        <w:pStyle w:val="TextBody"/>
        <w:spacing w:lineRule="auto" w:line="288" w:before="0" w:after="200"/>
        <w:ind w:left="0" w:right="0" w:hanging="360"/>
        <w:jc w:val="both"/>
        <w:rPr/>
      </w:pPr>
      <w:r>
        <w:rPr>
          <w:color w:val="000000"/>
          <w:highlight w:val="white"/>
        </w:rPr>
        <w:t>•</w:t>
      </w:r>
      <w:r>
        <w:rPr>
          <w:rFonts w:ascii="Helvetica;sans-serif" w:hAnsi="Helvetica;sans-serif"/>
          <w:b/>
          <w:color w:val="000000"/>
          <w:sz w:val="20"/>
        </w:rPr>
        <w:t>Daily Average Revenue Trades (“DARTs”)</w:t>
      </w:r>
      <w:r>
        <w:rPr>
          <w:rFonts w:ascii="Helvetica;sans-serif" w:hAnsi="Helvetica;sans-serif"/>
          <w:b w:val="false"/>
          <w:color w:val="000000"/>
          <w:sz w:val="20"/>
        </w:rPr>
        <w:t>: We define DARTs for any asset class as the total number of revenue generating trades for such asset class executed during a given period divided by the number of trading days for such asset class in that period.</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Fraudulent Deposit Transactions:</w:t>
      </w:r>
      <w:r>
        <w:rPr>
          <w:color w:val="000000"/>
        </w:rPr>
        <w:t xml:space="preserve"> </w:t>
      </w:r>
      <w:r>
        <w:rPr>
          <w:rFonts w:ascii="Helvetica;sans-serif" w:hAnsi="Helvetica;sans-serif"/>
          <w:b w:val="false"/>
          <w:color w:val="000000"/>
          <w:sz w:val="20"/>
        </w:rPr>
        <w:t xml:space="preserve">Occur when users initiate deposits into their accounts, make trades on our platform using a short-term extension of credit from us, and then repatriate or reverse the deposits, resulting in a loss to us of the credited amount.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Margin Book:</w:t>
      </w:r>
      <w:r>
        <w:rPr>
          <w:color w:val="000000"/>
        </w:rPr>
        <w:t xml:space="preserve"> </w:t>
      </w:r>
      <w:r>
        <w:rPr>
          <w:rFonts w:ascii="Helvetica;sans-serif" w:hAnsi="Helvetica;sans-serif"/>
          <w:b w:val="false"/>
          <w:color w:val="000000"/>
          <w:sz w:val="20"/>
        </w:rPr>
        <w:t>We define Margin Book as our period-end aggregate outstanding margin loan balances receivable (i.e., the period-end total amount we are owed by customers on loans made for the purchase of securities, supported by a pledge of assets in their margin-enabled brokerage accounts).</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New Funded Account:</w:t>
      </w:r>
      <w:r>
        <w:rPr>
          <w:color w:val="000000"/>
        </w:rPr>
        <w:t xml:space="preserve"> </w:t>
      </w:r>
      <w:r>
        <w:rPr>
          <w:rFonts w:ascii="Helvetica;sans-serif" w:hAnsi="Helvetica;sans-serif"/>
          <w:b w:val="false"/>
          <w:color w:val="000000"/>
          <w:sz w:val="20"/>
        </w:rPr>
        <w:t xml:space="preserve">We define a New Funded Account as a Robinhood Account into which the user makes an initial deposit, money transfer or asset transfer, of any amount during the relevant period.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 xml:space="preserve">Notional Trading Volume: </w:t>
      </w:r>
      <w:r>
        <w:rPr>
          <w:rFonts w:ascii="Helvetica;sans-serif" w:hAnsi="Helvetica;sans-serif"/>
          <w:b w:val="false"/>
          <w:color w:val="000000"/>
          <w:sz w:val="20"/>
        </w:rPr>
        <w:t xml:space="preserve">We define Notional Trading Volume for any specified asset class as the aggregate dollar value (purchase price or sale price as applicable) of trades executed in that asset class over a specified period of time.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Options Contracts Traded:</w:t>
      </w:r>
      <w:r>
        <w:rPr>
          <w:color w:val="000000"/>
        </w:rPr>
        <w:t xml:space="preserve"> </w:t>
      </w:r>
      <w:r>
        <w:rPr>
          <w:rFonts w:ascii="Helvetica;sans-serif" w:hAnsi="Helvetica;sans-serif"/>
          <w:b w:val="false"/>
          <w:color w:val="000000"/>
          <w:sz w:val="20"/>
        </w:rPr>
        <w:t>We define Options Contracts Traded as the total number of options contracts bought or sold over a specified period of time. Each contract generally entitles the holder to trade 100 shares of the underlying stock.</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Resurrected Account:</w:t>
      </w:r>
      <w:r>
        <w:rPr>
          <w:color w:val="000000"/>
        </w:rPr>
        <w:t xml:space="preserve"> </w:t>
      </w:r>
      <w:r>
        <w:rPr>
          <w:rFonts w:ascii="Helvetica;sans-serif" w:hAnsi="Helvetica;sans-serif"/>
          <w:b w:val="false"/>
          <w:color w:val="000000"/>
          <w:sz w:val="20"/>
        </w:rPr>
        <w:t>An account is considered “Resurrected” in a stated period if it was a Churned Account as of the end of the immediately preceding period and its balance (excluding certain Company-initiated Credits) rises above zero.</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Robinhood Account</w:t>
      </w:r>
      <w:r>
        <w:rPr>
          <w:rFonts w:ascii="Helvetica;sans-serif" w:hAnsi="Helvetica;sans-serif"/>
          <w:b w:val="false"/>
          <w:color w:val="000000"/>
          <w:sz w:val="20"/>
        </w:rPr>
        <w:t>: We define a Robinhood Account as a unique log-in that provides the account user access to any and all of the Robinhood products offered on our platform.</w:t>
      </w: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Net Cumulative Funded Accounts (“NCFA”)</w:t>
      </w:r>
      <w:r>
        <w:rPr>
          <w:rFonts w:ascii="Helvetica;sans-serif" w:hAnsi="Helvetica;sans-serif"/>
          <w:b w:val="false"/>
          <w:color w:val="000000"/>
          <w:sz w:val="20"/>
        </w:rPr>
        <w:t>:</w:t>
      </w:r>
      <w:r>
        <w:rPr>
          <w:color w:val="000000"/>
        </w:rPr>
        <w:t xml:space="preserve"> </w:t>
      </w:r>
      <w:r>
        <w:rPr>
          <w:rFonts w:ascii="Helvetica;sans-serif" w:hAnsi="Helvetica;sans-serif"/>
          <w:b w:val="false"/>
          <w:color w:val="000000"/>
          <w:sz w:val="20"/>
        </w:rPr>
        <w:t xml:space="preserve">We define Net Cumulative Funded Accounts as New Funded Accounts less Churned Accounts plus Resurrected Accounts.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Monthly Active Users (“MAU”)</w:t>
      </w:r>
      <w:r>
        <w:rPr>
          <w:rFonts w:ascii="Helvetica;sans-serif" w:hAnsi="Helvetica;sans-serif"/>
          <w:b w:val="false"/>
          <w:color w:val="000000"/>
          <w:sz w:val="20"/>
        </w:rPr>
        <w:t>: We define MAUs as the number of unique Robinhood Accounts who meet one of the following criteria at any point during a specified calendar month: a) executes a debit card transaction, b) transitions between two different screens on a mobile device while logged into their Robinhood Account or c) loads a page in a web browser while logged into their Robinhood Account. A user need not satisfy these conditions on a recurring monthly basis or have a funded account to be included in MAU. MAU figures in this Quarterly Report reflect MAU for the last month of the relevant period presented. We utilize MAU to measure how many customers interact with our products and services during a given month. MAU does not measure the frequency or duration of the interaction, but we consider it a useful indicator for engagement. Additionally, MAUs are positively correlated with, but are not indicative of, the performance of revenue and other key performance indicators.</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Assets Under Custody (“AUC”)</w:t>
      </w:r>
      <w:r>
        <w:rPr>
          <w:rFonts w:ascii="Helvetica;sans-serif" w:hAnsi="Helvetica;sans-serif"/>
          <w:b w:val="false"/>
          <w:color w:val="000000"/>
          <w:sz w:val="20"/>
        </w:rPr>
        <w:t xml:space="preserve">: We define AUC as the sum of the fair value of all equities, options, cryptocurrency and cash held by users in their accounts, net of receivables from users, as of a stated date or period end on a trade date basis. Net Deposits and net market gains (losses) drive the change in AUC in any given period. </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Net Deposits:</w:t>
      </w:r>
      <w:r>
        <w:rPr>
          <w:color w:val="000000"/>
        </w:rPr>
        <w:t xml:space="preserve"> </w:t>
      </w:r>
      <w:r>
        <w:rPr>
          <w:rFonts w:ascii="Helvetica;sans-serif" w:hAnsi="Helvetica;sans-serif"/>
          <w:b w:val="false"/>
          <w:color w:val="000000"/>
          <w:sz w:val="20"/>
        </w:rPr>
        <w:t xml:space="preserve">We define Net Deposits as all cash deposits and asset transfers received from customers, net of reversals, customer cash withdrawals, and other assets transferred out of our platform (assets transferred in or out include debit card transactions, ACATS transfers, and custodial crypto wallet transfers) for a stated period. </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 xml:space="preserve">Growth Rate and Annualized Growth Rate with respect to Net Deposits: </w:t>
      </w:r>
      <w:r>
        <w:rPr>
          <w:rFonts w:ascii="Helvetica;sans-serif" w:hAnsi="Helvetica;sans-serif"/>
          <w:b w:val="false"/>
          <w:color w:val="000000"/>
          <w:sz w:val="20"/>
        </w:rPr>
        <w:t>When used with respect to Net Deposits, "growth rate" and "annualized growth rate" provide information about Net Deposits relative to total AUC. "Growth rate" is calculated as aggregate Net Deposits over a specified 12 month period, divided by AUC for the fiscal quarter that immediately precedes such 12 month period. "Annualized growth rate" is calculated as Net Deposits for a specified quarter multiplied by 4 and divided by AUC for the immediately preceding quarter.</w:t>
      </w:r>
    </w:p>
    <w:p>
      <w:pPr>
        <w:pStyle w:val="TextBody"/>
        <w:spacing w:lineRule="auto" w:line="288" w:before="0" w:after="200"/>
        <w:ind w:left="0" w:right="0" w:hanging="360"/>
        <w:jc w:val="both"/>
        <w:rPr/>
      </w:pPr>
      <w:r>
        <w:rPr>
          <w:color w:val="000000"/>
        </w:rPr>
        <w:t>•</w:t>
      </w:r>
      <w:r>
        <w:rPr>
          <w:rFonts w:ascii="Helvetica;sans-serif" w:hAnsi="Helvetica;sans-serif"/>
          <w:b/>
          <w:color w:val="000000"/>
          <w:sz w:val="20"/>
        </w:rPr>
        <w:t>Average Revenue Per User (“ARPU”)</w:t>
      </w:r>
      <w:r>
        <w:rPr>
          <w:rFonts w:ascii="Helvetica;sans-serif" w:hAnsi="Helvetica;sans-serif"/>
          <w:b w:val="false"/>
          <w:color w:val="000000"/>
          <w:sz w:val="20"/>
        </w:rPr>
        <w:t xml:space="preserve">: We define ARPU as total revenue for a given period divided by the average of Net Cumulative Funded Accounts on the last day of that period and the last day of the immediately preceding period.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Overview</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Robinhood was founded on the belief that everyone should be welcome to participate in our financial system. We are creating a modern financial services platform for everyone, regardless of their wealth, income, or background.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We pioneered commission-free stock trading with no account minimums, which the rest of the industry emulated, and we continue to build relationships with our customers by introducing new products that further expand access to the financial system. Through these efforts, we believe we have made investing culturally relevant and understandable, and that our platform is enabling our customers to become long-term investors and take greater control of their finances.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 xml:space="preserve">Financial Results and Performance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With respect to the three months ended March 31, 2023, as compared to the three months ended March 31, 2022:</w:t>
      </w:r>
    </w:p>
    <w:p>
      <w:pPr>
        <w:pStyle w:val="TextBody"/>
        <w:spacing w:lineRule="auto" w:line="288" w:before="0" w:after="200"/>
        <w:ind w:left="0" w:right="0" w:hanging="360"/>
        <w:jc w:val="both"/>
        <w:rPr/>
      </w:pPr>
      <w:r>
        <w:rPr>
          <w:color w:val="000000"/>
          <w:highlight w:val="white"/>
        </w:rPr>
        <w:t>•</w:t>
      </w:r>
      <w:r>
        <w:rPr>
          <w:rFonts w:ascii="Helvetica;sans-serif" w:hAnsi="Helvetica;sans-serif"/>
          <w:b w:val="false"/>
          <w:color w:val="000000"/>
          <w:sz w:val="20"/>
        </w:rPr>
        <w:t xml:space="preserve">we generated total net revenues of $441 million compared to $299 million, for a year-over-year increase of 47%.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incurred a net loss of $511 million, or -$0.57 per share, compared to net loss of $392 million, or -$0.45 per share;</w:t>
      </w:r>
    </w:p>
    <w:p>
      <w:pPr>
        <w:pStyle w:val="TextBody"/>
        <w:spacing w:lineRule="auto" w:line="288" w:before="0" w:after="200"/>
        <w:ind w:left="0" w:right="0" w:hanging="360"/>
        <w:rPr/>
      </w:pPr>
      <w:r>
        <w:rPr>
          <w:color w:val="000000"/>
        </w:rPr>
        <w:t>•</w:t>
      </w:r>
      <w:r>
        <w:rPr>
          <w:rFonts w:ascii="Helvetica;sans-serif" w:hAnsi="Helvetica;sans-serif"/>
          <w:b w:val="false"/>
          <w:color w:val="000000"/>
          <w:sz w:val="20"/>
        </w:rPr>
        <w:t>operating expenses were $950 million compared to $690 million, for a year-over-year increase of 38%;</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SBC expense totaled</w:t>
      </w:r>
      <w:r>
        <w:rPr>
          <w:color w:val="000000"/>
        </w:rPr>
        <w:t xml:space="preserve"> </w:t>
      </w:r>
      <w:r>
        <w:rPr>
          <w:rFonts w:ascii="Helvetica;sans-serif" w:hAnsi="Helvetica;sans-serif"/>
          <w:b w:val="false"/>
          <w:color w:val="000000"/>
          <w:sz w:val="20"/>
        </w:rPr>
        <w:t xml:space="preserve">$598 million, of which $485 million related to the 2021 Founders Award Cancellation, compared to $220 million, for a year-over-year increase of 172%;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our Adjusted EBITDA (non-GAAP) was positive </w:t>
      </w:r>
      <w:r>
        <w:rPr>
          <w:rFonts w:ascii="Helvetica;sans-serif" w:hAnsi="Helvetica;sans-serif"/>
          <w:b w:val="false"/>
          <w:color w:val="000000"/>
          <w:sz w:val="20"/>
          <w:highlight w:val="white"/>
        </w:rPr>
        <w:t>$115 million</w:t>
      </w:r>
      <w:r>
        <w:rPr>
          <w:color w:val="000000"/>
        </w:rPr>
        <w:t xml:space="preserve"> </w:t>
      </w:r>
      <w:r>
        <w:rPr>
          <w:rFonts w:ascii="Helvetica;sans-serif" w:hAnsi="Helvetica;sans-serif"/>
          <w:b w:val="false"/>
          <w:color w:val="000000"/>
          <w:sz w:val="20"/>
        </w:rPr>
        <w:t xml:space="preserve">compared to negative </w:t>
      </w:r>
      <w:r>
        <w:rPr>
          <w:rFonts w:ascii="Helvetica;sans-serif" w:hAnsi="Helvetica;sans-serif"/>
          <w:b w:val="false"/>
          <w:color w:val="000000"/>
          <w:sz w:val="20"/>
          <w:highlight w:val="white"/>
        </w:rPr>
        <w:t>$143 million, for year-over-year increase of $258 million</w:t>
      </w:r>
      <w:r>
        <w:rPr>
          <w:rFonts w:ascii="Helvetica;sans-serif" w:hAnsi="Helvetica;sans-serif"/>
          <w:b w:val="false"/>
          <w:color w:val="000000"/>
          <w:sz w:val="20"/>
        </w:rPr>
        <w:t>;</w:t>
      </w:r>
    </w:p>
    <w:p>
      <w:pPr>
        <w:pStyle w:val="TextBody"/>
        <w:spacing w:lineRule="auto" w:line="288" w:before="0" w:after="200"/>
        <w:ind w:left="0" w:right="0" w:hanging="360"/>
        <w:jc w:val="both"/>
        <w:rPr/>
      </w:pPr>
      <w:r>
        <w:rPr>
          <w:color w:val="000000"/>
          <w:highlight w:val="white"/>
        </w:rPr>
        <w:t>•</w:t>
      </w:r>
      <w:r>
        <w:rPr>
          <w:rFonts w:ascii="Helvetica;sans-serif" w:hAnsi="Helvetica;sans-serif"/>
          <w:b w:val="false"/>
          <w:color w:val="000000"/>
          <w:sz w:val="20"/>
        </w:rPr>
        <w:t>we had NCFA of 23.1 million compared to 22.8 million, for year-over-year growth of 1%;</w:t>
      </w:r>
    </w:p>
    <w:p>
      <w:pPr>
        <w:pStyle w:val="TextBody"/>
        <w:spacing w:lineRule="auto" w:line="288" w:before="0" w:after="200"/>
        <w:ind w:left="0" w:right="0" w:hanging="360"/>
        <w:jc w:val="both"/>
        <w:rPr/>
      </w:pPr>
      <w:r>
        <w:rPr>
          <w:color w:val="000000"/>
          <w:highlight w:val="white"/>
        </w:rPr>
        <w:t>•</w:t>
      </w:r>
      <w:r>
        <w:rPr>
          <w:rFonts w:ascii="Helvetica;sans-serif" w:hAnsi="Helvetica;sans-serif"/>
          <w:b w:val="false"/>
          <w:color w:val="000000"/>
          <w:sz w:val="20"/>
        </w:rPr>
        <w:t xml:space="preserve">we had MAU of 11.8 million compared to 15.9 million, for a year-over-year decrease of 26%, as our customers continued to navigate the volatile market environment;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had AUC of $78.4 billion compared to $93.1 billion, for a year-over-year decrease of 16%, primarily due to decreasing asset values between the periods;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Net Deposits were $4.4 billion, which translates to an annualized growth rate of 29%, compared to $5.7 billion, which translates to an annualized growth rate of 23%. Over the past twelve months, Net Deposits were $17.1 billion, which translates to a growth rate of 18% relative to AUC at March 31, 2023;</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we had ARPU of $77 compared to $53, for a year-over-year increase of 45%.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Adjusted EBITDA is a non-GAAP financial measure. For more information about Adjusted EBITDA, including the definition and limitations of such measure, and a reconciliation of net income (loss) to Adjusted EBITDA, please see “—Non-GAAP Financial Measures” below.</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 xml:space="preserve">Recent Developments </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 xml:space="preserve">2021 Founders Award Cancellation </w:t>
      </w:r>
    </w:p>
    <w:p>
      <w:pPr>
        <w:pStyle w:val="TextBody"/>
        <w:spacing w:lineRule="auto" w:line="288" w:before="0" w:after="20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In February 2023, we cancelled the 2021 Market-Based RSUs granted to our founders of 35.5 million unvested shares. We recognized $485 million SBC expense related to the cancellation during the three months ended March 31, 2023. No further expense associated with these awards will be recognized after the cancellation. No other payments, replacement equity awards or benefits were granted in connection with the cancellation. The 2021 Founders Award Cancellation will lower our operating expenses by up to $50 million per quarter starting in the second quarter of 2023. </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2023 Banking Events</w:t>
      </w:r>
    </w:p>
    <w:p>
      <w:pPr>
        <w:pStyle w:val="TextBody"/>
        <w:spacing w:lineRule="auto" w:line="288" w:before="0" w:after="200"/>
        <w:ind w:left="0" w:right="0" w:firstLine="720"/>
        <w:jc w:val="both"/>
        <w:rPr>
          <w:rFonts w:ascii="Helvetica;sans-serif" w:hAnsi="Helvetica;sans-serif"/>
          <w:b w:val="false"/>
          <w:color w:val="000000"/>
          <w:sz w:val="20"/>
        </w:rPr>
      </w:pPr>
      <w:r>
        <w:rPr>
          <w:rFonts w:ascii="Helvetica;sans-serif" w:hAnsi="Helvetica;sans-serif"/>
          <w:b w:val="false"/>
          <w:color w:val="000000"/>
          <w:sz w:val="20"/>
        </w:rPr>
        <w:t xml:space="preserve">In March 2023, certain U.S. banks failed and were taken over by the FDIC. As of March 31, 2023, our exposure to impacted U.S. banks is immaterial, and we have taken steps to help ensure that the loss of all or a significant portion of any uninsured amount would not have an adverse effect on our ability to pay our operational expenses or make other payments. </w:t>
      </w:r>
    </w:p>
    <w:p>
      <w:pPr>
        <w:pStyle w:val="TextBody"/>
        <w:spacing w:before="0" w:after="0"/>
        <w:ind w:left="0" w:right="0" w:firstLine="72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Key Performance Metrics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the measures presented in our unaudited condensed consolidated financial statements, we use the following key performance metrics to help us evaluate our business, identify trends affecting our business, formulate business plans, and make strategic decisions: </w:t>
      </w:r>
    </w:p>
    <w:tbl>
      <w:tblPr>
        <w:tblW w:w="4656" w:type="dxa"/>
        <w:jc w:val="left"/>
        <w:tblInd w:w="0" w:type="dxa"/>
        <w:tblCellMar>
          <w:top w:w="28" w:type="dxa"/>
          <w:left w:w="28" w:type="dxa"/>
          <w:bottom w:w="28" w:type="dxa"/>
          <w:right w:w="28" w:type="dxa"/>
        </w:tblCellMar>
      </w:tblPr>
      <w:tblGrid>
        <w:gridCol w:w="810"/>
        <w:gridCol w:w="710"/>
        <w:gridCol w:w="715"/>
        <w:gridCol w:w="109"/>
        <w:gridCol w:w="109"/>
        <w:gridCol w:w="109"/>
        <w:gridCol w:w="211"/>
        <w:gridCol w:w="541"/>
        <w:gridCol w:w="109"/>
        <w:gridCol w:w="109"/>
        <w:gridCol w:w="109"/>
        <w:gridCol w:w="109"/>
        <w:gridCol w:w="211"/>
        <w:gridCol w:w="541"/>
        <w:gridCol w:w="154"/>
      </w:tblGrid>
      <w:tr>
        <w:trPr/>
        <w:tc>
          <w:tcPr>
            <w:tcW w:w="810"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xml:space="preserve">Three Months Ended </w:t>
              <w:br/>
              <w:t>March 31,</w:t>
            </w:r>
          </w:p>
        </w:tc>
      </w:tr>
      <w:tr>
        <w:trPr/>
        <w:tc>
          <w:tcPr>
            <w:tcW w:w="22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NCFA</w:t>
            </w:r>
            <w:r>
              <w:rPr>
                <w:rFonts w:ascii="Helvetica;sans-serif" w:hAnsi="Helvetica;sans-serif"/>
                <w:b w:val="false"/>
                <w:color w:val="000000"/>
                <w:sz w:val="13"/>
              </w:rPr>
              <w:t xml:space="preserve">(1) </w:t>
            </w:r>
            <w:r>
              <w:rPr>
                <w:rFonts w:ascii="Helvetica;sans-serif" w:hAnsi="Helvetica;sans-serif"/>
                <w:b w:val="false"/>
                <w:i/>
                <w:color w:val="000000"/>
                <w:sz w:val="20"/>
              </w:rPr>
              <w:t>(in millions)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MAU</w:t>
            </w:r>
            <w:r>
              <w:rPr>
                <w:color w:val="000000"/>
              </w:rPr>
              <w:t xml:space="preserve"> </w:t>
            </w:r>
            <w:r>
              <w:rPr>
                <w:rFonts w:ascii="Helvetica;sans-serif" w:hAnsi="Helvetica;sans-serif"/>
                <w:b w:val="false"/>
                <w:i/>
                <w:color w:val="000000"/>
                <w:sz w:val="20"/>
              </w:rPr>
              <w:t>(in millions)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AUC</w:t>
            </w:r>
            <w:r>
              <w:rPr>
                <w:rFonts w:ascii="Helvetica;sans-serif" w:hAnsi="Helvetica;sans-serif"/>
                <w:b w:val="false"/>
                <w:color w:val="000000"/>
                <w:sz w:val="13"/>
              </w:rPr>
              <w:t>(2)</w:t>
            </w:r>
            <w:r>
              <w:rPr>
                <w:color w:val="000000"/>
              </w:rPr>
              <w:t xml:space="preserve"> </w:t>
            </w:r>
            <w:r>
              <w:rPr>
                <w:rFonts w:ascii="Helvetica;sans-serif" w:hAnsi="Helvetica;sans-serif"/>
                <w:b w:val="false"/>
                <w:i/>
                <w:color w:val="000000"/>
                <w:sz w:val="20"/>
              </w:rPr>
              <w:t xml:space="preserve">(in billions)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93.1 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Net Deposits</w:t>
            </w:r>
            <w:r>
              <w:rPr>
                <w:color w:val="000000"/>
              </w:rPr>
              <w:t xml:space="preserve"> </w:t>
            </w:r>
            <w:r>
              <w:rPr>
                <w:rFonts w:ascii="Helvetica;sans-serif" w:hAnsi="Helvetica;sans-serif"/>
                <w:b w:val="false"/>
                <w:i/>
                <w:color w:val="000000"/>
                <w:sz w:val="20"/>
              </w:rPr>
              <w:t>(in billions)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 xml:space="preserve">ARPU </w:t>
            </w:r>
            <w:r>
              <w:rPr>
                <w:rFonts w:ascii="Helvetica;sans-serif" w:hAnsi="Helvetica;sans-serif"/>
                <w:b w:val="false"/>
                <w:i/>
                <w:color w:val="000000"/>
                <w:sz w:val="20"/>
              </w:rPr>
              <w:t>(in dollars)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________________</w:t>
      </w:r>
    </w:p>
    <w:p>
      <w:pPr>
        <w:pStyle w:val="TextBody"/>
        <w:spacing w:lineRule="auto" w:line="288" w:before="0" w:after="200"/>
        <w:ind w:left="0" w:right="0" w:hanging="360"/>
        <w:rPr>
          <w:rFonts w:ascii="Helvetica;sans-serif" w:hAnsi="Helvetica;sans-serif"/>
          <w:b w:val="false"/>
          <w:color w:val="000000"/>
          <w:sz w:val="16"/>
        </w:rPr>
      </w:pPr>
      <w:r>
        <w:rPr>
          <w:rFonts w:ascii="Helvetica;sans-serif" w:hAnsi="Helvetica;sans-serif"/>
          <w:b w:val="false"/>
          <w:color w:val="000000"/>
          <w:sz w:val="16"/>
        </w:rPr>
        <w:t>(1)The following table describes the annual changes within NCFA:</w:t>
      </w:r>
    </w:p>
    <w:tbl>
      <w:tblPr>
        <w:tblW w:w="4047" w:type="dxa"/>
        <w:jc w:val="left"/>
        <w:tblInd w:w="0" w:type="dxa"/>
        <w:tblCellMar>
          <w:top w:w="28" w:type="dxa"/>
          <w:left w:w="28" w:type="dxa"/>
          <w:bottom w:w="28" w:type="dxa"/>
          <w:right w:w="28" w:type="dxa"/>
        </w:tblCellMar>
      </w:tblPr>
      <w:tblGrid>
        <w:gridCol w:w="635"/>
        <w:gridCol w:w="557"/>
        <w:gridCol w:w="562"/>
        <w:gridCol w:w="109"/>
        <w:gridCol w:w="109"/>
        <w:gridCol w:w="109"/>
        <w:gridCol w:w="249"/>
        <w:gridCol w:w="217"/>
        <w:gridCol w:w="191"/>
        <w:gridCol w:w="191"/>
        <w:gridCol w:w="191"/>
        <w:gridCol w:w="191"/>
        <w:gridCol w:w="249"/>
        <w:gridCol w:w="217"/>
        <w:gridCol w:w="270"/>
      </w:tblGrid>
      <w:tr>
        <w:trPr/>
        <w:tc>
          <w:tcPr>
            <w:tcW w:w="635" w:type="dxa"/>
            <w:tcBorders/>
            <w:shd w:fill="auto" w:val="clear"/>
            <w:vAlign w:val="center"/>
          </w:tcPr>
          <w:p>
            <w:pPr>
              <w:pStyle w:val="TableContents"/>
              <w:spacing w:before="0" w:after="283"/>
              <w:rPr>
                <w:sz w:val="4"/>
                <w:szCs w:val="4"/>
              </w:rPr>
            </w:pPr>
            <w:r>
              <w:rPr>
                <w:sz w:val="4"/>
                <w:szCs w:val="4"/>
              </w:rPr>
            </w:r>
          </w:p>
        </w:tc>
        <w:tc>
          <w:tcPr>
            <w:tcW w:w="557"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r>
      <w:tr>
        <w:trPr/>
        <w:tc>
          <w:tcPr>
            <w:tcW w:w="17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6"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r>
      <w:tr>
        <w:trPr/>
        <w:tc>
          <w:tcPr>
            <w:tcW w:w="175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573"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NCFA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22.7 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23.0 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New funded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0.5 </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0.3 </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Resurrected accounts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0.1 </w:t>
            </w:r>
          </w:p>
        </w:tc>
        <w:tc>
          <w:tcPr>
            <w:tcW w:w="19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0.1 </w:t>
            </w:r>
          </w:p>
        </w:tc>
        <w:tc>
          <w:tcPr>
            <w:tcW w:w="2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Churned accounts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(0.5)</w:t>
            </w:r>
          </w:p>
        </w:tc>
        <w:tc>
          <w:tcPr>
            <w:tcW w:w="19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(0.3)</w:t>
            </w:r>
          </w:p>
        </w:tc>
        <w:tc>
          <w:tcPr>
            <w:tcW w:w="27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NCFA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22.8 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23.1 </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360"/>
        <w:rPr>
          <w:rFonts w:ascii="Helvetica;sans-serif" w:hAnsi="Helvetica;sans-serif"/>
          <w:b w:val="false"/>
          <w:color w:val="000000"/>
          <w:sz w:val="16"/>
        </w:rPr>
      </w:pPr>
      <w:r>
        <w:rPr>
          <w:rFonts w:ascii="Helvetica;sans-serif" w:hAnsi="Helvetica;sans-serif"/>
          <w:b w:val="false"/>
          <w:color w:val="000000"/>
          <w:sz w:val="16"/>
        </w:rPr>
        <w:t>(2)The following table sets out the components of AUC by type of asset:</w:t>
      </w:r>
    </w:p>
    <w:tbl>
      <w:tblPr>
        <w:tblW w:w="4101" w:type="dxa"/>
        <w:jc w:val="left"/>
        <w:tblInd w:w="0" w:type="dxa"/>
        <w:tblCellMar>
          <w:top w:w="28" w:type="dxa"/>
          <w:left w:w="28" w:type="dxa"/>
          <w:bottom w:w="28" w:type="dxa"/>
          <w:right w:w="28" w:type="dxa"/>
        </w:tblCellMar>
      </w:tblPr>
      <w:tblGrid>
        <w:gridCol w:w="826"/>
        <w:gridCol w:w="513"/>
        <w:gridCol w:w="521"/>
        <w:gridCol w:w="109"/>
        <w:gridCol w:w="109"/>
        <w:gridCol w:w="109"/>
        <w:gridCol w:w="196"/>
        <w:gridCol w:w="466"/>
        <w:gridCol w:w="109"/>
        <w:gridCol w:w="109"/>
        <w:gridCol w:w="109"/>
        <w:gridCol w:w="109"/>
        <w:gridCol w:w="196"/>
        <w:gridCol w:w="466"/>
        <w:gridCol w:w="154"/>
      </w:tblGrid>
      <w:tr>
        <w:trPr/>
        <w:tc>
          <w:tcPr>
            <w:tcW w:w="826"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c>
          <w:tcPr>
            <w:tcW w:w="5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8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18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Equities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Cryptocurrencies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Options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Cash held by users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Receivables from users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AUC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rPr>
          <w:rFonts w:ascii="Helvetica;sans-serif" w:hAnsi="Helvetica;sans-serif"/>
          <w:b w:val="false"/>
          <w:color w:val="000000"/>
          <w:sz w:val="16"/>
        </w:rPr>
      </w:pPr>
      <w:r>
        <w:rPr>
          <w:rFonts w:ascii="Helvetica;sans-serif" w:hAnsi="Helvetica;sans-serif"/>
          <w:b w:val="false"/>
          <w:color w:val="000000"/>
          <w:sz w:val="16"/>
        </w:rPr>
        <w:t>The following table describes the changes within AUC:</w:t>
      </w:r>
    </w:p>
    <w:tbl>
      <w:tblPr>
        <w:tblW w:w="4251" w:type="dxa"/>
        <w:jc w:val="left"/>
        <w:tblInd w:w="0" w:type="dxa"/>
        <w:tblCellMar>
          <w:top w:w="28" w:type="dxa"/>
          <w:left w:w="28" w:type="dxa"/>
          <w:bottom w:w="28" w:type="dxa"/>
          <w:right w:w="28" w:type="dxa"/>
        </w:tblCellMar>
      </w:tblPr>
      <w:tblGrid>
        <w:gridCol w:w="725"/>
        <w:gridCol w:w="639"/>
        <w:gridCol w:w="646"/>
        <w:gridCol w:w="109"/>
        <w:gridCol w:w="109"/>
        <w:gridCol w:w="109"/>
        <w:gridCol w:w="196"/>
        <w:gridCol w:w="466"/>
        <w:gridCol w:w="109"/>
        <w:gridCol w:w="109"/>
        <w:gridCol w:w="109"/>
        <w:gridCol w:w="109"/>
        <w:gridCol w:w="196"/>
        <w:gridCol w:w="466"/>
        <w:gridCol w:w="154"/>
      </w:tblGrid>
      <w:tr>
        <w:trPr/>
        <w:tc>
          <w:tcPr>
            <w:tcW w:w="725" w:type="dxa"/>
            <w:tcBorders/>
            <w:shd w:fill="auto" w:val="clear"/>
            <w:vAlign w:val="center"/>
          </w:tcPr>
          <w:p>
            <w:pPr>
              <w:pStyle w:val="TableContents"/>
              <w:spacing w:before="0" w:after="283"/>
              <w:rPr>
                <w:sz w:val="4"/>
                <w:szCs w:val="4"/>
              </w:rPr>
            </w:pPr>
            <w:r>
              <w:rPr>
                <w:sz w:val="4"/>
                <w:szCs w:val="4"/>
              </w:rPr>
            </w:r>
          </w:p>
        </w:tc>
        <w:tc>
          <w:tcPr>
            <w:tcW w:w="639"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0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1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r>
      <w:tr>
        <w:trPr/>
        <w:tc>
          <w:tcPr>
            <w:tcW w:w="201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billions)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Beginning AUC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Deposits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Net market gains (losses)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1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Ending AUC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16"/>
              </w:rPr>
            </w:pPr>
            <w:r>
              <w:rPr>
                <w:rFonts w:ascii="Helvetica;sans-serif" w:hAnsi="Helvetica;sans-serif"/>
                <w:b w:val="false"/>
                <w:color w:val="000000"/>
                <w:sz w:val="16"/>
              </w:rPr>
              <w:t>78.4 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00" w:after="283"/>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Non-GAAP Financial Measures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Adjusted EBITDA</w:t>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collect and analyze operating and financial data to evaluate the health of our business, allocate our resources and assess our performance. In addition to total net revenues, net income (loss), and other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results under GAAP, we utilize non-GAAP calculations of adjusted earnings before interest, taxes, depreciation, and amortization (“Adjusted EBITDA”). Adjusted EBITDA is defined as net income (loss), excluding (i) interest expenses related to credit facilities, (ii) provision for (benefit from) income taxes, (iii) depreciation and amortization, (iv) SBC, (v) significant legal and tax settlements and reserves, and (vii)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a substitute for or superior to financial information presented in accordance with GAAP, and may be different from similarly titled non-GAAP measures used by other companies.</w:t>
      </w:r>
    </w:p>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 our management internally to make operating decisions, including those related to operating expenses, evaluate performance, and perform strategic planning and annual budgeting.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presents a reconciliation of net loss, which is the most directly comparable GAAP measure, to Adjusted EBITDA:</w:t>
      </w:r>
    </w:p>
    <w:tbl>
      <w:tblPr>
        <w:tblW w:w="7748" w:type="dxa"/>
        <w:jc w:val="left"/>
        <w:tblInd w:w="0" w:type="dxa"/>
        <w:tblCellMar>
          <w:top w:w="28" w:type="dxa"/>
          <w:left w:w="28" w:type="dxa"/>
          <w:bottom w:w="28" w:type="dxa"/>
          <w:right w:w="28" w:type="dxa"/>
        </w:tblCellMar>
      </w:tblPr>
      <w:tblGrid>
        <w:gridCol w:w="1646"/>
        <w:gridCol w:w="1438"/>
        <w:gridCol w:w="1461"/>
        <w:gridCol w:w="109"/>
        <w:gridCol w:w="109"/>
        <w:gridCol w:w="147"/>
        <w:gridCol w:w="147"/>
        <w:gridCol w:w="147"/>
        <w:gridCol w:w="147"/>
        <w:gridCol w:w="285"/>
        <w:gridCol w:w="732"/>
        <w:gridCol w:w="147"/>
        <w:gridCol w:w="109"/>
        <w:gridCol w:w="109"/>
        <w:gridCol w:w="109"/>
        <w:gridCol w:w="211"/>
        <w:gridCol w:w="541"/>
        <w:gridCol w:w="154"/>
      </w:tblGrid>
      <w:tr>
        <w:trPr/>
        <w:tc>
          <w:tcPr>
            <w:tcW w:w="1646" w:type="dxa"/>
            <w:tcBorders/>
            <w:shd w:fill="auto" w:val="clear"/>
            <w:vAlign w:val="center"/>
          </w:tcPr>
          <w:p>
            <w:pPr>
              <w:pStyle w:val="TableContents"/>
              <w:spacing w:before="0" w:after="283"/>
              <w:rPr>
                <w:sz w:val="4"/>
                <w:szCs w:val="4"/>
              </w:rPr>
            </w:pPr>
            <w:r>
              <w:rPr>
                <w:sz w:val="4"/>
                <w:szCs w:val="4"/>
              </w:rPr>
            </w:r>
          </w:p>
        </w:tc>
        <w:tc>
          <w:tcPr>
            <w:tcW w:w="1438" w:type="dxa"/>
            <w:tcBorders/>
            <w:shd w:fill="auto" w:val="clear"/>
            <w:vAlign w:val="center"/>
          </w:tcPr>
          <w:p>
            <w:pPr>
              <w:pStyle w:val="TableContents"/>
              <w:spacing w:before="0" w:after="283"/>
              <w:rPr>
                <w:sz w:val="4"/>
                <w:szCs w:val="4"/>
              </w:rPr>
            </w:pPr>
            <w:r>
              <w:rPr>
                <w:sz w:val="4"/>
                <w:szCs w:val="4"/>
              </w:rPr>
            </w:r>
          </w:p>
        </w:tc>
        <w:tc>
          <w:tcPr>
            <w:tcW w:w="1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45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expenses related to credit facilities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EBITDA (non-GAAP)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(373)</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2021 Founders Award Cancellation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SBC excluding 2021 Founders Award Cancellation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Helvetica;sans-serif" w:hAnsi="Helvetica;sans-serif"/>
                <w:b w:val="false"/>
                <w:color w:val="000000"/>
                <w:sz w:val="20"/>
              </w:rPr>
            </w:pPr>
            <w:r>
              <w:rPr>
                <w:rFonts w:ascii="Helvetica;sans-serif" w:hAnsi="Helvetica;sans-serif"/>
                <w:b w:val="false"/>
                <w:color w:val="000000"/>
                <w:sz w:val="20"/>
              </w:rPr>
              <w:t>Significant legal and tax settlements and reserves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(non-GAAP)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(143)</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20"/>
        <w:jc w:val="both"/>
        <w:rPr/>
      </w:pPr>
      <w:r>
        <w:rPr/>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 xml:space="preserve">Results of Operations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unaudited condensed consolidated statements of operations data:</w:t>
      </w:r>
    </w:p>
    <w:tbl>
      <w:tblPr>
        <w:tblW w:w="5982" w:type="dxa"/>
        <w:jc w:val="left"/>
        <w:tblInd w:w="0" w:type="dxa"/>
        <w:tblCellMar>
          <w:top w:w="28" w:type="dxa"/>
          <w:left w:w="28" w:type="dxa"/>
          <w:bottom w:w="28" w:type="dxa"/>
          <w:right w:w="28" w:type="dxa"/>
        </w:tblCellMar>
      </w:tblPr>
      <w:tblGrid>
        <w:gridCol w:w="964"/>
        <w:gridCol w:w="845"/>
        <w:gridCol w:w="861"/>
        <w:gridCol w:w="109"/>
        <w:gridCol w:w="109"/>
        <w:gridCol w:w="109"/>
        <w:gridCol w:w="147"/>
        <w:gridCol w:w="147"/>
        <w:gridCol w:w="147"/>
        <w:gridCol w:w="147"/>
        <w:gridCol w:w="285"/>
        <w:gridCol w:w="732"/>
        <w:gridCol w:w="147"/>
        <w:gridCol w:w="109"/>
        <w:gridCol w:w="109"/>
        <w:gridCol w:w="109"/>
        <w:gridCol w:w="211"/>
        <w:gridCol w:w="541"/>
        <w:gridCol w:w="154"/>
      </w:tblGrid>
      <w:tr>
        <w:trPr/>
        <w:tc>
          <w:tcPr>
            <w:tcW w:w="964"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2"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233" w:type="dxa"/>
            <w:gridSpan w:val="6"/>
            <w:tcBorders/>
            <w:shd w:fill="auto" w:val="clear"/>
          </w:tcPr>
          <w:p>
            <w:pPr>
              <w:pStyle w:val="TableContents"/>
              <w:spacing w:before="0" w:after="283"/>
              <w:rPr>
                <w:sz w:val="4"/>
                <w:szCs w:val="4"/>
              </w:rPr>
            </w:pPr>
            <w:r>
              <w:rPr>
                <w:sz w:val="4"/>
                <w:szCs w:val="4"/>
              </w:rPr>
            </w:r>
          </w:p>
        </w:tc>
      </w:tr>
      <w:tr>
        <w:trPr/>
        <w:tc>
          <w:tcPr>
            <w:tcW w:w="2670"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Operating expenses:</w:t>
            </w:r>
            <w:r>
              <w:rPr>
                <w:rFonts w:ascii="Helvetica;sans-serif" w:hAnsi="Helvetica;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4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auto" w:val="clear"/>
            <w:vAlign w:val="center"/>
          </w:tcPr>
          <w:p>
            <w:pPr>
              <w:pStyle w:val="TableContents"/>
              <w:spacing w:before="0" w:after="283"/>
              <w:rPr>
                <w:sz w:val="4"/>
                <w:szCs w:val="4"/>
              </w:rPr>
            </w:pPr>
            <w:r>
              <w:rPr>
                <w:sz w:val="4"/>
                <w:szCs w:val="4"/>
              </w:rPr>
            </w:r>
          </w:p>
        </w:tc>
        <w:tc>
          <w:tcPr>
            <w:tcW w:w="116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6" w:type="dxa"/>
            <w:gridSpan w:val="3"/>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(391)</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4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(392)</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Helvetica;sans-serif" w:hAnsi="Helvetica;sans-serif"/>
          <w:b w:val="false"/>
          <w:color w:val="000000"/>
          <w:sz w:val="16"/>
        </w:rPr>
      </w:pPr>
      <w:r>
        <w:rPr>
          <w:rFonts w:ascii="Helvetica;sans-serif" w:hAnsi="Helvetica;sans-serif"/>
          <w:b w:val="false"/>
          <w:color w:val="000000"/>
          <w:sz w:val="16"/>
        </w:rPr>
        <w:t>_______________</w:t>
      </w:r>
    </w:p>
    <w:p>
      <w:pPr>
        <w:pStyle w:val="TextBody"/>
        <w:spacing w:lineRule="auto" w:line="288" w:before="0" w:after="0"/>
        <w:ind w:left="0" w:right="0" w:hanging="360"/>
        <w:jc w:val="both"/>
        <w:rPr>
          <w:rFonts w:ascii="Helvetica;sans-serif" w:hAnsi="Helvetica;sans-serif"/>
          <w:b w:val="false"/>
          <w:color w:val="000000"/>
          <w:sz w:val="16"/>
        </w:rPr>
      </w:pPr>
      <w:r>
        <w:rPr>
          <w:rFonts w:ascii="Helvetica;sans-serif" w:hAnsi="Helvetica;sans-serif"/>
          <w:b w:val="false"/>
          <w:color w:val="000000"/>
          <w:sz w:val="16"/>
        </w:rPr>
        <w:t>(1)Includes SBC expense as follows:</w:t>
      </w:r>
    </w:p>
    <w:tbl>
      <w:tblPr>
        <w:tblW w:w="5921" w:type="dxa"/>
        <w:jc w:val="left"/>
        <w:tblInd w:w="0" w:type="dxa"/>
        <w:tblCellMar>
          <w:top w:w="28" w:type="dxa"/>
          <w:left w:w="28" w:type="dxa"/>
          <w:bottom w:w="28" w:type="dxa"/>
          <w:right w:w="28" w:type="dxa"/>
        </w:tblCellMar>
      </w:tblPr>
      <w:tblGrid>
        <w:gridCol w:w="966"/>
        <w:gridCol w:w="847"/>
        <w:gridCol w:w="857"/>
        <w:gridCol w:w="109"/>
        <w:gridCol w:w="109"/>
        <w:gridCol w:w="109"/>
        <w:gridCol w:w="154"/>
        <w:gridCol w:w="154"/>
        <w:gridCol w:w="154"/>
        <w:gridCol w:w="154"/>
        <w:gridCol w:w="299"/>
        <w:gridCol w:w="682"/>
        <w:gridCol w:w="154"/>
        <w:gridCol w:w="109"/>
        <w:gridCol w:w="109"/>
        <w:gridCol w:w="109"/>
        <w:gridCol w:w="211"/>
        <w:gridCol w:w="481"/>
        <w:gridCol w:w="154"/>
      </w:tblGrid>
      <w:tr>
        <w:trPr/>
        <w:tc>
          <w:tcPr>
            <w:tcW w:w="96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99" w:type="dxa"/>
            <w:tcBorders/>
            <w:shd w:fill="auto" w:val="clear"/>
            <w:vAlign w:val="center"/>
          </w:tcPr>
          <w:p>
            <w:pPr>
              <w:pStyle w:val="TableContents"/>
              <w:spacing w:before="0" w:after="283"/>
              <w:rPr>
                <w:sz w:val="4"/>
                <w:szCs w:val="4"/>
              </w:rPr>
            </w:pPr>
            <w:r>
              <w:rPr>
                <w:sz w:val="4"/>
                <w:szCs w:val="4"/>
              </w:rPr>
            </w:r>
          </w:p>
        </w:tc>
        <w:tc>
          <w:tcPr>
            <w:tcW w:w="682"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1173" w:type="dxa"/>
            <w:gridSpan w:val="6"/>
            <w:tcBorders/>
            <w:shd w:fill="auto" w:val="clea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SBC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Comparison of the Three Months Ended March 31, 2022 and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Revenues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Transaction-Based Revenues</w:t>
      </w:r>
    </w:p>
    <w:tbl>
      <w:tblPr>
        <w:tblW w:w="9713" w:type="dxa"/>
        <w:jc w:val="left"/>
        <w:tblInd w:w="0" w:type="dxa"/>
        <w:tblCellMar>
          <w:top w:w="28" w:type="dxa"/>
          <w:left w:w="28" w:type="dxa"/>
          <w:bottom w:w="28" w:type="dxa"/>
          <w:right w:w="28" w:type="dxa"/>
        </w:tblCellMar>
      </w:tblPr>
      <w:tblGrid>
        <w:gridCol w:w="1868"/>
        <w:gridCol w:w="1643"/>
        <w:gridCol w:w="1648"/>
        <w:gridCol w:w="109"/>
        <w:gridCol w:w="109"/>
        <w:gridCol w:w="109"/>
        <w:gridCol w:w="109"/>
        <w:gridCol w:w="221"/>
        <w:gridCol w:w="221"/>
        <w:gridCol w:w="221"/>
        <w:gridCol w:w="221"/>
        <w:gridCol w:w="428"/>
        <w:gridCol w:w="221"/>
        <w:gridCol w:w="221"/>
        <w:gridCol w:w="109"/>
        <w:gridCol w:w="109"/>
        <w:gridCol w:w="109"/>
        <w:gridCol w:w="229"/>
        <w:gridCol w:w="209"/>
        <w:gridCol w:w="212"/>
        <w:gridCol w:w="109"/>
        <w:gridCol w:w="109"/>
        <w:gridCol w:w="109"/>
        <w:gridCol w:w="243"/>
        <w:gridCol w:w="238"/>
        <w:gridCol w:w="579"/>
      </w:tblGrid>
      <w:tr>
        <w:trPr/>
        <w:tc>
          <w:tcPr>
            <w:tcW w:w="1868" w:type="dxa"/>
            <w:tcBorders/>
            <w:shd w:fill="auto" w:val="clear"/>
            <w:vAlign w:val="center"/>
          </w:tcPr>
          <w:p>
            <w:pPr>
              <w:pStyle w:val="TableContents"/>
              <w:spacing w:before="0" w:after="283"/>
              <w:rPr>
                <w:sz w:val="4"/>
                <w:szCs w:val="4"/>
              </w:rPr>
            </w:pPr>
            <w:r>
              <w:rPr>
                <w:sz w:val="4"/>
                <w:szCs w:val="4"/>
              </w:rPr>
            </w:r>
          </w:p>
        </w:tc>
        <w:tc>
          <w:tcPr>
            <w:tcW w:w="1643" w:type="dxa"/>
            <w:tcBorders/>
            <w:shd w:fill="auto" w:val="clear"/>
            <w:vAlign w:val="center"/>
          </w:tcPr>
          <w:p>
            <w:pPr>
              <w:pStyle w:val="TableContents"/>
              <w:spacing w:before="0" w:after="283"/>
              <w:rPr>
                <w:sz w:val="4"/>
                <w:szCs w:val="4"/>
              </w:rPr>
            </w:pPr>
            <w:r>
              <w:rPr>
                <w:sz w:val="4"/>
                <w:szCs w:val="4"/>
              </w:rPr>
            </w:r>
          </w:p>
        </w:tc>
        <w:tc>
          <w:tcPr>
            <w:tcW w:w="16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579" w:type="dxa"/>
            <w:tcBorders/>
            <w:shd w:fill="auto" w:val="clear"/>
            <w:vAlign w:val="cente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4"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6"/>
            <w:tcBorders/>
            <w:shd w:fill="auto" w:val="clear"/>
          </w:tcPr>
          <w:p>
            <w:pPr>
              <w:pStyle w:val="TableContents"/>
              <w:spacing w:before="0" w:after="283"/>
              <w:rPr>
                <w:sz w:val="4"/>
                <w:szCs w:val="4"/>
              </w:rPr>
            </w:pPr>
            <w:r>
              <w:rPr>
                <w:sz w:val="4"/>
                <w:szCs w:val="4"/>
              </w:rPr>
            </w:r>
          </w:p>
        </w:tc>
      </w:tr>
      <w:tr>
        <w:trPr/>
        <w:tc>
          <w:tcPr>
            <w:tcW w:w="515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color w:val="000000"/>
                <w:sz w:val="16"/>
              </w:rPr>
            </w:pPr>
            <w:r>
              <w:rPr>
                <w:rFonts w:ascii="Helvetica;sans-serif" w:hAnsi="Helvetica;sans-serif"/>
                <w:b/>
                <w:color w:val="000000"/>
                <w:sz w:val="16"/>
              </w:rPr>
              <w:t>% Change</w:t>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800 </w:t>
            </w:r>
          </w:p>
        </w:tc>
        <w:tc>
          <w:tcPr>
            <w:tcW w:w="579"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4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579"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Transaction-based revenues as a % of 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Cryptocurrencies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Equities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5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15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transaction-based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Transaction-based revenues decreased by $11 million primarily driven by the market environment, which had a negative impact on the number of traders across all asset classes, and a decrease in Notional Trading Volumes across cryptocurrencies and equities, partially offset an increase in Options Contracts Traded.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Options Contracts Traded was up 15%, while options DARTs decreased from 0.7 million to 0.6 million and the number of users placing option trades decreased 26%. Additionally, we experienced lower option rebate rates due to reduced market volatility and the mix of ticker symbols traded as different ticker symbols pay different rebate rates.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Crypto DARTs decreased from 0.3 million to 0.2 million. Additionally, the number of users placing cryptocurrency trades decreased 38% and the average Notional Trading Volume traded per trader decreased 25%. The decrease was partially offset by a higher rebate rate from crypto market makers (increase was effective in May 2022).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Equities DARTs decreased from 1.8 million to 1.6 million. The number of users placing equity trades decreased 20% and the average Notional Trading Volume per trader increased 3%. Additionally, we experienced lower equity rebate rates due to reduced spreads in securities pricing. </w:t>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4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39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Net Interest Revenues</w:t>
      </w:r>
    </w:p>
    <w:tbl>
      <w:tblPr>
        <w:tblW w:w="10205" w:type="dxa"/>
        <w:jc w:val="left"/>
        <w:tblInd w:w="0" w:type="dxa"/>
        <w:tblCellMar>
          <w:top w:w="28" w:type="dxa"/>
          <w:left w:w="28" w:type="dxa"/>
          <w:bottom w:w="28" w:type="dxa"/>
          <w:right w:w="28" w:type="dxa"/>
        </w:tblCellMar>
      </w:tblPr>
      <w:tblGrid>
        <w:gridCol w:w="1977"/>
        <w:gridCol w:w="1733"/>
        <w:gridCol w:w="1738"/>
        <w:gridCol w:w="109"/>
        <w:gridCol w:w="109"/>
        <w:gridCol w:w="109"/>
        <w:gridCol w:w="109"/>
        <w:gridCol w:w="144"/>
        <w:gridCol w:w="144"/>
        <w:gridCol w:w="144"/>
        <w:gridCol w:w="144"/>
        <w:gridCol w:w="280"/>
        <w:gridCol w:w="498"/>
        <w:gridCol w:w="379"/>
        <w:gridCol w:w="109"/>
        <w:gridCol w:w="109"/>
        <w:gridCol w:w="109"/>
        <w:gridCol w:w="211"/>
        <w:gridCol w:w="481"/>
        <w:gridCol w:w="286"/>
        <w:gridCol w:w="109"/>
        <w:gridCol w:w="109"/>
        <w:gridCol w:w="109"/>
        <w:gridCol w:w="277"/>
        <w:gridCol w:w="277"/>
        <w:gridCol w:w="402"/>
      </w:tblGrid>
      <w:tr>
        <w:trPr/>
        <w:tc>
          <w:tcPr>
            <w:tcW w:w="1977" w:type="dxa"/>
            <w:tcBorders/>
            <w:shd w:fill="auto" w:val="clear"/>
            <w:vAlign w:val="center"/>
          </w:tcPr>
          <w:p>
            <w:pPr>
              <w:pStyle w:val="TableContents"/>
              <w:spacing w:before="0" w:after="283"/>
              <w:rPr>
                <w:sz w:val="4"/>
                <w:szCs w:val="4"/>
              </w:rPr>
            </w:pPr>
            <w:r>
              <w:rPr>
                <w:sz w:val="4"/>
                <w:szCs w:val="4"/>
              </w:rPr>
            </w:r>
          </w:p>
        </w:tc>
        <w:tc>
          <w:tcPr>
            <w:tcW w:w="1733"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9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r>
      <w:tr>
        <w:trPr/>
        <w:tc>
          <w:tcPr>
            <w:tcW w:w="54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3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1283" w:type="dxa"/>
            <w:gridSpan w:val="6"/>
            <w:tcBorders/>
            <w:shd w:fill="auto" w:val="clear"/>
          </w:tcPr>
          <w:p>
            <w:pPr>
              <w:pStyle w:val="TableContents"/>
              <w:spacing w:before="0" w:after="283"/>
              <w:rPr>
                <w:sz w:val="4"/>
                <w:szCs w:val="4"/>
              </w:rPr>
            </w:pPr>
            <w:r>
              <w:rPr>
                <w:sz w:val="4"/>
                <w:szCs w:val="4"/>
              </w:rPr>
            </w:r>
          </w:p>
        </w:tc>
      </w:tr>
      <w:tr>
        <w:trPr/>
        <w:tc>
          <w:tcPr>
            <w:tcW w:w="544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180"/>
              <w:jc w:val="left"/>
              <w:rPr>
                <w:rFonts w:ascii="Helvetica;sans-serif" w:hAnsi="Helvetica;sans-serif"/>
                <w:b/>
                <w:color w:val="000000"/>
                <w:sz w:val="16"/>
              </w:rPr>
            </w:pPr>
            <w:r>
              <w:rPr>
                <w:rFonts w:ascii="Helvetica;sans-serif" w:hAnsi="Helvetica;sans-serif"/>
                <w:b/>
                <w:color w:val="000000"/>
                <w:sz w:val="16"/>
              </w:rPr>
              <w:t>% Change</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NM</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51%</w:t>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and cash equivalents and deposits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NM</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8%</w:t>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NM</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7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left"/>
              <w:rPr>
                <w:color w:val="000000"/>
              </w:rPr>
            </w:pPr>
            <w:r>
              <w:rPr>
                <w:color w:val="000000"/>
              </w:rPr>
              <w:t>—</w:t>
            </w:r>
            <w:r>
              <w:rPr>
                <w:rFonts w:ascii="Helvetica;sans-serif" w:hAnsi="Helvetica;sans-serif"/>
                <w:b w:val="false"/>
                <w:color w:val="000000"/>
                <w:sz w:val="20"/>
              </w:rPr>
              <w:t>%</w:t>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37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left"/>
              <w:rPr>
                <w:rFonts w:ascii="Helvetica;sans-serif" w:hAnsi="Helvetica;sans-serif"/>
                <w:b w:val="false"/>
                <w:color w:val="000000"/>
                <w:sz w:val="20"/>
              </w:rPr>
            </w:pPr>
            <w:r>
              <w:rPr>
                <w:rFonts w:ascii="Helvetica;sans-serif" w:hAnsi="Helvetica;sans-serif"/>
                <w:b w:val="false"/>
                <w:color w:val="000000"/>
                <w:sz w:val="20"/>
              </w:rPr>
              <w:t>278%</w:t>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interest revenues as a % of 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8"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Margin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Securities lending,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Interest on corporate cash and investments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on segregated cash and cash equivalents and deposits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sweep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4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expenses related to 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7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544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net interest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18 </w:t>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270"/>
        <w:jc w:val="both"/>
        <w:rPr>
          <w:rFonts w:ascii="Helvetica;sans-serif" w:hAnsi="Helvetica;sans-serif"/>
          <w:b w:val="false"/>
          <w:color w:val="000000"/>
          <w:sz w:val="20"/>
        </w:rPr>
      </w:pPr>
      <w:r>
        <w:rPr>
          <w:rFonts w:ascii="Helvetica;sans-serif" w:hAnsi="Helvetica;sans-serif"/>
          <w:b w:val="false"/>
          <w:color w:val="000000"/>
          <w:sz w:val="20"/>
        </w:rPr>
        <w:t xml:space="preserve">Net interest revenues increased by $153 million primarily due to $67 million higher interest revenues earned from corporate cash and investments, $44 million from segregated cash and cash equivalents and deposits, $22 million from cash sweep, and $18 million from margin interest. These increases were primarily driven by the higher short term interest rate environment due to the rise in the federal funds rate, which is an input to our floating margin rate calculation and impacts the interest rate we receive on investable assets. Net interest revenues from margin interest also increased due to the higher interest rate while our Margin Book balance declined year-over-year. Segregated cash and cash equivalents and deposits as well as cash sweep balances increased year-over-year, which also contributed to the higher net interest revenues.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4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following table summarizes interest-earning assets, the revenue or expense generated by these assets, and their respective annualized yields (computed based on average balance over the quarter):</w:t>
      </w:r>
    </w:p>
    <w:tbl>
      <w:tblPr>
        <w:tblW w:w="10205" w:type="dxa"/>
        <w:jc w:val="left"/>
        <w:tblInd w:w="0" w:type="dxa"/>
        <w:tblCellMar>
          <w:top w:w="28" w:type="dxa"/>
          <w:left w:w="28" w:type="dxa"/>
          <w:bottom w:w="28" w:type="dxa"/>
          <w:right w:w="28" w:type="dxa"/>
        </w:tblCellMar>
      </w:tblPr>
      <w:tblGrid>
        <w:gridCol w:w="582"/>
        <w:gridCol w:w="504"/>
        <w:gridCol w:w="506"/>
        <w:gridCol w:w="216"/>
        <w:gridCol w:w="615"/>
        <w:gridCol w:w="120"/>
        <w:gridCol w:w="239"/>
        <w:gridCol w:w="790"/>
        <w:gridCol w:w="133"/>
        <w:gridCol w:w="252"/>
        <w:gridCol w:w="715"/>
        <w:gridCol w:w="140"/>
        <w:gridCol w:w="344"/>
        <w:gridCol w:w="1162"/>
        <w:gridCol w:w="192"/>
        <w:gridCol w:w="109"/>
        <w:gridCol w:w="109"/>
        <w:gridCol w:w="109"/>
        <w:gridCol w:w="306"/>
        <w:gridCol w:w="517"/>
        <w:gridCol w:w="170"/>
        <w:gridCol w:w="405"/>
        <w:gridCol w:w="530"/>
        <w:gridCol w:w="228"/>
        <w:gridCol w:w="252"/>
        <w:gridCol w:w="561"/>
        <w:gridCol w:w="399"/>
      </w:tblGrid>
      <w:tr>
        <w:trPr/>
        <w:tc>
          <w:tcPr>
            <w:tcW w:w="582" w:type="dxa"/>
            <w:tcBorders/>
            <w:shd w:fill="auto" w:val="clear"/>
            <w:vAlign w:val="center"/>
          </w:tcPr>
          <w:p>
            <w:pPr>
              <w:pStyle w:val="TableContents"/>
              <w:spacing w:before="0" w:after="283"/>
              <w:rPr>
                <w:sz w:val="4"/>
                <w:szCs w:val="4"/>
              </w:rPr>
            </w:pPr>
            <w:r>
              <w:rPr>
                <w:sz w:val="4"/>
                <w:szCs w:val="4"/>
              </w:rPr>
            </w:r>
          </w:p>
        </w:tc>
        <w:tc>
          <w:tcPr>
            <w:tcW w:w="50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61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715"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16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405"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annualized yield)</w:t>
            </w:r>
          </w:p>
        </w:tc>
        <w:tc>
          <w:tcPr>
            <w:tcW w:w="9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ind w:left="0" w:right="0" w:hanging="180"/>
              <w:jc w:val="center"/>
              <w:rPr/>
            </w:pPr>
            <w:r>
              <w:rPr>
                <w:rFonts w:ascii="Helvetica;sans-serif" w:hAnsi="Helvetica;sans-serif"/>
                <w:b w:val="false"/>
                <w:color w:val="000000"/>
                <w:sz w:val="16"/>
              </w:rPr>
              <w:t>Margin Book</w:t>
            </w:r>
            <w:r>
              <w:rPr>
                <w:rFonts w:ascii="Helvetica;sans-serif" w:hAnsi="Helvetica;sans-serif"/>
                <w:b w:val="false"/>
                <w:color w:val="000000"/>
                <w:sz w:val="10"/>
              </w:rPr>
              <w:t>(1)</w:t>
            </w:r>
          </w:p>
        </w:tc>
        <w:tc>
          <w:tcPr>
            <w:tcW w:w="1162"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ind w:left="0" w:right="0" w:hanging="180"/>
              <w:jc w:val="center"/>
              <w:rPr/>
            </w:pPr>
            <w:r>
              <w:rPr>
                <w:rFonts w:ascii="Helvetica;sans-serif" w:hAnsi="Helvetica;sans-serif"/>
                <w:b w:val="false"/>
                <w:color w:val="000000"/>
                <w:sz w:val="16"/>
              </w:rPr>
              <w:t>Cash and deposits</w:t>
            </w:r>
            <w:r>
              <w:rPr>
                <w:rFonts w:ascii="Helvetica;sans-serif" w:hAnsi="Helvetica;sans-serif"/>
                <w:b w:val="false"/>
                <w:color w:val="000000"/>
                <w:sz w:val="10"/>
              </w:rPr>
              <w:t>(2)</w:t>
            </w:r>
          </w:p>
        </w:tc>
        <w:tc>
          <w:tcPr>
            <w:tcW w:w="110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0"/>
              <w:ind w:left="0" w:right="0" w:hanging="180"/>
              <w:jc w:val="center"/>
              <w:rPr>
                <w:rFonts w:ascii="Helvetica;sans-serif" w:hAnsi="Helvetica;sans-serif"/>
                <w:b w:val="false"/>
                <w:color w:val="000000"/>
                <w:sz w:val="16"/>
              </w:rPr>
            </w:pPr>
            <w:r>
              <w:rPr>
                <w:rFonts w:ascii="Helvetica;sans-serif" w:hAnsi="Helvetica;sans-serif"/>
                <w:b w:val="false"/>
                <w:color w:val="000000"/>
                <w:sz w:val="16"/>
              </w:rPr>
              <w:t xml:space="preserve">Cash sweep </w:t>
            </w:r>
          </w:p>
          <w:p>
            <w:pPr>
              <w:pStyle w:val="TableContents"/>
              <w:spacing w:lineRule="auto" w:line="240" w:before="0" w:after="0"/>
              <w:ind w:left="0" w:right="0" w:hanging="180"/>
              <w:jc w:val="center"/>
              <w:rPr/>
            </w:pPr>
            <w:r>
              <w:rPr>
                <w:rFonts w:ascii="Helvetica;sans-serif" w:hAnsi="Helvetica;sans-serif"/>
                <w:b w:val="false"/>
                <w:color w:val="000000"/>
                <w:sz w:val="16"/>
              </w:rPr>
              <w:t>(off-balance sheet)</w:t>
            </w:r>
            <w:r>
              <w:rPr>
                <w:rFonts w:ascii="Helvetica;sans-serif" w:hAnsi="Helvetica;sans-serif"/>
                <w:b w:val="false"/>
                <w:color w:val="000000"/>
                <w:sz w:val="10"/>
              </w:rPr>
              <w:t>(3)</w:t>
            </w:r>
          </w:p>
        </w:tc>
        <w:tc>
          <w:tcPr>
            <w:tcW w:w="1698"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Total interest-earning assets</w:t>
            </w:r>
          </w:p>
        </w:tc>
        <w:tc>
          <w:tcPr>
            <w:tcW w:w="327"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9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ind w:left="0" w:right="0" w:hanging="180"/>
              <w:jc w:val="center"/>
              <w:rPr>
                <w:rFonts w:ascii="Helvetica;sans-serif" w:hAnsi="Helvetica;sans-serif"/>
                <w:b w:val="false"/>
                <w:color w:val="000000"/>
                <w:sz w:val="16"/>
              </w:rPr>
            </w:pPr>
            <w:r>
              <w:rPr>
                <w:rFonts w:ascii="Helvetica;sans-serif" w:hAnsi="Helvetica;sans-serif"/>
                <w:b w:val="false"/>
                <w:color w:val="000000"/>
                <w:sz w:val="16"/>
              </w:rPr>
              <w:t>Securities lending, net</w:t>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 xml:space="preserve">Interest </w:t>
            </w:r>
          </w:p>
          <w:p>
            <w:pPr>
              <w:pStyle w:val="TableContents"/>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 xml:space="preserve">expenses </w:t>
            </w:r>
          </w:p>
          <w:p>
            <w:pPr>
              <w:pStyle w:val="TableContents"/>
              <w:spacing w:lineRule="auto" w:line="240" w:before="0" w:after="0"/>
              <w:ind w:left="0" w:right="0" w:hanging="180"/>
              <w:jc w:val="center"/>
              <w:rPr>
                <w:rFonts w:ascii="Helvetica;sans-serif" w:hAnsi="Helvetica;sans-serif"/>
                <w:b w:val="false"/>
                <w:color w:val="000000"/>
                <w:sz w:val="16"/>
              </w:rPr>
            </w:pPr>
            <w:r>
              <w:rPr>
                <w:rFonts w:ascii="Helvetica;sans-serif" w:hAnsi="Helvetica;sans-serif"/>
                <w:b w:val="false"/>
                <w:color w:val="000000"/>
                <w:sz w:val="16"/>
              </w:rPr>
              <w:t>related to credit facilities</w:t>
            </w:r>
          </w:p>
        </w:tc>
        <w:tc>
          <w:tcPr>
            <w:tcW w:w="12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interest revenue</w:t>
            </w:r>
          </w:p>
        </w:tc>
      </w:tr>
      <w:tr>
        <w:trPr/>
        <w:tc>
          <w:tcPr>
            <w:tcW w:w="6510"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2023</w:t>
            </w:r>
          </w:p>
        </w:tc>
        <w:tc>
          <w:tcPr>
            <w:tcW w:w="216"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3,117 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0"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10,405 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1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8,881 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162" w:type="dxa"/>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22,403</w:t>
            </w:r>
            <w:r>
              <w:rPr>
                <w:color w:val="000000"/>
              </w:rPr>
              <w:t>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2022</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3,089 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9,530 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5,837 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18,456</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(4)</w:t>
            </w:r>
          </w:p>
        </w:tc>
        <w:tc>
          <w:tcPr>
            <w:tcW w:w="83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3,103 </w:t>
            </w:r>
          </w:p>
        </w:tc>
        <w:tc>
          <w:tcPr>
            <w:tcW w:w="12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9,968 </w:t>
            </w:r>
          </w:p>
        </w:tc>
        <w:tc>
          <w:tcPr>
            <w:tcW w:w="13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7,359 </w:t>
            </w:r>
          </w:p>
        </w:tc>
        <w:tc>
          <w:tcPr>
            <w:tcW w:w="14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20,430</w:t>
            </w:r>
            <w:r>
              <w:rPr>
                <w:color w:val="000000"/>
              </w:rPr>
              <w:t> </w:t>
            </w:r>
          </w:p>
        </w:tc>
        <w:tc>
          <w:tcPr>
            <w:tcW w:w="19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53 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113 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188</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26 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208</w:t>
            </w:r>
            <w:r>
              <w:rPr>
                <w:color w:val="000000"/>
              </w:rPr>
              <w:t>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(5)</w:t>
            </w:r>
          </w:p>
        </w:tc>
        <w:tc>
          <w:tcPr>
            <w:tcW w:w="95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6.83%</w:t>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4.53%</w:t>
            </w:r>
          </w:p>
        </w:tc>
        <w:tc>
          <w:tcPr>
            <w:tcW w:w="1107"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1.20%</w:t>
            </w:r>
          </w:p>
        </w:tc>
        <w:tc>
          <w:tcPr>
            <w:tcW w:w="169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3.68%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4.07</w:t>
            </w:r>
            <w:r>
              <w:rPr>
                <w:color w:val="000000"/>
              </w:rPr>
              <w:t> </w:t>
            </w:r>
          </w:p>
        </w:tc>
        <w:tc>
          <w:tcPr>
            <w:tcW w:w="39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w:t>
            </w:r>
          </w:p>
        </w:tc>
      </w:tr>
      <w:tr>
        <w:trPr/>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0"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2022</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3,089 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9,530 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5,837 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18,456</w:t>
            </w: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September 30, 2022</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4,085 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9,374 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2,969 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16,428</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(4)</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3,587 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9,452 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4,403 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17,442</w:t>
            </w: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93 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12 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160</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13 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167</w:t>
            </w:r>
            <w:r>
              <w:rPr>
                <w:color w:val="000000"/>
              </w:rPr>
              <w:t>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(5)</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6.13%</w:t>
            </w:r>
          </w:p>
        </w:tc>
        <w:tc>
          <w:tcPr>
            <w:tcW w:w="11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3.94%</w:t>
            </w:r>
          </w:p>
        </w:tc>
        <w:tc>
          <w:tcPr>
            <w:tcW w:w="11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w:t>
            </w:r>
          </w:p>
        </w:tc>
        <w:tc>
          <w:tcPr>
            <w:tcW w:w="16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3.67%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3.83</w:t>
            </w:r>
            <w:r>
              <w:rPr>
                <w:color w:val="000000"/>
              </w:rPr>
              <w:t> </w:t>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w:t>
            </w:r>
          </w:p>
        </w:tc>
      </w:tr>
      <w:tr>
        <w:trPr/>
        <w:tc>
          <w:tcPr>
            <w:tcW w:w="15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10" w:type="dxa"/>
            <w:gridSpan w:val="15"/>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Three Months Ended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March 31, 2022</w:t>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6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5,292 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10,983 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71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2,275 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1162" w:type="dxa"/>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18,550</w:t>
            </w: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December 31, 2021</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6,467 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10,600 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2,095 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19,162</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Average</w:t>
            </w:r>
            <w:r>
              <w:rPr>
                <w:rFonts w:ascii="Helvetica;sans-serif" w:hAnsi="Helvetica;sans-serif"/>
                <w:b w:val="false"/>
                <w:color w:val="000000"/>
                <w:sz w:val="10"/>
              </w:rPr>
              <w:t>(4)</w:t>
            </w:r>
          </w:p>
        </w:tc>
        <w:tc>
          <w:tcPr>
            <w:tcW w:w="83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5,879 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10,792 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2,185 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18,856</w:t>
            </w:r>
            <w:r>
              <w:rPr>
                <w:color w:val="000000"/>
              </w:rPr>
              <w:t> </w:t>
            </w:r>
          </w:p>
        </w:tc>
        <w:tc>
          <w:tcPr>
            <w:tcW w:w="19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Revenue/(expense)</w:t>
            </w:r>
          </w:p>
        </w:tc>
        <w:tc>
          <w:tcPr>
            <w:tcW w:w="83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35 </w:t>
            </w:r>
          </w:p>
        </w:tc>
        <w:tc>
          <w:tcPr>
            <w:tcW w:w="12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2 </w:t>
            </w:r>
          </w:p>
        </w:tc>
        <w:tc>
          <w:tcPr>
            <w:tcW w:w="13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37</w:t>
            </w:r>
            <w:r>
              <w:rPr>
                <w:color w:val="000000"/>
              </w:rPr>
              <w:t> </w:t>
            </w:r>
          </w:p>
        </w:tc>
        <w:tc>
          <w:tcPr>
            <w:tcW w:w="19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24 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16"/>
              </w:rPr>
            </w:pPr>
            <w:r>
              <w:rPr>
                <w:rFonts w:ascii="Helvetica;sans-serif" w:hAnsi="Helvetica;sans-serif"/>
                <w:b w:val="false"/>
                <w:color w:val="000000"/>
                <w:sz w:val="16"/>
              </w:rPr>
              <w:t>$</w:t>
            </w:r>
          </w:p>
        </w:tc>
        <w:tc>
          <w:tcPr>
            <w:tcW w:w="53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(6)</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color w:val="000000"/>
                <w:sz w:val="16"/>
              </w:rPr>
            </w:pPr>
            <w:r>
              <w:rPr>
                <w:rFonts w:ascii="Helvetica;sans-serif" w:hAnsi="Helvetica;sans-serif"/>
                <w:b/>
                <w:color w:val="000000"/>
                <w:sz w:val="16"/>
              </w:rPr>
              <w:t>$</w:t>
            </w:r>
          </w:p>
        </w:tc>
        <w:tc>
          <w:tcPr>
            <w:tcW w:w="561" w:type="dxa"/>
            <w:tcBorders/>
            <w:shd w:fill="CCEE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55</w:t>
            </w:r>
            <w:r>
              <w:rPr>
                <w:color w:val="000000"/>
              </w:rPr>
              <w:t> </w:t>
            </w:r>
          </w:p>
        </w:tc>
        <w:tc>
          <w:tcPr>
            <w:tcW w:w="3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92"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Helvetica;sans-serif" w:hAnsi="Helvetica;sans-serif"/>
                <w:b w:val="false"/>
                <w:color w:val="000000"/>
                <w:sz w:val="16"/>
              </w:rPr>
              <w:t>Annual yield</w:t>
            </w:r>
            <w:r>
              <w:rPr>
                <w:rFonts w:ascii="Helvetica;sans-serif" w:hAnsi="Helvetica;sans-serif"/>
                <w:b w:val="false"/>
                <w:color w:val="000000"/>
                <w:sz w:val="10"/>
              </w:rPr>
              <w:t>(5)</w:t>
            </w:r>
          </w:p>
        </w:tc>
        <w:tc>
          <w:tcPr>
            <w:tcW w:w="95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2.38%</w:t>
            </w:r>
          </w:p>
        </w:tc>
        <w:tc>
          <w:tcPr>
            <w:tcW w:w="1162"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16"/>
              </w:rPr>
            </w:pPr>
            <w:r>
              <w:rPr>
                <w:rFonts w:ascii="Helvetica;sans-serif" w:hAnsi="Helvetica;sans-serif"/>
                <w:b w:val="false"/>
                <w:color w:val="000000"/>
                <w:sz w:val="16"/>
              </w:rPr>
              <w:t>0.07%</w:t>
            </w:r>
          </w:p>
        </w:tc>
        <w:tc>
          <w:tcPr>
            <w:tcW w:w="110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Helvetica;sans-serif" w:hAnsi="Helvetica;sans-serif"/>
                <w:b w:val="false"/>
                <w:color w:val="000000"/>
                <w:sz w:val="16"/>
              </w:rPr>
              <w:t>%</w:t>
            </w:r>
          </w:p>
        </w:tc>
        <w:tc>
          <w:tcPr>
            <w:tcW w:w="169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0.78%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pPr>
            <w:r>
              <w:rPr>
                <w:rFonts w:ascii="Helvetica;sans-serif" w:hAnsi="Helvetica;sans-serif"/>
                <w:b/>
                <w:color w:val="000000"/>
                <w:sz w:val="16"/>
              </w:rPr>
              <w:t>1.17</w:t>
            </w:r>
            <w:r>
              <w:rPr>
                <w:color w:val="000000"/>
              </w:rPr>
              <w:t> </w:t>
            </w:r>
          </w:p>
        </w:tc>
        <w:tc>
          <w:tcPr>
            <w:tcW w:w="39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color w:val="000000"/>
                <w:sz w:val="16"/>
              </w:rPr>
            </w:pPr>
            <w:r>
              <w:rPr>
                <w:rFonts w:ascii="Helvetica;sans-serif" w:hAnsi="Helvetica;sans-serif"/>
                <w:b/>
                <w:color w:val="000000"/>
                <w:sz w:val="16"/>
              </w:rPr>
              <w:t>%</w:t>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695" w:type="dxa"/>
            <w:gridSpan w:val="12"/>
            <w:tcBorders/>
            <w:shd w:fill="auto" w:val="clea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695" w:type="dxa"/>
            <w:gridSpan w:val="12"/>
            <w:tcBorders/>
            <w:shd w:fill="auto" w:val="clea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695" w:type="dxa"/>
            <w:gridSpan w:val="12"/>
            <w:tcBorders/>
            <w:shd w:fill="auto" w:val="clea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r>
        <w:trPr/>
        <w:tc>
          <w:tcPr>
            <w:tcW w:w="1592"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c>
          <w:tcPr>
            <w:tcW w:w="110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3"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ind w:left="0" w:right="0" w:firstLine="360"/>
        <w:jc w:val="both"/>
        <w:rPr>
          <w:rFonts w:ascii="Helvetica;sans-serif" w:hAnsi="Helvetica;sans-serif"/>
          <w:b w:val="false"/>
          <w:color w:val="000000"/>
          <w:sz w:val="16"/>
        </w:rPr>
      </w:pPr>
      <w:r>
        <w:rPr>
          <w:rFonts w:ascii="Helvetica;sans-serif" w:hAnsi="Helvetica;sans-serif"/>
          <w:b w:val="false"/>
          <w:color w:val="000000"/>
          <w:sz w:val="16"/>
        </w:rPr>
        <w:t>__________</w:t>
      </w:r>
    </w:p>
    <w:p>
      <w:pPr>
        <w:pStyle w:val="TextBody"/>
        <w:spacing w:lineRule="auto" w:line="288" w:before="0" w:after="0"/>
        <w:ind w:left="0" w:right="0" w:hanging="180"/>
        <w:jc w:val="both"/>
        <w:rPr/>
      </w:pPr>
      <w:r>
        <w:rPr>
          <w:rFonts w:ascii="Helvetica;sans-serif" w:hAnsi="Helvetica;sans-serif"/>
          <w:b w:val="false"/>
          <w:color w:val="000000"/>
          <w:sz w:val="10"/>
          <w:highlight w:val="white"/>
        </w:rPr>
        <w:t xml:space="preserve">(1) </w:t>
      </w:r>
      <w:r>
        <w:rPr>
          <w:rFonts w:ascii="Helvetica;sans-serif" w:hAnsi="Helvetica;sans-serif"/>
          <w:b w:val="false"/>
          <w:color w:val="000000"/>
          <w:sz w:val="16"/>
          <w:highlight w:val="white"/>
        </w:rPr>
        <w:t>Margin Book is the aggregate outstanding margin loan balances receivable.</w:t>
      </w:r>
    </w:p>
    <w:p>
      <w:pPr>
        <w:pStyle w:val="TextBody"/>
        <w:spacing w:lineRule="auto" w:line="288" w:before="0" w:after="0"/>
        <w:ind w:left="0" w:right="0" w:hanging="180"/>
        <w:jc w:val="both"/>
        <w:rPr/>
      </w:pPr>
      <w:r>
        <w:rPr>
          <w:rFonts w:ascii="Helvetica;sans-serif" w:hAnsi="Helvetica;sans-serif"/>
          <w:b w:val="false"/>
          <w:color w:val="000000"/>
          <w:sz w:val="10"/>
          <w:highlight w:val="white"/>
        </w:rPr>
        <w:t>(2)</w:t>
      </w:r>
      <w:r>
        <w:rPr>
          <w:color w:val="000000"/>
          <w:highlight w:val="white"/>
        </w:rPr>
        <w:t xml:space="preserve"> </w:t>
      </w:r>
      <w:r>
        <w:rPr>
          <w:rFonts w:ascii="Helvetica;sans-serif" w:hAnsi="Helvetica;sans-serif"/>
          <w:b w:val="false"/>
          <w:color w:val="000000"/>
          <w:sz w:val="16"/>
          <w:highlight w:val="white"/>
        </w:rPr>
        <w:t>Includes cash and cash equivalents, cash segregated under federal and other regulations, deposits with clearing organizations and investments.</w:t>
      </w:r>
    </w:p>
    <w:p>
      <w:pPr>
        <w:pStyle w:val="TextBody"/>
        <w:spacing w:lineRule="auto" w:line="288" w:before="0" w:after="0"/>
        <w:ind w:left="0" w:right="0" w:hanging="180"/>
        <w:jc w:val="both"/>
        <w:rPr/>
      </w:pPr>
      <w:r>
        <w:rPr>
          <w:rFonts w:ascii="Helvetica;sans-serif" w:hAnsi="Helvetica;sans-serif"/>
          <w:b w:val="false"/>
          <w:color w:val="000000"/>
          <w:sz w:val="10"/>
        </w:rPr>
        <w:t>(3</w:t>
      </w:r>
      <w:r>
        <w:rPr>
          <w:rFonts w:ascii="Helvetica;sans-serif" w:hAnsi="Helvetica;sans-serif"/>
          <w:b w:val="false"/>
          <w:color w:val="000000"/>
          <w:sz w:val="10"/>
          <w:highlight w:val="white"/>
        </w:rPr>
        <w:t>)</w:t>
      </w:r>
      <w:r>
        <w:rPr>
          <w:color w:val="000000"/>
          <w:highlight w:val="white"/>
        </w:rPr>
        <w:t xml:space="preserve"> </w:t>
      </w:r>
      <w:r>
        <w:rPr>
          <w:rFonts w:ascii="Helvetica;sans-serif" w:hAnsi="Helvetica;sans-serif"/>
          <w:b w:val="false"/>
          <w:color w:val="000000"/>
          <w:sz w:val="16"/>
          <w:highlight w:val="white"/>
        </w:rPr>
        <w:t>Cash sweep is an off-balance-sheet amount. Robinhood earns a net interest spread on Cash Sweep balances based on the interest rate offered by the partner banks less the interest rate given to users as stated in our program terms.</w:t>
      </w:r>
    </w:p>
    <w:p>
      <w:pPr>
        <w:pStyle w:val="TextBody"/>
        <w:spacing w:lineRule="auto" w:line="288" w:before="0" w:after="0"/>
        <w:ind w:left="0" w:right="0" w:firstLine="360"/>
        <w:jc w:val="both"/>
        <w:rPr/>
      </w:pPr>
      <w:r>
        <w:rPr>
          <w:rFonts w:ascii="Helvetica;sans-serif" w:hAnsi="Helvetica;sans-serif"/>
          <w:b w:val="false"/>
          <w:color w:val="000000"/>
          <w:sz w:val="10"/>
          <w:highlight w:val="white"/>
        </w:rPr>
        <w:t>(4)</w:t>
      </w:r>
      <w:r>
        <w:rPr>
          <w:color w:val="000000"/>
          <w:highlight w:val="white"/>
        </w:rPr>
        <w:t xml:space="preserve"> </w:t>
      </w:r>
      <w:r>
        <w:rPr>
          <w:rFonts w:ascii="Helvetica;sans-serif" w:hAnsi="Helvetica;sans-serif"/>
          <w:b w:val="false"/>
          <w:color w:val="000000"/>
          <w:sz w:val="16"/>
          <w:highlight w:val="white"/>
        </w:rPr>
        <w:t>Average balance rows present a simple average of the ending balances as of each of the indicated dates for the relevant period.</w:t>
      </w:r>
    </w:p>
    <w:p>
      <w:pPr>
        <w:pStyle w:val="TextBody"/>
        <w:spacing w:lineRule="auto" w:line="288" w:before="0" w:after="0"/>
        <w:ind w:left="0" w:right="0" w:hanging="180"/>
        <w:jc w:val="both"/>
        <w:rPr/>
      </w:pPr>
      <w:r>
        <w:rPr>
          <w:rFonts w:ascii="Helvetica;sans-serif" w:hAnsi="Helvetica;sans-serif"/>
          <w:b w:val="false"/>
          <w:color w:val="000000"/>
          <w:sz w:val="10"/>
          <w:highlight w:val="white"/>
        </w:rPr>
        <w:t>(5)</w:t>
      </w:r>
      <w:r>
        <w:rPr>
          <w:color w:val="000000"/>
          <w:highlight w:val="white"/>
        </w:rPr>
        <w:t xml:space="preserve"> </w:t>
      </w:r>
      <w:r>
        <w:rPr>
          <w:rFonts w:ascii="Helvetica;sans-serif" w:hAnsi="Helvetica;sans-serif"/>
          <w:b w:val="false"/>
          <w:color w:val="000000"/>
          <w:sz w:val="16"/>
          <w:highlight w:val="white"/>
        </w:rPr>
        <w:t>Annual yield is calculated by annualizing revenue/expense for the given period then dividing by the applicable average asset balance.</w:t>
      </w:r>
    </w:p>
    <w:p>
      <w:pPr>
        <w:pStyle w:val="TextBody"/>
        <w:spacing w:before="0" w:after="200"/>
        <w:jc w:val="both"/>
        <w:rPr/>
      </w:pPr>
      <w:r>
        <w:rPr/>
      </w:r>
    </w:p>
    <w:p>
      <w:pPr>
        <w:pStyle w:val="TextBody"/>
        <w:spacing w:before="0" w:after="20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4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Other Revenues</w:t>
      </w:r>
    </w:p>
    <w:tbl>
      <w:tblPr>
        <w:tblW w:w="8476" w:type="dxa"/>
        <w:jc w:val="left"/>
        <w:tblInd w:w="0" w:type="dxa"/>
        <w:tblCellMar>
          <w:top w:w="28" w:type="dxa"/>
          <w:left w:w="28" w:type="dxa"/>
          <w:bottom w:w="28" w:type="dxa"/>
          <w:right w:w="28" w:type="dxa"/>
        </w:tblCellMar>
      </w:tblPr>
      <w:tblGrid>
        <w:gridCol w:w="1439"/>
        <w:gridCol w:w="1266"/>
        <w:gridCol w:w="1269"/>
        <w:gridCol w:w="109"/>
        <w:gridCol w:w="109"/>
        <w:gridCol w:w="109"/>
        <w:gridCol w:w="109"/>
        <w:gridCol w:w="169"/>
        <w:gridCol w:w="169"/>
        <w:gridCol w:w="169"/>
        <w:gridCol w:w="169"/>
        <w:gridCol w:w="327"/>
        <w:gridCol w:w="583"/>
        <w:gridCol w:w="169"/>
        <w:gridCol w:w="109"/>
        <w:gridCol w:w="109"/>
        <w:gridCol w:w="109"/>
        <w:gridCol w:w="211"/>
        <w:gridCol w:w="376"/>
        <w:gridCol w:w="109"/>
        <w:gridCol w:w="109"/>
        <w:gridCol w:w="109"/>
        <w:gridCol w:w="109"/>
        <w:gridCol w:w="281"/>
        <w:gridCol w:w="281"/>
        <w:gridCol w:w="399"/>
      </w:tblGrid>
      <w:tr>
        <w:trPr/>
        <w:tc>
          <w:tcPr>
            <w:tcW w:w="1439" w:type="dxa"/>
            <w:tcBorders/>
            <w:shd w:fill="auto" w:val="clear"/>
            <w:vAlign w:val="center"/>
          </w:tcPr>
          <w:p>
            <w:pPr>
              <w:pStyle w:val="TableContents"/>
              <w:spacing w:before="0" w:after="283"/>
              <w:rPr>
                <w:sz w:val="4"/>
                <w:szCs w:val="4"/>
              </w:rPr>
            </w:pPr>
            <w:r>
              <w:rPr>
                <w:sz w:val="4"/>
                <w:szCs w:val="4"/>
              </w:rPr>
            </w:r>
          </w:p>
        </w:tc>
        <w:tc>
          <w:tcPr>
            <w:tcW w:w="1266" w:type="dxa"/>
            <w:tcBorders/>
            <w:shd w:fill="auto" w:val="clear"/>
            <w:vAlign w:val="center"/>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6"/>
            <w:tcBorders/>
            <w:shd w:fill="auto" w:val="clear"/>
          </w:tcPr>
          <w:p>
            <w:pPr>
              <w:pStyle w:val="TableContents"/>
              <w:spacing w:before="0" w:after="283"/>
              <w:rPr>
                <w:sz w:val="4"/>
                <w:szCs w:val="4"/>
              </w:rPr>
            </w:pPr>
            <w:r>
              <w:rPr>
                <w:sz w:val="4"/>
                <w:szCs w:val="4"/>
              </w:rPr>
            </w:r>
          </w:p>
        </w:tc>
      </w:tr>
      <w:tr>
        <w:trPr/>
        <w:tc>
          <w:tcPr>
            <w:tcW w:w="39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39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39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revenues as a % of total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Other revenues remained flat and primarily consisted of revenues generated from Robinhood Gold, our monthly subscription service.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Operating Expenses</w:t>
      </w:r>
    </w:p>
    <w:tbl>
      <w:tblPr>
        <w:tblW w:w="7407" w:type="dxa"/>
        <w:jc w:val="left"/>
        <w:tblInd w:w="0" w:type="dxa"/>
        <w:tblCellMar>
          <w:top w:w="28" w:type="dxa"/>
          <w:left w:w="28" w:type="dxa"/>
          <w:bottom w:w="28" w:type="dxa"/>
          <w:right w:w="28" w:type="dxa"/>
        </w:tblCellMar>
      </w:tblPr>
      <w:tblGrid>
        <w:gridCol w:w="983"/>
        <w:gridCol w:w="865"/>
        <w:gridCol w:w="867"/>
        <w:gridCol w:w="109"/>
        <w:gridCol w:w="109"/>
        <w:gridCol w:w="109"/>
        <w:gridCol w:w="109"/>
        <w:gridCol w:w="232"/>
        <w:gridCol w:w="232"/>
        <w:gridCol w:w="449"/>
        <w:gridCol w:w="232"/>
        <w:gridCol w:w="609"/>
        <w:gridCol w:w="109"/>
        <w:gridCol w:w="109"/>
        <w:gridCol w:w="109"/>
        <w:gridCol w:w="309"/>
        <w:gridCol w:w="172"/>
        <w:gridCol w:w="305"/>
        <w:gridCol w:w="109"/>
        <w:gridCol w:w="109"/>
        <w:gridCol w:w="109"/>
        <w:gridCol w:w="240"/>
        <w:gridCol w:w="241"/>
        <w:gridCol w:w="581"/>
      </w:tblGrid>
      <w:tr>
        <w:trPr/>
        <w:tc>
          <w:tcPr>
            <w:tcW w:w="983"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9"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3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6"/>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 except for percentages)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141 </w:t>
            </w:r>
          </w:p>
        </w:tc>
        <w:tc>
          <w:tcPr>
            <w:tcW w:w="5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4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581" w:type="dxa"/>
            <w:tcBorders/>
            <w:shd w:fill="CCEEFF" w:val="clear"/>
            <w:tcMar>
              <w:top w:w="0" w:type="dxa"/>
              <w:left w:w="0" w:type="dxa"/>
              <w:bottom w:w="0" w:type="dxa"/>
              <w:right w:w="0" w:type="dxa"/>
            </w:tcMar>
            <w:vAlign w:val="center"/>
          </w:tcPr>
          <w:p>
            <w:pPr>
              <w:pStyle w:val="TableContents"/>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Percent of net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Brokerage and transaction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Technology and development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45 </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30 </w:t>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10 </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11 </w:t>
            </w:r>
          </w:p>
        </w:tc>
        <w:tc>
          <w:tcPr>
            <w:tcW w:w="609"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30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90 </w:t>
            </w:r>
          </w:p>
        </w:tc>
        <w:tc>
          <w:tcPr>
            <w:tcW w:w="60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147 </w:t>
            </w:r>
          </w:p>
        </w:tc>
        <w:tc>
          <w:tcPr>
            <w:tcW w:w="30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6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231 </w:t>
            </w:r>
          </w:p>
        </w:tc>
        <w:tc>
          <w:tcPr>
            <w:tcW w:w="6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216 </w:t>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 xml:space="preserve">Brokerage and Transaction </w:t>
      </w:r>
    </w:p>
    <w:tbl>
      <w:tblPr>
        <w:tblW w:w="10124" w:type="dxa"/>
        <w:jc w:val="left"/>
        <w:tblInd w:w="0" w:type="dxa"/>
        <w:tblCellMar>
          <w:top w:w="28" w:type="dxa"/>
          <w:left w:w="28" w:type="dxa"/>
          <w:bottom w:w="28" w:type="dxa"/>
          <w:right w:w="28" w:type="dxa"/>
        </w:tblCellMar>
      </w:tblPr>
      <w:tblGrid>
        <w:gridCol w:w="2092"/>
        <w:gridCol w:w="1828"/>
        <w:gridCol w:w="1855"/>
        <w:gridCol w:w="109"/>
        <w:gridCol w:w="109"/>
        <w:gridCol w:w="109"/>
        <w:gridCol w:w="109"/>
        <w:gridCol w:w="236"/>
        <w:gridCol w:w="236"/>
        <w:gridCol w:w="457"/>
        <w:gridCol w:w="588"/>
        <w:gridCol w:w="236"/>
        <w:gridCol w:w="109"/>
        <w:gridCol w:w="109"/>
        <w:gridCol w:w="109"/>
        <w:gridCol w:w="229"/>
        <w:gridCol w:w="157"/>
        <w:gridCol w:w="159"/>
        <w:gridCol w:w="109"/>
        <w:gridCol w:w="109"/>
        <w:gridCol w:w="109"/>
        <w:gridCol w:w="281"/>
        <w:gridCol w:w="281"/>
        <w:gridCol w:w="399"/>
      </w:tblGrid>
      <w:tr>
        <w:trPr/>
        <w:tc>
          <w:tcPr>
            <w:tcW w:w="2092" w:type="dxa"/>
            <w:tcBorders/>
            <w:shd w:fill="auto" w:val="clear"/>
            <w:vAlign w:val="center"/>
          </w:tcPr>
          <w:p>
            <w:pPr>
              <w:pStyle w:val="TableContents"/>
              <w:spacing w:before="0" w:after="283"/>
              <w:rPr>
                <w:sz w:val="4"/>
                <w:szCs w:val="4"/>
              </w:rPr>
            </w:pPr>
            <w:r>
              <w:rPr>
                <w:sz w:val="4"/>
                <w:szCs w:val="4"/>
              </w:rPr>
            </w:r>
          </w:p>
        </w:tc>
        <w:tc>
          <w:tcPr>
            <w:tcW w:w="1828" w:type="dxa"/>
            <w:tcBorders/>
            <w:shd w:fill="auto" w:val="clear"/>
            <w:vAlign w:val="center"/>
          </w:tcPr>
          <w:p>
            <w:pPr>
              <w:pStyle w:val="TableContents"/>
              <w:spacing w:before="0" w:after="283"/>
              <w:rPr>
                <w:sz w:val="4"/>
                <w:szCs w:val="4"/>
              </w:rPr>
            </w:pPr>
            <w:r>
              <w:rPr>
                <w:sz w:val="4"/>
                <w:szCs w:val="4"/>
              </w:rPr>
            </w:r>
          </w:p>
        </w:tc>
        <w:tc>
          <w:tcPr>
            <w:tcW w:w="18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shd w:fill="auto" w:val="clear"/>
            <w:vAlign w:val="center"/>
          </w:tcPr>
          <w:p>
            <w:pPr>
              <w:pStyle w:val="TableContents"/>
              <w:spacing w:before="0" w:after="283"/>
              <w:rPr>
                <w:sz w:val="4"/>
                <w:szCs w:val="4"/>
              </w:rPr>
            </w:pPr>
            <w:r>
              <w:rPr>
                <w:sz w:val="4"/>
                <w:szCs w:val="4"/>
              </w:rPr>
            </w:r>
          </w:p>
        </w:tc>
        <w:tc>
          <w:tcPr>
            <w:tcW w:w="58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8" w:type="dxa"/>
            <w:gridSpan w:val="6"/>
            <w:tcBorders/>
            <w:shd w:fill="auto" w:val="clear"/>
          </w:tcPr>
          <w:p>
            <w:pPr>
              <w:pStyle w:val="TableContents"/>
              <w:spacing w:before="0" w:after="283"/>
              <w:rPr>
                <w:sz w:val="4"/>
                <w:szCs w:val="4"/>
              </w:rPr>
            </w:pPr>
            <w:r>
              <w:rPr>
                <w:sz w:val="4"/>
                <w:szCs w:val="4"/>
              </w:rPr>
            </w:r>
          </w:p>
        </w:tc>
      </w:tr>
      <w:tr>
        <w:trPr/>
        <w:tc>
          <w:tcPr>
            <w:tcW w:w="57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Broker-dealer transaction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270"/>
              <w:jc w:val="right"/>
              <w:rPr>
                <w:color w:val="000000"/>
              </w:rPr>
            </w:pPr>
            <w:r>
              <w:rPr>
                <w:color w:val="000000"/>
              </w:rPr>
              <w:t>—</w:t>
            </w:r>
            <w:r>
              <w:rPr>
                <w:rFonts w:ascii="Helvetica;sans-serif" w:hAnsi="Helvetica;sans-serif"/>
                <w:b w:val="false"/>
                <w:color w:val="000000"/>
                <w:sz w:val="20"/>
              </w:rPr>
              <w:t>%</w:t>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 data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(14)%</w:t>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w:t>
            </w:r>
          </w:p>
        </w:tc>
      </w:tr>
      <w:tr>
        <w:trPr/>
        <w:tc>
          <w:tcPr>
            <w:tcW w:w="577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28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61" w:type="dxa"/>
            <w:gridSpan w:val="3"/>
            <w:tcBorders/>
            <w:shd w:fill="auto" w:val="clear"/>
            <w:vAlign w:val="center"/>
          </w:tcPr>
          <w:p>
            <w:pPr>
              <w:pStyle w:val="TableContents"/>
              <w:spacing w:before="0" w:after="283"/>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w:t>
            </w:r>
          </w:p>
        </w:tc>
      </w:tr>
      <w:tr>
        <w:trPr/>
        <w:tc>
          <w:tcPr>
            <w:tcW w:w="577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r>
      <w:tr>
        <w:trPr/>
        <w:tc>
          <w:tcPr>
            <w:tcW w:w="577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4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r>
    </w:tbl>
    <w:p>
      <w:pPr>
        <w:pStyle w:val="TextBody"/>
        <w:spacing w:lineRule="auto" w:line="288" w:before="0" w:after="20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Brokerage and transaction costs increased by $5 million primarily due to increases in other brokerage and transaction costs of $4 million, mainly driven by expenses associated with certain new products and features launched during the fourth quarter of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Technology and Development</w:t>
      </w:r>
    </w:p>
    <w:tbl>
      <w:tblPr>
        <w:tblW w:w="10205" w:type="dxa"/>
        <w:jc w:val="left"/>
        <w:tblInd w:w="0" w:type="dxa"/>
        <w:tblCellMar>
          <w:top w:w="28" w:type="dxa"/>
          <w:left w:w="28" w:type="dxa"/>
          <w:bottom w:w="28" w:type="dxa"/>
          <w:right w:w="28" w:type="dxa"/>
        </w:tblCellMar>
      </w:tblPr>
      <w:tblGrid>
        <w:gridCol w:w="2066"/>
        <w:gridCol w:w="1812"/>
        <w:gridCol w:w="1832"/>
        <w:gridCol w:w="109"/>
        <w:gridCol w:w="109"/>
        <w:gridCol w:w="109"/>
        <w:gridCol w:w="109"/>
        <w:gridCol w:w="290"/>
        <w:gridCol w:w="290"/>
        <w:gridCol w:w="567"/>
        <w:gridCol w:w="293"/>
        <w:gridCol w:w="300"/>
        <w:gridCol w:w="109"/>
        <w:gridCol w:w="109"/>
        <w:gridCol w:w="109"/>
        <w:gridCol w:w="229"/>
        <w:gridCol w:w="209"/>
        <w:gridCol w:w="212"/>
        <w:gridCol w:w="109"/>
        <w:gridCol w:w="109"/>
        <w:gridCol w:w="109"/>
        <w:gridCol w:w="218"/>
        <w:gridCol w:w="217"/>
        <w:gridCol w:w="580"/>
      </w:tblGrid>
      <w:tr>
        <w:trPr/>
        <w:tc>
          <w:tcPr>
            <w:tcW w:w="2066" w:type="dxa"/>
            <w:tcBorders/>
            <w:shd w:fill="auto" w:val="clear"/>
            <w:vAlign w:val="center"/>
          </w:tcPr>
          <w:p>
            <w:pPr>
              <w:pStyle w:val="TableContents"/>
              <w:spacing w:before="0" w:after="283"/>
              <w:rPr>
                <w:sz w:val="4"/>
                <w:szCs w:val="4"/>
              </w:rPr>
            </w:pPr>
            <w:r>
              <w:rPr>
                <w:sz w:val="4"/>
                <w:szCs w:val="4"/>
              </w:rPr>
            </w:r>
          </w:p>
        </w:tc>
        <w:tc>
          <w:tcPr>
            <w:tcW w:w="1812"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580" w:type="dxa"/>
            <w:tcBorders/>
            <w:shd w:fill="auto" w:val="clear"/>
            <w:vAlign w:val="center"/>
          </w:tcPr>
          <w:p>
            <w:pPr>
              <w:pStyle w:val="TableContents"/>
              <w:spacing w:before="0" w:after="283"/>
              <w:rPr>
                <w:sz w:val="4"/>
                <w:szCs w:val="4"/>
              </w:rPr>
            </w:pPr>
            <w:r>
              <w:rPr>
                <w:sz w:val="4"/>
                <w:szCs w:val="4"/>
              </w:rPr>
            </w:r>
          </w:p>
        </w:tc>
      </w:tr>
      <w:tr>
        <w:trPr/>
        <w:tc>
          <w:tcPr>
            <w:tcW w:w="571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0"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6"/>
            <w:tcBorders/>
            <w:shd w:fill="auto" w:val="clear"/>
          </w:tcPr>
          <w:p>
            <w:pPr>
              <w:pStyle w:val="TableContents"/>
              <w:spacing w:before="0" w:after="283"/>
              <w:rPr>
                <w:sz w:val="4"/>
                <w:szCs w:val="4"/>
              </w:rPr>
            </w:pPr>
            <w:r>
              <w:rPr>
                <w:sz w:val="4"/>
                <w:szCs w:val="4"/>
              </w:rPr>
            </w:r>
          </w:p>
        </w:tc>
      </w:tr>
      <w:tr>
        <w:trPr/>
        <w:tc>
          <w:tcPr>
            <w:tcW w:w="571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5"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w:t>
            </w:r>
          </w:p>
        </w:tc>
        <w:tc>
          <w:tcPr>
            <w:tcW w:w="5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Cloud infrastructure services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580" w:type="dxa"/>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Software and tools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38 </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11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58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56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5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200"/>
        <w:ind w:left="0" w:right="0" w:firstLine="360"/>
        <w:jc w:val="both"/>
        <w:rPr/>
      </w:pPr>
      <w:r>
        <w:rPr>
          <w:rFonts w:ascii="Helvetica;sans-serif" w:hAnsi="Helvetica;sans-serif"/>
          <w:b w:val="false"/>
          <w:color w:val="000000"/>
          <w:sz w:val="20"/>
        </w:rPr>
        <w:t>Technology and development costs decreased by $69 million primarily due to decreases in SBC expense</w:t>
      </w:r>
      <w:r>
        <w:rPr>
          <w:color w:val="000000"/>
          <w:highlight w:val="white"/>
        </w:rPr>
        <w:t xml:space="preserve"> </w:t>
      </w:r>
      <w:r>
        <w:rPr>
          <w:rFonts w:ascii="Helvetica;sans-serif" w:hAnsi="Helvetica;sans-serif"/>
          <w:b w:val="false"/>
          <w:color w:val="000000"/>
          <w:sz w:val="20"/>
          <w:highlight w:val="white"/>
        </w:rPr>
        <w:t xml:space="preserve">of </w:t>
      </w:r>
      <w:r>
        <w:rPr>
          <w:rFonts w:ascii="Helvetica;sans-serif" w:hAnsi="Helvetica;sans-serif"/>
          <w:b w:val="false"/>
          <w:color w:val="000000"/>
          <w:sz w:val="20"/>
        </w:rPr>
        <w:t xml:space="preserve">$28 million and other employee compensation, benefits, and overhead of $25 million, driven by declined average headcount as part of our efforts to improve efficiency and operating costs. Additionally, we experienced decreases in cloud infrastructure services of $24 million primarily due to cost optimization efforts focusing on improvements in utilization of cloud infrastructure. These decreases were offset by an $8 million increase in software and tools primarily driven by amortization of internally developed software and other software services utilized in delivering our products.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Operations</w:t>
      </w:r>
    </w:p>
    <w:tbl>
      <w:tblPr>
        <w:tblW w:w="10122" w:type="dxa"/>
        <w:jc w:val="left"/>
        <w:tblInd w:w="0" w:type="dxa"/>
        <w:tblCellMar>
          <w:top w:w="28" w:type="dxa"/>
          <w:left w:w="28" w:type="dxa"/>
          <w:bottom w:w="28" w:type="dxa"/>
          <w:right w:w="28" w:type="dxa"/>
        </w:tblCellMar>
      </w:tblPr>
      <w:tblGrid>
        <w:gridCol w:w="2089"/>
        <w:gridCol w:w="1832"/>
        <w:gridCol w:w="1853"/>
        <w:gridCol w:w="109"/>
        <w:gridCol w:w="109"/>
        <w:gridCol w:w="109"/>
        <w:gridCol w:w="109"/>
        <w:gridCol w:w="293"/>
        <w:gridCol w:w="293"/>
        <w:gridCol w:w="572"/>
        <w:gridCol w:w="293"/>
        <w:gridCol w:w="303"/>
        <w:gridCol w:w="109"/>
        <w:gridCol w:w="109"/>
        <w:gridCol w:w="109"/>
        <w:gridCol w:w="229"/>
        <w:gridCol w:w="157"/>
        <w:gridCol w:w="159"/>
        <w:gridCol w:w="109"/>
        <w:gridCol w:w="109"/>
        <w:gridCol w:w="109"/>
        <w:gridCol w:w="280"/>
        <w:gridCol w:w="280"/>
        <w:gridCol w:w="399"/>
      </w:tblGrid>
      <w:tr>
        <w:trPr/>
        <w:tc>
          <w:tcPr>
            <w:tcW w:w="2089" w:type="dxa"/>
            <w:tcBorders/>
            <w:shd w:fill="auto" w:val="clear"/>
            <w:vAlign w:val="center"/>
          </w:tcPr>
          <w:p>
            <w:pPr>
              <w:pStyle w:val="TableContents"/>
              <w:spacing w:before="0" w:after="283"/>
              <w:rPr>
                <w:sz w:val="4"/>
                <w:szCs w:val="4"/>
              </w:rPr>
            </w:pPr>
            <w:r>
              <w:rPr>
                <w:sz w:val="4"/>
                <w:szCs w:val="4"/>
              </w:rPr>
            </w:r>
          </w:p>
        </w:tc>
        <w:tc>
          <w:tcPr>
            <w:tcW w:w="1832" w:type="dxa"/>
            <w:tcBorders/>
            <w:shd w:fill="auto" w:val="clear"/>
            <w:vAlign w:val="center"/>
          </w:tcPr>
          <w:p>
            <w:pPr>
              <w:pStyle w:val="TableContents"/>
              <w:spacing w:before="0" w:after="283"/>
              <w:rPr>
                <w:sz w:val="4"/>
                <w:szCs w:val="4"/>
              </w:rPr>
            </w:pPr>
            <w:r>
              <w:rPr>
                <w:sz w:val="4"/>
                <w:szCs w:val="4"/>
              </w:rPr>
            </w:r>
          </w:p>
        </w:tc>
        <w:tc>
          <w:tcPr>
            <w:tcW w:w="18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72"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6" w:type="dxa"/>
            <w:gridSpan w:val="6"/>
            <w:tcBorders/>
            <w:shd w:fill="auto" w:val="clear"/>
          </w:tcPr>
          <w:p>
            <w:pPr>
              <w:pStyle w:val="TableContents"/>
              <w:spacing w:before="0" w:after="283"/>
              <w:rPr>
                <w:sz w:val="4"/>
                <w:szCs w:val="4"/>
              </w:rPr>
            </w:pPr>
            <w:r>
              <w:rPr>
                <w:sz w:val="4"/>
                <w:szCs w:val="4"/>
              </w:rPr>
            </w:r>
          </w:p>
        </w:tc>
      </w:tr>
      <w:tr>
        <w:trPr/>
        <w:tc>
          <w:tcPr>
            <w:tcW w:w="5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auto" w:val="clear"/>
            <w:tcMar>
              <w:top w:w="0" w:type="dxa"/>
              <w:left w:w="0" w:type="dxa"/>
              <w:bottom w:w="0" w:type="dxa"/>
              <w:right w:w="0" w:type="dxa"/>
            </w:tcMar>
            <w:vAlign w:val="center"/>
          </w:tcPr>
          <w:p>
            <w:pPr>
              <w:pStyle w:val="TableContents"/>
              <w:spacing w:lineRule="auto" w:line="240" w:before="0" w:after="283"/>
              <w:ind w:left="0" w:right="0" w:hanging="270"/>
              <w:jc w:val="center"/>
              <w:rPr>
                <w:rFonts w:ascii="Helvetica;sans-serif" w:hAnsi="Helvetica;sans-serif"/>
                <w:b/>
                <w:color w:val="000000"/>
                <w:sz w:val="16"/>
              </w:rPr>
            </w:pPr>
            <w:r>
              <w:rPr>
                <w:rFonts w:ascii="Helvetica;sans-serif" w:hAnsi="Helvetica;sans-serif"/>
                <w:b/>
                <w:color w:val="000000"/>
                <w:sz w:val="16"/>
              </w:rPr>
              <w:t>% Change</w:t>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7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w:t>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credit losses and fraud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Helvetica;sans-serif" w:hAnsi="Helvetica;sans-serif"/>
                <w:b w:val="false"/>
                <w:color w:val="000000"/>
                <w:sz w:val="20"/>
              </w:rPr>
              <w:t>%</w:t>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Customer experience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w:t>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w:t>
            </w:r>
          </w:p>
        </w:tc>
      </w:tr>
      <w:tr>
        <w:trPr/>
        <w:tc>
          <w:tcPr>
            <w:tcW w:w="577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9" w:type="dxa"/>
            <w:gridSpan w:val="3"/>
            <w:tcBorders/>
            <w:shd w:fill="auto" w:val="clear"/>
            <w:vAlign w:val="center"/>
          </w:tcPr>
          <w:p>
            <w:pPr>
              <w:pStyle w:val="TableContents"/>
              <w:spacing w:before="0" w:after="283"/>
              <w:rPr>
                <w:sz w:val="4"/>
                <w:szCs w:val="4"/>
              </w:rPr>
            </w:pPr>
            <w:r>
              <w:rPr>
                <w:sz w:val="4"/>
                <w:szCs w:val="4"/>
              </w:rPr>
            </w:r>
          </w:p>
        </w:tc>
      </w:tr>
      <w:tr>
        <w:trPr/>
        <w:tc>
          <w:tcPr>
            <w:tcW w:w="57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Other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r>
              <w:rPr>
                <w:rFonts w:ascii="Helvetica;sans-serif" w:hAnsi="Helvetica;sans-serif"/>
                <w:b w:val="false"/>
                <w:color w:val="000000"/>
                <w:sz w:val="20"/>
              </w:rPr>
              <w:t>%</w:t>
            </w:r>
          </w:p>
        </w:tc>
      </w:tr>
      <w:tr>
        <w:trPr/>
        <w:tc>
          <w:tcPr>
            <w:tcW w:w="57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57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9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1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w:t>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Operations costs decreased by $49 million primarily due to decreases in expenses associated with customer experience of $25 million as we consolidated our third-party customer support centers due to overall decreases in user transactions. In addition, other employee compensation, benefits, and overhead decreased $22 million, driven by declined average headcount as part of our efforts to improve efficiency and operating costs. </w:t>
      </w:r>
    </w:p>
    <w:p>
      <w:pPr>
        <w:pStyle w:val="TextBody"/>
        <w:spacing w:before="0" w:after="20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Marketing</w:t>
      </w:r>
    </w:p>
    <w:tbl>
      <w:tblPr>
        <w:tblW w:w="10205" w:type="dxa"/>
        <w:jc w:val="left"/>
        <w:tblInd w:w="0" w:type="dxa"/>
        <w:tblCellMar>
          <w:top w:w="28" w:type="dxa"/>
          <w:left w:w="28" w:type="dxa"/>
          <w:bottom w:w="28" w:type="dxa"/>
          <w:right w:w="28" w:type="dxa"/>
        </w:tblCellMar>
      </w:tblPr>
      <w:tblGrid>
        <w:gridCol w:w="2070"/>
        <w:gridCol w:w="1810"/>
        <w:gridCol w:w="1839"/>
        <w:gridCol w:w="109"/>
        <w:gridCol w:w="109"/>
        <w:gridCol w:w="109"/>
        <w:gridCol w:w="109"/>
        <w:gridCol w:w="234"/>
        <w:gridCol w:w="234"/>
        <w:gridCol w:w="453"/>
        <w:gridCol w:w="584"/>
        <w:gridCol w:w="234"/>
        <w:gridCol w:w="109"/>
        <w:gridCol w:w="109"/>
        <w:gridCol w:w="109"/>
        <w:gridCol w:w="211"/>
        <w:gridCol w:w="271"/>
        <w:gridCol w:w="109"/>
        <w:gridCol w:w="109"/>
        <w:gridCol w:w="109"/>
        <w:gridCol w:w="109"/>
        <w:gridCol w:w="240"/>
        <w:gridCol w:w="241"/>
        <w:gridCol w:w="585"/>
      </w:tblGrid>
      <w:tr>
        <w:trPr/>
        <w:tc>
          <w:tcPr>
            <w:tcW w:w="2070" w:type="dxa"/>
            <w:tcBorders/>
            <w:shd w:fill="auto" w:val="clear"/>
            <w:vAlign w:val="center"/>
          </w:tcPr>
          <w:p>
            <w:pPr>
              <w:pStyle w:val="TableContents"/>
              <w:spacing w:before="0" w:after="283"/>
              <w:rPr>
                <w:sz w:val="4"/>
                <w:szCs w:val="4"/>
              </w:rPr>
            </w:pPr>
            <w:r>
              <w:rPr>
                <w:sz w:val="4"/>
                <w:szCs w:val="4"/>
              </w:rPr>
            </w:r>
          </w:p>
        </w:tc>
        <w:tc>
          <w:tcPr>
            <w:tcW w:w="1810" w:type="dxa"/>
            <w:tcBorders/>
            <w:shd w:fill="auto" w:val="clear"/>
            <w:vAlign w:val="center"/>
          </w:tcPr>
          <w:p>
            <w:pPr>
              <w:pStyle w:val="TableContents"/>
              <w:spacing w:before="0" w:after="283"/>
              <w:rPr>
                <w:sz w:val="4"/>
                <w:szCs w:val="4"/>
              </w:rPr>
            </w:pPr>
            <w:r>
              <w:rPr>
                <w:sz w:val="4"/>
                <w:szCs w:val="4"/>
              </w:rPr>
            </w:r>
          </w:p>
        </w:tc>
        <w:tc>
          <w:tcPr>
            <w:tcW w:w="18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58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r>
      <w:tr>
        <w:trPr/>
        <w:tc>
          <w:tcPr>
            <w:tcW w:w="57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3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3" w:type="dxa"/>
            <w:gridSpan w:val="6"/>
            <w:tcBorders/>
            <w:shd w:fill="auto" w:val="clear"/>
          </w:tcPr>
          <w:p>
            <w:pPr>
              <w:pStyle w:val="TableContents"/>
              <w:spacing w:before="0" w:after="283"/>
              <w:rPr>
                <w:sz w:val="4"/>
                <w:szCs w:val="4"/>
              </w:rPr>
            </w:pPr>
            <w:r>
              <w:rPr>
                <w:sz w:val="4"/>
                <w:szCs w:val="4"/>
              </w:rPr>
            </w:r>
          </w:p>
        </w:tc>
      </w:tr>
      <w:tr>
        <w:trPr/>
        <w:tc>
          <w:tcPr>
            <w:tcW w:w="57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5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Digital marketing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17 </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Brand marketing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500 </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27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6" w:type="dxa"/>
            <w:gridSpan w:val="3"/>
            <w:tcBorders/>
            <w:shd w:fill="auto" w:val="clear"/>
            <w:vAlign w:val="center"/>
          </w:tcPr>
          <w:p>
            <w:pPr>
              <w:pStyle w:val="TableContents"/>
              <w:spacing w:before="0" w:after="283"/>
              <w:rPr>
                <w:sz w:val="4"/>
                <w:szCs w:val="4"/>
              </w:rPr>
            </w:pPr>
            <w:r>
              <w:rPr>
                <w:sz w:val="4"/>
                <w:szCs w:val="4"/>
              </w:rPr>
            </w:r>
          </w:p>
        </w:tc>
      </w:tr>
      <w:tr>
        <w:trPr/>
        <w:tc>
          <w:tcPr>
            <w:tcW w:w="5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 incentives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23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5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Total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234" w:type="dxa"/>
            <w:tcBorders/>
            <w:shd w:fill="auto" w:val="clear"/>
            <w:vAlign w:val="center"/>
          </w:tcPr>
          <w:p>
            <w:pPr>
              <w:pStyle w:val="TableContents"/>
              <w:spacing w:before="0" w:after="283"/>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5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200"/>
        <w:ind w:left="0" w:right="0" w:firstLine="360"/>
        <w:jc w:val="both"/>
        <w:rPr/>
      </w:pPr>
      <w:r>
        <w:rPr>
          <w:rFonts w:ascii="Helvetica;sans-serif" w:hAnsi="Helvetica;sans-serif"/>
          <w:b w:val="false"/>
          <w:color w:val="000000"/>
          <w:sz w:val="20"/>
          <w:highlight w:val="white"/>
        </w:rPr>
        <w:t>Marketing costs decreased by $6 million primarily due to decreases in SBC expense and other em</w:t>
      </w:r>
      <w:r>
        <w:rPr>
          <w:rFonts w:ascii="Helvetica;sans-serif" w:hAnsi="Helvetica;sans-serif"/>
          <w:b w:val="false"/>
          <w:color w:val="000000"/>
          <w:sz w:val="20"/>
        </w:rPr>
        <w:t xml:space="preserve">ployee compensation, benefits, and overhead of </w:t>
      </w:r>
      <w:r>
        <w:rPr>
          <w:rFonts w:ascii="Helvetica;sans-serif" w:hAnsi="Helvetica;sans-serif"/>
          <w:b w:val="false"/>
          <w:color w:val="000000"/>
          <w:sz w:val="20"/>
          <w:highlight w:val="white"/>
        </w:rPr>
        <w:t>$4 million each</w:t>
      </w:r>
      <w:r>
        <w:rPr>
          <w:rFonts w:ascii="Helvetica;sans-serif" w:hAnsi="Helvetica;sans-serif"/>
          <w:b w:val="false"/>
          <w:color w:val="000000"/>
          <w:sz w:val="20"/>
        </w:rPr>
        <w:t xml:space="preserve">, driven by declined average headcount as part of our efforts to improve efficiency and operating costs. In addition, </w:t>
      </w:r>
      <w:r>
        <w:rPr>
          <w:rFonts w:ascii="Helvetica;sans-serif" w:hAnsi="Helvetica;sans-serif"/>
          <w:b w:val="false"/>
          <w:color w:val="000000"/>
          <w:sz w:val="20"/>
          <w:highlight w:val="white"/>
        </w:rPr>
        <w:t xml:space="preserve">marketing incentives decreased </w:t>
      </w:r>
      <w:r>
        <w:rPr>
          <w:rFonts w:ascii="Helvetica;sans-serif" w:hAnsi="Helvetica;sans-serif"/>
          <w:b w:val="false"/>
          <w:color w:val="000000"/>
          <w:sz w:val="20"/>
        </w:rPr>
        <w:t xml:space="preserve">$3 million substantially all of which was due to lower costs associated with the Robinhood Referral Program, included in marketing incentives, which was in line with the slow growth in our user base in recent periods. These decreases were partially offset by an increase in brand marketing of $5 million, primarily due to higher expenses spent on brand advertising campaigns.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General and Administrative</w:t>
      </w:r>
    </w:p>
    <w:tbl>
      <w:tblPr>
        <w:tblW w:w="10205" w:type="dxa"/>
        <w:jc w:val="left"/>
        <w:tblInd w:w="0" w:type="dxa"/>
        <w:tblCellMar>
          <w:top w:w="28" w:type="dxa"/>
          <w:left w:w="28" w:type="dxa"/>
          <w:bottom w:w="28" w:type="dxa"/>
          <w:right w:w="28" w:type="dxa"/>
        </w:tblCellMar>
      </w:tblPr>
      <w:tblGrid>
        <w:gridCol w:w="2010"/>
        <w:gridCol w:w="1752"/>
        <w:gridCol w:w="1775"/>
        <w:gridCol w:w="109"/>
        <w:gridCol w:w="109"/>
        <w:gridCol w:w="109"/>
        <w:gridCol w:w="109"/>
        <w:gridCol w:w="182"/>
        <w:gridCol w:w="182"/>
        <w:gridCol w:w="354"/>
        <w:gridCol w:w="809"/>
        <w:gridCol w:w="182"/>
        <w:gridCol w:w="109"/>
        <w:gridCol w:w="109"/>
        <w:gridCol w:w="109"/>
        <w:gridCol w:w="211"/>
        <w:gridCol w:w="481"/>
        <w:gridCol w:w="109"/>
        <w:gridCol w:w="109"/>
        <w:gridCol w:w="109"/>
        <w:gridCol w:w="109"/>
        <w:gridCol w:w="240"/>
        <w:gridCol w:w="241"/>
        <w:gridCol w:w="587"/>
      </w:tblGrid>
      <w:tr>
        <w:trPr/>
        <w:tc>
          <w:tcPr>
            <w:tcW w:w="2010" w:type="dxa"/>
            <w:tcBorders/>
            <w:shd w:fill="auto" w:val="clear"/>
            <w:vAlign w:val="center"/>
          </w:tcPr>
          <w:p>
            <w:pPr>
              <w:pStyle w:val="TableContents"/>
              <w:spacing w:before="0" w:after="283"/>
              <w:rPr>
                <w:sz w:val="4"/>
                <w:szCs w:val="4"/>
              </w:rPr>
            </w:pPr>
            <w:r>
              <w:rPr>
                <w:sz w:val="4"/>
                <w:szCs w:val="4"/>
              </w:rPr>
            </w:r>
          </w:p>
        </w:tc>
        <w:tc>
          <w:tcPr>
            <w:tcW w:w="1752" w:type="dxa"/>
            <w:tcBorders/>
            <w:shd w:fill="auto" w:val="clear"/>
            <w:vAlign w:val="center"/>
          </w:tcPr>
          <w:p>
            <w:pPr>
              <w:pStyle w:val="TableContents"/>
              <w:spacing w:before="0" w:after="283"/>
              <w:rPr>
                <w:sz w:val="4"/>
                <w:szCs w:val="4"/>
              </w:rPr>
            </w:pPr>
            <w:r>
              <w:rPr>
                <w:sz w:val="4"/>
                <w:szCs w:val="4"/>
              </w:rPr>
            </w:r>
          </w:p>
        </w:tc>
        <w:tc>
          <w:tcPr>
            <w:tcW w:w="177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8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87" w:type="dxa"/>
            <w:tcBorders/>
            <w:shd w:fill="auto" w:val="clear"/>
            <w:vAlign w:val="center"/>
          </w:tcPr>
          <w:p>
            <w:pPr>
              <w:pStyle w:val="TableContents"/>
              <w:spacing w:before="0" w:after="283"/>
              <w:rPr>
                <w:sz w:val="4"/>
                <w:szCs w:val="4"/>
              </w:rPr>
            </w:pPr>
            <w:r>
              <w:rPr>
                <w:sz w:val="4"/>
                <w:szCs w:val="4"/>
              </w:rPr>
            </w:r>
          </w:p>
        </w:tc>
      </w:tr>
      <w:tr>
        <w:trPr/>
        <w:tc>
          <w:tcPr>
            <w:tcW w:w="55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0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5" w:type="dxa"/>
            <w:gridSpan w:val="6"/>
            <w:tcBorders/>
            <w:shd w:fill="auto" w:val="clear"/>
          </w:tcPr>
          <w:p>
            <w:pPr>
              <w:pStyle w:val="TableContents"/>
              <w:spacing w:before="0" w:after="283"/>
              <w:rPr>
                <w:sz w:val="4"/>
                <w:szCs w:val="4"/>
              </w:rPr>
            </w:pPr>
            <w:r>
              <w:rPr>
                <w:sz w:val="4"/>
                <w:szCs w:val="4"/>
              </w:rPr>
            </w:r>
          </w:p>
        </w:tc>
      </w:tr>
      <w:tr>
        <w:trPr/>
        <w:tc>
          <w:tcPr>
            <w:tcW w:w="553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r>
      <w:tr>
        <w:trPr/>
        <w:tc>
          <w:tcPr>
            <w:tcW w:w="5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related to 2021 Founders Award Cancellation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NM</w:t>
            </w:r>
          </w:p>
        </w:tc>
      </w:tr>
      <w:tr>
        <w:trPr/>
        <w:tc>
          <w:tcPr>
            <w:tcW w:w="5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SBC excluding 2021 Founders Award Cancellation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Employee compensation, benefits, and overhead, excluding SBC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ind w:left="0" w:right="0" w:hanging="27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expenses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Settlements and penalties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ind w:left="0" w:right="0" w:hanging="270"/>
              <w:rPr>
                <w:sz w:val="4"/>
                <w:szCs w:val="4"/>
              </w:rPr>
            </w:pPr>
            <w:r>
              <w:rPr>
                <w:sz w:val="4"/>
                <w:szCs w:val="4"/>
              </w:rPr>
            </w:r>
          </w:p>
        </w:tc>
      </w:tr>
      <w:tr>
        <w:trPr/>
        <w:tc>
          <w:tcPr>
            <w:tcW w:w="5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professional fees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8" w:type="dxa"/>
            <w:gridSpan w:val="3"/>
            <w:tcBorders/>
            <w:shd w:fill="auto" w:val="clear"/>
            <w:vAlign w:val="center"/>
          </w:tcPr>
          <w:p>
            <w:pPr>
              <w:pStyle w:val="TableContents"/>
              <w:spacing w:before="0" w:after="283"/>
              <w:rPr>
                <w:sz w:val="4"/>
                <w:szCs w:val="4"/>
              </w:rPr>
            </w:pPr>
            <w:r>
              <w:rPr>
                <w:sz w:val="4"/>
                <w:szCs w:val="4"/>
              </w:rPr>
            </w:r>
          </w:p>
        </w:tc>
      </w:tr>
      <w:tr>
        <w:trPr/>
        <w:tc>
          <w:tcPr>
            <w:tcW w:w="553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58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553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09"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141 </w:t>
            </w:r>
          </w:p>
        </w:tc>
        <w:tc>
          <w:tcPr>
            <w:tcW w:w="58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p>
      <w:pPr>
        <w:pStyle w:val="TextBody"/>
        <w:spacing w:lineRule="auto" w:line="288" w:before="0" w:after="200"/>
        <w:ind w:left="0" w:right="0" w:firstLine="360"/>
        <w:jc w:val="both"/>
        <w:rPr/>
      </w:pPr>
      <w:r>
        <w:rPr>
          <w:rFonts w:ascii="Helvetica;sans-serif" w:hAnsi="Helvetica;sans-serif"/>
          <w:b w:val="false"/>
          <w:color w:val="000000"/>
          <w:sz w:val="20"/>
          <w:highlight w:val="white"/>
        </w:rPr>
        <w:t xml:space="preserve">General and administrative costs increased by $379 million </w:t>
      </w:r>
      <w:r>
        <w:rPr>
          <w:rFonts w:ascii="Helvetica;sans-serif" w:hAnsi="Helvetica;sans-serif"/>
          <w:b w:val="false"/>
          <w:color w:val="000000"/>
          <w:sz w:val="20"/>
        </w:rPr>
        <w:t xml:space="preserve">primarily due to </w:t>
      </w:r>
      <w:r>
        <w:rPr>
          <w:rFonts w:ascii="Helvetica;sans-serif" w:hAnsi="Helvetica;sans-serif"/>
          <w:b w:val="false"/>
          <w:color w:val="000000"/>
          <w:sz w:val="20"/>
          <w:highlight w:val="white"/>
        </w:rPr>
        <w:t xml:space="preserve">the 2021 Founders Award Cancellation of </w:t>
      </w:r>
      <w:r>
        <w:rPr>
          <w:rFonts w:ascii="Helvetica;sans-serif" w:hAnsi="Helvetica;sans-serif"/>
          <w:b w:val="false"/>
          <w:color w:val="000000"/>
          <w:sz w:val="20"/>
        </w:rPr>
        <w:t xml:space="preserve">$485 million. The increase was partially offset by a decrease in other SBC of </w:t>
      </w:r>
      <w:r>
        <w:rPr>
          <w:rFonts w:ascii="Helvetica;sans-serif" w:hAnsi="Helvetica;sans-serif"/>
          <w:b w:val="false"/>
          <w:color w:val="000000"/>
          <w:sz w:val="20"/>
          <w:highlight w:val="white"/>
        </w:rPr>
        <w:t xml:space="preserve">$74 million and </w:t>
      </w:r>
      <w:r>
        <w:rPr>
          <w:rFonts w:ascii="Helvetica;sans-serif" w:hAnsi="Helvetica;sans-serif"/>
          <w:b w:val="false"/>
          <w:color w:val="000000"/>
          <w:sz w:val="20"/>
        </w:rPr>
        <w:t xml:space="preserve">other employee compensation, benefits, and overhead of </w:t>
      </w:r>
      <w:r>
        <w:rPr>
          <w:rFonts w:ascii="Helvetica;sans-serif" w:hAnsi="Helvetica;sans-serif"/>
          <w:b w:val="false"/>
          <w:color w:val="000000"/>
          <w:sz w:val="20"/>
          <w:highlight w:val="white"/>
        </w:rPr>
        <w:t xml:space="preserve">$10 million, </w:t>
      </w:r>
      <w:r>
        <w:rPr>
          <w:rFonts w:ascii="Helvetica;sans-serif" w:hAnsi="Helvetica;sans-serif"/>
          <w:b w:val="false"/>
          <w:color w:val="000000"/>
          <w:sz w:val="20"/>
        </w:rPr>
        <w:t xml:space="preserve">driven by declined average headcount as part of our efforts to improve efficiency and operating costs. Additionally, </w:t>
      </w:r>
      <w:r>
        <w:rPr>
          <w:rFonts w:ascii="Helvetica;sans-serif" w:hAnsi="Helvetica;sans-serif"/>
          <w:b w:val="false"/>
          <w:color w:val="000000"/>
          <w:sz w:val="20"/>
          <w:highlight w:val="white"/>
        </w:rPr>
        <w:t>other general and administrative expenses decreased by $14 million, primarily due to lower</w:t>
      </w:r>
      <w:r>
        <w:rPr>
          <w:color w:val="000000"/>
        </w:rPr>
        <w:t xml:space="preserve"> </w:t>
      </w:r>
      <w:r>
        <w:rPr>
          <w:rFonts w:ascii="Helvetica;sans-serif" w:hAnsi="Helvetica;sans-serif"/>
          <w:b w:val="false"/>
          <w:color w:val="000000"/>
          <w:sz w:val="20"/>
        </w:rPr>
        <w:t>business insurance expenses</w:t>
      </w:r>
      <w:r>
        <w:rPr>
          <w:rFonts w:ascii="Helvetica;sans-serif" w:hAnsi="Helvetica;sans-serif"/>
          <w:b w:val="false"/>
          <w:color w:val="000000"/>
          <w:sz w:val="20"/>
          <w:highlight w:val="white"/>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 xml:space="preserve">Provision for Income Taxes </w:t>
      </w:r>
    </w:p>
    <w:tbl>
      <w:tblPr>
        <w:tblW w:w="5902" w:type="dxa"/>
        <w:jc w:val="left"/>
        <w:tblInd w:w="0" w:type="dxa"/>
        <w:tblCellMar>
          <w:top w:w="28" w:type="dxa"/>
          <w:left w:w="28" w:type="dxa"/>
          <w:bottom w:w="28" w:type="dxa"/>
          <w:right w:w="28" w:type="dxa"/>
        </w:tblCellMar>
      </w:tblPr>
      <w:tblGrid>
        <w:gridCol w:w="885"/>
        <w:gridCol w:w="775"/>
        <w:gridCol w:w="785"/>
        <w:gridCol w:w="297"/>
        <w:gridCol w:w="382"/>
        <w:gridCol w:w="153"/>
        <w:gridCol w:w="153"/>
        <w:gridCol w:w="153"/>
        <w:gridCol w:w="153"/>
        <w:gridCol w:w="155"/>
        <w:gridCol w:w="155"/>
        <w:gridCol w:w="156"/>
        <w:gridCol w:w="109"/>
        <w:gridCol w:w="109"/>
        <w:gridCol w:w="109"/>
        <w:gridCol w:w="240"/>
        <w:gridCol w:w="241"/>
        <w:gridCol w:w="520"/>
        <w:gridCol w:w="109"/>
        <w:gridCol w:w="109"/>
        <w:gridCol w:w="154"/>
      </w:tblGrid>
      <w:tr>
        <w:trPr/>
        <w:tc>
          <w:tcPr>
            <w:tcW w:w="885"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5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4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83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45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 Change</w:t>
            </w:r>
          </w:p>
        </w:tc>
        <w:tc>
          <w:tcPr>
            <w:tcW w:w="372"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4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100 </w:t>
            </w:r>
          </w:p>
        </w:tc>
        <w:tc>
          <w:tcPr>
            <w:tcW w:w="52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Provision for income taxes increased by $1 million for the three months ended March 31, 2023, compared to the three months ended March 31, 2022, primarily due to the growth of the business, the </w:t>
      </w: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val="false"/>
          <w:color w:val="000000"/>
          <w:sz w:val="20"/>
        </w:rPr>
      </w:pPr>
      <w:r>
        <w:rPr>
          <w:rFonts w:ascii="Helvetica;sans-serif" w:hAnsi="Helvetica;sans-serif"/>
          <w:b w:val="false"/>
          <w:color w:val="000000"/>
          <w:sz w:val="20"/>
        </w:rPr>
        <w:t>non-deductible the 2021 Founders Award Cancellation, and the change in valuation allowance on our U.S. federal and state deferred tax assets offset by our current taxes payable.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Liquidity and Capital Resources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 xml:space="preserve">Sources and Uses of Funds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principal sources of liquidity are cash flows generated from operations, and our cash, cash equivalents, and liquid investments. Other sources of future funds may include potential borrowing capacity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the potential purchase of most or all of the remaining Robinhood shares purchased by Emergent Fidelity Technologies, and for general capital needs (including capital requirements imposed by regulators and SROs and cash deposit and collateral requirements under the rules of the Depository Trust Company (“DTC”), the National Securities Clearing Corporation (“NSCC”), and the Options Clearing Corporation (“OCC”)). Based on our current level of operations, we believe our primary sources of liquidity will be adequate to meet our current liquidity needs for the next 12 months.</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 xml:space="preserve">Liquid Assets </w:t>
      </w:r>
    </w:p>
    <w:p>
      <w:pPr>
        <w:pStyle w:val="TextBody"/>
        <w:spacing w:lineRule="auto" w:line="288" w:before="0" w:after="200"/>
        <w:ind w:left="0" w:right="0" w:firstLine="360"/>
        <w:jc w:val="both"/>
        <w:rPr/>
      </w:pPr>
      <w:r>
        <w:rPr>
          <w:rFonts w:ascii="Helvetica;sans-serif" w:hAnsi="Helvetica;sans-serif"/>
          <w:b w:val="false"/>
          <w:color w:val="000000"/>
          <w:sz w:val="20"/>
        </w:rPr>
        <w:t>Our cash and cash equivalents were $6.34 billion and $5.46 billion as of December 31, 2022 and March 31, 2023. Our liquid investment portfolio comprised of available-for-sale securities were $10 million and $1 million as of December 31, 2022 and March 31, 2023. Held-to-maturity investments that are maturing in one year can also be a source of liquidity, which were $290 million as of March 31, 2023. S</w:t>
      </w:r>
      <w:r>
        <w:rPr>
          <w:rFonts w:ascii="Helvetica;sans-serif" w:hAnsi="Helvetica;sans-serif"/>
          <w:b w:val="false"/>
          <w:color w:val="000000"/>
          <w:sz w:val="20"/>
          <w:highlight w:val="white"/>
        </w:rPr>
        <w:t>ee</w:t>
      </w:r>
      <w:r>
        <w:rPr>
          <w:color w:val="000000"/>
        </w:rPr>
        <w:t xml:space="preserve"> </w:t>
      </w:r>
      <w:r>
        <w:rPr>
          <w:rFonts w:ascii="Helvetica;sans-serif" w:hAnsi="Helvetica;sans-serif"/>
          <w:b w:val="false"/>
          <w:color w:val="000000"/>
          <w:sz w:val="20"/>
        </w:rPr>
        <w:t xml:space="preserve">Note 5 - Investments and Fair Value Measurement, to our unaudited condensed consolidated financial statements in this Quarterly Report for further information. </w:t>
      </w:r>
    </w:p>
    <w:p>
      <w:pPr>
        <w:pStyle w:val="TextBody"/>
        <w:spacing w:lineRule="auto" w:line="288" w:before="0" w:after="200"/>
        <w:rPr>
          <w:rFonts w:ascii="Helvetica;sans-serif" w:hAnsi="Helvetica;sans-serif"/>
          <w:b w:val="false"/>
          <w:i/>
          <w:color w:val="000000"/>
          <w:sz w:val="20"/>
        </w:rPr>
      </w:pPr>
      <w:r>
        <w:rPr>
          <w:rFonts w:ascii="Helvetica;sans-serif" w:hAnsi="Helvetica;sans-serif"/>
          <w:b w:val="false"/>
          <w:i/>
          <w:color w:val="000000"/>
          <w:sz w:val="20"/>
        </w:rPr>
        <w:t>Revolving Lines of Credit</w:t>
      </w:r>
    </w:p>
    <w:p>
      <w:pPr>
        <w:pStyle w:val="TextBody"/>
        <w:spacing w:lineRule="auto" w:line="288" w:before="0" w:after="200"/>
        <w:ind w:left="0" w:right="0" w:firstLine="360"/>
        <w:jc w:val="both"/>
        <w:rPr/>
      </w:pPr>
      <w:r>
        <w:rPr>
          <w:rFonts w:ascii="Helvetica;sans-serif" w:hAnsi="Helvetica;sans-serif"/>
          <w:b w:val="false"/>
          <w:color w:val="000000"/>
          <w:sz w:val="20"/>
        </w:rPr>
        <w:t xml:space="preserve">As of March 31, 2023, we had a total of $2.81 billion in committed revolving lines of credit. </w:t>
      </w:r>
      <w:r>
        <w:rPr>
          <w:rFonts w:ascii="Helvetica;sans-serif" w:hAnsi="Helvetica;sans-serif"/>
          <w:b w:val="false"/>
          <w:color w:val="000000"/>
          <w:sz w:val="20"/>
          <w:highlight w:val="white"/>
        </w:rPr>
        <w:t>See</w:t>
      </w:r>
      <w:r>
        <w:rPr>
          <w:color w:val="000000"/>
        </w:rPr>
        <w:t xml:space="preserve"> </w:t>
      </w:r>
      <w:r>
        <w:rPr>
          <w:rFonts w:ascii="Helvetica;sans-serif" w:hAnsi="Helvetica;sans-serif"/>
          <w:b w:val="false"/>
          <w:color w:val="000000"/>
          <w:sz w:val="20"/>
        </w:rPr>
        <w:t xml:space="preserve">Note 8 - Financing Activities and Off-Balance Sheet Risk, to our unaudited condensed consolidated financial statements in this Quarterly Report for further information.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Commitments</w:t>
      </w:r>
    </w:p>
    <w:p>
      <w:pPr>
        <w:pStyle w:val="TextBody"/>
        <w:spacing w:lineRule="auto" w:line="288" w:before="0" w:after="200"/>
        <w:ind w:left="0" w:right="0" w:firstLine="360"/>
        <w:rPr>
          <w:rFonts w:ascii="Helvetica;sans-serif" w:hAnsi="Helvetica;sans-serif"/>
          <w:b w:val="false"/>
          <w:color w:val="000000"/>
          <w:sz w:val="20"/>
        </w:rPr>
      </w:pPr>
      <w:r>
        <w:rPr>
          <w:rFonts w:ascii="Helvetica;sans-serif" w:hAnsi="Helvetica;sans-serif"/>
          <w:b w:val="false"/>
          <w:color w:val="000000"/>
          <w:sz w:val="20"/>
        </w:rPr>
        <w:t>The following table summarizes our short- and long-term material cash requirements as of March 31, 2023:</w:t>
      </w:r>
    </w:p>
    <w:tbl>
      <w:tblPr>
        <w:tblW w:w="9309" w:type="dxa"/>
        <w:jc w:val="left"/>
        <w:tblInd w:w="0" w:type="dxa"/>
        <w:tblCellMar>
          <w:top w:w="28" w:type="dxa"/>
          <w:left w:w="28" w:type="dxa"/>
          <w:bottom w:w="28" w:type="dxa"/>
          <w:right w:w="28" w:type="dxa"/>
        </w:tblCellMar>
      </w:tblPr>
      <w:tblGrid>
        <w:gridCol w:w="989"/>
        <w:gridCol w:w="865"/>
        <w:gridCol w:w="876"/>
        <w:gridCol w:w="211"/>
        <w:gridCol w:w="646"/>
        <w:gridCol w:w="109"/>
        <w:gridCol w:w="109"/>
        <w:gridCol w:w="109"/>
        <w:gridCol w:w="109"/>
        <w:gridCol w:w="414"/>
        <w:gridCol w:w="946"/>
        <w:gridCol w:w="214"/>
        <w:gridCol w:w="109"/>
        <w:gridCol w:w="109"/>
        <w:gridCol w:w="109"/>
        <w:gridCol w:w="233"/>
        <w:gridCol w:w="532"/>
        <w:gridCol w:w="120"/>
        <w:gridCol w:w="109"/>
        <w:gridCol w:w="109"/>
        <w:gridCol w:w="109"/>
        <w:gridCol w:w="233"/>
        <w:gridCol w:w="532"/>
        <w:gridCol w:w="120"/>
        <w:gridCol w:w="109"/>
        <w:gridCol w:w="109"/>
        <w:gridCol w:w="109"/>
        <w:gridCol w:w="273"/>
        <w:gridCol w:w="487"/>
        <w:gridCol w:w="201"/>
      </w:tblGrid>
      <w:tr>
        <w:trPr/>
        <w:tc>
          <w:tcPr>
            <w:tcW w:w="989" w:type="dxa"/>
            <w:tcBorders/>
            <w:shd w:fill="auto" w:val="clear"/>
            <w:vAlign w:val="center"/>
          </w:tcPr>
          <w:p>
            <w:pPr>
              <w:pStyle w:val="TableContents"/>
              <w:spacing w:before="0" w:after="283"/>
              <w:rPr>
                <w:sz w:val="4"/>
                <w:szCs w:val="4"/>
              </w:rPr>
            </w:pPr>
            <w:r>
              <w:rPr>
                <w:sz w:val="4"/>
                <w:szCs w:val="4"/>
              </w:rPr>
            </w:r>
          </w:p>
        </w:tc>
        <w:tc>
          <w:tcPr>
            <w:tcW w:w="865"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4" w:type="dxa"/>
            <w:tcBorders/>
            <w:shd w:fill="auto" w:val="clear"/>
            <w:vAlign w:val="center"/>
          </w:tcPr>
          <w:p>
            <w:pPr>
              <w:pStyle w:val="TableContents"/>
              <w:spacing w:before="0" w:after="283"/>
              <w:rPr>
                <w:sz w:val="4"/>
                <w:szCs w:val="4"/>
              </w:rPr>
            </w:pPr>
            <w:r>
              <w:rPr>
                <w:sz w:val="4"/>
                <w:szCs w:val="4"/>
              </w:rPr>
            </w:r>
          </w:p>
        </w:tc>
        <w:tc>
          <w:tcPr>
            <w:tcW w:w="9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r>
      <w:tr>
        <w:trPr/>
        <w:tc>
          <w:tcPr>
            <w:tcW w:w="2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9" w:type="dxa"/>
            <w:gridSpan w:val="27"/>
            <w:tcBorders/>
            <w:shd w:fill="auto" w:val="clear"/>
            <w:tcMar>
              <w:top w:w="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Payments Due by Period</w:t>
            </w:r>
          </w:p>
        </w:tc>
      </w:tr>
      <w:tr>
        <w:trPr/>
        <w:tc>
          <w:tcPr>
            <w:tcW w:w="2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9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Total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Remainder of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2024-2025</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2026-2027</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Helvetica;sans-serif" w:hAnsi="Helvetica;sans-serif"/>
                <w:b/>
                <w:color w:val="000000"/>
                <w:sz w:val="16"/>
              </w:rPr>
            </w:pPr>
            <w:r>
              <w:rPr>
                <w:rFonts w:ascii="Helvetica;sans-serif" w:hAnsi="Helvetica;sans-serif"/>
                <w:b/>
                <w:color w:val="000000"/>
                <w:sz w:val="16"/>
              </w:rPr>
              <w:t>Thereafter</w:t>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Operating lease commitments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Helvetica;sans-serif" w:hAnsi="Helvetica;sans-serif"/>
                <w:b w:val="false"/>
                <w:color w:val="000000"/>
                <w:sz w:val="20"/>
              </w:rPr>
              <w:t>Purchase commitments</w:t>
            </w:r>
            <w:r>
              <w:rPr>
                <w:rFonts w:ascii="Helvetica;sans-serif" w:hAnsi="Helvetica;sans-serif"/>
                <w:b w:val="false"/>
                <w:color w:val="000000"/>
                <w:sz w:val="13"/>
              </w:rPr>
              <w:t>(1)</w:t>
            </w:r>
          </w:p>
        </w:tc>
        <w:tc>
          <w:tcPr>
            <w:tcW w:w="85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1,044 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298 </w:t>
            </w:r>
          </w:p>
        </w:tc>
        <w:tc>
          <w:tcPr>
            <w:tcW w:w="21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502 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244 </w:t>
            </w:r>
          </w:p>
        </w:tc>
        <w:tc>
          <w:tcPr>
            <w:tcW w:w="1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1,227 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322 </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557 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280 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Helvetica;sans-serif" w:hAnsi="Helvetica;sans-serif"/>
                <w:b w:val="false"/>
                <w:color w:val="000000"/>
                <w:sz w:val="20"/>
              </w:rPr>
            </w:pPr>
            <w:r>
              <w:rPr>
                <w:rFonts w:ascii="Helvetica;sans-serif" w:hAnsi="Helvetica;sans-serif"/>
                <w:b w:val="false"/>
                <w:color w:val="000000"/>
                <w:sz w:val="20"/>
              </w:rPr>
              <w:t>68 </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hanging="360"/>
        <w:jc w:val="both"/>
        <w:rPr>
          <w:rFonts w:ascii="Helvetica;sans-serif" w:hAnsi="Helvetica;sans-serif"/>
          <w:b w:val="false"/>
          <w:color w:val="000000"/>
          <w:sz w:val="16"/>
        </w:rPr>
      </w:pPr>
      <w:r>
        <w:rPr>
          <w:rFonts w:ascii="Helvetica;sans-serif" w:hAnsi="Helvetica;sans-serif"/>
          <w:b w:val="false"/>
          <w:color w:val="000000"/>
          <w:sz w:val="16"/>
        </w:rPr>
        <w:t xml:space="preserve">(1)Purchase commitments are determined based on contracts that are enforceable and legally binding and that specify all significant terms. They are primarily commitments for cloud infrastructure and data services and business insurance.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lease and purchase commitments, we have two committed financing agreements: one with a contractual term of 30 days and a daily minimum commitment of $25 million and another with a contractual term of 21 days with a daily minimum commitment of $35 million.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Cash Flows</w:t>
      </w:r>
    </w:p>
    <w:p>
      <w:pPr>
        <w:pStyle w:val="TextBody"/>
        <w:spacing w:lineRule="auto" w:line="288" w:before="0" w:after="200"/>
        <w:ind w:left="0" w:right="0" w:hanging="1080"/>
        <w:jc w:val="both"/>
        <w:rPr>
          <w:rFonts w:ascii="Helvetica;sans-serif" w:hAnsi="Helvetica;sans-serif"/>
          <w:b w:val="false"/>
          <w:color w:val="000000"/>
          <w:sz w:val="20"/>
        </w:rPr>
      </w:pPr>
      <w:r>
        <w:rPr>
          <w:rFonts w:ascii="Helvetica;sans-serif" w:hAnsi="Helvetica;sans-serif"/>
          <w:b w:val="false"/>
          <w:color w:val="000000"/>
          <w:sz w:val="20"/>
        </w:rPr>
        <w:t>The following table summarizes our cash flow activities:</w:t>
      </w:r>
    </w:p>
    <w:tbl>
      <w:tblPr>
        <w:tblW w:w="4805" w:type="dxa"/>
        <w:jc w:val="left"/>
        <w:tblInd w:w="0" w:type="dxa"/>
        <w:tblCellMar>
          <w:top w:w="28" w:type="dxa"/>
          <w:left w:w="28" w:type="dxa"/>
          <w:bottom w:w="28" w:type="dxa"/>
          <w:right w:w="28" w:type="dxa"/>
        </w:tblCellMar>
      </w:tblPr>
      <w:tblGrid>
        <w:gridCol w:w="908"/>
        <w:gridCol w:w="794"/>
        <w:gridCol w:w="802"/>
        <w:gridCol w:w="109"/>
        <w:gridCol w:w="109"/>
        <w:gridCol w:w="109"/>
        <w:gridCol w:w="211"/>
        <w:gridCol w:w="481"/>
        <w:gridCol w:w="109"/>
        <w:gridCol w:w="109"/>
        <w:gridCol w:w="109"/>
        <w:gridCol w:w="109"/>
        <w:gridCol w:w="211"/>
        <w:gridCol w:w="481"/>
        <w:gridCol w:w="154"/>
      </w:tblGrid>
      <w:tr>
        <w:trPr/>
        <w:tc>
          <w:tcPr>
            <w:tcW w:w="908" w:type="dxa"/>
            <w:tcBorders/>
            <w:shd w:fill="auto" w:val="clear"/>
            <w:vAlign w:val="center"/>
          </w:tcPr>
          <w:p>
            <w:pPr>
              <w:pStyle w:val="TableContents"/>
              <w:spacing w:before="0" w:after="283"/>
              <w:rPr>
                <w:sz w:val="4"/>
                <w:szCs w:val="4"/>
              </w:rPr>
            </w:pPr>
            <w:r>
              <w:rPr>
                <w:sz w:val="4"/>
                <w:szCs w:val="4"/>
              </w:rPr>
            </w:r>
          </w:p>
        </w:tc>
        <w:tc>
          <w:tcPr>
            <w:tcW w:w="794"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8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7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br/>
              <w:t> March 31,</w:t>
            </w:r>
          </w:p>
        </w:tc>
      </w:tr>
      <w:tr>
        <w:trPr/>
        <w:tc>
          <w:tcPr>
            <w:tcW w:w="2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2023</w:t>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provided by (used 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Investing activities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Financing activities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Cash provided by operating activities increased $391 million. The increase consisted of net loss adjusted for certain non-cash items and the effect of changes in operating assets and liabilities. Cash provided by operating activities resulting from net loss adjusted for certain non-cash items increased by $273 million. This was primarily due to higher net loss offset by higher SBC expense during three months ended March 31, 2023 as a result of the 2021 Founders Award Cancellation. Cash provided by operating activities resulting from changes in operating assets and liabilities increased $118 million. The increase was primarily driven by a decrease in receivables from users, net of $1.36 billion, partially offset by a decrease of $2.28 billion for securities loaned.</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Cash used in investing activities increased $447 million compared to the prior period. The change was primarily driven by an increase in cash used in investing activities of $485 million from purchases of held-to-maturity investments, partially offset by an increase of $8 million in cash provided by investing activities related to proceeds from maturities of available-for-sale investments.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Cash used in financing activities increased $11 million compared to the prior period which was primarily driven by payments for debt issuance costs incurred to renew our revolving credit facility in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 xml:space="preserve">Regulatory Capital Requirements </w:t>
      </w:r>
    </w:p>
    <w:p>
      <w:pPr>
        <w:pStyle w:val="TextBody"/>
        <w:spacing w:lineRule="auto" w:line="288" w:before="240" w:after="20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 xml:space="preserve">Our broker-dealer subsidiaries (RHF and RHS) are subject to the SEC Uniform Net Capital Rule, administered by the SEC and FINRA, which requires the maintenance of minimum net capital, as defined. Net capital and the related net capital requirements may fluctuate on a daily basis. RHS and RHF compute net capital under the alternative method as permitted by the SEC Uniform Net Capital Rule. </w:t>
      </w:r>
    </w:p>
    <w:p>
      <w:pPr>
        <w:pStyle w:val="TextBody"/>
        <w:spacing w:lineRule="auto" w:line="276" w:before="0" w:after="200"/>
        <w:ind w:left="0" w:right="0" w:firstLine="360"/>
        <w:jc w:val="both"/>
        <w:rPr>
          <w:rFonts w:ascii="Helvetica;sans-serif" w:hAnsi="Helvetica;sans-serif"/>
          <w:b w:val="false"/>
          <w:color w:val="000000"/>
          <w:sz w:val="20"/>
          <w:highlight w:val="white"/>
        </w:rPr>
      </w:pPr>
      <w:r>
        <w:rPr>
          <w:rFonts w:ascii="Helvetica;sans-serif" w:hAnsi="Helvetica;sans-serif"/>
          <w:b w:val="false"/>
          <w:color w:val="000000"/>
          <w:sz w:val="20"/>
          <w:highlight w:val="white"/>
        </w:rPr>
        <w:t>The table below summarizes the net capital, capital requirements, and excess net capital of RHS and RHF:</w:t>
      </w:r>
    </w:p>
    <w:tbl>
      <w:tblPr>
        <w:tblW w:w="8330" w:type="dxa"/>
        <w:jc w:val="left"/>
        <w:tblInd w:w="0" w:type="dxa"/>
        <w:tblCellMar>
          <w:top w:w="28" w:type="dxa"/>
          <w:left w:w="28" w:type="dxa"/>
          <w:bottom w:w="28" w:type="dxa"/>
          <w:right w:w="28" w:type="dxa"/>
        </w:tblCellMar>
      </w:tblPr>
      <w:tblGrid>
        <w:gridCol w:w="337"/>
        <w:gridCol w:w="295"/>
        <w:gridCol w:w="298"/>
        <w:gridCol w:w="109"/>
        <w:gridCol w:w="109"/>
        <w:gridCol w:w="109"/>
        <w:gridCol w:w="213"/>
        <w:gridCol w:w="652"/>
        <w:gridCol w:w="110"/>
        <w:gridCol w:w="109"/>
        <w:gridCol w:w="109"/>
        <w:gridCol w:w="109"/>
        <w:gridCol w:w="426"/>
        <w:gridCol w:w="1093"/>
        <w:gridCol w:w="220"/>
        <w:gridCol w:w="109"/>
        <w:gridCol w:w="109"/>
        <w:gridCol w:w="109"/>
        <w:gridCol w:w="773"/>
        <w:gridCol w:w="2368"/>
        <w:gridCol w:w="564"/>
      </w:tblGrid>
      <w:tr>
        <w:trPr/>
        <w:tc>
          <w:tcPr>
            <w:tcW w:w="337"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652"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73" w:type="dxa"/>
            <w:tcBorders/>
            <w:shd w:fill="auto" w:val="clear"/>
            <w:vAlign w:val="center"/>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r>
      <w:tr>
        <w:trPr/>
        <w:tc>
          <w:tcPr>
            <w:tcW w:w="9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March 31, 2023</w:t>
            </w:r>
          </w:p>
        </w:tc>
      </w:tr>
      <w:tr>
        <w:trPr/>
        <w:tc>
          <w:tcPr>
            <w:tcW w:w="9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i/>
                <w:color w:val="000000"/>
                <w:sz w:val="16"/>
              </w:rPr>
            </w:pPr>
            <w:r>
              <w:rPr>
                <w:rFonts w:ascii="Helvetica;sans-serif" w:hAnsi="Helvetica;sans-serif"/>
                <w:b w:val="false"/>
                <w:i/>
                <w:color w:val="000000"/>
                <w:sz w:val="16"/>
              </w:rPr>
              <w:t>(in millions)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3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Required Net Capital</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70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Net Capital in Excess of Required Net Capital</w:t>
            </w:r>
          </w:p>
        </w:tc>
      </w:tr>
      <w:tr>
        <w:trPr/>
        <w:tc>
          <w:tcPr>
            <w:tcW w:w="9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36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2,488 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9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RHF</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11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9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0.25 </w:t>
            </w:r>
          </w:p>
        </w:tc>
        <w:tc>
          <w:tcPr>
            <w:tcW w:w="22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236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209 </w:t>
            </w:r>
          </w:p>
        </w:tc>
        <w:tc>
          <w:tcPr>
            <w:tcW w:w="56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March 31, 2023, our broker-dealer subsidiaries were in compliance with their respective regulatory capital requirements.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Critical Accounting Estimates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unaudited condensed consolidated financial statements are prepared in accordance with GAAP. The preparation of these unaudited condensed consolidated financial statements requires estimates and assumptions that affect the reported amounts of assets and liabilities, revenues and expenses, and related disclosures of contingent liabilities in our unaudited condensed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 subjective judgments, often as a result of the need to make estimates of matters that are inherently uncertain. We also have other key accounting policies, which involve the use of estimates, judgments, and assumptions that are significant to understanding our results. Although we believe that our estimates, assumptions, and judgments are reasonable, they are based upon information presently available. Actual results might differ significantly from these estimates under different assumptions, judgments, or conditions.</w:t>
      </w:r>
    </w:p>
    <w:p>
      <w:pPr>
        <w:pStyle w:val="TextBody"/>
        <w:spacing w:lineRule="auto" w:line="288" w:before="0" w:after="26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have been no material changes to our critical accounting estimates during the three months ended March 31, 2023, as compared to those disclosed in “Management’s Discussion and Analysis of Financial Condition and Results of Operations — Critical Accounting Estimates” in our 2022 Form 10-K.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Recent Accounting Pronouncements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2 - Recent Accounting Pronouncements.”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3. QUANTITATIVE AND QUALITATIVE DISCLOSURES ABOUT MARKET RISK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Interest Rate Risk</w:t>
      </w:r>
    </w:p>
    <w:p>
      <w:pPr>
        <w:pStyle w:val="TextBody"/>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exposure to changes in interest rates primarily relates to interest earned on our cash and cash equivalents, cash and cash equivalents segregated under federal and other regulations, deposits with clearing organizations, restricted cash, investments in debt securities and margin loans. We use a net interest sensitivity analysis to evaluate the effect that changes in interest rates might have on total net revenues. The results of the analysis based on our financial position as of March 31, 2023, indicate that a hypothetical 100 basis point increase or decrease in interest rates would have had a positively correlated impact of approximately 11% on total net revenues. In the future, we may enter into interest rate floors to further manage interest rate risk.</w:t>
      </w:r>
    </w:p>
    <w:p>
      <w:pPr>
        <w:pStyle w:val="TextBody"/>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investment policy and strategy are focused on the preservation of capital and supporting our liquidity requirements. During the three months ended March 31, 2023, we invested $485 million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March 31, 2023, a hypothetical 100 basis point increase in interest rates across all maturities would not be significant. Any losses would only be realized if we sold the investments prior to maturity.</w:t>
      </w:r>
    </w:p>
    <w:p>
      <w:pPr>
        <w:pStyle w:val="TextBody"/>
        <w:spacing w:lineRule="auto" w:line="26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have exposure to changes in interest rates related to our variable-rate credit facilities. See Note 8 - Financing Activities and Off-Balance Sheet Risk, to our unaudited condensed consolidated financial statements in this Quarterly Report for further information. However, as there were no </w:t>
      </w:r>
    </w:p>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200"/>
        <w:jc w:val="both"/>
        <w:rPr>
          <w:rFonts w:ascii="Helvetica;sans-serif" w:hAnsi="Helvetica;sans-serif"/>
          <w:b w:val="false"/>
          <w:color w:val="000000"/>
          <w:sz w:val="20"/>
        </w:rPr>
      </w:pPr>
      <w:r>
        <w:rPr>
          <w:rFonts w:ascii="Helvetica;sans-serif" w:hAnsi="Helvetica;sans-serif"/>
          <w:b w:val="false"/>
          <w:color w:val="000000"/>
          <w:sz w:val="20"/>
        </w:rPr>
        <w:t xml:space="preserve">outstanding borrowings under our credit facilities as of March 31, 2023, we had limited financial exposure associated with changes in interest rates as of such date.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 </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Market-Related Credit Risk</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4. CONTROLS AND PROCEDURES</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Evaluation of Disclosure Controls and Procedures</w:t>
      </w:r>
    </w:p>
    <w:p>
      <w:pPr>
        <w:pStyle w:val="TextBody"/>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management, with the participation of our Chief Executive Officer and our Chief Financial Officer, has evaluated the effectiveness of our disclosure controls and procedures as of the end of the period covered by this Quarterly Report.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such evaluation, our Chief Executive Officer and Chief Financial Officer have concluded that, as of the end of the period covered by this Quarterly Report, our disclosure controls and procedures were effective.</w:t>
      </w:r>
    </w:p>
    <w:p>
      <w:pPr>
        <w:pStyle w:val="TextBody"/>
        <w:spacing w:lineRule="auto" w:line="288" w:before="0" w:after="200"/>
        <w:rPr>
          <w:rFonts w:ascii="Helvetica;sans-serif" w:hAnsi="Helvetica;sans-serif"/>
          <w:b/>
          <w:i/>
          <w:color w:val="000000"/>
          <w:sz w:val="24"/>
        </w:rPr>
      </w:pPr>
      <w:r>
        <w:rPr>
          <w:rFonts w:ascii="Helvetica;sans-serif" w:hAnsi="Helvetica;sans-serif"/>
          <w:b/>
          <w:i/>
          <w:color w:val="000000"/>
          <w:sz w:val="24"/>
        </w:rPr>
        <w:t>Changes in Internal Control Over Financial Reporting</w:t>
      </w:r>
    </w:p>
    <w:p>
      <w:pPr>
        <w:pStyle w:val="TextBody"/>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There has been no change in our internal control over financial reporting (as defined in Rule 13a-15(f) and 15d-15(f) under the Exchange Act) during the three months ended March 31, 2023 that has materially affected, or is reasonably likely to materially affect, our internal control over financial reporting.</w:t>
      </w:r>
    </w:p>
    <w:p>
      <w:pPr>
        <w:pStyle w:val="TextBody"/>
        <w:spacing w:before="240" w:after="240"/>
        <w:ind w:left="0" w:right="0" w:firstLine="36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050"/>
                <wp:effectExtent l="0" t="0" r="0" b="0"/>
                <wp:wrapNone/>
                <wp:docPr id="49" name="Frame4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ind w:left="0" w:right="0" w:firstLine="360"/>
                        <w:jc w:val="center"/>
                        <w:rPr>
                          <w:rFonts w:ascii="Helvetica;sans-serif" w:hAnsi="Helvetica;sans-serif"/>
                          <w:b w:val="false"/>
                          <w:color w:val="000000"/>
                          <w:sz w:val="20"/>
                        </w:rPr>
                      </w:pPr>
                      <w:r>
                        <w:rPr>
                          <w:rFonts w:ascii="Helvetica;sans-serif" w:hAnsi="Helvetica;sans-serif"/>
                          <w:b w:val="false"/>
                          <w:color w:val="000000"/>
                          <w:sz w:val="20"/>
                        </w:rPr>
                        <w:t>48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PART II</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1. LEGAL PROCEEDINGS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See Item 1 of Part I, “Unaudited Financial Statements — Note 13 - Commitments &amp; Contingencies.”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050"/>
                <wp:effectExtent l="0" t="0" r="0" b="0"/>
                <wp:wrapNone/>
                <wp:docPr id="50" name="Frame5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49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1A. RISK FACTORS</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A description of the risks and uncertainties associated with our business is set forth below. You should carefully consider the risks and uncertainties described below, as well as the other information included in this Quarterly Report, including our unaudited condensed consolidated financial statements and the related notes and “Management’s Discussion and Analysis of Financial Condition and Results of Operations.” Our business, 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Quarterly Report, including statements in the following risk factors, constitute forward-looking statements. Please refer to “Cautionary Note Regarding Forward-Looking Statements.”</w:t>
      </w: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 xml:space="preserve">Summary of Risk Factors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business is subject to a number of risks and uncertainties including those described at length in the Risk Factors section below. We consider the following to be our most material risks: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might not grow in line with historical rates.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have limited operating experience at our current scale, which subjects us to a number of uncertainties, risks, and difficulties that could adversely affect our business.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Our results of operations and other operating metrics fluctuate from quarter to quarter, which makes these metrics difficult to predict.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have incurred operating losses in the past and might not be profitable in the future.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are directly and indirectly exposed to fluctuations in interest rates, and rapidly changing interest rate environments could reduce our net interest revenues and otherwise result in reduced profitability.</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 xml:space="preserve">As registered broker-dealers, we are subject to “best execution” requirements under SEC guidelines and FINRA rules. We could be penalized if we fail to comply with these requirements and these requirements might be modified in the future in a way that could harm our business. </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Unfavorable media coverage and other events that harm our brand and reputation could adversely affect our revenue and the size, engagement, and loyalty of our customer base.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business has been and might continue to be harmed by changes in business, economic, or political conditions that impact global financial markets, or by a systemic market event.</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future success depends on the continuing efforts of our key employees and our ability to attract and retain senior management and other highly skilled personnel.</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050"/>
                <wp:effectExtent l="0" t="0" r="0" b="0"/>
                <wp:wrapNone/>
                <wp:docPr id="51" name="Frame5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are involved in numerous litigation matters that are expensive and time consuming, and, if resolved adversely, could expose us to significant liability and reputational harm.</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If we fail to retain existing customers or attract new customers, or if our customers decrease their use of our products and services, our revenue will decline.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If we fail to provide and monetize new and innovative products and services that are adopted by customers, our business may become less competitive and our revenue might decline.</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We rely on third parties to perform some key functions, and their failure to perform those functions could adversely affect our business, financial condition and results of operations.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business could be materially and adversely affected by a cybersecurity breach or other attack involving our computer systems or data or those of our customers or third-party service providers.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If we do not maintain the net capital levels required by regulators, our broker-dealer business may be restricted and we may be fined or subject to other disciplinary or corrective actions.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prices of most cryptocurrencies are extremely volatile. Fluctuations in the price of various cryptocurrencies might cause uncertainty in the market and could negatively impact trading volumes of cryptocurrencies, which would adversely affect the success of our business, financial condition and results of operations.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Our support for Crypto Transfers, Robinhood Wallet, Robinhood Connect, the Robinhood Cash Card (each as defined below), spending accounts, and other payments services increases the risk that our platform could be exploited to facilitate illegal payments, potentially resulting in loss of customer assets, customer disputes, and other liabilities, which could harm our reputation and adversely impact trading volumes and transaction-based revenues.</w:t>
      </w:r>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050"/>
                <wp:effectExtent l="0" t="0" r="0" b="0"/>
                <wp:wrapNone/>
                <wp:docPr id="52" name="Frame5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hanging="360"/>
        <w:jc w:val="both"/>
        <w:rPr/>
      </w:pPr>
      <w:r>
        <w:rPr>
          <w:color w:val="000000"/>
        </w:rPr>
        <w:t>•</w:t>
      </w:r>
      <w:r>
        <w:rPr>
          <w:rFonts w:ascii="Helvetica;sans-serif" w:hAnsi="Helvetica;sans-serif"/>
          <w:b w:val="false"/>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 xml:space="preserve">Risks Related to Our Business </w:t>
      </w:r>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We might not grow in line with historical rates.</w:t>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grown rapidly over the last few years. In particular, from March 2020 through June 2021, we experienced a significant increase in revenue, MAU, AUC, and Net Cumulative Funded Accounts. For example, for fiscal years 2019, 2020, and 2021, our revenue was $278 million, $958 million and $1,815 million, respectively, representing annual growth of 245% in 2020 and 89% in 2021. Similarly, at year-end 2019, 2020, and 2021 we had Net Cumulative Funded Accounts of 5.1 million, 12.5 million, and 22.7 million, respectively, representing annual growth of 143% in 2020 and 82% in 2021.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However, the circumstances that accelerated the growth of our business over the last few years, including an extended period of general macroeconomic growth in the U.S., particularly in the U.S. equity markets, as well as growth in the financial services and technology industries in which we operate, did not continue in 2022 and might not return in the future. For example, for fiscal year 2022, our revenue was $1,358 million, representing an annual decline of 25%, and we had Net Cumulative Funded Accounts of 23 million, representing an annual growth of only 1%. You should not rely on our revenue or key business metrics for any previous quarterly or annual period as any indication of our revenue, revenue growth, key business metrics or key business metrics growth in future periods.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might continue to experience declines in the growth of our business (or negative growth) as a result of a number of factors, including slowing demand for our platform, insufficient growth in the number of customers that utilize our platform, declines in the level of usage of our platform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Any failure to successfully address these risks and challenges as we encounter them, will negatively affect our growth. If our revenue growth rate continues to decline, investors’ perceptions of our business and the trading price of our Class A common stock could be adversely affected. </w:t>
      </w:r>
    </w:p>
    <w:p>
      <w:pPr>
        <w:pStyle w:val="TextBody"/>
        <w:spacing w:before="0" w:after="0"/>
        <w:jc w:val="both"/>
        <w:rPr/>
      </w:pPr>
      <w:r>
        <w:rPr/>
      </w:r>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We have limited operating experience at our current scale, which subjects us to a number of uncertainties, risks, and difficulties that could adversely affect our business.</w:t>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expanded our operations rapidly, including continuing to introduce new products and services in our platform, and have limited operating experience at our current scale, which makes it difficult to evaluate our current business and future prospects, and subjects us to a number of uncertainties, including our ability to plan for, model, and manage potential future growth and risks. For example, in 2020 and the first half of 2021, we went through a period of hyper growth accelerated by several factors including pandemic lockdowns, low interest rates, and fiscal stimulus. However, as a result of the general downturn in economic conditions and the U.S. equity markets in 2022, we announced two restructurings in April 2022 (the “April 2022 Restructuring”) and August of 2022 (the “August 2022 Restructuring”) that impacted approximately 1,100 employees and scaled back hiring plans.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Such efforts to control costs have in the past resulted, and might in the future continue to result in reduced productivity and deteriorating workforce morale, which can cause our business initiatives to suffer. However, if market conditions improve, we also face a risk that renewed business growth could strain our existing resources, or that we are not able to effectively scale up in response, and we could experience ongoing operating difficulties in managing our business across numerous jurisdictions, including difficulties in hiring, training, and managing a dispersed employee base.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050"/>
                <wp:effectExtent l="0" t="0" r="0" b="0"/>
                <wp:wrapNone/>
                <wp:docPr id="53" name="Frame5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We might fail to adequately address these and other challenges we may face, and our business might be adversely affected if we do not manage these risks successfully.</w:t>
      </w:r>
    </w:p>
    <w:p>
      <w:pPr>
        <w:pStyle w:val="TextBody"/>
        <w:spacing w:before="0" w:after="0"/>
        <w:ind w:left="0" w:right="0" w:firstLine="360"/>
        <w:jc w:val="both"/>
        <w:rPr/>
      </w:pPr>
      <w:r>
        <w:rPr/>
      </w:r>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 xml:space="preserve">Our results of operations and other operating metrics fluctuate from quarter to quarter, which makes these metrics difficult to predict. </w:t>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results of operations are heavily reliant on the level of trading activity on our platform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our ability to retain and engage existing customers and attract new customers;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timing and success of new product and service introductions by us or our competitors, or other changes in the competitive landscape of our market;</w:t>
      </w:r>
    </w:p>
    <w:p>
      <w:pPr>
        <w:pStyle w:val="TextBody"/>
        <w:spacing w:lineRule="auto" w:line="268" w:before="0" w:after="0"/>
        <w:ind w:left="0" w:right="0" w:hanging="360"/>
        <w:jc w:val="both"/>
        <w:rPr/>
      </w:pPr>
      <w:r>
        <w:rPr>
          <w:color w:val="000000"/>
        </w:rPr>
        <w:t>•</w:t>
      </w:r>
      <w:r>
        <w:rPr>
          <w:rFonts w:ascii="Helvetica;sans-serif" w:hAnsi="Helvetica;sans-serif"/>
          <w:b w:val="false"/>
          <w:color w:val="000000"/>
          <w:sz w:val="20"/>
        </w:rPr>
        <w:t>volatility in the market generally or the occurrence of so-called “meme” trading in equities, options, or cryptocurrencies, which can cause our trading volumes to fluctuate;</w:t>
      </w:r>
    </w:p>
    <w:p>
      <w:pPr>
        <w:pStyle w:val="TextBody"/>
        <w:spacing w:lineRule="auto" w:line="268" w:before="0" w:after="0"/>
        <w:ind w:left="0" w:right="0" w:hanging="360"/>
        <w:jc w:val="both"/>
        <w:rPr/>
      </w:pPr>
      <w:r>
        <w:rPr>
          <w:color w:val="000000"/>
        </w:rPr>
        <w:t>•</w:t>
      </w:r>
      <w:r>
        <w:rPr>
          <w:rFonts w:ascii="Helvetica;sans-serif" w:hAnsi="Helvetica;sans-serif"/>
          <w:b w:val="false"/>
          <w:color w:val="000000"/>
          <w:sz w:val="20"/>
        </w:rPr>
        <w:t>fluctuations in interest rates;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increases in marketing, sales, compensation (for example, due to increased hiring competition for highly skilled personnel), cloud infrastructure, and other operating expenses that we might incur to grow and expand our operations and to remain competitive;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timing and amount of non-cash expenses, such as SBC and asset impairment;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success of our expansion into new markets;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trading volume and the prevailing trading prices for cryptocurrencies, which can be highly volatile;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changes in the public’s perception, adoption, and use of cryptocurrencies and other asset classes;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inability of customers to place trades, due to system disruptions, outages, or trading restrictions;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events that damage customer confidence in Robinhood, such as breaches of security or privacy;</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impacts of public health threats (including pandemics such as COVID-19), unemployment, and inflation;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changes in tax laws or judicial or regulatory interpretations of tax laws, which are recorded in the period such laws are enacted or interpretations are issued, and might significantly affect the effective tax rate of that period.</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of the factors above or listed elsewhere in this Risk Factors section, or the cumulative effect of some of those factors, could result in significant fluctuations in our results of operations.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050"/>
                <wp:effectExtent l="0" t="0" r="0" b="0"/>
                <wp:wrapNone/>
                <wp:docPr id="54" name="Frame5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We have incurred operating losses in the past and might not be profitable in the future.</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incurred operating losses each year from our inception in 2013 through 2019, including net losses of $6 million, $58 million, and $107 million for years 2017, 2018, and 2019, respectively. Although we generated positive net income for 2020, we returned to a net loss position for 2021 and 2022 as our operating expenses increased substantially. While we have publicly stated our expectation to get much closer to positive GAAP net income in the back half of 2023, we might not be able to increase our revenue and/or further reduce our operating expenses by sufficient amounts to become profitable again on a GAAP basis in the future. </w:t>
      </w:r>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Factors that affect transaction-based revenue — such as reduced spreads in securities pricing, reduced levels of trading activity generally, changes in our business relationships with market makers, and any new regulation of, or any bans on, PFOF and similar practices — might result in reduced profitability, increased compliance costs, and negative publicity.</w:t>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large portion of our revenue is transaction-based, in that we receive consideration in exchange for routing our users’ equity, option, and cryptocurrency trade orders to market makers for execution. With respect to equities and options trading, such fees are known as payment for order flow, or “PFOF.” With respect to cryptocurrency trading, we receive “Transaction Rebates.” Our transaction-based revenue is sensitive to and dependent on trading volumes and therefore tends to decline during periods in 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In addition, the regulatory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 </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i/>
          <w:color w:val="000000"/>
          <w:sz w:val="20"/>
        </w:rPr>
      </w:pPr>
      <w:r>
        <w:rPr>
          <w:rFonts w:ascii="Helvetica;sans-serif" w:hAnsi="Helvetica;sans-serif"/>
          <w:b w:val="false"/>
          <w:i/>
          <w:color w:val="000000"/>
          <w:sz w:val="20"/>
        </w:rPr>
        <w:t>Risks Related to our Business Relationships with Market Makers</w:t>
      </w:r>
    </w:p>
    <w:p>
      <w:pPr>
        <w:pStyle w:val="TextBody"/>
        <w:spacing w:before="0" w:after="0"/>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PFOF and Transaction Rebate arrangements with market makers are a matter of practice and business understanding and not documented under binding contracts. If any of these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This risk is particularly heightened for cryptocurrencies because fewer market makers are currently able to execute cryptocurrency trades. Furthermore, if market makers decide to alter our fee structure, our transaction-based revenue could significantly decrease.</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i/>
          <w:color w:val="000000"/>
          <w:sz w:val="20"/>
        </w:rPr>
      </w:pPr>
      <w:r>
        <w:rPr>
          <w:rFonts w:ascii="Helvetica;sans-serif" w:hAnsi="Helvetica;sans-serif"/>
          <w:b w:val="false"/>
          <w:i/>
          <w:color w:val="000000"/>
          <w:sz w:val="20"/>
        </w:rPr>
        <w:t>Risks Related to Regulation of PFOF</w:t>
      </w:r>
    </w:p>
    <w:p>
      <w:pPr>
        <w:pStyle w:val="TextBody"/>
        <w:spacing w:before="0" w:after="0"/>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PFOF practices have drawn heightened scrutiny from the U.S. Congress, the SEC, state regulators, and other regulatory and legislative authorities. For example, in December 2020, we settled an SEC investigation into our best execution and PFOF practices and are defending putative class actions in federal district courts relating to the same factual allegations. Additionally, our PFOF practices were the subject of a line of critical questioning during a February 18, 2021 U.S. Congressional hearing related to the Early 2021 Trading Restrictions. We also face the risk that the SEC, other regulatory authorities, or legislative bodies might adopt additional regulation or legislation relating to PFOF practices as a result of such heightened scrutiny or otherwise. For instance, in December 2022, the SEC proposed four separate equity market structure rules (the “December 2022 Rule Proposals”) related to (i) best execution; (ii) order competition, including requiring certain retail equity orders to be exposed in auctions before being internalized; (iii) order execution disclosure; and (iv) order tick size and fee caps. Although these proposed rules related to market structure design do not ban PFOF, they introduce new requirements </w:t>
      </w: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050"/>
                <wp:effectExtent l="0" t="0" r="0" b="0"/>
                <wp:wrapNone/>
                <wp:docPr id="55" name="Frame5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around “conflicted transactions,” and if adopted as proposed, they would have the indirect effect of making PFOF more difficult or impossible to earn and condensing the revenues we could theoretically earn. Any new or heightened PFOF regulation, including the December 2022 Rule Proposals if adopted as proposed, could result in increased compliance costs and otherwise materially decrease our transaction-based revenue, might make it more difficult for us to expand our platform in certain 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a ban of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 </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i/>
          <w:color w:val="000000"/>
          <w:sz w:val="20"/>
        </w:rPr>
      </w:pPr>
      <w:r>
        <w:rPr>
          <w:rFonts w:ascii="Helvetica;sans-serif" w:hAnsi="Helvetica;sans-serif"/>
          <w:b w:val="false"/>
          <w:i/>
          <w:color w:val="000000"/>
          <w:sz w:val="20"/>
        </w:rPr>
        <w:t>Risks Related to Negative Publicity Associated with PFOF or our Market Makers</w:t>
      </w:r>
    </w:p>
    <w:p>
      <w:pPr>
        <w:pStyle w:val="TextBody"/>
        <w:spacing w:before="0" w:after="0"/>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any negative publicity surrounding PFOF or Transaction Rebate practices generally, or our implementation of these practices, could harm our brand and reputation. For example, as a result of the Early 2021 Trading Restrictions, we faced allegations that our decision to temporarily prevent our customers from purchasing specified securities was influenced by our relationship 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intra-day trading price of our Class A common stock fell as much as 5.3% on December 14, 2022, the day the December 2022 Rule Proposals were announced.</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pStyle w:val="TextBody"/>
        <w:spacing w:before="0" w:after="0"/>
        <w:ind w:left="0" w:right="0" w:firstLine="360"/>
        <w:jc w:val="both"/>
        <w:rPr/>
      </w:pPr>
      <w:r>
        <w:rPr/>
      </w:r>
    </w:p>
    <w:p>
      <w:pPr>
        <w:pStyle w:val="TextBody"/>
        <w:spacing w:lineRule="auto" w:line="268" w:before="0" w:after="0"/>
        <w:jc w:val="both"/>
        <w:rPr>
          <w:rFonts w:ascii="Helvetica;sans-serif" w:hAnsi="Helvetica;sans-serif"/>
          <w:b/>
          <w:i/>
          <w:color w:val="000000"/>
          <w:sz w:val="20"/>
        </w:rPr>
      </w:pPr>
      <w:r>
        <w:rPr>
          <w:rFonts w:ascii="Helvetica;sans-serif" w:hAnsi="Helvetica;sans-serif"/>
          <w:b/>
          <w:i/>
          <w:color w:val="000000"/>
          <w:sz w:val="20"/>
        </w:rPr>
        <w:t>We are directly and indirectly exposed to fluctuations in interest rates, and rapidly changing interest rate environments could reduce our net interest revenues and otherwise result in reduced profitability.</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large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As interest rates increased starting in 2022, interest income has contributed an increasing share of our total net revenues. Reductions in interest rates and a return to a low interest rate environment would negatively impact our net income and adversely impact our customers’ returns on their cash deposits. For an estimate of how a hypothetical 100 basis point increase or decrease in interest rates could affect our total net revenues, see “Quantitative and Qualitative Disclosures about Market Risk—Interest Rate Risk” elsewhere in this report. Changes to the </w:t>
      </w: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050"/>
                <wp:effectExtent l="0" t="0" r="0" b="0"/>
                <wp:wrapNone/>
                <wp:docPr id="56" name="Frame5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level or mix of interest earning balances could also negatively impact our net income if customers react to the rising interest rate environment by moving cash that would have otherwise been spent on services or products with higher revenue potential for Robinhood into Robinhood accounts that offer customers high interest rates.</w:t>
      </w:r>
    </w:p>
    <w:p>
      <w:pPr>
        <w:pStyle w:val="TextBody"/>
        <w:spacing w:before="0" w:after="0"/>
        <w:ind w:left="0" w:right="0" w:firstLine="360"/>
        <w:jc w:val="both"/>
        <w:rPr/>
      </w:pPr>
      <w:r>
        <w:rPr/>
      </w:r>
    </w:p>
    <w:p>
      <w:pPr>
        <w:pStyle w:val="TextBody"/>
        <w:spacing w:lineRule="auto" w:line="288" w:before="0" w:after="200"/>
        <w:ind w:left="0" w:right="0" w:firstLine="360"/>
        <w:jc w:val="both"/>
        <w:rPr/>
      </w:pPr>
      <w:r>
        <w:rPr>
          <w:rFonts w:ascii="Helvetica;sans-serif" w:hAnsi="Helvetica;sans-serif"/>
          <w:b w:val="false"/>
          <w:color w:val="000000"/>
          <w:sz w:val="20"/>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deliver securities sold, or meet margin calls, and therefore lead to increased delinquencies, charge-offs, and allowances for loan and interest receivables, which could have an adverse effect on our net income. Fluctuations in interest rates could adversely impact our customers’ general spending levels and ability and willingness to invest through our platform</w:t>
      </w:r>
      <w:r>
        <w:rPr>
          <w:rFonts w:ascii="Times New Roman;sans-serif" w:hAnsi="Times New Roman;sans-serif"/>
          <w:b w:val="false"/>
          <w:color w:val="000000"/>
          <w:sz w:val="24"/>
        </w:rPr>
        <w:t>.</w:t>
      </w:r>
    </w:p>
    <w:p>
      <w:pPr>
        <w:pStyle w:val="TextBody"/>
        <w:spacing w:lineRule="auto" w:line="288" w:before="0" w:after="200"/>
        <w:jc w:val="both"/>
        <w:rPr/>
      </w:pPr>
      <w:r>
        <w:rPr>
          <w:rFonts w:ascii="Helvetica;sans-serif" w:hAnsi="Helvetica;sans-serif"/>
          <w:b/>
          <w:i/>
          <w:color w:val="000000"/>
          <w:sz w:val="20"/>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r>
        <w:rPr>
          <w:color w:val="000000"/>
        </w:rPr>
        <w:t xml:space="preserv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registered broker-dealers, we are subject to “best execution” requirements under SEC guidelines and FINRA rules, which requires us to obtain the best reasonably available terms for customer orders. As previously disclosed, in December 2019 and 2020, we settled an SEC investigation and FINRA disciplinary action, respectively, that related to our best execution practices. We face a risk of additional investigations or penalties in the future related to our best execution practices.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For instance, one of the December 2022 Rule Proposals relates to best execution and proposes to enhance the existing regulatory framework concerning the duty of best execution by, among other things, requiring additional policies and procedures for broker-dealers engaging in certain conflicted transactions with retail customers. There is a risk that these bodies might adopt additional regulation relating to PFOF practices and best execution requirements as a result of such heightened scrutiny or otherwise. Any such regulations could have a material adverse impact on our business and one of our primary sources of revenue. </w:t>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Maintaining adequate liquidity is crucial to our securities brokerage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our clearing and carrying broker-dealer is subject to cash deposit and collateral requirements under the rules of the clearinghouses in which it participates (including DTC,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 limit clearinghouse deposit requirements. </w:t>
      </w: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050"/>
                <wp:effectExtent l="0" t="0" r="0" b="0"/>
                <wp:wrapNone/>
                <wp:docPr id="57" name="Frame5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 xml:space="preserve">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 </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 </w:t>
      </w:r>
    </w:p>
    <w:p>
      <w:pPr>
        <w:pStyle w:val="TextBody"/>
        <w:spacing w:before="0" w:after="0"/>
        <w:ind w:left="0" w:right="0" w:firstLine="72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pStyle w:val="TextBody"/>
        <w:spacing w:before="0" w:after="0"/>
        <w:ind w:left="0" w:right="0" w:firstLine="72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a result of a cease-and-desist order issued by the SEC on December 17, 2020 and our related settlement in connection with the SEC’s investigation of our best execution and receipt of PFOF, we are currently an “ineligible issuer,” as the term is defined under Rule 405 of the Securities Act, and we will remain an ineligible issuer until December 17, 2023. As long as we are an ineligible issuer, we will generally be prevented from using free writing prospectuses and recorded roadshows in securities offerings, and we will not qualify as a “well-known seasoned issuer” (“WKSI”) (which status we otherwise would have achieved by August 2022). We will therefore be unable to take advantage of benefits associated with WKSI status, such as the ability to file universal shelf registration statements on Form S-3 that are automatically effective. These restrictions could impair our ability to raise additional capital quickly in response to changing requirements and market conditions.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050"/>
                <wp:effectExtent l="0" t="0" r="0" b="0"/>
                <wp:wrapNone/>
                <wp:docPr id="58" name="Frame5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Unfavorable media coverage and other events that harm our brand and reputation could adversely affect our revenue and the size, engagement, and loyalty of our customer base.</w:t>
      </w:r>
    </w:p>
    <w:p>
      <w:pPr>
        <w:pStyle w:val="TextBody"/>
        <w:spacing w:before="0" w:after="0"/>
        <w:ind w:left="0" w:right="0" w:firstLine="72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brand and our reputation are two of our most important assets. Our ability to attract, build trust with, engage, and retain existing and new customers might be adversely affected by events that harm our brand and reputation, such as public complaints and unfavorable media coverage about us, our platform, and our customers, even if factually incorrect or based on isolated incidents.</w:t>
      </w:r>
    </w:p>
    <w:p>
      <w:pPr>
        <w:pStyle w:val="TextBody"/>
        <w:spacing w:before="0" w:after="0"/>
        <w:ind w:left="0" w:right="0" w:firstLine="720"/>
        <w:jc w:val="both"/>
        <w:rPr/>
      </w:pPr>
      <w:r>
        <w:rPr/>
      </w:r>
    </w:p>
    <w:p>
      <w:pPr>
        <w:pStyle w:val="TextBody"/>
        <w:spacing w:lineRule="auto" w:line="288" w:before="0" w:after="0"/>
        <w:ind w:left="0" w:right="0" w:firstLine="360"/>
        <w:jc w:val="both"/>
        <w:rPr/>
      </w:pPr>
      <w:r>
        <w:rPr>
          <w:rFonts w:ascii="Helvetica;sans-serif" w:hAnsi="Helvetica;sans-serif"/>
          <w:b w:val="false"/>
          <w:color w:val="000000"/>
          <w:sz w:val="20"/>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 such as the March 2020 Outages, the April-May 2021 Disruptions (as defined below), or the November 2021 Data Security Incident are likely to receive extensive media attention. Furthermore, any negative experiences our customers have in connection with their use of our products and services, including as a result of any such performance problems, could diminish customer confidence in us and our products and services, which could result in unfavorable media coverage or publicity.</w:t>
      </w:r>
      <w:r>
        <w:rPr>
          <w:color w:val="000000"/>
        </w:rPr>
        <w:t xml:space="preserve"> </w:t>
      </w:r>
      <w:r>
        <w:rPr>
          <w:rFonts w:ascii="Helvetica;sans-serif" w:hAnsi="Helvetica;sans-serif"/>
          <w:b w:val="false"/>
          <w:color w:val="000000"/>
          <w:sz w:val="20"/>
        </w:rPr>
        <w:t xml:space="preserve">For example, we received customer complaints and significant media attention as a result of the Early 2021 Trading Restrictions. </w:t>
      </w:r>
    </w:p>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Damage to our brand and reputation could also be caused by:</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cybersecurity attacks, privacy or data security breaches, or other security incidents, payment disruptions or other incidents that impact the reliability of our platform;</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actual or alleged illegal, negligent, reckless, fraudulent or otherwise inappropriate behavior by our management team, our other employees or contractors, our customers or third-party service providers as well as complaints or negative publicity about such individuals;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future restructurings or any similar such reductions or activities in the future;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repeat imposition of temporary trading restrictions (similar to our Early 2021 Trading Restrictions), or any outright failure to meet our deposit requirements;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litigation involving, or regulatory actions or investigations into, our platform or our business;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failures to comply with legal, tax and regulatory requirements;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perceived or actual weakness in our financial strength or liquidity;</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any regulatory action that results in changes to, or prohibits us from offering, certain features or services;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changes to our policies, features or services that customers or others perceive as overly restrictive, unclear, inconsistent with our values or mission, or not clearly articulated;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 failure to operate our business in a way that is consistent with our values and mission;</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inadequate or unsatisfactory customer support experiences;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negative responses by customers or regulators to our business model or to particular features or services;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 failure to adapt to new or changing customer preferences;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 prolonged weakness in popular equities or cryptocurrencies specifically or in U.S. equity and cryptocurrency markets generally, or a sustained downturn in the U.S. economy;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any of the foregoing with respect to our competitors, to the extent the resulting negative perception affects the public’s perception of us or our industry as a whole.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050"/>
                <wp:effectExtent l="0" t="0" r="0" b="0"/>
                <wp:wrapNone/>
                <wp:docPr id="59" name="Frame5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and other events could negatively impact the willingness of our existing customers, and potential new customers, to do business with us, which could adversely affect our trading volumes and number of funded accounts, as well as our ability to recruit and retain personnel, any of which could have an adverse effect on our business, financial condition, and results of operations, as well as the trading price of our Class A common stock. For instance, on November 8, 2022 (the day that FTX Trading Ltd. (“FTX”), a major international cryptocurrency exchange, halted all non-fiat customer withdrawals from its platform), the intra-day trading price of our Class A common stock fell as much as 18%. And in December 2022, shortly after FTX filed for bankruptcy on November 11, 2022, and following the bankruptcies of several other major cryptocurrency trading venues and lending platforms earlier in 2022, including Three Arrows Capital, Ltd., Voyager Digital Holdings, Inc., and Celsius Network LLC (“Celsius”) (collectively, the “2022 Crypto Bankruptcies”), we received an investigative subpoena from the SEC regarding, among other topics, RHC’s cryptocurrency listings, custody of cryptocurrencies, and platform operations.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could incur substantial losses from our cash and investment accounts if one or more of the financial institutions that we use fails or is taken over by the FDIC.</w:t>
      </w:r>
    </w:p>
    <w:p>
      <w:pPr>
        <w:pStyle w:val="TextBody"/>
        <w:spacing w:before="0" w:after="0"/>
        <w:jc w:val="both"/>
        <w:rPr/>
      </w:pPr>
      <w:r>
        <w:rPr/>
      </w:r>
    </w:p>
    <w:p>
      <w:pPr>
        <w:pStyle w:val="TextBody"/>
        <w:spacing w:lineRule="auto" w:line="288"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business has been and might continue to be harmed by changes in business, economic, or political conditions that impact global financial markets, or by a systemic market event.</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we are a financial services company, our business, results of operations, and reputation are directly and indirectly affected by elements beyond our control, such as economic and political conditions including unemployment rates, inflation, tax and interest rates, geopolitical conflicts, such as the Russian invasion of Ukraine, financial market volatility (such as we experienced during the COVID-19 pandemic), significant increases in the volatility or trading volume of particular securities or cryptocurrencies (such as we experienced during the meme stock events of early 2021 and the Dogecoin surge of mid-2021), broad trends in business and finance, actual events or concerns involving liquidity, defaults, or non-performance by third-party financial institutions or transactional counterparties (such as the 2023 Banking Events), changes in volume of securities or cryptocurrencies trading generally (such as the bear markets that developed for equities and crypto in the second quarter of 2022 and continue to persist (the “2022 Bear Markets”)), changes in the markets in which such transactions occur (such as following the 2022 Crypto Bankruptcies),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For example, as a result of the 2022 Bear Markets, for fiscal year 2022, our daily revenue trades for options, equities, and crypto declined by 33%, 49%, and 75%, compared to fiscal year 2021. Conversely, significant upturns in such </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050"/>
                <wp:effectExtent l="0" t="0" r="0" b="0"/>
                <wp:wrapNone/>
                <wp:docPr id="60" name="Frame6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59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markets or conditions might cause individuals to be less proactive in seeking ways to improve the returns on their trading or investment decisions and, thus, decrease the demand for our products and services.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of these changes could cause our future performance to be uncertain or unpredictable, and could have an adverse effect on our business and results of operations.</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The future impact of the COVID-19 pandemic or the emergence of any similar public health threats on our business, financial condition, and results of operations is uncertain.</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Following the March 2020 onset of the COVID-19 pandemic, we saw substantial growth in our user base, retention, engagement, and trading activity metrics, and we saw periodic all-time highs achieved by the equity markets generally. During this period, market volatility, stay-at-home orders, and increased interest in investing and personal finance, coupled with low interest rates and a positive market environment, especially in the U.S. equity and cryptocurrency markets, helped foster an environment that encouraged an unprecedented number of first-time retail investors to become our users and begin trading on our platform. The COVID-19 pandemic has also resulted, in part, in inefficiencies and delays in our business, operational challenges, additional costs related to business continuity initiatives as our workforce continues to work remotely, and increased vulnerability to cybersecurity attacks or other privacy or data security incidents.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the COVID-19 pandemic began to subside in the second half of 2021 and the related circumstances that accelerated the growth of our business did not continue, we saw the growth of our user base in recent periods slow compared to the accelerated growth we experienced in 2020 and the first half of 2021. The extent of the impact of any COVID-19 resurgence or emergence of similar public health threats on our business, financial condition and results of operations will depend largely on future developments, including the duration of any COVID--19 resurgence or similar public health threat and actions taken to contain or address their impact, their impact on capital and financial markets, and their related impact on the financial circumstances of our customers, all of which are highly uncertain and difficult to predict.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flexible remote working model subjects us to heightened operational risks.</w:t>
      </w:r>
    </w:p>
    <w:p>
      <w:pPr>
        <w:pStyle w:val="TextBody"/>
        <w:spacing w:before="0" w:after="0"/>
        <w:ind w:left="0" w:right="0" w:firstLine="36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 flexible remote work policy, under which a large segment of our employees are not required to come into the office on a daily basis. Allowing our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 privacy safeguards we have put in place will be completely effective or that we will not encounter risks associated with employees accessing company data and systems remotely. We also face challenges due to the need to operate with a dispersed and remote workforce, as well as increased costs related to business continuity initiatives.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Having a flexible remote working model has also made and might continue to make it more difficult for us to preserve our corporate culture of innovation and our employees might have decreased opportunities to collaborate in meaningful ways. Further, we cannot guarantee that having a large portion of our workforce continuing to work remotely will not have a negative impact on employee morale or productivity. Any failure to overcome the challenges presented by our flexible remote work policy could harm our future success, including our ability to retain and recruit personnel, innovate and operate effectively, maintain product development velocity, and execute on our business strategy. </w:t>
      </w: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050"/>
                <wp:effectExtent l="0" t="0" r="0" b="0"/>
                <wp:wrapNone/>
                <wp:docPr id="61" name="Frame6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rPr>
          <w:rFonts w:ascii="Helvetica;sans-serif" w:hAnsi="Helvetica;sans-serif"/>
          <w:b/>
          <w:i/>
          <w:color w:val="000000"/>
          <w:sz w:val="20"/>
        </w:rPr>
      </w:pPr>
      <w:r>
        <w:rPr>
          <w:rFonts w:ascii="Helvetica;sans-serif" w:hAnsi="Helvetica;sans-serif"/>
          <w:b/>
          <w:i/>
          <w:color w:val="000000"/>
          <w:sz w:val="20"/>
        </w:rPr>
        <w:t>Our future success depends on the continuing efforts of our key employees and our ability to attract and retain senior management and other highly skilled personnel.</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future success depends, in part, on our ability to continue to identify, attract, develop, integrate and retain qualified and highly skilled personnel. In particular, our Co-Founder and CEO, Vladimir Tenev, and our Co-Founder and Chief Creative Officer, Baiju Bhatt, have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these agreements have no specific duration and are terminable by either party at-will and our senior management team has experienced recent changes. We do not maintain key person life insurance policies on any of our employees.</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Given our heavy emphasis on SBC, the continuing declines in our stock price (which make previously-granted SBC less valuable) have exacerbated the difficulty of recruiting, retaining, and motivating highly skilled personnel. Attrition and workforce reductions have and might continue to adversely 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the April 2022 Restructuring and August 2022 Restructuring, we experienced higher rates of voluntary employee attrition, as well as declines in reported employee job satisfaction. We might continue to experience difficulty in hiring and retaining highly skilled employees with appropriate qualifications. </w:t>
      </w:r>
    </w:p>
    <w:p>
      <w:pPr>
        <w:pStyle w:val="TextBody"/>
        <w:spacing w:before="0" w:after="0"/>
        <w:ind w:left="0" w:right="0" w:firstLine="72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believe that a critical component of our efforts to attract and retain employees has been our corporate culture of innovation. We have invested substantial time and resources in building our team. As we continue to expand internationally, we will face new challenges to maintain our corporate culture of innovation among a larger number of geographically dispersed and remote employees. Failure to preserve our company culture could harm our ability to retain and recruit personnel. </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Future acquisitions of, or investments in, other companies, products, technologies or specialized employees could require significant management attention, disrupt our business, dilute stockholder value, and adversely affect our results of operations.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and our ability to close these transactions might be subject to third-party approvals, such as governmental and other regulatory approvals, which are beyond our control, and may take longer than expected to be obtained, if at all.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example, in April 2022 we signed a definitive agreement to acquire Ziglu Limited (“Ziglu”), a U.K.-based electronic money institution and crypto-asset firm. However, as a result of prolonged regulatory uncertainty, after careful consideration, we notified Ziglu of the termination of the agreement in February 2023. In connection with the termination of the agreement, we took a $12 million impairment charge, in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050"/>
                <wp:effectExtent l="0" t="0" r="0" b="0"/>
                <wp:wrapNone/>
                <wp:docPr id="62" name="Frame6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addition to suffering losses from legal fees and other expenses. Additionally, because we had expected Ziglu’s team and technology to help accelerate our international expansion, the termination of the deal has delayed our plans to expand our operations in Europe, particularly with respect to cryptocurrency trading.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operating difficulties and expenditures, including disrupting our ongoing operations, diverting management from their primary responsibilities, subjecting us to additional liabilities, increasing our expenses, and adversely impacting our business, financial condition and results of operations. If we acquire businesses or technologies, we might not be able to integrate the acquired personnel, operations, and technologies successfully, or effectively manage the combined business following the acquisition. Moreover, the anticipated benefits of any acquisition or investment might not be realized and we might be exposed to unknown liabilities.</w:t>
      </w:r>
    </w:p>
    <w:p>
      <w:pPr>
        <w:pStyle w:val="TextBody"/>
        <w:spacing w:before="0" w:after="0"/>
        <w:ind w:left="0" w:right="0" w:firstLine="72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intend to expand into international markets, which will expose us to significant new risks, and our international expansion efforts might not succeed.</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currently only offer services to the public outside the United States through our web3 self-custodial crypto wallet (the “Robinhood Wallet”), which is available in over 150 countries and offered through our Cayman Islands subsidiary, Robinhood Non-Custodial Ltd. (“RHNC”) We also currently have corporate subsidiaries, offices, and some employees or contractors, in each of India, the U.K., and the Netherlands (and, in the case of the U.K., our subsidiary Robinhood U.K. Ltd is authorized and regulated by the U.K. Financial Conduct Authority).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intend to expand our operations outside of the United States, and have publicly stated that we set a goal to offer brokerage services in the U.K. by the end of 2023. International expansion will require significant resources and management attention and will subject us to regulatory, economic, operational, and political risks in addition to those we already face in the United States. There are significant risks and costs inherent in establishing and doing business in international markets, including: </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difficulty establishing and managing international entities, offices, and/or operations and the increased operations, travel, infrastructure, and legal and compliance costs associated with operations, entities, and/or people in different countries or regions;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need to understand, interpret and comply with local laws, regulations and customs in multiple jurisdictions, including laws and regulations governing cryptocurrency-related, broker-dealer, money transmitter, or regulated entity practices, some of which might require permissions, registrations, authorizations, licenses or consents, or might be different from, or conflict with, those of other jurisdictions or foreign cybersecurity, data privacy or labor and employment laws;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additional complexities of any merger or acquisition activity internationally, which would be new for us and could subject us to additional regulatory scrutiny or approvals;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need to adapt, localize, and position our products for specific countries (also known as “product-market fit”);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increased exposure to foreign fraud vectors;</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050"/>
                <wp:effectExtent l="0" t="0" r="0" b="0"/>
                <wp:wrapNone/>
                <wp:docPr id="63" name="Frame6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increased competition from local providers of similar products and services;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challenges of obtaining, maintaining, protecting, defending and enforcing intellectual property rights abroad, including the challenge of extending or obtaining third-party intellectual property rights to use various technologies in new countries;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need to offer customer support and other aspects of our offering (including websites, articles, blog posts, and customer support documentation) in various languages or locations;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compliance with anti-bribery and anti-corruption laws, such as the Foreign Corrupt Practices Act (the “FCPA”) and equivalent anti-money laundering and sanctions rules and requirements in local markets, by us, our employees, and our business partners;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need to recruit and manage staff in new countries and regions to support international operations, and comply with employment law, payroll, and benefits requirements in multiple countries;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need to enter into new business partnerships with third-party service providers in order to provide products and services in the local market, or to meet regulatory obligations;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varying levels of internet technology adoption and infrastructure, and increased or varying network and hosting service provider costs and differences in technology service delivery in different countries;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fluctuations in currency exchange rates and the requirements of currency control regulations, which might restrict or prohibit conversion of other currencies into U.S. dollars;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double taxation of our international earnings and potentially adverse tax consequences due to requirements of or changes in the income and other tax laws of the United States or the international jurisdictions in which we operate;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political or social change or unrest or economic instability in a specific country or region in which we operate.</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 </w:t>
      </w:r>
    </w:p>
    <w:p>
      <w:pPr>
        <w:pStyle w:val="TextBody"/>
        <w:spacing w:before="0" w:after="0"/>
        <w:ind w:left="0" w:right="0" w:firstLine="360"/>
        <w:jc w:val="both"/>
        <w:rPr/>
      </w:pPr>
      <w:r>
        <w:rPr/>
      </w:r>
    </w:p>
    <w:p>
      <w:pPr>
        <w:pStyle w:val="TextBody"/>
        <w:spacing w:lineRule="auto" w:line="268" w:before="0" w:after="0"/>
        <w:jc w:val="both"/>
        <w:rPr>
          <w:rFonts w:ascii="Helvetica;sans-serif" w:hAnsi="Helvetica;sans-serif"/>
          <w:b/>
          <w:i/>
          <w:color w:val="000000"/>
          <w:sz w:val="20"/>
        </w:rPr>
      </w:pPr>
      <w:r>
        <w:rPr>
          <w:rFonts w:ascii="Helvetica;sans-serif" w:hAnsi="Helvetica;sans-serif"/>
          <w:b/>
          <w:i/>
          <w:color w:val="000000"/>
          <w:sz w:val="20"/>
        </w:rPr>
        <w:t xml:space="preserve">We are exposed to funding transaction losses due to reversals or insufficient funds. </w:t>
      </w:r>
    </w:p>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050"/>
                <wp:effectExtent l="0" t="0" r="0" b="0"/>
                <wp:wrapNone/>
                <wp:docPr id="64" name="Frame6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Regulation and Litigation</w:t>
      </w:r>
    </w:p>
    <w:p>
      <w:pPr>
        <w:pStyle w:val="TextBody"/>
        <w:spacing w:before="0" w:after="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business is subject to extensive, complex and changing laws and regulations, and related regulatory proceedings and investigations. Changes in these laws and regulations, or our failure to comply with these laws and regulations, could harm our business.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a wide variety of local, state, federal, and international laws, regulations, licensing schemes, and industry standards in the United States and in other countries in which we operate. These laws, regulations, and standards govern numerous areas that are important to our business, and include, or might in the future include, those relating to all aspects of the securities industry, money transmission, foreign exchange, payments services (such as payment processing and settlement services), cryptocurrency, trading in shares and fractional shares, fraud detection, consumer protection, anti-money laundering, escheatment, sanctions regimes and export controls, data privacy, data protection, and data security.</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substantial costs and uncertainties related to complying with these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 </w:t>
      </w:r>
    </w:p>
    <w:p>
      <w:pPr>
        <w:pStyle w:val="TextBody"/>
        <w:spacing w:before="0" w:after="0"/>
        <w:ind w:left="0" w:right="0" w:firstLine="36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pStyle w:val="TextBody"/>
        <w:spacing w:before="0" w:after="0"/>
        <w:ind w:left="0" w:right="0" w:firstLine="360"/>
        <w:jc w:val="both"/>
        <w:rPr/>
      </w:pPr>
      <w:r>
        <w:rPr/>
      </w:r>
    </w:p>
    <w:p>
      <w:pPr>
        <w:pStyle w:val="TextBody"/>
        <w:spacing w:lineRule="auto" w:line="276" w:before="0" w:after="0"/>
        <w:jc w:val="both"/>
        <w:rPr>
          <w:rFonts w:ascii="Helvetica;sans-serif" w:hAnsi="Helvetica;sans-serif"/>
          <w:b w:val="false"/>
          <w:i/>
          <w:color w:val="000000"/>
          <w:sz w:val="20"/>
        </w:rPr>
      </w:pPr>
      <w:r>
        <w:rPr>
          <w:rFonts w:ascii="Helvetica;sans-serif" w:hAnsi="Helvetica;sans-serif"/>
          <w:b w:val="false"/>
          <w:i/>
          <w:color w:val="000000"/>
          <w:sz w:val="20"/>
        </w:rPr>
        <w:t>Broker-Dealer Regulation</w:t>
      </w:r>
    </w:p>
    <w:p>
      <w:pPr>
        <w:pStyle w:val="TextBody"/>
        <w:spacing w:before="0" w:after="0"/>
        <w:ind w:left="0" w:right="0" w:firstLine="36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broker-dealers, our subsidiaries RHF and RHS are subject to extensive regulation by federal and state regulators and SROs, and are subject to laws and regulations covering all aspects of the securities industry. Federal and state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 </w:t>
      </w:r>
    </w:p>
    <w:p>
      <w:pPr>
        <w:pStyle w:val="TextBody"/>
        <w:spacing w:lineRule="auto" w:line="288" w:before="0" w:after="200"/>
        <w:jc w:val="both"/>
        <w:rPr>
          <w:rFonts w:ascii="Helvetica;sans-serif" w:hAnsi="Helvetica;sans-serif"/>
          <w:b w:val="false"/>
          <w:i/>
          <w:color w:val="000000"/>
          <w:sz w:val="20"/>
        </w:rPr>
      </w:pPr>
      <w:r>
        <w:rPr>
          <w:rFonts w:ascii="Helvetica;sans-serif" w:hAnsi="Helvetica;sans-serif"/>
          <w:b w:val="false"/>
          <w:i/>
          <w:color w:val="000000"/>
          <w:sz w:val="20"/>
        </w:rPr>
        <w:t>Money-Transmitter Regulation</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050"/>
                <wp:effectExtent l="0" t="0" r="0" b="0"/>
                <wp:wrapNone/>
                <wp:docPr id="65" name="Frame6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money transmitters, certain of our subsidiaries are subject to regulation, primarily at the state level. We are also subject to regulation by the Consumer Financial Protection Bureau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From time to time, we have been subject, and, given the highly regulated nature of the industries in which we operate, we expect that we will be subject in the future, to a number of legal and regulatory examinations and investigations arising out of our business practices and operations, conducted by the SEC or FINRA, other federal agencies such as OFAC, and state regulatory agencies, such as the MSD, the California Attorney General’s Office, and the New York State Department of Financial Services (“NYDFS”),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 </w:t>
      </w:r>
    </w:p>
    <w:p>
      <w:pPr>
        <w:pStyle w:val="TextBody"/>
        <w:spacing w:before="0" w:after="0"/>
        <w:ind w:left="0" w:right="0" w:firstLine="720"/>
        <w:jc w:val="both"/>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In December 2020, we settled an SEC investigation under which we paid a $65 million civil penalty and agreed to engage an independent compliance consultant.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In June 2021, we resolved multiple matters with FINRA (including investigations into systems outages, our options product offering, and margin-related communications with customers), resulting in censure, fines and restitution of $70 million, and engagement of an independent consultant.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In connection with the Early 2021 Trading Restrictions, we and our employees, including our co-founder and CEO, Vladimir Tenev, have received requests for information, and in some cases, subpoenas and requests for testimony from the USAO, the DOJ, Antitrust Division, the SEC staff, FINRA, the New York Attorney General’s Office, other state attorneys general offices, and a number of state securities regulators. Also, a related search warrant was executed by the USAO to obtain Mr. Tenev’s cell phone. We have also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occurred after the decision to impose the Early 2021 Trading Restrictions and before the public announcement of the Early 2021 Trading </w:t>
      </w: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050"/>
                <wp:effectExtent l="0" t="0" r="0" b="0"/>
                <wp:wrapNone/>
                <wp:docPr id="66" name="Frame6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 xml:space="preserve">Restrictions on January 28, 2021. We are cooperating with these investigations and examinations.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 August 2022, we settled an NYDFS investigation under which we paid a monetary penalty of $30 million and engaged an independent compliance consultant.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 March and April 2023, we reached settlements with several state regulators, including the Alabama Securities Commission, the California Department of Financial Protection and Innovation, the Colorado Division of Securities, the Delaware Department of Justice - Investor Protection Unit, the New Jersey Bureau of Securities, the South Dakota Division of Insurance, and the Texas State Securities Board regarding investigations related to RHF’s options trading and related customer communications and displays, options and margin trading approval process, the March 2020 Outages, and customer support issues prior to June 2020, under which we have agreed to pay a monetary penalty of $200,000 per state. We anticipate potential additional state settlements as part of a multi-state settlement related to these issues totaling up to approximately $10 million.</w:t>
      </w:r>
    </w:p>
    <w:p>
      <w:pPr>
        <w:pStyle w:val="TextBody"/>
        <w:spacing w:before="0" w:after="0"/>
        <w:ind w:left="0" w:right="0" w:firstLine="72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These and other proceedings, some of which are described in Note 13 - Commitments &amp; Contingencies, to our unaudited condensed consolidated financial statements in this Quarterly Report, have in the past and might in the future relate to broker-dealer and financial services rules and regulations, including our trading and supervisory policies and procedures, our clearing practices, our trade reporting, our public communications, our compliance with FINRA registration requirements, anti-money laundering and other financial crimes regulations, cybersecurity matters, and our business continuity plans, among other topics. These sorts of proceedings, inquiries, examinations, investigations, and other regulatory matters might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 </w:t>
      </w:r>
    </w:p>
    <w:p>
      <w:pPr>
        <w:pStyle w:val="TextBody"/>
        <w:spacing w:before="0" w:after="0"/>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consultant’s evaluation is still ongoing, and may result in a recommendation to implement enhancements in certain areas identified in the settlement, which could require significant effort and expense to implement.</w:t>
      </w:r>
    </w:p>
    <w:p>
      <w:pPr>
        <w:pStyle w:val="TextBody"/>
        <w:spacing w:before="0" w:after="0"/>
        <w:jc w:val="both"/>
        <w:rPr/>
      </w:pPr>
      <w:r>
        <w:rPr/>
      </w:r>
    </w:p>
    <w:p>
      <w:pPr>
        <w:pStyle w:val="TextBody"/>
        <w:spacing w:lineRule="auto" w:line="288" w:before="0" w:after="0"/>
        <w:ind w:left="0" w:right="0" w:firstLine="360"/>
        <w:jc w:val="both"/>
        <w:rPr/>
      </w:pPr>
      <w:r>
        <w:rPr>
          <w:rFonts w:ascii="Helvetica;sans-serif" w:hAnsi="Helvetica;sans-serif"/>
          <w:b w:val="false"/>
          <w:color w:val="000000"/>
          <w:sz w:val="20"/>
        </w:rPr>
        <w:t>Additionally, RHS, RHF, RHC, and RHY are registered in the United States but are not currently licensed, authorized, or registered in any other jurisdiction (and in some cases are not licensed in every state). With the exception of Robinhood Wallet, which is offered through RHNC, under the terms of our customer agreements, we currently offer services only to U.S. citizens and permanent residents with a legal address within the United States or Puerto Rico, and our application includes features designed to block access to our services from unauthorized jurisdictions.</w:t>
      </w:r>
      <w:r>
        <w:rPr>
          <w:color w:val="000000"/>
        </w:rPr>
        <w:t xml:space="preserve"> </w:t>
      </w:r>
      <w:r>
        <w:rPr>
          <w:rFonts w:ascii="Helvetica;sans-serif" w:hAnsi="Helvetica;sans-serif"/>
          <w:b w:val="false"/>
          <w:color w:val="000000"/>
          <w:sz w:val="20"/>
        </w:rPr>
        <w:t xml:space="preserve">However, to the extent a customer accesses our application or services outside of jurisdictions where we have obtained required governmental licenses and authorization, we face a risk of becoming subject to regulations in that local jurisdiction. A regulator’s conclusion that we are servicing customers in its jurisdiction without being appropriately licensed, registered, or authorized could result in fines or other enforcement actions.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050"/>
                <wp:effectExtent l="0" t="0" r="0" b="0"/>
                <wp:wrapNone/>
                <wp:docPr id="67" name="Frame6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Recent statements by lawmakers, regulators and other public officials have signaled an increased focus on new or additional regulations that could impact our business and require us to make significant changes to our business model and practices.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Various lawmakers, regulators and other public officials have recently made statements about our business and that of other broker-dealers and signaled an increased focus on new or additional laws or regulations that, if acted upon, could impact our business. Over three days in the spring of 2021, the Committee on Financial Services of the U.S. House of Representatives held hearings on the January 2021 market volatility and disruptions surrounding GameStop and other “meme” stocks at which various members of Congress expressed concerns about various market practices, including PFOF and options trading. In his testimony, Chair Gensler indicated that he had instructed the staff of the SEC to study, and in some cases make rulemaking recommendations to the SEC regarding, a variety of market issues and practices, including PFOF, so-called gamification, and whether broker-dealers are adequately disclosing their policies and procedures around potential trading restrictions; whether margin requirements and other payment requirements are sufficient; and whether broker-dealers have appropriate tools to manage their liquidity and risk. Chair Gensler also discussed the use of mobile app features such as rewards, bonuses, push notifications and other prompts. Chair Gensler suggested that such prompts could promote behavior that is not in the interest of the customer, such as excessive trading. Chair Gensler also advised that he had directed the SEC staff to consider whether expanded enforcement mechanisms are necessary. In December 2022, the SEC proposed the December 2022 Rule Proposals, which relate to (i) best execution, (ii) order competition, (iii) order execution disclosure, and (iv) order tick size and fee caps. After issuing a request for information and public comment on digital engagement practices by broker-dealers and investment advisers in August 2021, the fall 2022 regulatory agenda published by the SEC also indicated that the SEC would consider proposing rules on that topic by April 2023, specifically the use of predictive data analytics, differential marketing, and behavioral prompts. In his April 2023 testimony before the U.S. House of Representatives Committee on Financial Services, Chair Gensler stated that he had asked the SEC staff to make recommendations for rule proposals addressing conflicts that can arise from the use of predictive analytics, in particular conflicts that may arise to the extent advisors or brokers are optimizing their own interests as well as others.</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pStyle w:val="TextBody"/>
        <w:spacing w:before="0" w:after="0"/>
        <w:ind w:left="0" w:right="0" w:firstLine="36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Also, in September 2021, FINRA announced that it is reviewing firms’ use of social media marketing, including social media influencers, which is a marketing channel that we actively utilize. In February 2022, FINRA opened an investigation into our use of social media marketing. Any limits that FINRA might impose on our use of this marketing channel could make it more difficult for us to attract new customers, resulting in slower growth.</w:t>
      </w:r>
    </w:p>
    <w:p>
      <w:pPr>
        <w:pStyle w:val="TextBody"/>
        <w:spacing w:before="0" w:after="0"/>
        <w:ind w:left="0" w:right="0" w:firstLine="36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050"/>
                <wp:effectExtent l="0" t="0" r="0" b="0"/>
                <wp:wrapNone/>
                <wp:docPr id="68" name="Frame6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are involved in numerous litigation matters that are expensive and time consuming, and, if resolved adversely, could expose us to significant liability and reputational harm.</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insurance matters, privacy and cybersecurity disputes, intellectual property disputes, contract disputes, consumer protection matters, and employment matters. This risk might be more pronounced during market downturns, during which the volume of legal claims and amount of damages sought in litigation and regulatory proceedings against financial services companies have historically increased. </w:t>
      </w:r>
    </w:p>
    <w:p>
      <w:pPr>
        <w:pStyle w:val="TextBody"/>
        <w:spacing w:before="0" w:after="0"/>
        <w:ind w:left="0" w:right="0" w:firstLine="72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 </w:t>
      </w:r>
    </w:p>
    <w:p>
      <w:pPr>
        <w:pStyle w:val="TextBody"/>
        <w:spacing w:before="0" w:after="0"/>
        <w:ind w:left="0" w:right="0" w:firstLine="36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For more information about the legal proceedings in which we are currently involved, see Note 13 - Commitments &amp; Contingencies, to our unaudited condensed consolidated financial statements in this Quarterly Report.</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required to comply with U.S. economic and trade sanctions administered by the U.S. Department of Treasury’s Office of Foreign Assets Control (“OFAC”) and we have processes in place to facilitate compliance with the OFAC regulations. As part of our customer onboarding process, in accordance with the Customer Identification Program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the FCPA, U.S. domestic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and similar laws and regulations. Regulators in the United States continue to increase their scrutiny of compliance with these obligations. For example, in August 2022, we settled an NYDFS investigation of our cryptocurrency business related primarily to anti-money laundering and cybersecurity-related issues, under which we paid a monetary penalty of $30 million and engaged an independent compliance consultant.</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Although our operations are currently concentrated in the United States (with the limited exception of our Dutch, Indian, and U.K. subsidiaries, which have locally-based employees and/or contractors, and our </w:t>
      </w: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050"/>
                <wp:effectExtent l="0" t="0" r="0" b="0"/>
                <wp:wrapNone/>
                <wp:docPr id="69" name="Frame6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Cayman Islands subsidiary, through which we offer Robinhood Wallet internationally) we intend to expand internationally and we will become subject to additional non-U.S. laws, rules, regulations, and other requirements regarding economic and trade sanctions, anti-money laundering, and counter-terror financing. In order to comply with applicable laws, we will need to further revise or expand our compliance program, including the procedures we use to verify the identity of our customers and to monitor transactions on our system,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Attracting, Retaining, and Engaging Customers</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operate in highly competitive markets, and many of our competitors have greater resources than we do and may have products and services that are more appealing than ours to our current or potential customers.</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and technology platforms. The majority of our competitors have longer operating histories and greater capital resources than we have and offer a wider range of products and services. Some of our competitors, particularly new and emerging technology companies, are not subject to the same regulatory requirements or scrutiny to which we are subject, which could allow them to innovate more quickly or take more 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and no account minimums, since their introduction on our platform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 into business combinations or partnerships, or established companies in other market segments expand to become competitive with our business.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compete successfully in the financial services and cryptocurrency markets depends on a number of factors, including, among other things:</w:t>
      </w:r>
    </w:p>
    <w:p>
      <w:pPr>
        <w:pStyle w:val="TextBody"/>
        <w:spacing w:before="0" w:after="0"/>
        <w:ind w:left="0" w:right="0" w:firstLine="360"/>
        <w:jc w:val="both"/>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maintaining competitive pricing;</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providing easy-to-use, innovative, and attractive products and services that are adopted by customers;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retaining customers (such as by providing effective customer support and avoiding outages, security breaches, and trading restrictions);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recruiting and retaining highly skilled personnel and senior management;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maintaining and improving our reputation and the market perception of our brand and overall value; </w:t>
      </w: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050"/>
                <wp:effectExtent l="0" t="0" r="0" b="0"/>
                <wp:wrapNone/>
                <wp:docPr id="70" name="Frame7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69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maintaining our relationships with our counterparties;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adjusting to a dynamic regulatory environment.</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competitive position within our markets could be adversely affected if we are unable to adequately address these factors.</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If we fail to retain existing customers or attract new customers, or if our customers decrease their use of our products and services, our revenue will decline.</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experienced significant customer growth in recent years (and in 2020 and 2021 in particular), including a significant fraction of new customers, often more than 50%, who have told us that Robinhood is their first brokerage account. We have historically relied significantly on our customers joining organically or through the Robinhood Referral Program, which accounted for over 80% of the customers that joined our platform in each of 2020, 2021, and 2022. Our business and revenue growth depends on our efforts to attract new customers, retain existing customers, and increase the amount that our customers use our products and services (including premium services, such as Robinhood Gold). It is particularly important that we retain and engage our most active brokerage customers, who account for a disproportionately large percentage of our brokerage trading volumes. Any erosion of this active customer base would have a disproportionately 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pStyle w:val="TextBody"/>
        <w:spacing w:before="0" w:after="0"/>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 decline in our brand and reputation;</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increased pricing for our products and services;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ineffective marketing efforts or a reduction in marketing activity;</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certain of our customers, due to being new and inexperienced, might be less loyal to our product or less likely to maintain historical trading patterns and interest in investing;</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 broad decline in the equity or other financial markets, which could result in many of these investors feeling discouraged and exiting the markets altogether (such as the 2022 Bear Markets);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rising inflation resulting in less disposable income for our customers to invest;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our customers experiencing difficulties using the Robinhood app as intended, due to any number of reasons such as design errors, service outages, or trading restrictions imposed by us;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our customers experiencing security or data breaches, account intrusions, or other unauthorized access;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our failure to provide adequate customer service;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customer resistance to and non-acceptance of cryptocurrencies;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customer dissatisfaction with the limited number of cryptocurrencies available on our platform.</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customers may choose to cease using our platform,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 The total value of outbound ACATS, an automated industry system for account asset transfers, was $4.2 billion in the first quarter of 2021, involving 5.2% of AUC from approximately 206,000 accounts, as compared to outbound transfers of $0.5 billion, involving 1.2% of AUC from approximately 24,000 accounts during each quarter of 2020 on average. </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050"/>
                <wp:effectExtent l="0" t="0" r="0" b="0"/>
                <wp:wrapNone/>
                <wp:docPr id="71" name="Frame7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If we fail to provide and monetize new and innovative products and services that are adopted by customers, our business may become less competitive and our revenue might decline.</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Our efforts have been and might continue to be inhibited by industry-wide standards, legal restrictions, incompatible customer expectations, demands, and preferences, or third-party intellectual property rights. Our efforts to innovate have been and might continue to also be delayed or blocked by new or enhanced regulatory scrutiny or technical complications. Incorporating new technologies into our products and services has required and might continue to require substantial expenditures and take considerable time, and we might not be successful in realizing a return on these development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w:t>
      </w:r>
    </w:p>
    <w:p>
      <w:pPr>
        <w:pStyle w:val="TextBody"/>
        <w:spacing w:lineRule="auto" w:line="288" w:before="300" w:after="283"/>
        <w:rPr>
          <w:rFonts w:ascii="Helvetica;sans-serif" w:hAnsi="Helvetica;sans-serif"/>
          <w:b w:val="false"/>
          <w:color w:val="000000"/>
          <w:sz w:val="28"/>
        </w:rPr>
      </w:pPr>
      <w:r>
        <w:rPr>
          <w:rFonts w:ascii="Helvetica;sans-serif" w:hAnsi="Helvetica;sans-serif"/>
          <w:b w:val="false"/>
          <w:color w:val="000000"/>
          <w:sz w:val="28"/>
        </w:rPr>
        <w:t>Risks Related to Our Platform, Systems, and Technology</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pStyle w:val="TextBody"/>
        <w:spacing w:before="0" w:after="0"/>
        <w:jc w:val="both"/>
        <w:rPr/>
      </w:pPr>
      <w:r>
        <w:rPr/>
      </w:r>
    </w:p>
    <w:p>
      <w:pPr>
        <w:pStyle w:val="TextBody"/>
        <w:spacing w:lineRule="auto" w:line="288" w:before="0" w:after="0"/>
        <w:ind w:left="0" w:right="0" w:firstLine="360"/>
        <w:jc w:val="both"/>
        <w:rPr/>
      </w:pPr>
      <w:r>
        <w:rPr>
          <w:rFonts w:ascii="Helvetica;sans-serif" w:hAnsi="Helvetica;sans-serif"/>
          <w:b w:val="false"/>
          <w:color w:val="000000"/>
          <w:sz w:val="20"/>
        </w:rPr>
        <w:t xml:space="preserve">We rely on technology, including the internet and mobile services, to conduct much of our business activity and allow our customers to conduct financial transactions on our platform.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 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 and other back-end infrastructure for our operations, and any such failures could have an adverse effect on our reputation, business, financial condition, and results of operations. For example, the Q4 2022 Processing Error, allowed customers, for a limited time, to execute trades selling more shares than they held in their accounts. This caused a temporary short position in that ticker symbol which Robinhood covered out of corporate cash within the same trading day, resulting in a loss of </w:t>
      </w:r>
      <w:r>
        <w:rPr>
          <w:rFonts w:ascii="Helvetica;sans-serif" w:hAnsi="Helvetica;sans-serif"/>
          <w:b w:val="false"/>
          <w:color w:val="000000"/>
          <w:sz w:val="20"/>
          <w:highlight w:val="white"/>
        </w:rPr>
        <w:t>$57 million</w:t>
      </w:r>
      <w:r>
        <w:rPr>
          <w:rFonts w:ascii="Helvetica;sans-serif" w:hAnsi="Helvetica;sans-serif"/>
          <w:b w:val="false"/>
          <w:color w:val="000000"/>
          <w:sz w:val="20"/>
        </w:rPr>
        <w:t xml:space="preserve">.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might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w:t>
      </w:r>
    </w:p>
    <w:p>
      <w:pPr>
        <w:pStyle w:val="HorizontalLine"/>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050"/>
                <wp:effectExtent l="0" t="0" r="0" b="0"/>
                <wp:wrapNone/>
                <wp:docPr id="72" name="Frame7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 xml:space="preserve">of our plans for features by examining hidden but unprotected images and code in publicly available beta versions of our app, resulting in unwanted publicity prior to our intended announcement dates. For example, this occurred in September 2021 prior to our launch announcement for our crypto transfers feature (“Crypto Transfers”) and in December 2021 prior to our launch announcement for our Crypto Gifts feature.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While we have made, and continue to make, significant investments designed to correct software errors and design defects and to enhance the reliability and scalability of our platform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 especially as our platform and product offerings become more complex and our customer base grows.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might be frozen or lost, the security of our hot or cold wallets might be compromised, and our platform and technical infrastructure might be affected.</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surges in trading volume on our platform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platform for a period of time, and (ii) partial service outages and degraded service on our cryptocurrency platform from time to time in mid-April and early May 2021 caused by a surging demand for cryptocurrency trading (the “April-May 2021 Disruptions”), which resulted in some of our customers being unable to buy and sell cryptocurrencies for a period of time. Our platform has otherwise in the past and might in the future experience outages. The March 2020 Outages resulted in putative class action lawsuits, arbitrations, and regulatory examinations and investigations. We provided remediation to many of our customers impacted by the March 2020 Outages through cash payments, resulting in out-of-pocket losses to us of approximately $3.6 million. Disruptions to, destruction of, improper 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 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 or to otherwise avoid our products and services. Additionally, our insurance policies might be insufficient to cover a claim made against us by any such customers affected by any disruptions, outages, or other performance or infrastructure problems.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success depends in part upon continued distribution through app stores and effective operation with mobile operating systems, networks, technologies, products, hardware and standards that we do not control.</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050"/>
                <wp:effectExtent l="0" t="0" r="0" b="0"/>
                <wp:wrapNone/>
                <wp:docPr id="73" name="Frame7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 substantial majority of our customers’ activity on our platform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 and those changes might be unfavorable to us and our customers’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In the event that it is more difficult for our customers to access and use our app, or if our customers choose not to access or use our app on their mobile devices or use mobile products that do not offer access to our app, our customer growth and engagement could be adversely affected and our revenues might decline.</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rely on third parties to perform some key functions, and their failure to perform those functions could adversely affect our business, financial condition and results of operations.</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rely on certain third-party computer systems or third-party service providers, including several cloud technology providers such as Amazon Web Services (on which we primarily rely to deliver our services to customers on our platform), internet service providers, payment services providers, market and third-party data providers, regulatory services providers, clearing systems, market makers, exchange systems, banking systems, payment gateways that link us to the payment card and bank clearing networks to process transactions, co-location facilities, communications facilities, and other third-party facilities to run our platform, facilitate trades by our customers, provide the technology we use to manage some of our cryptocurrency custody, transfer, and settlement operations, and support or carry out some regulatory obligations. In addition, external content providers provide us with financial information, market news, charts, option and stock quotes, cryptocurrency quotes, research reports, and other fundamental data that we provide to our customers. These providers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050"/>
                <wp:effectExtent l="0" t="0" r="0" b="0"/>
                <wp:wrapNone/>
                <wp:docPr id="74" name="Frame7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w:t>
      </w:r>
    </w:p>
    <w:p>
      <w:pPr>
        <w:pStyle w:val="TextBody"/>
        <w:spacing w:before="0" w:after="0"/>
        <w:ind w:left="0" w:right="0" w:firstLine="720"/>
        <w:rPr/>
      </w:pPr>
      <w:r>
        <w:rPr/>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Cybersecurity and Data Privacy</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business could be materially and adversely affected by a cybersecurity breach or other attack involving our computer systems or data or those of our customers or third-party service providers.</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systems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theft or misuse, denial-of-service attacks, and sophisticated nation-state and nation-state-supported actors engaging in attacks. The operation of our platform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 customer data or assets. For example, from January 1, 2020 to October 16, 2020, approximately 2,000 Robinhood customer accounts were allegedly accessed by unauthorized users. We believe these incidents resulted from compromised passwords off of our platform, rather than any failure of our security or systems. Nonetheless, we experienced negative publicity in connection with these events and might in the future experience similar adverse effects relating to real or perceived security incidents, whether or not related to the security of our platform or 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For example, we experienced the November 2021 Data Security Incident. Based on our investigation and that of a third-party security firm, we believe that the unauthorized party obtained names or email addresses for millions of people, phone numbers for several thousand people, additional personal information for a few hundred people, and extensive account details for about ten people, though we believe no Social Security numbers, bank account numbers, or credit or debit card numbers were exposed and that there has been no financial loss to any customers as a result of the incident.</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050"/>
                <wp:effectExtent l="0" t="0" r="0" b="0"/>
                <wp:wrapNone/>
                <wp:docPr id="75" name="Frame7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are also limited.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For example, in January 2023, unauthorized posts were made on our social media accounts, which were all removed within minutes. Based on a preliminary investigation, we believe the source of the incident was a compromise at a third-party vendor. In addition, in March 2022 a security breach occurred at Okta, an identity authentication provider that we utilize across our employee base. In general, an attacker with forged or compromised Okta service provider credentials could potentially have accessed several of our sensitive internal systems. Okta reports it has now corrected the issue and working with Okta, we have confirmed that such third-party vulnerability was not exploited to gain access to our systems. </w:t>
      </w:r>
    </w:p>
    <w:p>
      <w:pPr>
        <w:pStyle w:val="TextBody"/>
        <w:spacing w:before="0" w:after="0"/>
        <w:rPr/>
      </w:pPr>
      <w:r>
        <w:rPr/>
      </w:r>
    </w:p>
    <w:p>
      <w:pPr>
        <w:pStyle w:val="TextBody"/>
        <w:spacing w:lineRule="auto" w:line="276" w:before="0" w:after="0"/>
        <w:ind w:left="0" w:right="0" w:firstLine="720"/>
        <w:jc w:val="both"/>
        <w:rPr>
          <w:rFonts w:ascii="Helvetica;sans-serif" w:hAnsi="Helvetica;sans-serif"/>
          <w:b w:val="false"/>
          <w:color w:val="000000"/>
          <w:sz w:val="20"/>
        </w:rPr>
      </w:pPr>
      <w:r>
        <w:rPr>
          <w:rFonts w:ascii="Helvetica;sans-serif" w:hAnsi="Helvetica;sans-serif"/>
          <w:b w:val="false"/>
          <w:color w:val="000000"/>
          <w:sz w:val="20"/>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customers or our third-party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Class A common stock.</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w:t>
      </w:r>
    </w:p>
    <w:p>
      <w:pPr>
        <w:pStyle w:val="HorizontalLine"/>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050"/>
                <wp:effectExtent l="0" t="0" r="0" b="0"/>
                <wp:wrapNone/>
                <wp:docPr id="76" name="Frame7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subject to change and reinterpretation and could result in claims, changes to our business practices, monetary penalties, increased cost of operations, or other harm to our business.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5(c) of the Federal Trade Commission Act and state laws such as the California Consumer Privacy Act. We will also face particular privacy, data security and data protection risks if we continue to expand into the U.K. and the European Union and other jurisdictions in connection with the General Data Protection Regulation and other data protection regulations.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agencies and state attorneys general and legislatures and consumer protection agencies. For instance, we have in the past (as discussed in Note 13 - Commitments &amp; Contingencies to our unaudited condensed consolidated financial statements in this Quarterly Report) and may in the future be subject to investigations and examinations by the NYDFS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have received requests for information from FINRA examination staff, the SEC Division of Enforcement, and other regulatory authorities regarding, among other things, the adequacy of our information security measures. </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Our Brokerage Products and Services</w:t>
      </w:r>
    </w:p>
    <w:p>
      <w:pPr>
        <w:pStyle w:val="TextBody"/>
        <w:spacing w:before="0" w:after="0"/>
        <w:rPr/>
      </w:pPr>
      <w:r>
        <w:rPr/>
      </w:r>
    </w:p>
    <w:p>
      <w:pPr>
        <w:pStyle w:val="TextBody"/>
        <w:spacing w:lineRule="auto" w:line="288" w:before="0" w:after="0"/>
        <w:jc w:val="both"/>
        <w:rPr/>
      </w:pPr>
      <w:r>
        <w:rPr>
          <w:rFonts w:ascii="Helvetica;sans-serif" w:hAnsi="Helvetica;sans-serif"/>
          <w:b/>
          <w:i/>
          <w:color w:val="000000"/>
          <w:sz w:val="20"/>
        </w:rPr>
        <w:t>If we do not maintain the net capital levels required by regulators, our broker-dealer business may be restricted and we may be fined or subject to other disciplinary or corrective actions.</w:t>
      </w:r>
      <w:r>
        <w:rPr>
          <w:color w:val="CC0000"/>
        </w:rPr>
        <w:t xml:space="preserve"> </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SEC, FINRA, and various state regulators have stringent rules with respect to the maintenance of specific levels of net capital by securities broker-dealers. For example, our broker-dealer subsidiaries are each subject to the Net Capital Rule, which specifies minimum capital requirements intended to ensure the general financial soundness and liquidity of broker-dealers, and our clearing and carrying broker-dealer subsidiary is subject to Rule 15c3-3 under the Exchange Act, which requires broker-dealers to maintain liquidity reserves. Our failure to maintain the required net capital levels could result in immediate suspension of securities activities, suspension or expulsion by the SEC or FINRA, restrictions </w:t>
      </w:r>
    </w:p>
    <w:p>
      <w:pPr>
        <w:pStyle w:val="HorizontalLine"/>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050"/>
                <wp:effectExtent l="0" t="0" r="0" b="0"/>
                <wp:wrapNone/>
                <wp:docPr id="77" name="Frame7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A large operating loss or charge against net capital could have adverse effects on our ability to maintain or expand our business.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i/>
          <w:color w:val="000000"/>
          <w:sz w:val="20"/>
        </w:rPr>
      </w:pPr>
      <w:r>
        <w:rPr>
          <w:rFonts w:ascii="Helvetica;sans-serif" w:hAnsi="Helvetica;sans-serif"/>
          <w:b/>
          <w:i/>
          <w:color w:val="000000"/>
          <w:sz w:val="20"/>
        </w:rPr>
        <w:t>Our compliance and risk management policies and procedures as a regulated financial services company might not be fully effective in identifying or mitigating compliance and risk exposure in all market environments or against all types of risk.</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financial services company, our business exposes us to a number of heightened risks. We have devoted significant resources to develop our compliance and risk management policies and procedures and will continue to do so, but our efforts might be insufficient. Our limited operating experience at our current scale, evolving business; and unpredictable periods of rapid growth make it difficult to predict all of the risks and challenges we might encounter and therefore increase the risk that our policies and procedures to identify, monitor and manage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are subject to potential losses as a result of our clearing and execution activities.</w:t>
      </w:r>
    </w:p>
    <w:p>
      <w:pPr>
        <w:pStyle w:val="TextBody"/>
        <w:spacing w:before="0" w:after="0"/>
        <w:jc w:val="both"/>
        <w:rPr/>
      </w:pPr>
      <w:r>
        <w:rPr/>
      </w:r>
    </w:p>
    <w:p>
      <w:pPr>
        <w:pStyle w:val="TextBody"/>
        <w:spacing w:lineRule="auto" w:line="288" w:before="0" w:after="0"/>
        <w:ind w:left="0" w:right="0" w:firstLine="360"/>
        <w:jc w:val="both"/>
        <w:rPr/>
      </w:pPr>
      <w:r>
        <w:rPr>
          <w:rFonts w:ascii="Helvetica;sans-serif" w:hAnsi="Helvetica;sans-serif"/>
          <w:b w:val="false"/>
          <w:color w:val="000000"/>
          <w:sz w:val="20"/>
        </w:rPr>
        <w:t xml:space="preserve">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could lead to (i) civil penalties, as well as losses and liability as a result of related lawsuits brought by customers and others and any out-of-pocket costs associated with remediating customers for losses, and (ii) the risk of fines or other actions by regulators. For example, the Q4 2022 Processing Error resulted in a </w:t>
      </w:r>
      <w:r>
        <w:rPr>
          <w:rFonts w:ascii="Helvetica;sans-serif" w:hAnsi="Helvetica;sans-serif"/>
          <w:b w:val="false"/>
          <w:color w:val="000000"/>
          <w:sz w:val="20"/>
          <w:highlight w:val="white"/>
        </w:rPr>
        <w:t>$57 million</w:t>
      </w:r>
      <w:r>
        <w:rPr>
          <w:color w:val="000000"/>
        </w:rPr>
        <w:t xml:space="preserve"> </w:t>
      </w:r>
      <w:r>
        <w:rPr>
          <w:rFonts w:ascii="Helvetica;sans-serif" w:hAnsi="Helvetica;sans-serif"/>
          <w:b w:val="false"/>
          <w:color w:val="000000"/>
          <w:sz w:val="20"/>
        </w:rPr>
        <w:t>loss and we have received requests for information from FINRA staff related to this matter.</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clearing operations also require a commitment of our capital and, despite safeguards implemented through both manual and automated controls, involve risks of losses due to the potential failure of our customers to perform their obligations under these transactions and margin loans. If our </w:t>
      </w:r>
    </w:p>
    <w:p>
      <w:pPr>
        <w:pStyle w:val="HorizontalLine"/>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050"/>
                <wp:effectExtent l="0" t="0" r="0" b="0"/>
                <wp:wrapNone/>
                <wp:docPr id="78" name="Frame7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as a clearing member firm of securities and derivatives clearinghouses in the United States, we are also exposed to clearing member credit risk. Securities and derivatives clearinghouses 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pStyle w:val="TextBody"/>
        <w:spacing w:lineRule="auto" w:line="276" w:before="0" w:after="0"/>
        <w:ind w:left="0" w:right="0" w:firstLine="360"/>
        <w:rPr>
          <w:rFonts w:ascii="Helvetica;sans-serif" w:hAnsi="Helvetica;sans-serif"/>
          <w:b/>
          <w:i/>
          <w:color w:val="000000"/>
          <w:sz w:val="20"/>
        </w:rPr>
      </w:pPr>
      <w:r>
        <w:rPr>
          <w:rFonts w:ascii="Helvetica;sans-serif" w:hAnsi="Helvetica;sans-serif"/>
          <w:b/>
          <w:i/>
          <w:color w:val="000000"/>
          <w:sz w:val="20"/>
        </w:rPr>
        <w:t>Our exposure to credit risk with customers, market makers, and other counterparties could result in losses.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extend margin credit and leverage to customers, which are collateralized by customer securities.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We also lend, and to a lesser degree,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 </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Helvetica;sans-serif" w:hAnsi="Helvetica;sans-serif"/>
          <w:b w:val="false"/>
          <w:color w:val="000000"/>
          <w:sz w:val="20"/>
        </w:rPr>
        <w:t>We are also exposed to credit risk in our dealings with the market makers to which we route cryptocurrency orders. Unlike equities and option trades, cryptocurrency trades do not settle through any central clearinghouses but rather are conducted under bilateral agreements between us and each crypto market maker.</w:t>
      </w:r>
      <w:r>
        <w:rPr>
          <w:color w:val="000000"/>
        </w:rPr>
        <w:t xml:space="preserve"> </w:t>
      </w:r>
      <w:r>
        <w:rPr>
          <w:rFonts w:ascii="Helvetica;sans-serif" w:hAnsi="Helvetica;sans-serif"/>
          <w:b w:val="false"/>
          <w:color w:val="000000"/>
          <w:sz w:val="20"/>
        </w:rPr>
        <w:t>(The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w:t>
      </w:r>
      <w:r>
        <w:rPr>
          <w:color w:val="000000"/>
        </w:rPr>
        <w:t xml:space="preserve"> </w:t>
      </w:r>
      <w:r>
        <w:rPr>
          <w:rFonts w:ascii="Helvetica;sans-serif" w:hAnsi="Helvetica;sans-serif"/>
          <w:b w:val="false"/>
          <w:color w:val="000000"/>
          <w:sz w:val="20"/>
        </w:rPr>
        <w:t>It is not uncommon for us to have an intra-day outstanding net receivable of $100 million that we are owed by any one cryptocurrency market maker.</w:t>
      </w:r>
      <w:r>
        <w:rPr>
          <w:color w:val="000000"/>
        </w:rPr>
        <w:t xml:space="preserve"> </w:t>
      </w:r>
      <w:r>
        <w:rPr>
          <w:rFonts w:ascii="Helvetica;sans-serif" w:hAnsi="Helvetica;sans-serif"/>
          <w:b w:val="false"/>
          <w:color w:val="000000"/>
          <w:sz w:val="20"/>
        </w:rPr>
        <w:t>Similarly, we routinely have unsecured PFOF receivables from equities and options market makers. Any payment default by a market maker could have adverse effects on our financial condition and results of operations.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policies and procedures designed to manage credit risk, but we face a risk that such policies and procedures might not be fully effective.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Providing investment recommendations could subject us to investigations, penalties, and liability for customer losses if we fail to comply with applicable regulatory standards, and providing </w:t>
      </w:r>
    </w:p>
    <w:p>
      <w:pPr>
        <w:pStyle w:val="HorizontalLine"/>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050"/>
                <wp:effectExtent l="0" t="0" r="0" b="0"/>
                <wp:wrapNone/>
                <wp:docPr id="79" name="Frame7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pPr>
      <w:r>
        <w:rPr>
          <w:rFonts w:ascii="Helvetica;sans-serif" w:hAnsi="Helvetica;sans-serif"/>
          <w:b/>
          <w:i/>
          <w:color w:val="000000"/>
          <w:sz w:val="20"/>
        </w:rPr>
        <w:t>investment education tools could subject us to additional risks if such tools are construed to be investment advice or recommendations.</w:t>
      </w:r>
      <w:r>
        <w:rPr>
          <w:color w:val="C00000"/>
        </w:rPr>
        <w:t xml:space="preserve"> </w:t>
      </w:r>
    </w:p>
    <w:p>
      <w:pPr>
        <w:pStyle w:val="TextBody"/>
        <w:spacing w:before="0" w:after="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Risks associated with providing investment recommendations include those arising from how we disclose and address possible conflicts of interest, inadequate due diligence, inadequate disclosure, and human error. New regulations, such as the SEC’s Regulation Best Interest and certain state broker-dealer regulations, impose heightened conduct standards and requirements on recommendations to retail investors. In addition, various states are considering potential regulations or have already adopted certain regulations that could impose additional standards of conduct or other obligations on us to the extent we provide investment advice or recommendations to our customers.</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also provide customers with a variety of educational materials, investment tools, and financial news and information, such as our “Robinhood Snacks” newsletter (which is now offered by Sherwood Media, LLC (“Sherwood Media”), our new media subsidiary dedicated to providing news and information about the markets, economics, business, technology, and the culture of money), the suite of other editorial offerings that we expect Sherwood Media to launch throughout this year, and the Robinhood Investment Index. Additionally, Robinhood Gold members have access to stock research reports prepared by our third-party collaborator, Morningstar, Inc.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services that we do not consider to be recommendations (such as educational materials, and our editorial offerings, including Robinhood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our product features and marketing strategies amount to investment recommendations. See Note 13 - Commitments &amp; Contingencies, to our unaudited condensed consolidated financial statements in this Quarterly Report for more information. Changes in law or changes in interpretations of existing law might also require us to modify the nature of these services or discontinue them altogether, one or more of which could have an adverse effect on our ability to attract and retain customers. SEC staff members have also suggested that digital engagement practices could be considered recommendations in some circumstances and the fall 2022 regulatory agenda published by the SEC also indicated that the SEC would consider proposing rules in April 2023 for broker-dealers and investment advisers, specifically related to the use of predictive data analytics, differential marketing, and behavioral prompts.</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Cryptocurrency Products and Services</w:t>
      </w:r>
    </w:p>
    <w:p>
      <w:pPr>
        <w:pStyle w:val="TextBody"/>
        <w:spacing w:before="0" w:after="0"/>
        <w:rPr/>
      </w:pPr>
      <w:r>
        <w:rPr/>
      </w:r>
    </w:p>
    <w:p>
      <w:pPr>
        <w:pStyle w:val="TextBody"/>
        <w:spacing w:lineRule="auto" w:line="288" w:before="0" w:after="0"/>
        <w:jc w:val="both"/>
        <w:rPr/>
      </w:pPr>
      <w:r>
        <w:rPr>
          <w:rFonts w:ascii="Helvetica;sans-serif" w:hAnsi="Helvetica;sans-serif"/>
          <w:b/>
          <w:i/>
          <w:color w:val="000000"/>
          <w:sz w:val="20"/>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 unable to trade their cryptocurrency, our reputation and business could be harmed, and we might be liable for losses in excess of our ability to pay.</w:t>
      </w:r>
      <w:r>
        <w:rPr>
          <w:color w:val="CC0000"/>
        </w:rPr>
        <w:t xml:space="preserve"> </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050"/>
                <wp:effectExtent l="0" t="0" r="0" b="0"/>
                <wp:wrapNone/>
                <wp:docPr id="80" name="Frame8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79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hold all settled cryptocurrencies in custody on behalf of customers in two types of wallets: (i) hot wallets, which are managed online, and (ii) cold wallets, which are managed entirely offline and require physical access controls. We do not utilize third-party custodians for settled cryptocurrencies, but we do utilize technology from a third-party provider to manage some of our cryptocurrency, custody, transfer, and settlement operations. In general, the overwhelming majority of cryptocurrency coins on our platform are held in cold storage, though some coins are held in hot wallets to support day-to-day operations. Under blockchain protocol, in order to access or transfer cryptocurrency stored in a wallet, we need to use a private key. We maintain backup copies of our private keys in multiple separate locations and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we hold in custody on behalf of customers. Any such losses could be significant, and we might not be able to obtain insurance coverage for some or all of those losses. Cryptocurrencies and blockchain technologies have been, and might in the future be, subject to security breaches, hacking, or other malicious activities. For example, in August 2021, hackers were able to momentarily take over the Bitcoin SV (“BSV”) network, allowing them to spend coins they did not have and prevent transactions from completing. Any loss of private keys relating to, or hack or other compromise of, the hot wallets or cold wallets we use to store our customers’ cryptocurrencies could result in total loss of customers’ cryptocurrencies (because customers’ cryptocurrency balances and cryptocurrency investments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Our insurance coverage for such events is limited and might not cover the extent of loss nor the nature of such loss, in which case we might be liable for the full amount of losses suffered, which could be greater than all of our remaining assets. The total value of cryptocurrencies under our control on behalf of customers is significantly greater than the total value of insurance coverage that would compensate us in the event of theft or other loss of such assets. Additionally, any such security compromises or any business continuity issues affecting our cryptocurrency market makers might affect the ability or willingness of our customers to trade or hold cryptocurrencies on our platform, might result in litigation and regulatory enforcement actions, and could harm customer trust in us and our products generally.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The prices of most cryptocurrencies are extremely volatile. Fluctuations in the price of various cryptocurrencies might cause uncertainty in the market and could negatively impact trading volumes of cryptocurrencies, which would adversely affect the success of our business, financial condition and results of operations.</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prices of most cryptocurrencies are based in part on market adoption and future expectations, which might or might not be realized. As a result, the prices of cryptocurrencies are highly speculative. 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050"/>
                <wp:effectExtent l="0" t="0" r="0" b="0"/>
                <wp:wrapNone/>
                <wp:docPr id="81" name="Frame8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Changes in the rights, obligations, incentives, or rewards for the various participants in a blockchain network.</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maintenance and development of the software protocol of cryptocurrencies.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Cryptocurrency exchanges’ deposit and withdrawal policies and practices, liquidity on such exchanges and interruptions in service from or failures of such exchanges. For example, in connection with the 2022 Crypto Bankruptcies, the prices of coins such as Bitcoin, Ethereum, and Solana significantly decreased.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Regulatory measures, if any, that affect the use and value of cryptocurrencies.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Competition for and among various cryptocurrencies that exist and market preferences and expectations with respect to adoption of individual 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Actual or perceived manipulation of the markets for cryptocurrencies.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Actual or perceived connections between cryptocurrencies (and related activities such as mining) and adverse environmental effects or illegal activities.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Social media posts and other public communications by high-profile individuals relating to specific cryptocurrencies, or listing or other business decisions by cryptocurrency companies relating to specific cryptocurrencies.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Expectations with respect to the rate of inflation in the economy, monetary policies of governments, trade restrictions, and currency devaluations and revaluations.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we have observed a positive trend in the total market capitalization of cryptocurrency assets over the long term, driven by increased adoption of cryptocurrency trading by both retail and institutional 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While we currently support several cryptocurrencies for trading, market interest in particular cryptocurrencies can also be volatile and there are many cryptocurrencies in the market that we do not support. For example we support trading in Dogecoin and we benefited from a surge in interest for Dogecoin during the second quarter of 2021. For the first, second, and third quarters of 2021, transaction-based revenue attributable to transactions in Dogecoin generated approximately 7%, 32%, and 8% of our total net revenues, respectively. Our business could be adversely affected, and growth in our net revenue earned from cryptocurrency transactions could slow or decline, if the markets for the cryptocurrencies we support deteriorate or if demand moves to other cryptocurrencies not supported by our platform. From time to time, we also cease support of trading certain cryptocurrencies, or consider whether to cease support of certain cryptocurrencies. Ceasing support of a cryptocurrency with substantial market interest (or if our consideration to cease supporting such cryptocurrency becomes known) has in the past exposed and may expose us to negative attention and our business could be adversely affected. For example, we experienced an influx of customer complaints related to our decision to cease support of BSV in January 2023.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050"/>
                <wp:effectExtent l="0" t="0" r="0" b="0"/>
                <wp:wrapNone/>
                <wp:docPr id="82" name="Frame8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Any particular cryptocurrency’s status as a “security” is subject to a high degree of uncertainty and if we have not properly characterized one or more cryptocurrencies, we might be subject to regulatory scrutiny, investigations, fines, and other penalties. </w:t>
      </w:r>
    </w:p>
    <w:p>
      <w:pPr>
        <w:pStyle w:val="TextBody"/>
        <w:spacing w:before="0" w:after="0"/>
        <w:jc w:val="both"/>
        <w:rPr/>
      </w:pPr>
      <w:r>
        <w:rPr/>
      </w:r>
    </w:p>
    <w:p>
      <w:pPr>
        <w:pStyle w:val="TextBody"/>
        <w:spacing w:lineRule="auto" w:line="268" w:before="0" w:after="0"/>
        <w:ind w:left="0" w:right="0" w:firstLine="360"/>
        <w:jc w:val="both"/>
        <w:rPr/>
      </w:pPr>
      <w:r>
        <w:rPr>
          <w:rFonts w:ascii="Helvetica;sans-serif" w:hAnsi="Helvetica;sans-serif"/>
          <w:b w:val="false"/>
          <w:color w:val="000000"/>
          <w:sz w:val="20"/>
        </w:rPr>
        <w:t xml:space="preserve">We currently facilitate customer trades for certain cryptocurrencies that we have analyzed under applicable internal policies and procedures and that we believe are not securities under U.S. federal and state securities laws. The legal test for determining whether any given cryptocurrency is a security is a highly complex, fact-driven analysis that evolves over time, and the outcome is difficult to predict. The SEC staff has indicated that the determination of whether or not a cryptocurrency is a security depends on the characteristics and use of that particular asset. The SEC generally does not provide advance guidance or confirmation on the status of any particular cryptocurrency as a security. Occasionally though the SEC and its staff have taken positions that certain cryptocurrencies </w:t>
      </w:r>
      <w:r>
        <w:rPr>
          <w:rFonts w:ascii="Helvetica;sans-serif" w:hAnsi="Helvetica;sans-serif"/>
          <w:b w:val="false"/>
          <w:i/>
          <w:color w:val="000000"/>
          <w:sz w:val="20"/>
        </w:rPr>
        <w:t>are</w:t>
      </w:r>
      <w:r>
        <w:rPr>
          <w:color w:val="000000"/>
        </w:rPr>
        <w:t xml:space="preserve"> “</w:t>
      </w:r>
      <w:r>
        <w:rPr>
          <w:rFonts w:ascii="Helvetica;sans-serif" w:hAnsi="Helvetica;sans-serif"/>
          <w:b w:val="false"/>
          <w:color w:val="000000"/>
          <w:sz w:val="20"/>
        </w:rPr>
        <w:t xml:space="preserve">securities” – often in the context of enforcement actions – and we do not currently support any cryptocurrencies for which the SEC or its staff has taken such a position. Prior public statements by senior officials at the SEC indicate that the SEC does not intend to take the position that Bitcoin or Ethereum are securities (in their current forms). Bitcoin and Ethereum are the only specific cryptocurrencies as to which senior officials at the SEC have publicly expressed such a view. Moreover, such statements are not official policy statements by the SEC and reflect only the speakers’ views, which are not binding on the SEC or any other agency or court, cannot be generalized to any other cryptocurrency and might evolve. Similarly, although the SEC’s Strategic Hub for Innovation and Financial Technology published a framework for analyzing whether any given cryptocurrency is a security in April 2019, this framework is also not a rule, regulation, or statement of the SEC and is not binding on the SEC. With respect to all other cryptocurrencies, there is currently no certainty under the applicable legal test that such assets are not securities, and regulators have expressed concerns about cryptocurrency platforms adding multiple new coins, some of which the regulators question might be unregistered securities. In September 2022, Chair Gensler stated in a speech that he believes a vast majority of the nearly 10,000 tokens in the crypto market are securities and reiterated this statement in his September 2022 testimony before the U.S. Senate Committee on Banking, Housing, and Urban Affairs and April 2023 testimony before the U.S. House of Representatives Committee on Financial Services.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 regulatory action in the event the SEC or a court were to determine that a cryptocurrency supported by our platform is a “security” under U.S. law. In July 2022, the SEC filed an insider trading case against, among others, an employee of one of our competitors in which the complaint alleged that certain cryptocurrencies (none of which we currently support) were securities under the Securities Act and the Exchange Act. In February 2023, the SEC entered into a settlement agreement with cryptocurrency exchange Payward Ventures, Inc. and Payward Trading Ltd. (doing business as and hearinafter, “Kraken”) for failing to register its “staking-as-a-service” program as a securities offering in violation of Section 5 of the Securities Act. Pursuant to the settlement agreement, Kraken agreed to cease operations of its staking program in the U.S. and pay the SEC $30 million in fines. Additionally, in March 2023, Coinbase Global, Inc. and Coinbase, Inc. (collectively, “Coinbase”) disclosed that it had received a “Wells Notice” from the SEC staff stating that the staff had advised Coinbase that it made a “preliminary determination” to recommend that the SEC file an enforcement action against Coinbase alleging violations of the federal securities laws, including the Exchange Act and the Securities Act. Coinbase believes these potential enforcement actions would relate to aspects of its spot market, staking service, and its self-custodial crypto wallet, and that the potential civil action may seek injunctive relief, disgorgement, and civil penalties. While we do not currently offer crypto staking services or spot markets, we do offer the Robinhood Wallet, which is a self-custodial crypto wallet, and the status of these matters or any other action, settlement, or related investigation by regulators, might provide additional guidance on the legal status of cryptocurrencies as securities more generally, which might significantly affect the actual or perceived regulatory status and value of cryptocurrencies we currently support or might support in the future. From time to time, we have received, </w:t>
      </w:r>
    </w:p>
    <w:p>
      <w:pPr>
        <w:pStyle w:val="HorizontalLine"/>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050"/>
                <wp:effectExtent l="0" t="0" r="0" b="0"/>
                <wp:wrapNone/>
                <wp:docPr id="83" name="Frame8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 xml:space="preserve">and might in the future receive SEC inquiries regarding specific cryptocurrencies supported on our platform and added features and since December 2022, following the 2022 Crypto Bankruptcies, we have received investigative subpoenas from the SEC regarding, among other topics, RHC’s supported cryptocurrencies, custody of cryptocurrencies, and platform operations.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To the extent that the SEC or a court determines that any cryptocurrencies supported by our platform are securities, that determination could prevent us from continuing to facilitate trading of those cryptocurrencies (including ceasing support for such cryptocurrencies on our platform). It could also result in regulatory enforcement penalties and financial losses in the event that we have liability to our customers and need to compensate them for any losses or damages. We could be subject to judicial or administrative sanctions for failing to offer or sell the cryptocurrency in compliance with securities registration requirements, or for acting as a securities broker or dealer without appropriate registration. Such an action could result in injunctions and cease and desist orders, as well as civil monetary penalties, fines, and disgorgement, criminal liability, and reputational harm. Customers that traded such supported cryptocurrency through our platform and suffered trading losses might also seek to rescind transactions that we facilitated on the basis that they were conducted in violation of applicable law, which could subject us to significant liability and losses. We might also be required to cease facilitating transactions in the supported cryptocurrency, which could negatively impact our business, operating results, and financial condition. Further, if Bitcoin, Ethereum, or any other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particular, Chair Gensler noted in his April 2023 testimony that “Given that most crypto tokens are securities, it follows that many crypto intermediaries are transacting in securities and have to register with the SEC” and that crypto investors should benefit from compliance with the securities laws. In April 2023, the SEC also reopened the comment period and provided supplemental information on proposed amendments to the definition of “exchange” under Exchange Act Rule 3b-16, including reiterating the applicability of existing rules to platforms that trade crypto asset securities. Additionally, any determination that Bitcoin or Ethereum is a security could draw negative publicity and cause a decline in the general acceptance of cryptocurrencies. Also, it would make it more difficult for Bitcoin or Ethereum, as applicable, to be traded, cleared, and custodied as compared to other cryptocurrencies that are not considered to be securities. In addition, our growth might be adversely affected if we are not able to expand our platform to include additional cryptocurrencies that the SEC has determined to be securities or that we believe are likely to be determined to be securities. </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continue to analyze the cryptocurrencies supported on our platform under our internal policies and procedures (collectively, our “Crypto Listing Framework”) on a periodic basis to ensure that they continue to meet our requirements for continued support on our platform which include, among other factors, that we continue to believe they are not securities under U.S. federal and state securities laws. We may make the determination to cease support for a cryptocurrency for any one or a variety of factors based on a totality of the circumstances under our Crypto Listing Framework. However, a determination by the SEC or a court that a cryptocurrency supported by our platform constitutes a security could also result in our determination that it is advisable to remove that and other cryptocurrencies from our platform that have similar characteristics to the cryptocurrency that was determined to be a security. If we proactively remove certain cryptocurrencies from our platform because they share similarities with cryptocurrencies that the SEC or a court has determined constitute securities, or otherwise do not meet our Crypto Listing Framework, it could negatively impact customer sentiment and our business, operating results, and financial condition, especially to the extent that our competitors continue to support such cryptocurrency on their platforms. </w:t>
      </w:r>
    </w:p>
    <w:p>
      <w:pPr>
        <w:pStyle w:val="TextBody"/>
        <w:spacing w:before="0" w:after="0"/>
        <w:ind w:left="0" w:right="0" w:firstLine="360"/>
        <w:jc w:val="both"/>
        <w:rPr/>
      </w:pPr>
      <w:r>
        <w:rPr/>
      </w:r>
    </w:p>
    <w:p>
      <w:pPr>
        <w:pStyle w:val="TextBody"/>
        <w:spacing w:lineRule="auto" w:line="288" w:before="0" w:after="0"/>
        <w:jc w:val="both"/>
        <w:rPr/>
      </w:pPr>
      <w:r>
        <w:rPr>
          <w:rFonts w:ascii="Helvetica;sans-serif" w:hAnsi="Helvetica;sans-serif"/>
          <w:b/>
          <w:i/>
          <w:color w:val="000000"/>
          <w:sz w:val="20"/>
        </w:rPr>
        <w:t>Cryptocurrency laws, regulations, and accounting standards are often difficult to interpret and are rapidly evolving in ways that are difficult to predict.</w:t>
      </w:r>
      <w:r>
        <w:rPr>
          <w:color w:val="000000"/>
        </w:rPr>
        <w:t xml:space="preserve"> </w:t>
      </w:r>
      <w:r>
        <w:rPr>
          <w:rFonts w:ascii="Helvetica;sans-serif" w:hAnsi="Helvetica;sans-serif"/>
          <w:b/>
          <w:i/>
          <w:color w:val="000000"/>
          <w:sz w:val="20"/>
        </w:rPr>
        <w:t>Changes in these laws and regulations, or our failure to comply with them, could negatively impact cryptocurrency trading on our platform.</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050"/>
                <wp:effectExtent l="0" t="0" r="0" b="0"/>
                <wp:wrapNone/>
                <wp:docPr id="84" name="Frame8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Domestic and foreign regulators and governments are increasingly focused on the regulation of cryptocurrencies. In the United States, cryptocurrencies are regulated by both federal and state authorities, depending on the context of their usage.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Additionally, regulation in response to the climate impact of cryptocurrency mining could negatively impact cryptocurrency trading on our platform. </w:t>
      </w:r>
    </w:p>
    <w:p>
      <w:pPr>
        <w:pStyle w:val="TextBody"/>
        <w:spacing w:before="0" w:after="0"/>
        <w:ind w:left="0" w:right="0" w:firstLine="72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cryptocurrency accounting rules and regulations that we must comply with are complex and subject to interpretation by the Financial Accounting Standards Board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pStyle w:val="TextBody"/>
        <w:spacing w:before="0" w:after="0"/>
        <w:ind w:left="0" w:right="0" w:firstLine="36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 convert cryptocurrencies to fiat currencies. For example, Chair Gensler remarked several times in 2021 and 2022 on the need for further regulatory oversight of crypto trading and crypto lending platforms. Additionally in February 2023, the SEC issued a new rule proposal (the “February 2023 Custody Rule Proposal”) related to the custody of client assets by registered investment advisers, which, if adopted as proposed, would expand the existing custody rules to apply to a broad range of assets, including cryptocurrencies, and would require that any client assets be maintained by a qualified custodian. In connection with the announcement of the February 2023 Custody Rule Proposal, Chair Gensler noted that “Based upon how crypto platforms generally operate, investment advisers cannot rely on them as qualified custodians.” If the February 2023 Custody Rule Proposal is adopted as proposed, and we are not deemed to be a “qualified custodian,” we may be required to cease our custodial crypto offerings under certain circumstances, which would have a material adverse impact on our business and one of our primary sources of revenue. Some lawmakers and regulators have also raised questions about Transaction Rebates from cryptocurrency trading. Transaction Rebates from cryptocurrency trading have historically, and might continue, to comprise a significant percentage of our total net revenues. Any future regulatory actions or policies could reduce the demand for cryptocurrency trading and might materially decrease our revenue derived from Transaction Rebates in absolute terms and as a proportion of our total revenues.</w:t>
      </w:r>
    </w:p>
    <w:p>
      <w:pPr>
        <w:pStyle w:val="TextBody"/>
        <w:spacing w:before="0" w:after="0"/>
        <w:ind w:left="0" w:right="0" w:firstLine="360"/>
        <w:jc w:val="both"/>
        <w:rPr/>
      </w:pPr>
      <w:r>
        <w:rPr/>
      </w:r>
    </w:p>
    <w:p>
      <w:pPr>
        <w:pStyle w:val="TextBody"/>
        <w:spacing w:lineRule="auto" w:line="268" w:before="0" w:after="0"/>
        <w:ind w:left="0" w:right="0" w:firstLine="360"/>
        <w:jc w:val="both"/>
        <w:rPr/>
      </w:pPr>
      <w:r>
        <w:rPr>
          <w:rFonts w:ascii="Helvetica;sans-serif" w:hAnsi="Helvetica;sans-serif"/>
          <w:b w:val="false"/>
          <w:color w:val="000000"/>
          <w:sz w:val="20"/>
        </w:rPr>
        <w:t xml:space="preserve">In March 2022, the SEC staff issued SAB 121 requiring crypto platforms to recognize a liability and a corresponding asset equal to the fair value of the crypto-assets the entity safeguards on behalf of users. Such accounting treatment enhances the information received by investors regarding potential liabilities upon theft or loss of crypto-assets. But such treatment has also caused some users to question how safeguarded crypto-assets would be treated in a platform bankruptcy. We implemented SAB 121 for the quarter ended June 30, 2022, with retrospective application to the beginning of 2022. As a result of (and solely by virtue of) our implementation of SAB 121, the cryptocurrency we custody for users now appears on our balance sheet as an asset. In January 2023, the Bankruptcy Court for the Southern District of New York issued a ruling in </w:t>
      </w:r>
      <w:r>
        <w:rPr>
          <w:rFonts w:ascii="Helvetica;sans-serif" w:hAnsi="Helvetica;sans-serif"/>
          <w:b w:val="false"/>
          <w:i/>
          <w:color w:val="000000"/>
          <w:sz w:val="20"/>
        </w:rPr>
        <w:t>In re Celsius Network LLC</w:t>
      </w:r>
      <w:r>
        <w:rPr>
          <w:rFonts w:ascii="Helvetica;sans-serif" w:hAnsi="Helvetica;sans-serif"/>
          <w:b w:val="false"/>
          <w:color w:val="000000"/>
          <w:sz w:val="20"/>
        </w:rPr>
        <w:t xml:space="preserve">, that certain crypto assets held by Celsius customer accounts were the property of Celsius’s estate and that the holders of such accounts are unsecured creditors. However, unlike the terms of our user agreement, the terms of Celsius’s user agreement </w:t>
      </w:r>
    </w:p>
    <w:p>
      <w:pPr>
        <w:pStyle w:val="HorizontalLine"/>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050"/>
                <wp:effectExtent l="0" t="0" r="0" b="0"/>
                <wp:wrapNone/>
                <wp:docPr id="85" name="Frame8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jc w:val="both"/>
        <w:rPr>
          <w:rFonts w:ascii="Helvetica;sans-serif" w:hAnsi="Helvetica;sans-serif"/>
          <w:b w:val="false"/>
          <w:color w:val="000000"/>
          <w:sz w:val="20"/>
        </w:rPr>
      </w:pPr>
      <w:r>
        <w:rPr>
          <w:rFonts w:ascii="Helvetica;sans-serif" w:hAnsi="Helvetica;sans-serif"/>
          <w:b w:val="false"/>
          <w:color w:val="000000"/>
          <w:sz w:val="20"/>
        </w:rPr>
        <w:t>unambiguously provided that the rights to cryptocurrency held, including ownership rights, belonged to Celsius. Based on the terms of our user agreement, the structure of our crypto offerings, and applicable law, we believe that the cryptocurrency we hold in custody for users of our platform should be respected as users’ property (and should not be available to satisfy the claims of our general creditors) in the event we were to enter bankruptcy. Although we are well-capitalized, to the extent users are concerned that crypto-assets might not be secure in a platform bankruptcy generally, their willingness to hold crypto in custodial accounts and their general interest in trading cryptocurrencies might decline.</w:t>
      </w:r>
    </w:p>
    <w:p>
      <w:pPr>
        <w:pStyle w:val="TextBody"/>
        <w:spacing w:before="0" w:after="0"/>
        <w:ind w:left="0" w:right="0" w:firstLine="72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Furthermore, the Infrastructure Investment and Jobs Act significantly changes the tax reporting requirements applicable to brokers and holders of cryptocurrency and digital assets. New U.S. reporting requirements that were to be effective for information returns filed in 2024 regarding transactions occurring in calendar year 2023 have been delayed until final regulations are issued by the Treasury Department. The implementation of these requirements, and any further legislative changes or related guidance from the Internal Revenue Service,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pStyle w:val="TextBody"/>
        <w:spacing w:before="0" w:after="0"/>
        <w:ind w:left="0" w:right="0" w:firstLine="360"/>
        <w:jc w:val="both"/>
        <w:rPr/>
      </w:pPr>
      <w:r>
        <w:rPr/>
      </w:r>
    </w:p>
    <w:p>
      <w:pPr>
        <w:pStyle w:val="TextBody"/>
        <w:spacing w:lineRule="auto" w:line="276" w:before="0" w:after="0"/>
        <w:jc w:val="both"/>
        <w:rPr>
          <w:rFonts w:ascii="Helvetica;sans-serif" w:hAnsi="Helvetica;sans-serif"/>
          <w:b/>
          <w:i/>
          <w:color w:val="000000"/>
          <w:sz w:val="20"/>
        </w:rPr>
      </w:pPr>
      <w:r>
        <w:rPr>
          <w:rFonts w:ascii="Helvetica;sans-serif" w:hAnsi="Helvetica;sans-serif"/>
          <w:b/>
          <w:i/>
          <w:color w:val="000000"/>
          <w:sz w:val="20"/>
        </w:rPr>
        <w:t>Our Crypto Transfers, Robinhood Wallet, and Robinhood Connect features, could result in loss of customer assets, customer disputes, and other liabilities, which could harm our reputation and adversely impact trading volumes and transaction-based revenues.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allow customers to deposit and withdraw cryptocurrencies to and from our platform through our Crypto Transfers feature in the states in which RHC operates (other than New York, where our regulatory application is still pending). Crypto Transfers are processed using Robinhood’s general custodial infrastructure in which we hold some cryptocurrencies on behalf of customers; when transactions are completed, coins are allocated to and from individuals’ accounts in our customer records. Additionally, as of April 27, 2023, customers have access to a fiat-to-crypto on-ramp tool that developers can embed directly into their decentralized applications (“Robinhood Connect”), allowing their customers to use their RHC accounts to buy and transfer crypto, and fund their self-custody wallets.</w:t>
      </w:r>
    </w:p>
    <w:p>
      <w:pPr>
        <w:pStyle w:val="TextBody"/>
        <w:spacing w:before="0" w:after="0"/>
        <w:ind w:left="0" w:right="0" w:firstLine="720"/>
        <w:jc w:val="both"/>
        <w:rPr/>
      </w:pPr>
      <w:r>
        <w:rPr/>
      </w:r>
    </w:p>
    <w:p>
      <w:pPr>
        <w:pStyle w:val="TextBody"/>
        <w:spacing w:lineRule="auto" w:line="288" w:before="0" w:after="0"/>
        <w:ind w:left="0" w:right="0" w:firstLine="360"/>
        <w:jc w:val="both"/>
        <w:rPr/>
      </w:pPr>
      <w:r>
        <w:rPr>
          <w:rFonts w:ascii="Arial;sans-serif" w:hAnsi="Arial;sans-serif"/>
          <w:b w:val="false"/>
          <w:color w:val="000000"/>
          <w:sz w:val="20"/>
        </w:rPr>
        <w:t>Crypto Transfers initiated by users are subject to a heightened risk of user error. Under blockchain protocol, recording a transfer of cryptocurrency on the blockchain involves both the private key of the sending wallet and the unique public key of the receiving wallet.</w:t>
      </w:r>
      <w:r>
        <w:rPr>
          <w:color w:val="000000"/>
        </w:rPr>
        <w:t xml:space="preserve"> </w:t>
      </w:r>
      <w:r>
        <w:rPr>
          <w:rFonts w:ascii="Arial;sans-serif" w:hAnsi="Arial;sans-serif"/>
          <w:b w:val="false"/>
          <w:color w:val="000000"/>
          <w:sz w:val="20"/>
        </w:rPr>
        <w:t>Such keys are strings of alphanumeric characters.</w:t>
      </w:r>
      <w:r>
        <w:rPr>
          <w:color w:val="000000"/>
        </w:rPr>
        <w:t xml:space="preserve"> </w:t>
      </w:r>
      <w:r>
        <w:rPr>
          <w:rFonts w:ascii="Arial;sans-serif" w:hAnsi="Arial;sans-serif"/>
          <w:b w:val="false"/>
          <w:color w:val="000000"/>
          <w:sz w:val="20"/>
        </w:rPr>
        <w:t>In order for a customer to receive cryptocurrency on our platform,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 the customer will need to provide us with the public key of the external wallet to which the cryptocurrency is to be transferred, and we will “sign” the transaction using the private key of our wallet.</w:t>
      </w:r>
      <w:r>
        <w:rPr>
          <w:color w:val="000000"/>
        </w:rPr>
        <w:t xml:space="preserve"> </w:t>
      </w:r>
      <w:r>
        <w:rPr>
          <w:rFonts w:ascii="Arial;sans-serif" w:hAnsi="Arial;sans-serif"/>
          <w:b w:val="false"/>
          <w:color w:val="000000"/>
          <w:sz w:val="20"/>
        </w:rPr>
        <w:t xml:space="preserve">Some crypto networks might require additional information to be provided in connection with any transfer of cryptocurrency to or from our platform. A number of errors could occur in the process of depositing or withdrawing cryptocurrencies to or from our platform, such as typos, mistakes, or the failure to include information required by the blockchain network. For instance, a user might include typos when entering our custodial wallet’s public key or the desired recipient’s public key when depositing to and withdrawing from our platform,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w:t>
      </w:r>
    </w:p>
    <w:p>
      <w:pPr>
        <w:pStyle w:val="HorizontalLine"/>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050"/>
                <wp:effectExtent l="0" t="0" r="0" b="0"/>
                <wp:wrapNone/>
                <wp:docPr id="86" name="Frame8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Arial;sans-serif" w:hAnsi="Arial;sans-serif"/>
          <w:b w:val="false"/>
          <w:color w:val="000000"/>
          <w:sz w:val="20"/>
        </w:rPr>
      </w:pPr>
      <w:r>
        <w:rPr>
          <w:rFonts w:ascii="Arial;sans-serif" w:hAnsi="Arial;sans-serif"/>
          <w:b w:val="false"/>
          <w:color w:val="000000"/>
          <w:sz w:val="20"/>
        </w:rPr>
        <w:t xml:space="preserve">any of the other foregoing errors occur, such cryptocurrencies could be permanently and irretrievably lost with no means of recovery. </w:t>
      </w:r>
    </w:p>
    <w:p>
      <w:pPr>
        <w:pStyle w:val="TextBody"/>
        <w:spacing w:before="0" w:after="0"/>
        <w:ind w:left="0" w:right="0" w:firstLine="360"/>
        <w:jc w:val="both"/>
        <w:rPr/>
      </w:pPr>
      <w:r>
        <w:rPr/>
      </w:r>
    </w:p>
    <w:p>
      <w:pPr>
        <w:pStyle w:val="TextBody"/>
        <w:spacing w:lineRule="auto" w:line="288" w:before="0" w:after="0"/>
        <w:ind w:left="0" w:right="0" w:firstLine="360"/>
        <w:jc w:val="both"/>
        <w:rPr>
          <w:rFonts w:ascii="Arial;sans-serif" w:hAnsi="Arial;sans-serif"/>
          <w:b w:val="false"/>
          <w:color w:val="000000"/>
          <w:sz w:val="20"/>
        </w:rPr>
      </w:pPr>
      <w:r>
        <w:rPr>
          <w:rFonts w:ascii="Arial;sans-serif" w:hAnsi="Arial;sans-serif"/>
          <w:b w:val="false"/>
          <w:color w:val="000000"/>
          <w:sz w:val="20"/>
        </w:rPr>
        <w:t>As of March 1, 2023, customers have access to Robinhood Wallet, our self-custody, web3 wallet. With Robinhood Wallet, customers have sole access and control over their cryptocurrencies on the Polygon and Ethereum networks and personally hold and maintain their private keys. Although we do not custody cryptocurrencies held in a customer’s Robinhood Wallet and do not have access to customers’ private keys, customers who lose their private keys, and thus access to their Robinhood Wallet accounts, may react negatively. Although our account agreements for Crypto Transfers and Robinhood Wallet disclaims responsibility for losses caused by customer errors, such incidents could result in customer disputes, damage to our brand and reputation, legal claims against us, and financial liabilities.</w:t>
      </w:r>
    </w:p>
    <w:p>
      <w:pPr>
        <w:pStyle w:val="TextBody"/>
        <w:spacing w:before="0" w:after="0"/>
        <w:rPr/>
      </w:pPr>
      <w:r>
        <w:rPr/>
      </w:r>
    </w:p>
    <w:p>
      <w:pPr>
        <w:pStyle w:val="TextBody"/>
        <w:spacing w:lineRule="auto" w:line="276" w:before="0" w:after="0"/>
        <w:ind w:left="0" w:right="0" w:firstLine="360"/>
        <w:jc w:val="both"/>
        <w:rPr/>
      </w:pPr>
      <w:r>
        <w:rPr>
          <w:rFonts w:ascii="Arial;sans-serif" w:hAnsi="Arial;sans-serif"/>
          <w:b w:val="false"/>
          <w:color w:val="000000"/>
          <w:sz w:val="20"/>
        </w:rPr>
        <w:t xml:space="preserve">Additionally, allowing customers to deposit and withdraw cryptocurrencies to and from our platform increases the risk that </w:t>
      </w:r>
      <w:r>
        <w:rPr>
          <w:rFonts w:ascii="Arial;sans-serif" w:hAnsi="Arial;sans-serif"/>
          <w:b w:val="false"/>
          <w:color w:val="000000"/>
          <w:sz w:val="20"/>
          <w:highlight w:val="white"/>
        </w:rPr>
        <w:t xml:space="preserve">our platform might be exploited to facilitate illegal activity such as fraud, gambling, money laundering, tax evasion, and scams. Crypto Transfers, Robinhood Wallet, and Robinhood Connect also </w:t>
      </w:r>
      <w:r>
        <w:rPr>
          <w:rFonts w:ascii="Arial;sans-serif" w:hAnsi="Arial;sans-serif"/>
          <w:b w:val="false"/>
          <w:color w:val="000000"/>
          <w:sz w:val="20"/>
        </w:rPr>
        <w:t>expose us to heightened risks related to potential violations of trade sanctions, including OFAC regulations, and anti-money laundering and counter-terrorist financing laws, which among other things impose strict liability for transacting with prohibited persons.</w:t>
      </w:r>
      <w:r>
        <w:rPr>
          <w:color w:val="000000"/>
        </w:rPr>
        <w:t xml:space="preserve"> </w:t>
      </w:r>
      <w:r>
        <w:rPr>
          <w:rFonts w:ascii="Arial;sans-serif" w:hAnsi="Arial;sans-serif"/>
          <w:b w:val="false"/>
          <w:color w:val="000000"/>
          <w:sz w:val="20"/>
        </w:rPr>
        <w:t>We engage blockchain analytics vendors to help determine whether the external wallets involved in Crypto Transfers are controlled by persons on prohibited lists or involved in fraudulent or illegal activity.</w:t>
      </w:r>
      <w:r>
        <w:rPr>
          <w:color w:val="000000"/>
        </w:rPr>
        <w:t xml:space="preserve"> </w:t>
      </w:r>
      <w:r>
        <w:rPr>
          <w:rFonts w:ascii="Arial;sans-serif" w:hAnsi="Arial;sans-serif"/>
          <w:b w:val="false"/>
          <w:color w:val="000000"/>
          <w:sz w:val="20"/>
        </w:rPr>
        <w:t>However, fraudulent and illegal transactions and prohibited status could be difficult or impossible for us and our vendors to detect in some circumstances.</w:t>
      </w:r>
      <w:r>
        <w:rPr>
          <w:color w:val="000000"/>
        </w:rPr>
        <w:t xml:space="preserve"> </w:t>
      </w:r>
      <w:r>
        <w:rPr>
          <w:rFonts w:ascii="Arial;sans-serif" w:hAnsi="Arial;sans-serif"/>
          <w:b w:val="false"/>
          <w:color w:val="000000"/>
          <w:sz w:val="20"/>
        </w:rPr>
        <w:t xml:space="preserve">The use of our platform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 </w:t>
      </w:r>
    </w:p>
    <w:p>
      <w:pPr>
        <w:pStyle w:val="TextBody"/>
        <w:spacing w:lineRule="auto" w:line="288" w:before="0" w:after="0"/>
        <w:ind w:left="0" w:right="0" w:firstLine="360"/>
        <w:jc w:val="both"/>
        <w:rPr>
          <w:rFonts w:ascii="Helvetica;sans-serif" w:hAnsi="Helvetica;sans-serif"/>
          <w:b/>
          <w:i/>
          <w:color w:val="000000"/>
          <w:sz w:val="20"/>
        </w:rPr>
      </w:pPr>
      <w:r>
        <w:rPr>
          <w:rFonts w:ascii="Helvetica;sans-serif" w:hAnsi="Helvetica;sans-serif"/>
          <w:b/>
          <w:i/>
          <w:color w:val="000000"/>
          <w:sz w:val="20"/>
        </w:rPr>
        <w:t>A temporary or permanent blockchain “fork” could adversely affect our business.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Both Bitcoin and Ethereum protocols have been subject to “forks” recently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 certain community members might take actions that adversely impact the use, adoption and price of Bitcoin, Ethereum or any of their forked alternatives.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050"/>
                <wp:effectExtent l="0" t="0" r="0" b="0"/>
                <wp:wrapNone/>
                <wp:docPr id="87" name="Frame8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Furthermore, forks can lead to disruptions of networks and our information technology systems, cybersecurity attacks, replay attacks, or security weaknesses, any of which can further lead to temporary or even permanent loss of customer cryptocurrencies. For instance, when the Ethereum and Ethereum Classic networks split in July 2016, replay attacks, in which transactions from one network were rebroadcast on the other network to achieve “double-spending,” plagued platforms that traded Ethereum through at least October 2016, resulting in significant losses to some cryptocurrency platforms. Another possible result of a fork is an inherent decrease in the level of security due to the splitting of some mining 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 </w:t>
      </w:r>
    </w:p>
    <w:p>
      <w:pPr>
        <w:pStyle w:val="TextBody"/>
        <w:spacing w:before="0" w:after="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Moreover, we might not wish to or be able to support a cryptocurrency resulting from the fork of a network which might cause our customers to lose confidence in us or reduce their engagement on our platform.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 For example, in January 2023, after conducting a periodic analysis under our Crypto Listing Framework, we announced our decision to cease support of BSV, and provided notice to customers that they had until January 25, 2023 to buy, sell, hold, or transfer BSV, after which we sold all remaining BSV for market value, which was then credited to the customer accounts. We saw an increase in customer complaints related to our decision to cease support of BSV.</w:t>
      </w:r>
    </w:p>
    <w:p>
      <w:pPr>
        <w:pStyle w:val="TextBody"/>
        <w:spacing w:before="0" w:after="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Any inability to maintain adequate relationships with third-party banks, market makers, and liquidity providers with respect to, and any inability to settle customer trades related to, our cryptocurrency offerings would disrupt our ability to offer cryptocurrency trading to customers.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rely on third-party banks, market makers, and liquidity providers to provide cryptocurrency products and services to our customers. The cryptocurrency market operates 24 hours a day, seven days a week. The cryptocurrency market does not have a centralized clearinghouse, and the transactions in cryptocurrencies on our platform rely on direct settlements between us and our customers and direct settlements between us and our market makers or liquidity providers after customer trades are executed. Accordingly, we rely on third-party banks to facilitate cash settlements with customers’ brokerage accounts and we rely on the ability of market makers and liquidity providers to complete cryptocurrency settlements with us to obtain cryptocurrency for customer accounts. In addition, we must maintain cash </w:t>
      </w:r>
    </w:p>
    <w:p>
      <w:pPr>
        <w:pStyle w:val="HorizontalLine"/>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050"/>
                <wp:effectExtent l="0" t="0" r="0" b="0"/>
                <wp:wrapNone/>
                <wp:docPr id="88" name="Frame8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assets in our bank accounts sufficient to meet the working capital needs of our business, which includes deploying available working capital to facilitate cash settlements with our customers, market makers, and liquidity providers (as well as maintaining the minimum capital required by regulators). If we, third-party banks, market makers, or liquidity providers have operational failures and cannot perform and facilitate our routine cash and cryptocurrency settlement transactions, we will be unable to support normal trading operations on our cryptocurrency trading platform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 which could cause cryptocurrency trading volumes and transaction-based revenues to decline significantly.</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might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If we or our market makers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pStyle w:val="TextBody"/>
        <w:spacing w:before="0" w:after="0"/>
        <w:ind w:left="0" w:right="0" w:firstLine="36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might also be harmed by the loss of any of our liquidity partners. Unlike our customers’ orders for other cryptocurrencies, which are currently fulfilled by market makers, our customers’ orders for USD coin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From time to time, we might encounter technical issues in connection with changes and upgrades to the underlying networks of supported cryptocurrencies, which could cause revenues to decline and expose us to potential liability for customer losses.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number of technical changes, software upgrades, soft or hard forks, cybersecurity incidents or other changes to the underlying blockchain networks might occur from time to time, causing incompatibility, technical issues, disruptions or security weaknesses to our platform. If we are unable to identify, troubleshoot and resolve any such issues successfully, we might no longer be able to support such cryptocurrency, our customers’ assets might be frozen or lost, the security of our hot or cold wallets might be compromised and our platform and technical infrastructure might be affected, all of which could cause trading volumes and transaction-based revenue to decline and expose us to potential liability for customer losses.</w:t>
      </w:r>
    </w:p>
    <w:p>
      <w:pPr>
        <w:pStyle w:val="TextBody"/>
        <w:spacing w:lineRule="auto" w:line="288" w:before="300" w:after="283"/>
        <w:rPr>
          <w:rFonts w:ascii="Helvetica;sans-serif" w:hAnsi="Helvetica;sans-serif"/>
          <w:b w:val="false"/>
          <w:color w:val="000000"/>
          <w:sz w:val="28"/>
        </w:rPr>
      </w:pPr>
      <w:r>
        <w:rPr>
          <w:rFonts w:ascii="Helvetica;sans-serif" w:hAnsi="Helvetica;sans-serif"/>
          <w:b w:val="false"/>
          <w:color w:val="000000"/>
          <w:sz w:val="28"/>
        </w:rPr>
        <w:t>Risks Related to Our Robinhood Cash Card and Spending Account Products and Services</w:t>
      </w:r>
    </w:p>
    <w:p>
      <w:pPr>
        <w:pStyle w:val="TextBody"/>
        <w:spacing w:before="0" w:after="0"/>
        <w:rPr/>
      </w:pPr>
      <w:r>
        <w:rPr/>
      </w:r>
    </w:p>
    <w:p>
      <w:pPr>
        <w:pStyle w:val="TextBody"/>
        <w:spacing w:lineRule="auto" w:line="288" w:before="0" w:after="0"/>
        <w:rPr>
          <w:rFonts w:ascii="Helvetica;sans-serif" w:hAnsi="Helvetica;sans-serif"/>
          <w:b/>
          <w:i/>
          <w:color w:val="000000"/>
          <w:sz w:val="20"/>
        </w:rPr>
      </w:pPr>
      <w:r>
        <w:rPr>
          <w:rFonts w:ascii="Helvetica;sans-serif" w:hAnsi="Helvetica;sans-serif"/>
          <w:b/>
          <w:i/>
          <w:color w:val="000000"/>
          <w:sz w:val="20"/>
        </w:rPr>
        <w:t>The Robinhood Cash Card and spending account subject us to risks related to bank partnerships and FDIC and other regulatory obligations.</w:t>
      </w:r>
    </w:p>
    <w:p>
      <w:pPr>
        <w:pStyle w:val="HorizontalLine"/>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050"/>
                <wp:effectExtent l="0" t="0" r="0" b="0"/>
                <wp:wrapNone/>
                <wp:docPr id="89" name="Frame8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before="0" w:after="0"/>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offer spending accounts (in connection with a partnership with J.P. Morgan Chase Bank, N.A.), and we have also partnered, on a non-exclusive basis, with Sutton Bank (“Sutton”), an Ohio-chartered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Our partner banks are members of the FDIC.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believe our record keeping for our users’ funds held in Robinhood Cash Card accounts at Sutton and held in spending accounts at our other partner bank complies with all applicable requirements for each participating user’s deposits to be eligible for FDIC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RHY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a result of the stored value spending account program and the Robinhood Cash Card, we are subject to federal and state consumer protection laws and regulations, including the Electronic Fund Transfer Act and Regulation E as implemented by the CFPB. Violations of any of these requirements could result in the assessment of significant actual damages or statutory damages or penalties (including treble damages in some instances) and plaintiffs’ attorneys’ fees. </w:t>
      </w:r>
    </w:p>
    <w:p>
      <w:pPr>
        <w:pStyle w:val="TextBody"/>
        <w:spacing w:lineRule="auto" w:line="288" w:before="0" w:after="200"/>
        <w:jc w:val="both"/>
        <w:rPr/>
      </w:pPr>
      <w:r>
        <w:rPr>
          <w:rFonts w:ascii="Helvetica;sans-serif" w:hAnsi="Helvetica;sans-serif"/>
          <w:b/>
          <w:i/>
          <w:color w:val="000000"/>
          <w:sz w:val="20"/>
        </w:rPr>
        <w:t>Use of our payments services for illegal activities or improper purposes could harm our business</w:t>
      </w:r>
      <w:r>
        <w:rPr>
          <w:rFonts w:ascii="Helvetica;sans-serif" w:hAnsi="Helvetica;sans-serif"/>
          <w:b w:val="false"/>
          <w:i/>
          <w:color w:val="000000"/>
          <w:sz w:val="20"/>
        </w:rPr>
        <w:t xml:space="preserve">. </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highly automated nature of, and liquidity offered by, our payments services make us and our customers a target for illegal or improper uses, including scams and fraud directed at our stored value account and Robinhood Cash Card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RHY, that are peripherally involved in the sale of infringing or allegedly infringing items. While we invest in measures intended to prevent and detect illegal activities on our payments platform, these measures require continuous improvement and might not be effective in detecting and preventing illegal activity or improper uses.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illegal or improper uses of our payments platform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payments platform for illegal or improper activity, and our failure to detect or prevent such use. Illegitimate transactions can also prevent us from satisfying our contractual obligations to our third-party partners, which might cause us to be in breach of our obligations.</w:t>
      </w:r>
    </w:p>
    <w:p>
      <w:pPr>
        <w:pStyle w:val="TextBody"/>
        <w:spacing w:before="0" w:after="0"/>
        <w:ind w:left="0" w:right="0" w:firstLine="720"/>
        <w:jc w:val="both"/>
        <w:rPr/>
      </w:pPr>
      <w:r>
        <w:rPr/>
      </w:r>
    </w:p>
    <w:p>
      <w:pPr>
        <w:pStyle w:val="HorizontalLine"/>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050"/>
                <wp:effectExtent l="0" t="0" r="0" b="0"/>
                <wp:wrapNone/>
                <wp:docPr id="90" name="Frame9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89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Our Intellectual Property</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Any failure to obtain, maintain, protect, defend or enforce our intellectual property rights could adversely affect our business.</w:t>
      </w:r>
    </w:p>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 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 </w:t>
      </w:r>
    </w:p>
    <w:p>
      <w:pPr>
        <w:pStyle w:val="TextBody"/>
        <w:spacing w:before="0" w:after="0"/>
        <w:jc w:val="both"/>
        <w:rPr/>
      </w:pPr>
      <w:r>
        <w:rPr/>
      </w:r>
    </w:p>
    <w:p>
      <w:pPr>
        <w:pStyle w:val="TextBody"/>
        <w:spacing w:lineRule="auto" w:line="276" w:before="0" w:after="0"/>
        <w:ind w:left="0" w:right="0" w:firstLine="360"/>
        <w:jc w:val="both"/>
        <w:rPr/>
      </w:pPr>
      <w:r>
        <w:rPr>
          <w:rFonts w:ascii="Helvetica;sans-serif" w:hAnsi="Helvetica;sans-serif"/>
          <w:b w:val="false"/>
          <w:color w:val="000000"/>
          <w:sz w:val="20"/>
        </w:rPr>
        <w:t>In addition, we might need to expend significant resources to apply for, maintain, enforce and monitor our intellectual property rights and such efforts might be ineffective and could result in substantial costs and diversion of resources.</w:t>
      </w:r>
      <w:r>
        <w:rPr>
          <w:color w:val="000000"/>
        </w:rPr>
        <w:t xml:space="preserve"> </w:t>
      </w:r>
      <w:r>
        <w:rPr>
          <w:rFonts w:ascii="Helvetica;sans-serif" w:hAnsi="Helvetica;sans-serif"/>
          <w:b w:val="false"/>
          <w:color w:val="000000"/>
          <w:sz w:val="20"/>
        </w:rPr>
        <w:t xml:space="preserve">An adverse outcome in any such litigation or proceedings might expose us to </w:t>
      </w:r>
    </w:p>
    <w:p>
      <w:pPr>
        <w:pStyle w:val="HorizontalLine"/>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050"/>
                <wp:effectExtent l="0" t="0" r="0" b="0"/>
                <wp:wrapNone/>
                <wp:docPr id="91" name="Frame9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90</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a loss of our competitive position, significant liabilities, and damage to our brand, or require us to seek licenses that might not be available on commercially acceptable terms, if at all.</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We have been, and might in the future be, subject to claims that we violated third-party intellectual property rights, which, even where meritless, can be costly to defend and could materially adversely affect our business, results of operations, and financial condition.</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success depends, in part, on our ability to develop and commercialize our products and services without infringing, misappropriating or otherwise violating the intellectual property rights of third parties. However, we might not be aware that our products or services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use of third-party software and other intellectual property rights might be subject to claims of infringement or misappropriation. The vendors who provide us with technology that we incorporate in our product offerings also could become subject to various infringement claims.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From time to time, our competitors or other third parties might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Some of our products and services contain open source software, which could pose particular risks to our proprietary software, products, and services in a manner that could harm our business.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w:t>
      </w:r>
    </w:p>
    <w:p>
      <w:pPr>
        <w:pStyle w:val="HorizontalLine"/>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050"/>
                <wp:effectExtent l="0" t="0" r="0" b="0"/>
                <wp:wrapNone/>
                <wp:docPr id="92" name="Frame9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91</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Any actual or claimed requirement to disclose our proprietary source code or pay damages for breach of license terms could harm our business and could help third parties, including our competitors, develop products and services that are similar to or better than ours.</w:t>
      </w:r>
    </w:p>
    <w:p>
      <w:pPr>
        <w:pStyle w:val="TextBody"/>
        <w:spacing w:before="0" w:after="0"/>
        <w:ind w:left="0" w:right="0" w:firstLine="360"/>
        <w:jc w:val="both"/>
        <w:rPr/>
      </w:pPr>
      <w:r>
        <w:rPr/>
      </w:r>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Risks Related to Finance, Accounting and Tax Matters</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Covenants in our credit agreements could restrict our operations and if we do not effectively manage our business to comply with these covenants, our financial condition could be adversely impacted.</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entered into two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insurance coverage might be inadequate or expensive.</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For example, we offer a guarantee to our customers to fully reimburse direct losses that occur due to unauthorized activity that is not the fault of the customer, and any such losses we incur </w:t>
      </w:r>
    </w:p>
    <w:p>
      <w:pPr>
        <w:pStyle w:val="HorizontalLine"/>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050"/>
                <wp:effectExtent l="0" t="0" r="0" b="0"/>
                <wp:wrapNone/>
                <wp:docPr id="93" name="Frame9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rFonts w:ascii="Helvetica;sans-serif" w:hAnsi="Helvetica;sans-serif"/>
          <w:b w:val="false"/>
          <w:color w:val="000000"/>
          <w:sz w:val="20"/>
        </w:rPr>
      </w:pPr>
      <w:r>
        <w:rPr>
          <w:rFonts w:ascii="Helvetica;sans-serif" w:hAnsi="Helvetica;sans-serif"/>
          <w:b w:val="false"/>
          <w:color w:val="000000"/>
          <w:sz w:val="20"/>
        </w:rPr>
        <w:t>in satisfaction of this guarantee might not be fully or even partially covered by insurance. Furthermore, continued insurance coverage might not be available to us in the future on economically reasonable terms, or at all.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Changes in U.S. and foreign tax laws and policies could adversely impact our tax liabilities.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are subject to complex and evolving U.S. and foreign tax laws and regulations, which might in the future make changes to corporate income tax rates, the treatment of foreign earnings, or other income tax laws that could affect our future income tax provision and reduce our earnings while increasing the complexity, burden and cost of tax compliance.</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determination of our tax liability is subject to review by applicable tax authorities. Any adverse outcome of such a review could cause our tax liabilities to increase. The determination of our tax liabilities requires significant judgment and, in the ordinary course of business, there are many transactions and calculations where the ultimate tax determination is complex and uncertain. In addition, our future effective tax rates could be favorably or unfavorably affected by changes in tax rates, changes in the valuation of our deferred tax assets or liabilities, the effectiveness of our tax planning strategies or changes in tax laws or their interpretation. Such changes could have an adverse effect on our financial condition.</w:t>
      </w:r>
    </w:p>
    <w:p>
      <w:pPr>
        <w:pStyle w:val="TextBody"/>
        <w:spacing w:before="0" w:after="0"/>
        <w:ind w:left="0" w:right="0" w:firstLine="36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pStyle w:val="TextBody"/>
        <w:spacing w:before="0" w:after="0"/>
        <w:jc w:val="both"/>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believe our estimates are reasonable, as a result of these and other factors, the ultimate amount of our tax obligations owed might differ from the amounts recorded in our unaudited condensed consolidated financial statements and any such difference could harm our results of operations in future periods in which we change our estimates of our tax obligations or in which the ultimate tax outcome is determined.</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from time to time, proposals are introduced in the U.S. Congress and state legislatures, as well as by foreign governments, to impose new taxes on a broad range of financial transactions, including transactions that occur on our platform, such as the buying and selling of stocks, derivative transactions, and cryptocurrencies. If enacted, such financial transaction taxes could increase the cost to customers of investing or trading on our platform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pStyle w:val="TextBody"/>
        <w:spacing w:before="0" w:after="0"/>
        <w:ind w:left="0" w:right="0" w:firstLine="36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also are subject to non-income taxes, such as payroll, sales, use, value-added, net worth,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 Tax authorities might disagree with certain positions we have taken or might take in the future. As a result, we could be subject to additional tax liabilities.</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050"/>
                <wp:effectExtent l="0" t="0" r="0" b="0"/>
                <wp:wrapNone/>
                <wp:docPr id="94" name="Frame9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93</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ability to use our net operating losses to offset future taxable income could be subject to certain limitations.</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As of December 31, 2022, we have net operating loss carryforwards (“NOLs”) available to reduce future taxable income. However, under Sections 382 and 383 of the United States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For these reasons, we might not be able to utilize our NOLs, even if we maintain profitability.</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Our tax information reporting obligations are subject to change.</w:t>
      </w:r>
    </w:p>
    <w:p>
      <w:pPr>
        <w:pStyle w:val="TextBody"/>
        <w:spacing w:before="0" w:after="0"/>
        <w:jc w:val="both"/>
        <w:rPr/>
      </w:pPr>
      <w:r>
        <w:rPr/>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pStyle w:val="TextBody"/>
        <w:spacing w:lineRule="auto" w:line="288" w:before="0" w:after="200"/>
        <w:jc w:val="both"/>
        <w:rPr>
          <w:rFonts w:ascii="Helvetica;sans-serif" w:hAnsi="Helvetica;sans-serif"/>
          <w:b/>
          <w:i/>
          <w:color w:val="000000"/>
          <w:sz w:val="20"/>
        </w:rPr>
      </w:pPr>
      <w:r>
        <w:rPr>
          <w:rFonts w:ascii="Helvetica;sans-serif" w:hAnsi="Helvetica;sans-serif"/>
          <w:b/>
          <w:i/>
          <w:color w:val="000000"/>
          <w:sz w:val="20"/>
        </w:rPr>
        <w:t>We track certain operational metrics, which are subject to inherent challenges in measurement, and real or perceived inaccuracies in such metrics could harm our reputation, adversely affect our stock price, and result in litigation.</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track certain operational metrics using internal company data gathered on an analytics platform that we developed and operate, including metrics such as MAU, AUC and Net Cumulative Funded Accounts,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third-party provider for our clearing operations, and used data collected by that third party to compute certain metrics, such as Net Cumulative Funded Accounts,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 is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pStyle w:val="HorizontalLine"/>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050"/>
                <wp:effectExtent l="0" t="0" r="0" b="0"/>
                <wp:wrapNone/>
                <wp:docPr id="95" name="Frame95"/>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94</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before="0" w:after="0"/>
        <w:ind w:left="0" w:right="0" w:firstLine="360"/>
        <w:jc w:val="both"/>
        <w:rPr/>
      </w:pPr>
      <w:r>
        <w:rPr/>
      </w:r>
    </w:p>
    <w:p>
      <w:pPr>
        <w:pStyle w:val="TextBody"/>
        <w:spacing w:lineRule="auto" w:line="288" w:before="0" w:after="0"/>
        <w:jc w:val="both"/>
        <w:rPr/>
      </w:pPr>
      <w:r>
        <w:rPr>
          <w:rFonts w:ascii="Helvetica;sans-serif" w:hAnsi="Helvetica;sans-serif"/>
          <w:b/>
          <w:i/>
          <w:color w:val="000000"/>
          <w:sz w:val="20"/>
        </w:rPr>
        <w:t>If we fail to maintain effective internal control over financial reporting, as well as required disclosure controls and procedures, our ability to produce timely and accurate consolidated financial statements</w:t>
      </w:r>
      <w:r>
        <w:rPr>
          <w:color w:val="000000"/>
        </w:rPr>
        <w:t xml:space="preserve"> </w:t>
      </w:r>
      <w:r>
        <w:rPr>
          <w:rFonts w:ascii="Helvetica;sans-serif" w:hAnsi="Helvetica;sans-serif"/>
          <w:b/>
          <w:i/>
          <w:color w:val="000000"/>
          <w:sz w:val="20"/>
        </w:rPr>
        <w:t>or comply with applicable regulations could be impaired.</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 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 </w:t>
      </w:r>
    </w:p>
    <w:p>
      <w:pPr>
        <w:pStyle w:val="TextBody"/>
        <w:spacing w:before="0" w:after="0"/>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 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pStyle w:val="TextBody"/>
        <w:spacing w:lineRule="auto" w:line="288" w:before="300" w:after="283"/>
        <w:rPr>
          <w:rFonts w:ascii="Helvetica;sans-serif" w:hAnsi="Helvetica;sans-serif"/>
          <w:b w:val="false"/>
          <w:color w:val="000000"/>
          <w:sz w:val="28"/>
        </w:rPr>
      </w:pPr>
      <w:r>
        <w:rPr>
          <w:rFonts w:ascii="Helvetica;sans-serif" w:hAnsi="Helvetica;sans-serif"/>
          <w:b w:val="false"/>
          <w:color w:val="000000"/>
          <w:sz w:val="28"/>
        </w:rPr>
        <w:t>Risks Related to Our Class A Common Stock</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 xml:space="preserve">The trading price for our Class A common stock has been and might continue to be volatile and you could lose all or part of your investment. </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trading price of our Class A common stock has been and might continue to be highly volatile and could continue to be subject to fluctuations in response to one or more of the risk factors described in this report, many of which are beyond our control. For example, on November 8, 2022 (the day that FTX halted all non-fiat customer withdrawals from its platform) the intra-day trading price of our Class A common stock fell as much as 18%, and on December 14, 2022 (the day the December 2022 Rule Proposals were announced), the intra-day trading prices of our Class A common stock fell as much as 5.3%.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pStyle w:val="HorizontalLine"/>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050"/>
                <wp:effectExtent l="0" t="0" r="0" b="0"/>
                <wp:wrapNone/>
                <wp:docPr id="96" name="Frame96"/>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95</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announcements by us or our competitors of new offerings or platform features;</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public’s perception of the quality and accuracy of our key metrics on our customer base and engagement;</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public’s reaction to our media statements, other public announcements and filings with the SEC;</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 xml:space="preserve">rumors and market speculation involving us or other companies in our industry; </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the extent to which retail and other individual investors (as distinguished from institutional investors), including our customers, invest in our Class A common stock, which might result in increased volatility; and</w:t>
      </w:r>
    </w:p>
    <w:p>
      <w:pPr>
        <w:pStyle w:val="TextBody"/>
        <w:spacing w:lineRule="auto" w:line="288" w:before="0" w:after="0"/>
        <w:ind w:left="0" w:right="0" w:hanging="360"/>
        <w:jc w:val="both"/>
        <w:rPr/>
      </w:pPr>
      <w:r>
        <w:rPr>
          <w:color w:val="000000"/>
        </w:rPr>
        <w:t>•</w:t>
      </w:r>
      <w:r>
        <w:rPr>
          <w:rFonts w:ascii="Helvetica;sans-serif" w:hAnsi="Helvetica;sans-serif"/>
          <w:b w:val="false"/>
          <w:color w:val="000000"/>
          <w:sz w:val="20"/>
        </w:rPr>
        <w:t>media coverage related to certain individuals and entities identified as having owned our stock, and any speculation related to plans to dispose of their holdings; for example, media coverage related to the Emergent Shares (defined below).</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pStyle w:val="TextBody"/>
        <w:spacing w:before="0" w:after="0"/>
        <w:jc w:val="both"/>
        <w:rPr/>
      </w:pPr>
      <w:r>
        <w:rPr/>
      </w:r>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As of March 31, 2023, our founders and their related entities hold approximately 14% of our outstanding common stock (and, as described in the following risk factor, over 50% of the voting power of our outstanding capital stock). If our founders or other significant stockholders sell, or indicate an intent to sell, large amounts of stock in the public market, or the perception that these sales might occur, could cause the trading price of our Class A common stock to decline substantially. For example, as of January 6, 2023, 55,273,469 shares of our outstanding common stock (the “Emergent Shares”) that were originally acquired by Emergent Fidelity Technologies, Ltd., a holding company which was majority owned by Samuel Benjamin Bankman-Fried, are held by the DOJ. Mr. Bankman-Fried has been indicted on criminal charges related to his involvement with FTX, and the DOJ seized the Emergent Shares in connection with his indictment. On February 8, 2023, we announced that our board of directors had authorized us to pursue purchasing most or all of the Emergent Shares and that we cannot predict when, or if, the share purchase will take place. Any substantial sale of the Emergent Shares or perception that such a sale might occur could cause the trading price of our Class A common stock to decline substantially. </w:t>
      </w:r>
    </w:p>
    <w:p>
      <w:pPr>
        <w:pStyle w:val="TextBody"/>
        <w:spacing w:before="0" w:after="0"/>
        <w:rPr/>
      </w:pPr>
      <w:r>
        <w:rPr/>
      </w:r>
    </w:p>
    <w:p>
      <w:pPr>
        <w:pStyle w:val="TextBody"/>
        <w:spacing w:lineRule="auto" w:line="276" w:before="0" w:after="0"/>
        <w:ind w:left="0" w:right="0" w:firstLine="360"/>
        <w:jc w:val="both"/>
        <w:rPr/>
      </w:pPr>
      <w:r>
        <w:rPr>
          <w:rFonts w:ascii="Helvetica;sans-serif" w:hAnsi="Helvetica;sans-serif"/>
          <w:b w:val="false"/>
          <w:color w:val="000000"/>
          <w:sz w:val="20"/>
          <w:highlight w:val="white"/>
        </w:rPr>
        <w:t xml:space="preserve">Similarly, significant numbers of </w:t>
      </w:r>
      <w:r>
        <w:rPr>
          <w:rFonts w:ascii="Helvetica;sans-serif" w:hAnsi="Helvetica;sans-serif"/>
          <w:b w:val="false"/>
          <w:color w:val="000000"/>
          <w:sz w:val="20"/>
        </w:rPr>
        <w:t xml:space="preserve">shares are subject to future issuance including under outstanding warrants held by pre-IPO investors, and under </w:t>
      </w:r>
      <w:r>
        <w:rPr>
          <w:rFonts w:ascii="Helvetica;sans-serif" w:hAnsi="Helvetica;sans-serif"/>
          <w:b w:val="false"/>
          <w:color w:val="000000"/>
          <w:sz w:val="20"/>
          <w:highlight w:val="white"/>
        </w:rPr>
        <w:t xml:space="preserve">outstanding stock options and RSUs held by employees and other service providers, and significant numbers of additional shares are available for award grant purposes under our 2021 Plan and for issuance under our Employee Share Purchase Plan. All of these shares will become eligible for sale in the public market upon exercise, vesting, or settlement, as </w:t>
      </w:r>
    </w:p>
    <w:p>
      <w:pPr>
        <w:pStyle w:val="HorizontalLine"/>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050"/>
                <wp:effectExtent l="0" t="0" r="0" b="0"/>
                <wp:wrapNone/>
                <wp:docPr id="97" name="Frame97"/>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96</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jc w:val="both"/>
        <w:rPr/>
      </w:pPr>
      <w:r>
        <w:rPr>
          <w:rFonts w:ascii="Helvetica;sans-serif" w:hAnsi="Helvetica;sans-serif"/>
          <w:b w:val="false"/>
          <w:color w:val="000000"/>
          <w:sz w:val="20"/>
          <w:highlight w:val="white"/>
        </w:rPr>
        <w:t>applicable (and to the extent granted in the discretion of our board of directors, in the case of shares available for grant). Moreover, t</w:t>
      </w:r>
      <w:r>
        <w:rPr>
          <w:rFonts w:ascii="Helvetica;sans-serif" w:hAnsi="Helvetica;sans-serif"/>
          <w:b w:val="false"/>
          <w:color w:val="000000"/>
          <w:sz w:val="20"/>
        </w:rPr>
        <w:t xml:space="preserve">o fund the tax withholding and remittance obligations arising in connection with future vesting and settlement of RSUs, we currently intend to have most holders of such RSUs, including our founders, sell a portion of such shares into the market on the applicable settlement date, with the proceeds of such sales delivered to us for remittance to the relevant taxing authorities. These and any future issuances of shares of our capital stock, or of securities convertible into or exercisable for our capital stock could depress the market price of our Class A common stock and result in a significant dilution for stockholders.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We have authorized more capital stock in recent years to provide additional stock options and RSUs to our employees and to permit for the consummation of equity and equity-linked financings and might continue to do so in the future. Our employee headcount has increased significantly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pStyle w:val="TextBody"/>
        <w:spacing w:before="0" w:after="0"/>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pStyle w:val="TextBody"/>
        <w:spacing w:before="0" w:after="0"/>
        <w:ind w:left="0" w:right="0" w:firstLine="72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Class A common stock has one vote per share, our Class B common stock has 10 votes per share and our Class C common stock has no voting rights, except as otherwise required by law. Our founders and certain of their related entities (“Founder Affiliates”) together hold all of the issued and outstanding shares of our Class B common stock. Accordingly, Mr. Tenev, who is also our CEO, President and a director, and Mr. Bhatt, who is also our Chief Creative Officer and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Charter and our Amended and Restated Bylaws (our “Bylaws”) and the approval of any merger, consolidation, sale of all or substantially all of our assets or other major corporate transaction. </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 </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pStyle w:val="TextBody"/>
        <w:spacing w:before="0" w:after="0"/>
        <w:ind w:left="0" w:right="0" w:firstLine="360"/>
        <w:jc w:val="both"/>
        <w:rPr/>
      </w:pPr>
      <w:r>
        <w:rPr/>
      </w:r>
    </w:p>
    <w:p>
      <w:pPr>
        <w:pStyle w:val="HorizontalLine"/>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050"/>
                <wp:effectExtent l="0" t="0" r="0" b="0"/>
                <wp:wrapNone/>
                <wp:docPr id="98" name="Frame98"/>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97</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pStyle w:val="TextBody"/>
        <w:spacing w:before="0" w:after="0"/>
        <w:ind w:left="0" w:right="0" w:firstLine="72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 </w:t>
      </w:r>
    </w:p>
    <w:p>
      <w:pPr>
        <w:pStyle w:val="TextBody"/>
        <w:spacing w:before="0" w:after="0"/>
        <w:ind w:left="0" w:right="0" w:firstLine="360"/>
        <w:jc w:val="both"/>
        <w:rPr/>
      </w:pPr>
      <w:r>
        <w:rPr/>
      </w:r>
    </w:p>
    <w:p>
      <w:pPr>
        <w:pStyle w:val="TextBody"/>
        <w:spacing w:lineRule="auto" w:line="288" w:before="0" w:after="0"/>
        <w:jc w:val="both"/>
        <w:rPr>
          <w:rFonts w:ascii="Helvetica;sans-serif" w:hAnsi="Helvetica;sans-serif"/>
          <w:b/>
          <w:i/>
          <w:color w:val="000000"/>
          <w:sz w:val="20"/>
        </w:rPr>
      </w:pPr>
      <w:r>
        <w:rPr>
          <w:rFonts w:ascii="Helvetica;sans-serif" w:hAnsi="Helvetica;sans-serif"/>
          <w:b/>
          <w:i/>
          <w:color w:val="000000"/>
          <w:sz w:val="20"/>
        </w:rPr>
        <w:t>Certain provisions in our Charter and our Bylaws and of Delaware law as well as certain FINRA rules might prevent or delay an acquisition of Robinhood, which could decrease the trading price of our Class A common stock.</w:t>
      </w:r>
    </w:p>
    <w:p>
      <w:pPr>
        <w:pStyle w:val="TextBody"/>
        <w:spacing w:before="0" w:after="0"/>
        <w:jc w:val="both"/>
        <w:rPr/>
      </w:pPr>
      <w:r>
        <w:rPr/>
      </w:r>
    </w:p>
    <w:p>
      <w:pPr>
        <w:pStyle w:val="TextBody"/>
        <w:spacing w:lineRule="auto" w:line="26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 xml:space="preserve">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 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 our Charter, our Bylaws and the Delaware General Corporation Law could have the effect of delaying or deterring a change in control, which might limit the opportunity for our stockholders to receive a premium for their shares of our Class A common stock and might also affect the price that some investors are willing to pay for our Class A common stock. </w:t>
      </w:r>
    </w:p>
    <w:p>
      <w:pPr>
        <w:pStyle w:val="TextBody"/>
        <w:spacing w:before="0" w:after="0"/>
        <w:rPr/>
      </w:pPr>
      <w:r>
        <w:rPr/>
      </w:r>
    </w:p>
    <w:p>
      <w:pPr>
        <w:pStyle w:val="TextBody"/>
        <w:spacing w:lineRule="auto" w:line="276" w:before="0" w:after="0"/>
        <w:ind w:left="0" w:right="0" w:firstLine="360"/>
        <w:jc w:val="both"/>
        <w:rPr/>
      </w:pPr>
      <w:r>
        <w:rPr>
          <w:rFonts w:ascii="Helvetica;sans-serif" w:hAnsi="Helvetica;sans-serif"/>
          <w:b w:val="false"/>
          <w:color w:val="000000"/>
          <w:sz w:val="20"/>
        </w:rPr>
        <w:t>In addition, a third party attempting to acquire us or a substantial position in our Class A common stock might be delayed or ultimately prevented from doing so by change in ownership or control regulations to which certain of our regulated subsidiaries are subject.</w:t>
      </w:r>
      <w:r>
        <w:rPr>
          <w:color w:val="000000"/>
        </w:rPr>
        <w:t xml:space="preserve"> </w:t>
      </w:r>
      <w:r>
        <w:rPr>
          <w:rFonts w:ascii="Helvetica;sans-serif" w:hAnsi="Helvetica;sans-serif"/>
          <w:b w:val="false"/>
          <w:color w:val="000000"/>
          <w:sz w:val="20"/>
        </w:rPr>
        <w:t>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U.K. Financial Conduct Authority, which regulates our U.K. authorized broker-dealer subsidiary (which does not currently do business),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pStyle w:val="TextBody"/>
        <w:spacing w:before="0" w:after="0"/>
        <w:ind w:left="0" w:right="0" w:firstLine="360"/>
        <w:jc w:val="both"/>
        <w:rPr/>
      </w:pPr>
      <w:r>
        <w:rPr/>
      </w:r>
    </w:p>
    <w:p>
      <w:pPr>
        <w:pStyle w:val="TextBody"/>
        <w:spacing w:lineRule="auto" w:line="276" w:before="0" w:after="0"/>
        <w:rPr>
          <w:rFonts w:ascii="Helvetica;sans-serif" w:hAnsi="Helvetica;sans-serif"/>
          <w:b/>
          <w:i/>
          <w:color w:val="000000"/>
          <w:sz w:val="20"/>
        </w:rPr>
      </w:pPr>
      <w:r>
        <w:rPr>
          <w:rFonts w:ascii="Helvetica;sans-serif" w:hAnsi="Helvetica;sans-serif"/>
          <w:b/>
          <w:i/>
          <w:color w:val="000000"/>
          <w:sz w:val="20"/>
        </w:rPr>
        <w:t>The exclusive forum provisions of our Charter could limit our stockholders’ ability to choose the judicial forum for some types of lawsuits against us or our directors, officers, or employees.</w:t>
      </w:r>
    </w:p>
    <w:p>
      <w:pPr>
        <w:pStyle w:val="TextBody"/>
        <w:spacing w:before="0" w:after="0"/>
        <w:jc w:val="both"/>
        <w:rPr/>
      </w:pPr>
      <w:r>
        <w:rPr/>
      </w:r>
    </w:p>
    <w:p>
      <w:pPr>
        <w:pStyle w:val="HorizontalLine"/>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050"/>
                <wp:effectExtent l="0" t="0" r="0" b="0"/>
                <wp:wrapNone/>
                <wp:docPr id="99" name="Frame99"/>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98</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Nothing in our Charter precludes stockholders that assert claims under the Exchange Act from bringing such claims in any court, subject to applicable law.</w:t>
      </w:r>
    </w:p>
    <w:p>
      <w:pPr>
        <w:pStyle w:val="TextBody"/>
        <w:spacing w:before="0" w:after="0"/>
        <w:rPr/>
      </w:pPr>
      <w:r>
        <w:rPr/>
      </w:r>
    </w:p>
    <w:p>
      <w:pPr>
        <w:pStyle w:val="TextBody"/>
        <w:spacing w:lineRule="auto" w:line="276" w:before="0" w:after="0"/>
        <w:ind w:left="0" w:right="0" w:firstLine="360"/>
        <w:jc w:val="both"/>
        <w:rPr>
          <w:rFonts w:ascii="Helvetica;sans-serif" w:hAnsi="Helvetica;sans-serif"/>
          <w:b w:val="false"/>
          <w:color w:val="000000"/>
          <w:sz w:val="20"/>
        </w:rPr>
      </w:pPr>
      <w:r>
        <w:rPr>
          <w:rFonts w:ascii="Helvetica;sans-serif" w:hAnsi="Helvetica;sans-serif"/>
          <w:b w:val="false"/>
          <w:color w:val="000000"/>
          <w:sz w:val="20"/>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pStyle w:val="TextBody"/>
        <w:spacing w:before="0" w:after="0"/>
        <w:ind w:left="0" w:right="0" w:firstLine="36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2. UNREGISTERED SALES OF EQUITY SECURITIES AND USE OF PROCEEDS</w:t>
      </w:r>
    </w:p>
    <w:p>
      <w:pPr>
        <w:pStyle w:val="TextBody"/>
        <w:spacing w:lineRule="auto" w:line="288" w:before="0" w:after="0"/>
        <w:jc w:val="both"/>
        <w:rPr>
          <w:rFonts w:ascii="Helvetica;sans-serif" w:hAnsi="Helvetica;sans-serif"/>
          <w:b w:val="false"/>
          <w:i/>
          <w:color w:val="000000"/>
          <w:sz w:val="20"/>
        </w:rPr>
      </w:pPr>
      <w:r>
        <w:rPr>
          <w:rFonts w:ascii="Helvetica;sans-serif" w:hAnsi="Helvetica;sans-serif"/>
          <w:b w:val="false"/>
          <w:i/>
          <w:color w:val="000000"/>
          <w:sz w:val="20"/>
        </w:rPr>
        <w:t>Sales of Unregistered Securities</w:t>
      </w:r>
    </w:p>
    <w:p>
      <w:pPr>
        <w:pStyle w:val="TextBody"/>
        <w:spacing w:lineRule="auto" w:line="288" w:before="0" w:after="0"/>
        <w:ind w:left="0" w:right="0" w:firstLine="360"/>
        <w:jc w:val="both"/>
        <w:rPr/>
      </w:pPr>
      <w:r>
        <w:rPr>
          <w:rFonts w:ascii="Helvetica;sans-serif" w:hAnsi="Helvetica;sans-serif"/>
          <w:b w:val="false"/>
          <w:color w:val="000000"/>
          <w:sz w:val="20"/>
        </w:rPr>
        <w:t>From January 1, 2023 through March 31, 2023 we did not sell any shares of Class A common stock (or other equity securities of Robinhood Markets, Inc.) that were not registered under the Securities Act.</w:t>
      </w:r>
      <w:r>
        <w:rPr>
          <w:color w:val="000000"/>
        </w:rPr>
        <w:t xml:space="preserve"> </w:t>
      </w:r>
    </w:p>
    <w:p>
      <w:pPr>
        <w:pStyle w:val="TextBody"/>
        <w:spacing w:before="0" w:after="0"/>
        <w:jc w:val="both"/>
        <w:rPr/>
      </w:pPr>
      <w:r>
        <w:rPr/>
      </w:r>
    </w:p>
    <w:p>
      <w:pPr>
        <w:pStyle w:val="TextBody"/>
        <w:spacing w:before="0" w:after="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050"/>
                <wp:effectExtent l="0" t="0" r="0" b="0"/>
                <wp:wrapNone/>
                <wp:docPr id="100" name="Frame100"/>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99</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3. DEFAULTS UPON SENIOR SECURITIES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4. MINE SAFETY DISCLOSURES</w:t>
      </w:r>
    </w:p>
    <w:p>
      <w:pPr>
        <w:pStyle w:val="TextBody"/>
        <w:spacing w:lineRule="auto" w:line="288" w:before="240" w:after="24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rPr>
          <w:rFonts w:ascii="Helvetica;sans-serif" w:hAnsi="Helvetica;sans-serif"/>
          <w:b w:val="false"/>
          <w:color w:val="000000"/>
          <w:sz w:val="28"/>
        </w:rPr>
      </w:pPr>
      <w:r>
        <w:rPr>
          <w:rFonts w:ascii="Helvetica;sans-serif" w:hAnsi="Helvetica;sans-serif"/>
          <w:b w:val="false"/>
          <w:color w:val="000000"/>
          <w:sz w:val="28"/>
        </w:rPr>
        <w:t>ITEM 5. OTHER INFORMATION</w:t>
      </w:r>
    </w:p>
    <w:p>
      <w:pPr>
        <w:pStyle w:val="TextBody"/>
        <w:spacing w:lineRule="auto" w:line="288" w:before="24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Not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050"/>
                <wp:effectExtent l="0" t="0" r="0" b="0"/>
                <wp:wrapNone/>
                <wp:docPr id="101" name="Frame101"/>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100</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0"/>
        <w:rPr>
          <w:rFonts w:ascii="Helvetica;sans-serif" w:hAnsi="Helvetica;sans-serif"/>
          <w:b w:val="false"/>
          <w:color w:val="000000"/>
          <w:sz w:val="28"/>
        </w:rPr>
      </w:pPr>
      <w:r>
        <w:rPr>
          <w:rFonts w:ascii="Helvetica;sans-serif" w:hAnsi="Helvetica;sans-serif"/>
          <w:b w:val="false"/>
          <w:color w:val="000000"/>
          <w:sz w:val="28"/>
        </w:rPr>
        <w:t>ITEM 6. EXHIBIT INDEX</w:t>
      </w:r>
    </w:p>
    <w:p>
      <w:pPr>
        <w:pStyle w:val="TextBody"/>
        <w:spacing w:lineRule="auto" w:line="288" w:before="0" w:after="20"/>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documents listed below are filed (or furnished, as noted) as exhibits to this Quarterly Report on Form 10-Q:</w:t>
      </w:r>
    </w:p>
    <w:tbl>
      <w:tblPr>
        <w:tblW w:w="10205" w:type="dxa"/>
        <w:jc w:val="left"/>
        <w:tblInd w:w="0" w:type="dxa"/>
        <w:tblCellMar>
          <w:top w:w="28" w:type="dxa"/>
          <w:left w:w="28" w:type="dxa"/>
          <w:bottom w:w="28" w:type="dxa"/>
          <w:right w:w="28" w:type="dxa"/>
        </w:tblCellMar>
      </w:tblPr>
      <w:tblGrid>
        <w:gridCol w:w="313"/>
        <w:gridCol w:w="275"/>
        <w:gridCol w:w="276"/>
        <w:gridCol w:w="109"/>
        <w:gridCol w:w="109"/>
        <w:gridCol w:w="109"/>
        <w:gridCol w:w="1754"/>
        <w:gridCol w:w="1536"/>
        <w:gridCol w:w="1551"/>
        <w:gridCol w:w="109"/>
        <w:gridCol w:w="109"/>
        <w:gridCol w:w="109"/>
        <w:gridCol w:w="179"/>
        <w:gridCol w:w="179"/>
        <w:gridCol w:w="180"/>
        <w:gridCol w:w="116"/>
        <w:gridCol w:w="116"/>
        <w:gridCol w:w="116"/>
        <w:gridCol w:w="241"/>
        <w:gridCol w:w="217"/>
        <w:gridCol w:w="218"/>
        <w:gridCol w:w="116"/>
        <w:gridCol w:w="116"/>
        <w:gridCol w:w="116"/>
        <w:gridCol w:w="220"/>
        <w:gridCol w:w="220"/>
        <w:gridCol w:w="221"/>
        <w:gridCol w:w="109"/>
        <w:gridCol w:w="109"/>
        <w:gridCol w:w="109"/>
        <w:gridCol w:w="274"/>
        <w:gridCol w:w="274"/>
        <w:gridCol w:w="400"/>
      </w:tblGrid>
      <w:tr>
        <w:trPr/>
        <w:tc>
          <w:tcPr>
            <w:tcW w:w="313" w:type="dxa"/>
            <w:tcBorders/>
            <w:shd w:fill="auto" w:val="clear"/>
            <w:vAlign w:val="center"/>
          </w:tcPr>
          <w:p>
            <w:pPr>
              <w:pStyle w:val="TableContents"/>
              <w:spacing w:before="0" w:after="283"/>
              <w:rPr>
                <w:sz w:val="4"/>
                <w:szCs w:val="4"/>
              </w:rPr>
            </w:pPr>
            <w:r>
              <w:rPr>
                <w:sz w:val="4"/>
                <w:szCs w:val="4"/>
              </w:rPr>
            </w:r>
          </w:p>
        </w:tc>
        <w:tc>
          <w:tcPr>
            <w:tcW w:w="275"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tcBorders/>
            <w:shd w:fill="auto" w:val="clear"/>
            <w:vAlign w:val="center"/>
          </w:tcPr>
          <w:p>
            <w:pPr>
              <w:pStyle w:val="TableContents"/>
              <w:spacing w:before="0" w:after="283"/>
              <w:rPr>
                <w:sz w:val="4"/>
                <w:szCs w:val="4"/>
              </w:rPr>
            </w:pPr>
            <w:r>
              <w:rPr>
                <w:sz w:val="4"/>
                <w:szCs w:val="4"/>
              </w:rPr>
            </w:r>
          </w:p>
        </w:tc>
        <w:tc>
          <w:tcPr>
            <w:tcW w:w="1536" w:type="dxa"/>
            <w:tcBorders/>
            <w:shd w:fill="auto" w:val="clear"/>
            <w:vAlign w:val="center"/>
          </w:tcPr>
          <w:p>
            <w:pPr>
              <w:pStyle w:val="TableContents"/>
              <w:spacing w:before="0" w:after="283"/>
              <w:rPr>
                <w:sz w:val="4"/>
                <w:szCs w:val="4"/>
              </w:rPr>
            </w:pPr>
            <w:r>
              <w:rPr>
                <w:sz w:val="4"/>
                <w:szCs w:val="4"/>
              </w:rPr>
            </w:r>
          </w:p>
        </w:tc>
        <w:tc>
          <w:tcPr>
            <w:tcW w:w="15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1"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Incorporated by Reference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 Number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Form*</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Filing Date</w:t>
            </w:r>
          </w:p>
        </w:tc>
        <w:tc>
          <w:tcPr>
            <w:tcW w:w="348"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Exhibit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color w:val="000000"/>
                <w:sz w:val="16"/>
              </w:rPr>
            </w:pPr>
            <w:r>
              <w:rPr>
                <w:rFonts w:ascii="Helvetica;sans-serif" w:hAnsi="Helvetica;sans-serif"/>
                <w:b/>
                <w:color w:val="000000"/>
                <w:sz w:val="16"/>
              </w:rPr>
              <w:t>Filed Herewith</w:t>
            </w:r>
          </w:p>
        </w:tc>
      </w:tr>
      <w:tr>
        <w:trPr/>
        <w:tc>
          <w:tcPr>
            <w:tcW w:w="86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hyperlink r:id="rId2">
              <w:r>
                <w:rPr>
                  <w:rStyle w:val="InternetLink"/>
                  <w:rFonts w:ascii="Helvetica;sans-serif" w:hAnsi="Helvetica;sans-serif"/>
                  <w:b w:val="false"/>
                  <w:color w:val="0000FF"/>
                  <w:sz w:val="20"/>
                  <w:u w:val="single"/>
                </w:rPr>
                <w:t>Amended and Restated Certificate of Incorporation of Robinhood Markets, Inc., dated August 2, 2021</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2021-08-02</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68" w:before="0" w:after="0"/>
              <w:jc w:val="left"/>
              <w:rPr/>
            </w:pPr>
            <w:hyperlink r:id="rId3">
              <w:r>
                <w:rPr>
                  <w:rStyle w:val="InternetLink"/>
                  <w:rFonts w:ascii="Helvetica;sans-serif" w:hAnsi="Helvetica;sans-serif"/>
                  <w:b w:val="false"/>
                  <w:color w:val="0000FF"/>
                  <w:sz w:val="20"/>
                  <w:u w:val="single"/>
                </w:rPr>
                <w:t>Amended and Restated Bylaws of Robinhood Markets, Inc., dated February 24, 2022</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10-K</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2022-02-24</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Helvetica;sans-serif" w:hAnsi="Helvetica;sans-serif"/>
                  <w:b w:val="false"/>
                  <w:color w:val="0000FF"/>
                  <w:sz w:val="20"/>
                  <w:u w:val="single"/>
                </w:rPr>
                <w:t>Form of Class A Common Stock Certificate of Robinhood Markets, Inc.</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S-1/A</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2021-07-19</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Helvetica;sans-serif" w:hAnsi="Helvetica;sans-serif"/>
                  <w:b w:val="false"/>
                  <w:color w:val="0000FF"/>
                  <w:sz w:val="20"/>
                  <w:u w:val="single"/>
                </w:rPr>
                <w:t>Form of ten-year Warrant to Purchase Stock of Robinhood Markets, Inc., issued to multiple investors on February 12, 2021</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S-1</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2021-07-01</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4.2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Helvetica;sans-serif" w:hAnsi="Helvetica;sans-serif"/>
                  <w:b w:val="false"/>
                  <w:color w:val="0000FF"/>
                  <w:sz w:val="20"/>
                  <w:u w:val="single"/>
                </w:rPr>
                <w:t>Form of Restricted Stock Unit Cancellation Agreement dated February 3, 2023 between Robinhood Markets, Inc. and separately, (a) Vladimir Tenev and (b) Baiju Bhatt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2023-02-08</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Helvetica;sans-serif" w:hAnsi="Helvetica;sans-serif"/>
                  <w:b w:val="false"/>
                  <w:color w:val="0000FF"/>
                  <w:sz w:val="20"/>
                  <w:u w:val="single"/>
                </w:rPr>
                <w:t>Letter Agreement, dated March 15, 2023, between Gretchen Howard and Robinhood Markets, Inc.</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2023-03-15</w:t>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Helvetica;sans-serif" w:hAnsi="Helvetica;sans-serif"/>
                  <w:b w:val="false"/>
                  <w:color w:val="0000FF"/>
                  <w:sz w:val="20"/>
                  <w:u w:val="single"/>
                </w:rPr>
                <w:t>Second Amended and Restated Credit Agreement dated as of March 24, 2023, among Robinhood Securities LLC, as borrower, the lenders party thereto, and JPMorgan Chase Bank, N.A., as administrative agent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8-K</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2023-03-24</w:t>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311-section302certificat.htm">
              <w:r>
                <w:rPr>
                  <w:rStyle w:val="InternetLink"/>
                  <w:rFonts w:ascii="Helvetica;sans-serif" w:hAnsi="Helvetica;sans-serif"/>
                  <w:b w:val="false"/>
                  <w:color w:val="0000FF"/>
                  <w:sz w:val="20"/>
                  <w:u w:val="single"/>
                </w:rPr>
                <w:t>CEO Certification pursuant to Section 302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12-section302certificat.htm">
              <w:r>
                <w:rPr>
                  <w:rStyle w:val="InternetLink"/>
                  <w:rFonts w:ascii="Helvetica;sans-serif" w:hAnsi="Helvetica;sans-serif"/>
                  <w:b w:val="false"/>
                  <w:color w:val="0000FF"/>
                  <w:sz w:val="20"/>
                  <w:u w:val="single"/>
                </w:rPr>
                <w:t>CFO Certification pursuant to Section 302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hyperlink w:anchor="exhibit321-section906certi.htm">
              <w:r>
                <w:rPr>
                  <w:rStyle w:val="InternetLink"/>
                  <w:rFonts w:ascii="Helvetica;sans-serif" w:hAnsi="Helvetica;sans-serif"/>
                  <w:b w:val="false"/>
                  <w:color w:val="0000FF"/>
                  <w:sz w:val="20"/>
                  <w:u w:val="single"/>
                </w:rPr>
                <w:t>CEO Certification pursuant to Section 906 of the Sarbanes-Oxley Act</w:t>
              </w:r>
            </w:hyperlink>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32.2‡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ex322-section906certificat.htm">
              <w:r>
                <w:rPr>
                  <w:rStyle w:val="InternetLink"/>
                  <w:rFonts w:ascii="Helvetica;sans-serif" w:hAnsi="Helvetica;sans-serif"/>
                  <w:b w:val="false"/>
                  <w:color w:val="0000FF"/>
                  <w:sz w:val="20"/>
                  <w:u w:val="single"/>
                </w:rPr>
                <w:t>CFO Certification pursuant to Section 906 of the Sarbanes-Oxley Act</w:t>
              </w:r>
            </w:hyperlink>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(Inline eXtensible Business Reporting Language) Instance Document - the instance document does not appear in the Interactive Data File because its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Label Linkbase Document.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r>
        <w:trPr/>
        <w:tc>
          <w:tcPr>
            <w:tcW w:w="86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Cover Page Interactive Data File (contained in Exhibit 101)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X</w:t>
            </w:r>
          </w:p>
        </w:tc>
      </w:tr>
    </w:tbl>
    <w:p>
      <w:pPr>
        <w:pStyle w:val="TextBody"/>
        <w:spacing w:lineRule="auto" w:line="288" w:before="0" w:after="200"/>
        <w:rPr>
          <w:rFonts w:ascii="Helvetica;sans-serif" w:hAnsi="Helvetica;sans-serif"/>
          <w:b w:val="false"/>
          <w:color w:val="000000"/>
          <w:sz w:val="16"/>
        </w:rPr>
      </w:pPr>
      <w:r>
        <w:rPr>
          <w:rFonts w:ascii="Helvetica;sans-serif" w:hAnsi="Helvetica;sans-serif"/>
          <w:b w:val="false"/>
          <w:color w:val="000000"/>
          <w:sz w:val="16"/>
        </w:rPr>
        <w:t>__________________</w:t>
      </w:r>
    </w:p>
    <w:p>
      <w:pPr>
        <w:pStyle w:val="TextBody"/>
        <w:spacing w:lineRule="auto" w:line="288" w:before="0" w:after="60"/>
        <w:ind w:left="0" w:right="0" w:hanging="180"/>
        <w:jc w:val="both"/>
        <w:rPr>
          <w:rFonts w:ascii="Helvetica;sans-serif" w:hAnsi="Helvetica;sans-serif"/>
          <w:b w:val="false"/>
          <w:color w:val="000000"/>
          <w:sz w:val="16"/>
        </w:rPr>
      </w:pPr>
      <w:r>
        <w:rPr>
          <w:rFonts w:ascii="Helvetica;sans-serif" w:hAnsi="Helvetica;sans-serif"/>
          <w:b w:val="false"/>
          <w:color w:val="000000"/>
          <w:sz w:val="16"/>
        </w:rPr>
        <w:t>*    File number is 001-40691 except that the S-1 (and S-1/A) file number is 333-257602.</w:t>
      </w:r>
    </w:p>
    <w:p>
      <w:pPr>
        <w:pStyle w:val="TextBody"/>
        <w:spacing w:lineRule="auto" w:line="288" w:before="0" w:after="60"/>
        <w:jc w:val="both"/>
        <w:rPr>
          <w:rFonts w:ascii="Helvetica;sans-serif" w:hAnsi="Helvetica;sans-serif"/>
          <w:b w:val="false"/>
          <w:color w:val="000000"/>
          <w:sz w:val="16"/>
        </w:rPr>
      </w:pPr>
      <w:r>
        <w:rPr>
          <w:rFonts w:ascii="Helvetica;sans-serif" w:hAnsi="Helvetica;sans-serif"/>
          <w:b w:val="false"/>
          <w:color w:val="000000"/>
          <w:sz w:val="16"/>
        </w:rPr>
        <w:t>+ Indicates a management contract or compensatory plan.</w:t>
      </w:r>
    </w:p>
    <w:p>
      <w:pPr>
        <w:pStyle w:val="HorizontalLine"/>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050"/>
                <wp:effectExtent l="0" t="0" r="0" b="0"/>
                <wp:wrapNone/>
                <wp:docPr id="102" name="Frame102"/>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101</w:t>
                      </w:r>
                    </w:p>
                  </w:txbxContent>
                </v:textbox>
              </v:rect>
            </w:pict>
          </mc:Fallback>
        </mc:AlternateContent>
      </w:r>
    </w:p>
    <w:p>
      <w:pPr>
        <w:pStyle w:val="TextBody"/>
        <w:spacing w:lineRule="auto" w:line="288" w:before="0" w:after="0"/>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60"/>
        <w:ind w:left="0" w:right="0" w:hanging="180"/>
        <w:jc w:val="both"/>
        <w:rPr>
          <w:color w:val="000000"/>
        </w:rPr>
      </w:pPr>
      <w:r>
        <w:rPr>
          <w:color w:val="000000"/>
        </w:rPr>
        <w:t>‡    </w:t>
      </w:r>
      <w:r>
        <w:rPr>
          <w:rFonts w:ascii="Helvetica;sans-serif" w:hAnsi="Helvetica;sans-serif"/>
          <w:b w:val="false"/>
          <w:color w:val="000000"/>
          <w:sz w:val="16"/>
        </w:rPr>
        <w:t>The certifications attached as Exhibits 32.1 and 32.2 that accompany this Quarterly Report on Form 10-Q are deemed furnished and not filed with the Securities and Exchange Commission and are not to be incorporated by reference into any filing of Robinhood Markets, Inc. under the Securities Act of 1933, as amended, or the Securities Exchange Act of 1934, as amended, whether made before or after the date of this Quarterly Report on Form 10-Q, irrespective of any general incorporation language contained in such filing.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050"/>
                <wp:effectExtent l="0" t="0" r="0" b="0"/>
                <wp:wrapNone/>
                <wp:docPr id="103" name="Frame103"/>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Helvetica;sans-serif" w:hAnsi="Helvetica;sans-serif"/>
                          <w:b w:val="false"/>
                          <w:color w:val="000000"/>
                          <w:sz w:val="20"/>
                        </w:rPr>
                      </w:pPr>
                      <w:r>
                        <w:rPr>
                          <w:rFonts w:ascii="Helvetica;sans-serif" w:hAnsi="Helvetica;sans-serif"/>
                          <w:b w:val="false"/>
                          <w:color w:val="000000"/>
                          <w:sz w:val="20"/>
                        </w:rPr>
                        <w:t>102</w:t>
                      </w:r>
                    </w:p>
                  </w:txbxContent>
                </v:textbox>
              </v:rect>
            </w:pict>
          </mc:Fallback>
        </mc:AlternateContent>
      </w:r>
    </w:p>
    <w:p>
      <w:pPr>
        <w:pStyle w:val="TextBody"/>
        <w:spacing w:lineRule="auto" w:line="288" w:before="0" w:after="200"/>
        <w:jc w:val="both"/>
        <w:rPr/>
      </w:pPr>
      <w:hyperlink w:anchor="i81c1e4c08fcc417da7d3307b6ebd033d_7">
        <w:r>
          <w:rPr>
            <w:rStyle w:val="InternetLink"/>
            <w:rFonts w:ascii="Helvetica;sans-serif" w:hAnsi="Helvetica;sans-serif"/>
            <w:b w:val="false"/>
            <w:color w:val="0000FF"/>
            <w:sz w:val="20"/>
            <w:u w:val="single"/>
          </w:rPr>
          <w:t>Table of Contents</w:t>
        </w:r>
      </w:hyperlink>
    </w:p>
    <w:p>
      <w:pPr>
        <w:pStyle w:val="TextBody"/>
        <w:spacing w:lineRule="auto" w:line="288" w:before="0" w:after="220"/>
        <w:jc w:val="center"/>
        <w:rPr>
          <w:rFonts w:ascii="Helvetica;sans-serif" w:hAnsi="Helvetica;sans-serif"/>
          <w:b w:val="false"/>
          <w:color w:val="000000"/>
          <w:sz w:val="40"/>
        </w:rPr>
      </w:pPr>
      <w:r>
        <w:rPr>
          <w:rFonts w:ascii="Helvetica;sans-serif" w:hAnsi="Helvetica;sans-serif"/>
          <w:b w:val="false"/>
          <w:color w:val="000000"/>
          <w:sz w:val="40"/>
        </w:rPr>
        <w:t>SIGNATURES</w:t>
      </w:r>
    </w:p>
    <w:p>
      <w:pPr>
        <w:pStyle w:val="TextBody"/>
        <w:spacing w:lineRule="auto" w:line="288" w:before="0" w:after="200"/>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signed this report to be signed on its behalf by the undersigned, thereunto duly authorized, in Menlo Park, California, on May 10, 2023.</w:t>
      </w:r>
    </w:p>
    <w:tbl>
      <w:tblPr>
        <w:tblW w:w="6467" w:type="dxa"/>
        <w:jc w:val="right"/>
        <w:tblInd w:w="0" w:type="dxa"/>
        <w:tblCellMar>
          <w:top w:w="28" w:type="dxa"/>
          <w:left w:w="28" w:type="dxa"/>
          <w:bottom w:w="28" w:type="dxa"/>
          <w:right w:w="28" w:type="dxa"/>
        </w:tblCellMar>
      </w:tblPr>
      <w:tblGrid>
        <w:gridCol w:w="397"/>
        <w:gridCol w:w="350"/>
        <w:gridCol w:w="350"/>
        <w:gridCol w:w="1570"/>
        <w:gridCol w:w="1570"/>
        <w:gridCol w:w="2230"/>
      </w:tblGrid>
      <w:tr>
        <w:trPr/>
        <w:tc>
          <w:tcPr>
            <w:tcW w:w="39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1570" w:type="dxa"/>
            <w:tcBorders/>
            <w:shd w:fill="auto" w:val="clear"/>
            <w:vAlign w:val="center"/>
          </w:tcPr>
          <w:p>
            <w:pPr>
              <w:pStyle w:val="TableContents"/>
              <w:spacing w:before="0" w:after="283"/>
              <w:rPr>
                <w:sz w:val="4"/>
                <w:szCs w:val="4"/>
              </w:rPr>
            </w:pPr>
            <w:r>
              <w:rPr>
                <w:sz w:val="4"/>
                <w:szCs w:val="4"/>
              </w:rPr>
            </w:r>
          </w:p>
        </w:tc>
        <w:tc>
          <w:tcPr>
            <w:tcW w:w="2230" w:type="dxa"/>
            <w:tcBorders/>
            <w:shd w:fill="auto" w:val="clear"/>
            <w:vAlign w:val="center"/>
          </w:tcPr>
          <w:p>
            <w:pPr>
              <w:pStyle w:val="TableContents"/>
              <w:spacing w:before="0" w:after="283"/>
              <w:rPr>
                <w:sz w:val="4"/>
                <w:szCs w:val="4"/>
              </w:rPr>
            </w:pPr>
            <w:r>
              <w:rPr>
                <w:sz w:val="4"/>
                <w:szCs w:val="4"/>
              </w:rPr>
            </w:r>
          </w:p>
        </w:tc>
      </w:tr>
      <w:tr>
        <w:trPr/>
        <w:tc>
          <w:tcPr>
            <w:tcW w:w="646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Robinhood Markets, Inc.</w:t>
            </w:r>
          </w:p>
        </w:tc>
      </w:tr>
      <w:tr>
        <w:trPr/>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 xml:space="preserve">/s/ Vladimir Tenev </w:t>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Vladimir Tenev</w:t>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Co-Founder, Chief Executive Officer and President</w:t>
            </w:r>
          </w:p>
        </w:tc>
      </w:tr>
      <w:tr>
        <w:trPr/>
        <w:tc>
          <w:tcPr>
            <w:tcW w:w="10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3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By:</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 Jason Warnick</w:t>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Name:</w:t>
            </w:r>
          </w:p>
        </w:tc>
        <w:tc>
          <w:tcPr>
            <w:tcW w:w="537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Jason Warnick</w:t>
            </w:r>
          </w:p>
        </w:tc>
      </w:tr>
      <w:tr>
        <w:trPr/>
        <w:tc>
          <w:tcPr>
            <w:tcW w:w="109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Title:</w:t>
            </w:r>
          </w:p>
        </w:tc>
        <w:tc>
          <w:tcPr>
            <w:tcW w:w="5370"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Helvetica;sans-serif" w:hAnsi="Helvetica;sans-serif"/>
                <w:b w:val="false"/>
                <w:color w:val="000000"/>
                <w:sz w:val="20"/>
              </w:rPr>
            </w:pPr>
            <w:r>
              <w:rPr>
                <w:rFonts w:ascii="Helvetica;sans-serif" w:hAnsi="Helvetica;sans-serif"/>
                <w:b w:val="false"/>
                <w:color w:val="000000"/>
                <w:sz w:val="20"/>
              </w:rPr>
              <w:t>Chief Financial Officer</w:t>
            </w:r>
          </w:p>
          <w:p>
            <w:pPr>
              <w:pStyle w:val="TableContents"/>
              <w:spacing w:lineRule="auto" w:line="240" w:before="0" w:after="0"/>
              <w:jc w:val="left"/>
              <w:rPr>
                <w:rFonts w:ascii="Helvetica;sans-serif" w:hAnsi="Helvetica;sans-serif"/>
                <w:b w:val="false"/>
                <w:i/>
                <w:color w:val="000000"/>
                <w:sz w:val="20"/>
              </w:rPr>
            </w:pPr>
            <w:r>
              <w:rPr>
                <w:rFonts w:ascii="Helvetica;sans-serif" w:hAnsi="Helvetica;sans-serif"/>
                <w:b w:val="false"/>
                <w:i/>
                <w:color w:val="000000"/>
                <w:sz w:val="20"/>
              </w:rPr>
              <w:t>(Principal Financial Officer and Principal Accounting Officer)</w:t>
            </w:r>
          </w:p>
        </w:tc>
      </w:tr>
    </w:tbl>
    <w:p>
      <w:pPr>
        <w:pStyle w:val="TextBody"/>
        <w:spacing w:before="0" w:after="220"/>
        <w:jc w:val="center"/>
        <w:rPr/>
      </w:pPr>
      <w:r>
        <w:rPr/>
      </w:r>
    </w:p>
    <w:p>
      <w:pPr>
        <w:pStyle w:val="TextBody"/>
        <w:spacing w:before="0" w:after="200"/>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w:t>
      </w:r>
      <w:r>
        <w:rPr>
          <w:rFonts w:ascii="Helvetica;sans-serif" w:hAnsi="Helvetica;sans-serif"/>
          <w:b w:val="false"/>
          <w:color w:val="000000"/>
          <w:sz w:val="20"/>
        </w:rPr>
        <w:t>xhibit 31.1</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050"/>
                <wp:effectExtent l="0" t="0" r="0" b="0"/>
                <wp:wrapNone/>
                <wp:docPr id="104" name="Frame104"/>
                <a:graphic xmlns:a="http://schemas.openxmlformats.org/drawingml/2006/main">
                  <a:graphicData uri="http://schemas.microsoft.com/office/word/2010/wordprocessingShape">
                    <wps:wsp>
                      <wps:cNvSpPr txBox="1"/>
                      <wps:spPr>
                        <a:xfrm>
                          <a:off x="0" y="0"/>
                          <a:ext cx="6480175" cy="146050"/>
                        </a:xfrm>
                        <a:prstGeom prst="rect"/>
                      </wps:spPr>
                      <wps:txb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spacing w:lineRule="auto" w:line="288" w:before="0" w:after="200"/>
                        <w:jc w:val="center"/>
                        <w:rPr>
                          <w:rFonts w:ascii="Helvetica;sans-serif" w:hAnsi="Helvetica;sans-serif"/>
                          <w:b w:val="false"/>
                          <w:color w:val="000000"/>
                          <w:sz w:val="20"/>
                        </w:rPr>
                      </w:pPr>
                      <w:r>
                        <w:rPr>
                          <w:rFonts w:ascii="Helvetica;sans-serif" w:hAnsi="Helvetica;sans-serif"/>
                          <w:b w:val="false"/>
                          <w:color w:val="000000"/>
                          <w:sz w:val="20"/>
                        </w:rPr>
                        <w:t>103</w:t>
                      </w:r>
                    </w:p>
                  </w:txbxContent>
                </v:textbox>
              </v:rect>
            </w:pict>
          </mc:Fallback>
        </mc:AlternateContent>
      </w:r>
    </w:p>
    <w:p>
      <w:pPr>
        <w:pStyle w:val="TextBody"/>
        <w:spacing w:lineRule="auto" w:line="319" w:before="180" w:after="283"/>
        <w:jc w:val="center"/>
        <w:rPr>
          <w:rFonts w:ascii="Helvetica;sans-serif" w:hAnsi="Helvetica;sans-serif"/>
          <w:b/>
          <w:color w:val="000000"/>
          <w:sz w:val="20"/>
          <w:highlight w:val="white"/>
        </w:rPr>
      </w:pPr>
      <w:r>
        <w:rPr>
          <w:rFonts w:ascii="Helvetica;sans-serif" w:hAnsi="Helvetica;sans-serif"/>
          <w:b/>
          <w:color w:val="000000"/>
          <w:sz w:val="20"/>
          <w:highlight w:val="white"/>
        </w:rPr>
        <w:t>CERTIFICATION PURSUANT TO RULE 13a-14(a) AND 15d-14(a) OF THE SECURITIES EXCHANGE ACT OF 1934, AS ADOPTED</w:t>
      </w:r>
    </w:p>
    <w:p>
      <w:pPr>
        <w:pStyle w:val="TextBody"/>
        <w:spacing w:lineRule="auto" w:line="319" w:before="0" w:after="0"/>
        <w:jc w:val="center"/>
        <w:rPr>
          <w:rFonts w:ascii="Helvetica;sans-serif" w:hAnsi="Helvetica;sans-serif"/>
          <w:b/>
          <w:color w:val="000000"/>
          <w:sz w:val="20"/>
          <w:highlight w:val="white"/>
        </w:rPr>
      </w:pPr>
      <w:r>
        <w:rPr>
          <w:rFonts w:ascii="Helvetica;sans-serif" w:hAnsi="Helvetica;sans-serif"/>
          <w:b/>
          <w:color w:val="000000"/>
          <w:sz w:val="20"/>
          <w:highlight w:val="white"/>
        </w:rPr>
        <w:t>PURSUANT TO SECTION 302 OF THE SARBANES-OXLEY ACT OF 2002</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I, Vladimir Tenev, certify that: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1.     I have reviewed this Quarterly Report on Form 10-Q of Robinhood Markets Inc.;</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4.     The registrant’s other certifying officer and I are responsible for establishing and maintaining disclosure controls and procedures (as defined in Exchange Act Rules 13a-15(e) and 15d-15(e)) for the registrant and have:</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b.     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May 10, 2023</w:t>
      </w:r>
    </w:p>
    <w:p>
      <w:pPr>
        <w:pStyle w:val="TextBody"/>
        <w:spacing w:lineRule="auto" w:line="319" w:before="0" w:after="0"/>
        <w:jc w:val="both"/>
        <w:rPr/>
      </w:pPr>
      <w:r>
        <w:rPr>
          <w:rFonts w:ascii="Helvetica;sans-serif" w:hAnsi="Helvetica;sans-serif"/>
          <w:b w:val="false"/>
          <w:color w:val="1D1C1D"/>
          <w:sz w:val="20"/>
        </w:rPr>
        <w:t>/s/</w:t>
      </w:r>
      <w:r>
        <w:rPr>
          <w:rFonts w:ascii="Helvetica;sans-serif" w:hAnsi="Helvetica;sans-serif"/>
          <w:b w:val="false"/>
          <w:color w:val="000000"/>
          <w:sz w:val="20"/>
        </w:rPr>
        <w:t>Vladimir Tenev</w:t>
      </w:r>
    </w:p>
    <w:p>
      <w:pPr>
        <w:pStyle w:val="TextBody"/>
        <w:spacing w:lineRule="auto" w:line="319" w:before="0" w:after="0"/>
        <w:jc w:val="both"/>
        <w:rPr>
          <w:rFonts w:ascii="Helvetica;sans-serif" w:hAnsi="Helvetica;sans-serif"/>
          <w:b w:val="false"/>
          <w:color w:val="000000"/>
          <w:sz w:val="20"/>
        </w:rPr>
      </w:pPr>
      <w:r>
        <w:rPr>
          <w:rFonts w:ascii="Helvetica;sans-serif" w:hAnsi="Helvetica;sans-serif"/>
          <w:b w:val="false"/>
          <w:color w:val="000000"/>
          <w:sz w:val="20"/>
        </w:rPr>
        <w:t>Vladimir Tenev</w:t>
      </w:r>
    </w:p>
    <w:p>
      <w:pPr>
        <w:pStyle w:val="TextBody"/>
        <w:spacing w:lineRule="auto" w:line="319"/>
        <w:jc w:val="both"/>
        <w:rPr>
          <w:rFonts w:ascii="Helvetica;sans-serif" w:hAnsi="Helvetica;sans-serif"/>
          <w:b w:val="false"/>
          <w:color w:val="000000"/>
          <w:sz w:val="20"/>
        </w:rPr>
      </w:pPr>
      <w:r>
        <w:rPr>
          <w:rFonts w:ascii="Helvetica;sans-serif" w:hAnsi="Helvetica;sans-serif"/>
          <w:b w:val="false"/>
          <w:color w:val="000000"/>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w:t>
      </w:r>
      <w:r>
        <w:rPr>
          <w:rFonts w:ascii="Helvetica;sans-serif" w:hAnsi="Helvetica;sans-serif"/>
          <w:b w:val="false"/>
          <w:color w:val="000000"/>
          <w:sz w:val="20"/>
        </w:rPr>
        <w:t>xhibit 31.2</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319" w:before="180" w:after="283"/>
        <w:jc w:val="center"/>
        <w:rPr>
          <w:rFonts w:ascii="Helvetica;sans-serif" w:hAnsi="Helvetica;sans-serif"/>
          <w:b/>
          <w:color w:val="000000"/>
          <w:sz w:val="20"/>
          <w:highlight w:val="white"/>
        </w:rPr>
      </w:pPr>
      <w:r>
        <w:rPr>
          <w:rFonts w:ascii="Helvetica;sans-serif" w:hAnsi="Helvetica;sans-serif"/>
          <w:b/>
          <w:color w:val="000000"/>
          <w:sz w:val="20"/>
          <w:highlight w:val="white"/>
        </w:rPr>
        <w:t>CERTIFICATION PURSUANT TO RULE 13a-14(a) AND 15d-14(a) OF THE SECURITIES EXCHANGE ACT OF 1934, AS ADOPTED</w:t>
      </w:r>
    </w:p>
    <w:p>
      <w:pPr>
        <w:pStyle w:val="TextBody"/>
        <w:spacing w:lineRule="auto" w:line="319" w:before="0" w:after="0"/>
        <w:jc w:val="center"/>
        <w:rPr>
          <w:rFonts w:ascii="Helvetica;sans-serif" w:hAnsi="Helvetica;sans-serif"/>
          <w:b/>
          <w:color w:val="000000"/>
          <w:sz w:val="20"/>
          <w:highlight w:val="white"/>
        </w:rPr>
      </w:pPr>
      <w:r>
        <w:rPr>
          <w:rFonts w:ascii="Helvetica;sans-serif" w:hAnsi="Helvetica;sans-serif"/>
          <w:b/>
          <w:color w:val="000000"/>
          <w:sz w:val="20"/>
          <w:highlight w:val="white"/>
        </w:rPr>
        <w:t>PURSUANT TO SECTION 302 OF THE SARBANES-OXLEY ACT OF 2002</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I, Jason Warnick, certify that: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1.     I have reviewed this Quarterly Report on Form 10-Q of Robinhood Markets Inc.;</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4.     The registrant’s other certifying officer and I are responsible for establishing and maintaining disclosure controls and procedures (as defined in Exchange Act Rules 13a-15(e) and 15d-15(e)) for the registrant and have:</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lineRule="auto" w:line="319" w:before="0" w:after="0"/>
        <w:rPr>
          <w:rFonts w:ascii="Helvetica;sans-serif" w:hAnsi="Helvetica;sans-serif"/>
          <w:b w:val="false"/>
          <w:color w:val="000000"/>
          <w:sz w:val="20"/>
          <w:highlight w:val="white"/>
        </w:rPr>
      </w:pPr>
      <w:r>
        <w:rPr>
          <w:rFonts w:ascii="Helvetica;sans-serif" w:hAnsi="Helvetica;sans-serif"/>
          <w:b w:val="false"/>
          <w:color w:val="000000"/>
          <w:sz w:val="20"/>
          <w:highlight w:val="white"/>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lineRule="auto" w:line="319" w:before="0" w:after="0"/>
        <w:rPr>
          <w:color w:val="000000"/>
          <w:highlight w:val="white"/>
        </w:rPr>
      </w:pPr>
      <w:r>
        <w:rPr>
          <w:color w:val="000000"/>
          <w:highlight w:val="white"/>
        </w:rPr>
        <w:t>    </w:t>
      </w:r>
      <w:r>
        <w:rPr>
          <w:rFonts w:ascii="Helvetica;sans-serif" w:hAnsi="Helvetica;sans-serif"/>
          <w:b w:val="false"/>
          <w:color w:val="000000"/>
          <w:sz w:val="20"/>
          <w:highlight w:val="white"/>
        </w:rPr>
        <w:t>b.     Any fraud, whether or not material, that involves management or other employees who have a significant role in the registrant’s internal control over financial reporting.</w:t>
      </w:r>
    </w:p>
    <w:p>
      <w:pPr>
        <w:pStyle w:val="TextBody"/>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Date:    May 10, 2023</w:t>
      </w:r>
    </w:p>
    <w:p>
      <w:pPr>
        <w:pStyle w:val="TextBody"/>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spacing w:lineRule="auto" w:line="319"/>
        <w:jc w:val="both"/>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w:t>
      </w:r>
      <w:r>
        <w:rPr>
          <w:rFonts w:ascii="Helvetica;sans-serif" w:hAnsi="Helvetica;sans-serif"/>
          <w:b w:val="false"/>
          <w:color w:val="000000"/>
          <w:sz w:val="20"/>
        </w:rPr>
        <w:t>xhibit 32.1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Helvetica;sans-serif" w:hAnsi="Helvetica;sans-serif"/>
          <w:b/>
          <w:color w:val="1D1C1D"/>
          <w:sz w:val="20"/>
          <w:highlight w:val="white"/>
        </w:rPr>
      </w:pPr>
      <w:r>
        <w:rPr>
          <w:rFonts w:ascii="Helvetica;sans-serif" w:hAnsi="Helvetica;sans-serif"/>
          <w:b/>
          <w:color w:val="1D1C1D"/>
          <w:sz w:val="20"/>
          <w:highlight w:val="white"/>
        </w:rPr>
        <w:t xml:space="preserve">CERTIFICATION BY THE CHIEF EXECUTIVE OFFICER </w:t>
      </w:r>
    </w:p>
    <w:p>
      <w:pPr>
        <w:pStyle w:val="TextBody"/>
        <w:spacing w:lineRule="auto" w:line="288" w:before="0" w:after="0"/>
        <w:jc w:val="center"/>
        <w:rPr>
          <w:rFonts w:ascii="Helvetica;sans-serif" w:hAnsi="Helvetica;sans-serif"/>
          <w:b/>
          <w:color w:val="1D1C1D"/>
          <w:sz w:val="20"/>
          <w:highlight w:val="white"/>
        </w:rPr>
      </w:pPr>
      <w:r>
        <w:rPr>
          <w:rFonts w:ascii="Helvetica;sans-serif" w:hAnsi="Helvetica;sans-serif"/>
          <w:b/>
          <w:color w:val="1D1C1D"/>
          <w:sz w:val="20"/>
          <w:highlight w:val="white"/>
        </w:rPr>
        <w:t>PURSUANT TO 18 U. S. C. SECTION 1350, AS</w:t>
      </w:r>
    </w:p>
    <w:p>
      <w:pPr>
        <w:pStyle w:val="TextBody"/>
        <w:spacing w:lineRule="auto" w:line="288" w:before="0" w:after="0"/>
        <w:jc w:val="center"/>
        <w:rPr>
          <w:rFonts w:ascii="Helvetica;sans-serif" w:hAnsi="Helvetica;sans-serif"/>
          <w:b/>
          <w:color w:val="1D1C1D"/>
          <w:sz w:val="20"/>
          <w:highlight w:val="white"/>
        </w:rPr>
      </w:pPr>
      <w:r>
        <w:rPr>
          <w:rFonts w:ascii="Helvetica;sans-serif" w:hAnsi="Helvetica;sans-serif"/>
          <w:b/>
          <w:color w:val="1D1C1D"/>
          <w:sz w:val="20"/>
          <w:highlight w:val="white"/>
        </w:rPr>
        <w:t>ADOPTED PURSUANT TO SECTION 906 OF THE SARBANES-OXLEY ACT OF 2002</w:t>
      </w:r>
    </w:p>
    <w:p>
      <w:pPr>
        <w:pStyle w:val="TextBody"/>
        <w:spacing w:before="0" w:after="0"/>
        <w:jc w:val="center"/>
        <w:rPr/>
      </w:pPr>
      <w:r>
        <w:rPr/>
      </w:r>
    </w:p>
    <w:p>
      <w:pPr>
        <w:pStyle w:val="TextBody"/>
        <w:spacing w:lineRule="auto" w:line="288" w:before="0" w:after="0"/>
        <w:jc w:val="both"/>
        <w:rPr/>
      </w:pPr>
      <w:r>
        <w:rPr>
          <w:rFonts w:ascii="Helvetica;sans-serif" w:hAnsi="Helvetica;sans-serif"/>
          <w:b w:val="false"/>
          <w:color w:val="000000"/>
          <w:sz w:val="20"/>
        </w:rPr>
        <w:t xml:space="preserve">Pursuant to 18 U.S.C. Section 1350, I, Vladimir Tenev, hereby certify that, to the best of my knowledge, Robinhood Markets, Inc.’s Quarterly Report on Form 10-Q for the year ended </w:t>
      </w:r>
      <w:r>
        <w:rPr>
          <w:rFonts w:ascii="Helvetica;sans-serif" w:hAnsi="Helvetica;sans-serif"/>
          <w:b w:val="false"/>
          <w:color w:val="1D1C1D"/>
          <w:sz w:val="20"/>
          <w:highlight w:val="white"/>
        </w:rPr>
        <w:t>March 31, 2023</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spacing w:lineRule="auto" w:line="288" w:before="0" w:after="0"/>
        <w:rPr>
          <w:rFonts w:ascii="Helvetica;sans-serif" w:hAnsi="Helvetica;sans-serif"/>
          <w:b w:val="false"/>
          <w:color w:val="1D1C1D"/>
          <w:sz w:val="20"/>
          <w:highlight w:val="white"/>
        </w:rPr>
      </w:pPr>
      <w:r>
        <w:rPr>
          <w:rFonts w:ascii="Helvetica;sans-serif" w:hAnsi="Helvetica;sans-serif"/>
          <w:b w:val="false"/>
          <w:color w:val="1D1C1D"/>
          <w:sz w:val="20"/>
          <w:highlight w:val="white"/>
        </w:rPr>
        <w:t>Date:    May 10, 2023</w:t>
      </w:r>
    </w:p>
    <w:p>
      <w:pPr>
        <w:pStyle w:val="TextBody"/>
        <w:spacing w:lineRule="auto" w:line="288" w:before="0" w:after="0"/>
        <w:jc w:val="both"/>
        <w:rPr>
          <w:rFonts w:ascii="Helvetica;sans-serif" w:hAnsi="Helvetica;sans-serif"/>
          <w:b w:val="false"/>
          <w:color w:val="000000"/>
          <w:sz w:val="20"/>
        </w:rPr>
      </w:pPr>
      <w:r>
        <w:rPr>
          <w:rFonts w:ascii="Helvetica;sans-serif" w:hAnsi="Helvetica;sans-serif"/>
          <w:b w:val="false"/>
          <w:color w:val="000000"/>
          <w:sz w:val="20"/>
        </w:rPr>
        <w:t>/s/Vladimir Tenev</w:t>
      </w:r>
    </w:p>
    <w:p>
      <w:pPr>
        <w:pStyle w:val="TextBody"/>
        <w:spacing w:lineRule="auto" w:line="288" w:before="0" w:after="0"/>
        <w:rPr>
          <w:rFonts w:ascii="Helvetica;sans-serif" w:hAnsi="Helvetica;sans-serif"/>
          <w:b w:val="false"/>
          <w:color w:val="1D1C1D"/>
          <w:sz w:val="20"/>
          <w:highlight w:val="white"/>
        </w:rPr>
      </w:pPr>
      <w:r>
        <w:rPr>
          <w:rFonts w:ascii="Helvetica;sans-serif" w:hAnsi="Helvetica;sans-serif"/>
          <w:b w:val="false"/>
          <w:color w:val="1D1C1D"/>
          <w:sz w:val="20"/>
          <w:highlight w:val="white"/>
        </w:rPr>
        <w:t>Vladimir Tenev</w:t>
      </w:r>
    </w:p>
    <w:p>
      <w:pPr>
        <w:pStyle w:val="TextBody"/>
        <w:spacing w:lineRule="auto" w:line="288"/>
        <w:rPr>
          <w:rFonts w:ascii="Helvetica;sans-serif" w:hAnsi="Helvetica;sans-serif"/>
          <w:b w:val="false"/>
          <w:color w:val="1D1C1D"/>
          <w:sz w:val="20"/>
        </w:rPr>
      </w:pPr>
      <w:r>
        <w:rPr>
          <w:rFonts w:ascii="Helvetica;sans-serif" w:hAnsi="Helvetica;sans-serif"/>
          <w:b w:val="false"/>
          <w:color w:val="1D1C1D"/>
          <w:sz w:val="20"/>
        </w:rPr>
        <w:t>Chief Executive Officer</w:t>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jc w:val="right"/>
        <w:rPr>
          <w:rFonts w:ascii="Helvetica;sans-serif" w:hAnsi="Helvetica;sans-serif"/>
          <w:b w:val="false"/>
          <w:color w:val="000000"/>
          <w:sz w:val="20"/>
        </w:rPr>
      </w:pPr>
      <w:r>
        <w:rPr>
          <w:rFonts w:ascii="Helvetica;sans-serif" w:hAnsi="Helvetica;sans-serif"/>
          <w:b w:val="false"/>
          <w:color w:val="000000"/>
          <w:sz w:val="20"/>
        </w:rPr>
        <w:t>E</w:t>
      </w:r>
      <w:r>
        <w:rPr>
          <w:rFonts w:ascii="Helvetica;sans-serif" w:hAnsi="Helvetica;sans-serif"/>
          <w:b w:val="false"/>
          <w:color w:val="000000"/>
          <w:sz w:val="20"/>
        </w:rPr>
        <w:t>xhibit 32.2</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9.75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180" w:after="283"/>
        <w:jc w:val="center"/>
        <w:rPr>
          <w:rFonts w:ascii="Helvetica;sans-serif" w:hAnsi="Helvetica;sans-serif"/>
          <w:b/>
          <w:color w:val="1D1C1D"/>
          <w:sz w:val="20"/>
          <w:highlight w:val="white"/>
        </w:rPr>
      </w:pPr>
      <w:r>
        <w:rPr>
          <w:rFonts w:ascii="Helvetica;sans-serif" w:hAnsi="Helvetica;sans-serif"/>
          <w:b/>
          <w:color w:val="1D1C1D"/>
          <w:sz w:val="20"/>
          <w:highlight w:val="white"/>
        </w:rPr>
        <w:t xml:space="preserve">CERTIFICATION BY THE CHIEF FINANCIAL OFFICER </w:t>
      </w:r>
    </w:p>
    <w:p>
      <w:pPr>
        <w:pStyle w:val="TextBody"/>
        <w:spacing w:lineRule="auto" w:line="288" w:before="0" w:after="0"/>
        <w:jc w:val="center"/>
        <w:rPr>
          <w:rFonts w:ascii="Helvetica;sans-serif" w:hAnsi="Helvetica;sans-serif"/>
          <w:b/>
          <w:color w:val="1D1C1D"/>
          <w:sz w:val="20"/>
          <w:highlight w:val="white"/>
        </w:rPr>
      </w:pPr>
      <w:r>
        <w:rPr>
          <w:rFonts w:ascii="Helvetica;sans-serif" w:hAnsi="Helvetica;sans-serif"/>
          <w:b/>
          <w:color w:val="1D1C1D"/>
          <w:sz w:val="20"/>
          <w:highlight w:val="white"/>
        </w:rPr>
        <w:t>PURSUANT TO 18 U. S. C. SECTION 1350, AS</w:t>
      </w:r>
    </w:p>
    <w:p>
      <w:pPr>
        <w:pStyle w:val="TextBody"/>
        <w:spacing w:lineRule="auto" w:line="288" w:before="0" w:after="0"/>
        <w:jc w:val="center"/>
        <w:rPr>
          <w:rFonts w:ascii="Helvetica;sans-serif" w:hAnsi="Helvetica;sans-serif"/>
          <w:b/>
          <w:color w:val="1D1C1D"/>
          <w:sz w:val="20"/>
          <w:highlight w:val="white"/>
        </w:rPr>
      </w:pPr>
      <w:r>
        <w:rPr>
          <w:rFonts w:ascii="Helvetica;sans-serif" w:hAnsi="Helvetica;sans-serif"/>
          <w:b/>
          <w:color w:val="1D1C1D"/>
          <w:sz w:val="20"/>
          <w:highlight w:val="white"/>
        </w:rPr>
        <w:t>ADOPTED PURSUANT TO SECTION 906 OF THE SARBANES-OXLEY ACT OF 2002</w:t>
      </w:r>
    </w:p>
    <w:p>
      <w:pPr>
        <w:pStyle w:val="TextBody"/>
        <w:spacing w:lineRule="auto" w:line="319" w:before="0" w:after="0"/>
        <w:jc w:val="both"/>
        <w:rPr/>
      </w:pPr>
      <w:r>
        <w:rPr>
          <w:rFonts w:ascii="Helvetica;sans-serif" w:hAnsi="Helvetica;sans-serif"/>
          <w:b w:val="false"/>
          <w:color w:val="000000"/>
          <w:sz w:val="20"/>
        </w:rPr>
        <w:t xml:space="preserve">Pursuant to 18 U.S.C. Section 1350, I, Jason Warnick, hereby certify that, to the best of my knowledge, Robinhood Markets, Inc.’s Quarterly Report on Form 10-Q for the year ended </w:t>
      </w:r>
      <w:r>
        <w:rPr>
          <w:rFonts w:ascii="Helvetica;sans-serif" w:hAnsi="Helvetica;sans-serif"/>
          <w:b w:val="false"/>
          <w:color w:val="1D1C1D"/>
          <w:sz w:val="20"/>
          <w:highlight w:val="white"/>
        </w:rPr>
        <w:t>March 31, 2023</w:t>
      </w:r>
      <w:r>
        <w:rPr>
          <w:color w:val="000000"/>
        </w:rPr>
        <w:t xml:space="preserve"> </w:t>
      </w:r>
      <w:r>
        <w:rPr>
          <w:rFonts w:ascii="Helvetica;sans-serif" w:hAnsi="Helvetica;sans-serif"/>
          <w:b w:val="false"/>
          <w:color w:val="000000"/>
          <w:sz w:val="20"/>
        </w:rPr>
        <w:t>(the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pStyle w:val="TextBody"/>
        <w:spacing w:lineRule="auto" w:line="319" w:before="0" w:after="0"/>
        <w:rPr>
          <w:rFonts w:ascii="Helvetica;sans-serif" w:hAnsi="Helvetica;sans-serif"/>
          <w:b w:val="false"/>
          <w:color w:val="1D1C1D"/>
          <w:sz w:val="20"/>
          <w:highlight w:val="white"/>
        </w:rPr>
      </w:pPr>
      <w:r>
        <w:rPr>
          <w:rFonts w:ascii="Helvetica;sans-serif" w:hAnsi="Helvetica;sans-serif"/>
          <w:b w:val="false"/>
          <w:color w:val="1D1C1D"/>
          <w:sz w:val="20"/>
          <w:highlight w:val="white"/>
        </w:rPr>
        <w:t>Date:    May 10, 2023</w:t>
      </w:r>
    </w:p>
    <w:p>
      <w:pPr>
        <w:pStyle w:val="TextBody"/>
        <w:spacing w:lineRule="auto" w:line="319" w:before="0" w:after="0"/>
        <w:jc w:val="both"/>
        <w:rPr>
          <w:rFonts w:ascii="Helvetica;sans-serif" w:hAnsi="Helvetica;sans-serif"/>
          <w:b w:val="false"/>
          <w:color w:val="1D1C1D"/>
          <w:sz w:val="20"/>
        </w:rPr>
      </w:pPr>
      <w:r>
        <w:rPr>
          <w:rFonts w:ascii="Helvetica;sans-serif" w:hAnsi="Helvetica;sans-serif"/>
          <w:b w:val="false"/>
          <w:color w:val="1D1C1D"/>
          <w:sz w:val="20"/>
        </w:rPr>
        <w:t>/s/Jason Warnick</w:t>
      </w:r>
    </w:p>
    <w:p>
      <w:pPr>
        <w:pStyle w:val="TextBody"/>
        <w:spacing w:lineRule="auto" w:line="319" w:before="0" w:after="0"/>
        <w:rPr>
          <w:rFonts w:ascii="Helvetica;sans-serif" w:hAnsi="Helvetica;sans-serif"/>
          <w:b w:val="false"/>
          <w:color w:val="1D1C1D"/>
          <w:sz w:val="20"/>
        </w:rPr>
      </w:pPr>
      <w:r>
        <w:rPr>
          <w:rFonts w:ascii="Helvetica;sans-serif" w:hAnsi="Helvetica;sans-serif"/>
          <w:b w:val="false"/>
          <w:color w:val="1D1C1D"/>
          <w:sz w:val="20"/>
        </w:rPr>
        <w:t>Jason Warnick</w:t>
      </w:r>
    </w:p>
    <w:p>
      <w:pPr>
        <w:pStyle w:val="TextBody"/>
        <w:spacing w:lineRule="auto" w:line="319" w:before="0" w:after="0"/>
        <w:rPr>
          <w:rFonts w:ascii="Helvetica;sans-serif" w:hAnsi="Helvetica;sans-serif"/>
          <w:b w:val="false"/>
          <w:color w:val="1D1C1D"/>
          <w:sz w:val="20"/>
        </w:rPr>
      </w:pPr>
      <w:r>
        <w:rPr>
          <w:rFonts w:ascii="Helvetica;sans-serif" w:hAnsi="Helvetica;sans-serif"/>
          <w:b w:val="false"/>
          <w:color w:val="1D1C1D"/>
          <w:sz w:val="20"/>
        </w:rPr>
        <w:t>Chief Financial Officer</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Helvetica">
    <w:altName w:val="Arial"/>
    <w:charset w:val="00"/>
    <w:family w:val="auto"/>
    <w:pitch w:val="default"/>
  </w:font>
  <w:font w:name="Wingdings">
    <w:altName w:val="sans-serif"/>
    <w:charset w:val="00"/>
    <w:family w:val="auto"/>
    <w:pitch w:val="default"/>
  </w:font>
  <w:font w:name="Times New Roman">
    <w:altName w:val="sans-serif"/>
    <w:charset w:val="00"/>
    <w:family w:val="auto"/>
    <w:pitch w:val="default"/>
  </w:font>
  <w:font w:name="Arial">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783879/000162828021015177/exhibit31-8xkx8221.htm" TargetMode="External"/><Relationship Id="rId3" Type="http://schemas.openxmlformats.org/officeDocument/2006/relationships/hyperlink" Target="https://www.sec.gov/Archives/edgar/data/1783879/000178387922000044/exhibit32.htm" TargetMode="External"/><Relationship Id="rId4" Type="http://schemas.openxmlformats.org/officeDocument/2006/relationships/hyperlink" Target="https://www.sec.gov/Archives/edgar/data/1783879/000162828021013986/exhibit41-sx1a1.htm" TargetMode="External"/><Relationship Id="rId5" Type="http://schemas.openxmlformats.org/officeDocument/2006/relationships/hyperlink" Target="https://www.sec.gov/Archives/edgar/data/1783879/000162828021013318/exhibit42-sx1.htm" TargetMode="External"/><Relationship Id="rId6" Type="http://schemas.openxmlformats.org/officeDocument/2006/relationships/hyperlink" Target="https://www.sec.gov/Archives/edgar/data/1783879/000162828023002760/exhibit101for8-k.htm" TargetMode="External"/><Relationship Id="rId7" Type="http://schemas.openxmlformats.org/officeDocument/2006/relationships/hyperlink" Target="https://www.sec.gov/Archives/edgar/data/1783879/000119312523071284/d485105dex101.htm" TargetMode="External"/><Relationship Id="rId8" Type="http://schemas.openxmlformats.org/officeDocument/2006/relationships/hyperlink" Target="https://www.sec.gov/Archives/edgar/data/1783879/000119312523079257/d465939dex10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53684</Words>
  <CharactersWithSpaces>352355</CharactersWithSpaces>
  <Paragraphs>3261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