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Robinhood Markets,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Ventures Fund 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67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6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17,050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37.24</w:t>
            </w:r>
            <w:r>
              <w:rPr>
                <w:rFonts w:ascii="Times New Roman" w:cs="Times New Roman" w:eastAsia="Times New Roman" w:hAnsi="Times New Roman"/>
                <w:sz w:val="22"/>
                <w:szCs w:val="22"/>
                <w:color w:val="008000"/>
                <w:w w:val="92"/>
                <w:vertAlign w:val="superscript"/>
              </w:rPr>
              <w:t>(1)</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14,107,482</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25,856</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38.06</w:t>
            </w:r>
            <w:r>
              <w:rPr>
                <w:rFonts w:ascii="Times New Roman" w:cs="Times New Roman" w:eastAsia="Times New Roman" w:hAnsi="Times New Roman"/>
                <w:sz w:val="22"/>
                <w:szCs w:val="22"/>
                <w:color w:val="008000"/>
                <w:w w:val="92"/>
                <w:vertAlign w:val="superscript"/>
              </w:rPr>
              <w:t>(2)</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14,081,626</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38.99</w:t>
            </w:r>
            <w:r>
              <w:rPr>
                <w:rFonts w:ascii="Times New Roman" w:cs="Times New Roman" w:eastAsia="Times New Roman" w:hAnsi="Times New Roman"/>
                <w:sz w:val="22"/>
                <w:szCs w:val="22"/>
                <w:color w:val="008000"/>
                <w:w w:val="92"/>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14,080,636</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40.83</w:t>
            </w:r>
            <w:r>
              <w:rPr>
                <w:rFonts w:ascii="Times New Roman" w:cs="Times New Roman" w:eastAsia="Times New Roman" w:hAnsi="Times New Roman"/>
                <w:sz w:val="22"/>
                <w:szCs w:val="22"/>
                <w:color w:val="008000"/>
                <w:w w:val="92"/>
                <w:vertAlign w:val="superscript"/>
              </w:rPr>
              <w:t>(4)</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14,078,636</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42.56</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14,076,136</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$36.6500 to $37.6400.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$37.6500 to $38.5500.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$38.7000 to $39.2000.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$40.5000 to $41.0700.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held reflects the stock split that was effective immediately before the completion of the initial public offering, which resulted in each share outstanding as of March 5, 2026 being classified into 1.0239 shares of beneficial interest.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Robinhood Markets,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Manan Shah, Name:</w:t>
      </w:r>
      <w:r>
        <w:rPr>
          <w:sz w:val="20"/>
          <w:szCs w:val="20"/>
          <w:color w:val="auto"/>
        </w:rPr>
        <w:tab/>
      </w: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Manan Shah, Title: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879" TargetMode="External"/><Relationship Id="rId14" Type="http://schemas.openxmlformats.org/officeDocument/2006/relationships/hyperlink" Target="http://www.sec.gov/cgi-bin/browse-edgar?action=getcompany&amp;CIK=0002085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2026-06-09T18:33:04Z</dcterms:created>
  <dcterms:modified xsi:type="dcterms:W3CDTF">2026-06-09T18:33:04Z</dcterms:modified>
</cp:coreProperties>
</file>