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RULES 13d-1 (b), (c) AND (d) AND AMENDMENTS THERETO</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FILED PURSUANT TO 13d-2 (b)</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Robinhood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770700102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 of 20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5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Page 2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6"/>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Bullfrog Capital, L.P. ("Bullfrog")</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6"/>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 w:type="dxa"/>
            <w:vAlign w:val="bottom"/>
            <w:tcBorders>
              <w:left w:val="single" w:sz="8" w:color="auto"/>
            </w:tcBorders>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720" w:type="dxa"/>
            <w:vAlign w:val="bottom"/>
            <w:tcBorders>
              <w:right w:val="single" w:sz="8" w:color="auto"/>
            </w:tcBorders>
            <w:gridSpan w:val="4"/>
          </w:tcPr>
          <w:p>
            <w:pPr>
              <w:spacing w:after="0" w:line="221" w:lineRule="exact"/>
              <w:rPr>
                <w:sz w:val="20"/>
                <w:szCs w:val="20"/>
                <w:color w:val="auto"/>
              </w:rPr>
            </w:pPr>
            <w:r>
              <w:rPr>
                <w:rFonts w:ascii="Times New Roman" w:cs="Times New Roman" w:eastAsia="Times New Roman" w:hAnsi="Times New Roman"/>
                <w:sz w:val="16"/>
                <w:szCs w:val="16"/>
                <w:color w:val="auto"/>
              </w:rPr>
              <w:t>14,268,575</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shares held directly for itself and as nominee for Bullfrog Founder Fund, L.P. (“Bullfrog FF”), except that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Bullfrog Capital GP, L.P. (“BF GP”), the general partner of Bullfrog and Bullfrog FF, Bullfrog Capital GP, Ltd. (“BF</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UGP”), the general partner of BF GP, and Meyer Malka (“Malka”), the sole director of BF UGP, may be deemed to have</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power to vote these shares.</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80" w:type="dxa"/>
            <w:vAlign w:val="bottom"/>
            <w:tcBorders>
              <w:lef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6360" w:type="dxa"/>
            <w:vAlign w:val="bottom"/>
            <w:gridSpan w:val="3"/>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0" w:type="dxa"/>
            <w:vAlign w:val="bottom"/>
            <w:tcBorders>
              <w:left w:val="single" w:sz="8" w:color="auto"/>
            </w:tcBorders>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6360" w:type="dxa"/>
            <w:vAlign w:val="bottom"/>
            <w:gridSpan w:val="3"/>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720" w:type="dxa"/>
            <w:vAlign w:val="bottom"/>
            <w:tcBorders>
              <w:right w:val="single" w:sz="8" w:color="auto"/>
            </w:tcBorders>
            <w:gridSpan w:val="4"/>
          </w:tcPr>
          <w:p>
            <w:pPr>
              <w:spacing w:after="0" w:line="252" w:lineRule="exact"/>
              <w:rPr>
                <w:sz w:val="20"/>
                <w:szCs w:val="20"/>
                <w:color w:val="auto"/>
              </w:rPr>
            </w:pPr>
            <w:r>
              <w:rPr>
                <w:rFonts w:ascii="Times New Roman" w:cs="Times New Roman" w:eastAsia="Times New Roman" w:hAnsi="Times New Roman"/>
                <w:sz w:val="18"/>
                <w:szCs w:val="18"/>
                <w:color w:val="auto"/>
              </w:rPr>
              <w:t>14,268,575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held directly for itself and as nominee for Bullfrog FF, except that BF GP, the general partner of</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Bullfrog, BF UGP, the general partner of BF GP, and Malka, the sole director of BF UGP, may be deemed to have sole</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power to dispose of these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14,268,575</w:t>
            </w: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2"/>
                <w:szCs w:val="22"/>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bottom w:val="single" w:sz="8" w:color="auto"/>
              <w:right w:val="single" w:sz="8" w:color="auto"/>
            </w:tcBorders>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4"/>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bottom w:val="single" w:sz="8" w:color="auto"/>
              <w:right w:val="single" w:sz="8" w:color="auto"/>
            </w:tcBorders>
          </w:tcPr>
          <w:p>
            <w:pPr>
              <w:ind w:left="1020"/>
              <w:spacing w:after="0" w:line="303" w:lineRule="exact"/>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1,405,827 shares underlying warrants exercisable within 60 days of December 31, 2022.</w:t>
      </w:r>
    </w:p>
    <w:p>
      <w:pPr>
        <w:spacing w:after="0" w:line="22" w:lineRule="exact"/>
        <w:rPr>
          <w:sz w:val="20"/>
          <w:szCs w:val="20"/>
          <w:color w:val="auto"/>
        </w:rPr>
      </w:pPr>
    </w:p>
    <w:p>
      <w:pPr>
        <w:jc w:val="both"/>
        <w:ind w:right="600" w:firstLine="8"/>
        <w:spacing w:after="0" w:line="210"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 Assumes the conversion shares underlying warrants held by the Reporting Person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24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Page 3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6"/>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RH-N Bullfrog Opportunity I, LLC ("RH-N")</w:t>
            </w: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 w:type="dxa"/>
            <w:vAlign w:val="bottom"/>
            <w:tcBorders>
              <w:left w:val="single" w:sz="8" w:color="auto"/>
            </w:tcBorders>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720" w:type="dxa"/>
            <w:vAlign w:val="bottom"/>
            <w:tcBorders>
              <w:right w:val="single" w:sz="8" w:color="auto"/>
            </w:tcBorders>
            <w:gridSpan w:val="4"/>
          </w:tcPr>
          <w:p>
            <w:pPr>
              <w:spacing w:after="0" w:line="221" w:lineRule="exact"/>
              <w:rPr>
                <w:sz w:val="20"/>
                <w:szCs w:val="20"/>
                <w:color w:val="auto"/>
              </w:rPr>
            </w:pPr>
            <w:r>
              <w:rPr>
                <w:rFonts w:ascii="Times New Roman" w:cs="Times New Roman" w:eastAsia="Times New Roman" w:hAnsi="Times New Roman"/>
                <w:sz w:val="16"/>
                <w:szCs w:val="16"/>
                <w:color w:val="auto"/>
              </w:rPr>
              <w:t>1,428,686</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shares, except that Bullfrog Capital GP, L.P. (“BF GP”), the managing member of RH-N, Bullfrog Capital</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GP, Ltd. (“BF UGP”), the general partner of BF GP, and Meyer Malka (“Malka”), the sole director of BF UGP, may be</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deemed to have sole power to vote these shares.</w:t>
            </w: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80" w:type="dxa"/>
            <w:vAlign w:val="bottom"/>
            <w:tcBorders>
              <w:left w:val="single" w:sz="8" w:color="auto"/>
            </w:tcBorders>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7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7220" w:type="dxa"/>
            <w:vAlign w:val="bottom"/>
            <w:gridSpan w:val="3"/>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left w:val="single" w:sz="8" w:color="auto"/>
            </w:tcBorders>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0" w:type="dxa"/>
            <w:vAlign w:val="bottom"/>
            <w:tcBorders>
              <w:left w:val="single" w:sz="8" w:color="auto"/>
            </w:tcBorders>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20" w:type="dxa"/>
            <w:vAlign w:val="bottom"/>
            <w:tcBorders>
              <w:bottom w:val="single" w:sz="8" w:color="auto"/>
            </w:tcBorders>
            <w:gridSpan w:val="3"/>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80" w:type="dxa"/>
            <w:vAlign w:val="bottom"/>
            <w:tcBorders>
              <w:left w:val="single" w:sz="8" w:color="auto"/>
            </w:tcBorders>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7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220" w:type="dxa"/>
            <w:vAlign w:val="bottom"/>
            <w:gridSpan w:val="3"/>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8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720" w:type="dxa"/>
            <w:vAlign w:val="bottom"/>
            <w:tcBorders>
              <w:right w:val="single" w:sz="8" w:color="auto"/>
            </w:tcBorders>
            <w:gridSpan w:val="4"/>
          </w:tcPr>
          <w:p>
            <w:pPr>
              <w:spacing w:after="0" w:line="252" w:lineRule="exact"/>
              <w:rPr>
                <w:sz w:val="20"/>
                <w:szCs w:val="20"/>
                <w:color w:val="auto"/>
              </w:rPr>
            </w:pPr>
            <w:r>
              <w:rPr>
                <w:rFonts w:ascii="Times New Roman" w:cs="Times New Roman" w:eastAsia="Times New Roman" w:hAnsi="Times New Roman"/>
                <w:sz w:val="18"/>
                <w:szCs w:val="18"/>
                <w:color w:val="auto"/>
              </w:rPr>
              <w:t>1,428,686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except that BF GP, the managing member of RH-N, BF UGP, the general partner of BF GP, and</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Malka, the sole director of BF UGP, may be deemed to have sole power to dispose of these shares.</w:t>
            </w: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0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1,428,686</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50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00" w:type="dxa"/>
            <w:vAlign w:val="bottom"/>
            <w:tcBorders>
              <w:bottom w:val="single" w:sz="8" w:color="auto"/>
              <w:right w:val="single" w:sz="8" w:color="auto"/>
            </w:tcBorders>
          </w:tcPr>
          <w:p>
            <w:pPr>
              <w:ind w:left="160"/>
              <w:spacing w:after="0" w:line="277" w:lineRule="exact"/>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1,422,603 shares underlying warrants exercisable within 60 days of December 31, 2022.</w:t>
      </w:r>
    </w:p>
    <w:p>
      <w:pPr>
        <w:spacing w:after="0" w:line="22" w:lineRule="exact"/>
        <w:rPr>
          <w:sz w:val="20"/>
          <w:szCs w:val="20"/>
          <w:color w:val="auto"/>
        </w:rPr>
      </w:pPr>
    </w:p>
    <w:p>
      <w:pPr>
        <w:jc w:val="both"/>
        <w:ind w:right="600" w:firstLine="8"/>
        <w:spacing w:after="0" w:line="210" w:lineRule="auto"/>
        <w:tabs>
          <w:tab w:leader="none" w:pos="11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 Assumes the conversion shares underlying warrants held by the Reporting Person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5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Page 4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6"/>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Bullfrog Capital GP, L.P. (“BF GP”)</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 w:type="dxa"/>
            <w:vAlign w:val="bottom"/>
            <w:tcBorders>
              <w:left w:val="single" w:sz="8" w:color="auto"/>
            </w:tcBorders>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720" w:type="dxa"/>
            <w:vAlign w:val="bottom"/>
            <w:tcBorders>
              <w:right w:val="single" w:sz="8" w:color="auto"/>
            </w:tcBorders>
            <w:gridSpan w:val="4"/>
          </w:tcPr>
          <w:p>
            <w:pPr>
              <w:spacing w:after="0" w:line="221" w:lineRule="exact"/>
              <w:rPr>
                <w:sz w:val="20"/>
                <w:szCs w:val="20"/>
                <w:color w:val="auto"/>
              </w:rPr>
            </w:pPr>
            <w:r>
              <w:rPr>
                <w:rFonts w:ascii="Times New Roman" w:cs="Times New Roman" w:eastAsia="Times New Roman" w:hAnsi="Times New Roman"/>
                <w:sz w:val="16"/>
                <w:szCs w:val="16"/>
                <w:color w:val="auto"/>
              </w:rPr>
              <w:t>15,697,261 shares, of which 14,268,575</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shares are directly owned by Bullfrog Capital, L.P. (“Bullfrog”), for itself and</w:t>
            </w: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22"/>
                <w:szCs w:val="22"/>
                <w:color w:val="auto"/>
              </w:rPr>
            </w:pPr>
          </w:p>
        </w:tc>
        <w:tc>
          <w:tcPr>
            <w:tcW w:w="8720" w:type="dxa"/>
            <w:vAlign w:val="bottom"/>
            <w:tcBorders>
              <w:right w:val="single" w:sz="8" w:color="auto"/>
            </w:tcBorders>
            <w:gridSpan w:val="4"/>
          </w:tcPr>
          <w:p>
            <w:pPr>
              <w:spacing w:after="0" w:line="256" w:lineRule="exact"/>
              <w:rPr>
                <w:sz w:val="20"/>
                <w:szCs w:val="20"/>
                <w:color w:val="auto"/>
              </w:rPr>
            </w:pPr>
            <w:r>
              <w:rPr>
                <w:rFonts w:ascii="Times New Roman" w:cs="Times New Roman" w:eastAsia="Times New Roman" w:hAnsi="Times New Roman"/>
                <w:sz w:val="18"/>
                <w:szCs w:val="18"/>
                <w:color w:val="auto"/>
              </w:rPr>
              <w:t>as nominee for Bullfrog Founder Fund, L.P. (“Bullfrog FF”), and 1,428,686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are directly owned by RH-N</w:t>
            </w:r>
          </w:p>
        </w:tc>
        <w:tc>
          <w:tcPr>
            <w:tcW w:w="0" w:type="dxa"/>
            <w:vAlign w:val="bottom"/>
          </w:tcPr>
          <w:p>
            <w:pPr>
              <w:spacing w:after="0"/>
              <w:rPr>
                <w:sz w:val="1"/>
                <w:szCs w:val="1"/>
                <w:color w:val="auto"/>
              </w:rPr>
            </w:pPr>
          </w:p>
        </w:tc>
      </w:tr>
      <w:tr>
        <w:trPr>
          <w:trHeight w:val="171"/>
        </w:trPr>
        <w:tc>
          <w:tcPr>
            <w:tcW w:w="1720" w:type="dxa"/>
            <w:vAlign w:val="bottom"/>
            <w:tcBorders>
              <w:left w:val="single" w:sz="8" w:color="auto"/>
              <w:right w:val="single" w:sz="8" w:color="auto"/>
            </w:tcBorders>
            <w:gridSpan w:val="4"/>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4"/>
                <w:szCs w:val="14"/>
                <w:color w:val="auto"/>
              </w:rPr>
            </w:pPr>
          </w:p>
        </w:tc>
        <w:tc>
          <w:tcPr>
            <w:tcW w:w="8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Bullfrog Opportunity I, LLC (“RH-N”). BF GP, the general partner of Bullfrog and Bullfrog FF and the managing</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7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left w:val="single" w:sz="8" w:color="auto"/>
            </w:tcBorders>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member of RH-N, may be deemed to have sole power to vote these shares, and Bullfrog Capital GP, Ltd. (“BF UGP”),</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7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left w:val="single" w:sz="8" w:color="auto"/>
            </w:tcBorders>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general partner of BF GP, and Meyer Malka (“Malka”), the sole director of BF UGP, may be deemed to have sole</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7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 w:type="dxa"/>
            <w:vAlign w:val="bottom"/>
            <w:tcBorders>
              <w:left w:val="single" w:sz="8" w:color="auto"/>
            </w:tcBorders>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power to vote these shares.</w:t>
            </w:r>
          </w:p>
        </w:tc>
        <w:tc>
          <w:tcPr>
            <w:tcW w:w="2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gridSpan w:val="3"/>
            <w:vMerge w:val="continue"/>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0" w:type="dxa"/>
            <w:vAlign w:val="bottom"/>
            <w:tcBorders>
              <w:lef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720" w:type="dxa"/>
            <w:vAlign w:val="bottom"/>
            <w:tcBorders>
              <w:right w:val="single" w:sz="8" w:color="auto"/>
            </w:tcBorders>
            <w:gridSpan w:val="4"/>
          </w:tcPr>
          <w:p>
            <w:pPr>
              <w:spacing w:after="0" w:line="256" w:lineRule="exact"/>
              <w:rPr>
                <w:sz w:val="20"/>
                <w:szCs w:val="20"/>
                <w:color w:val="auto"/>
              </w:rPr>
            </w:pPr>
            <w:r>
              <w:rPr>
                <w:rFonts w:ascii="Times New Roman" w:cs="Times New Roman" w:eastAsia="Times New Roman" w:hAnsi="Times New Roman"/>
                <w:sz w:val="18"/>
                <w:szCs w:val="18"/>
                <w:color w:val="auto"/>
              </w:rPr>
              <w:t>15,697,261 shares, of which 14,268,575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are directly owned by Bullfrog, for itself and as nominee for Bullfrog</w:t>
            </w:r>
          </w:p>
        </w:tc>
        <w:tc>
          <w:tcPr>
            <w:tcW w:w="0" w:type="dxa"/>
            <w:vAlign w:val="bottom"/>
          </w:tcPr>
          <w:p>
            <w:pPr>
              <w:spacing w:after="0"/>
              <w:rPr>
                <w:sz w:val="1"/>
                <w:szCs w:val="1"/>
                <w:color w:val="auto"/>
              </w:rPr>
            </w:pPr>
          </w:p>
        </w:tc>
      </w:tr>
      <w:tr>
        <w:trPr>
          <w:trHeight w:val="253"/>
        </w:trPr>
        <w:tc>
          <w:tcPr>
            <w:tcW w:w="28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720" w:type="dxa"/>
            <w:vAlign w:val="bottom"/>
            <w:tcBorders>
              <w:right w:val="single" w:sz="8" w:color="auto"/>
            </w:tcBorders>
            <w:gridSpan w:val="4"/>
          </w:tcPr>
          <w:p>
            <w:pPr>
              <w:spacing w:after="0" w:line="252" w:lineRule="exact"/>
              <w:rPr>
                <w:sz w:val="20"/>
                <w:szCs w:val="20"/>
                <w:color w:val="auto"/>
              </w:rPr>
            </w:pPr>
            <w:r>
              <w:rPr>
                <w:rFonts w:ascii="Times New Roman" w:cs="Times New Roman" w:eastAsia="Times New Roman" w:hAnsi="Times New Roman"/>
                <w:sz w:val="18"/>
                <w:szCs w:val="18"/>
                <w:color w:val="auto"/>
              </w:rPr>
              <w:t>FF, and 1,428,686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are directly owned by RH-N. BF GP, the general partner of Bullfrog and Bullfrog FF and the</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managing member of RH-N, may be deemed to have sole power to dispose of these shares, and BF UGP, the general</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partner of BF GP, and Malka, the sole director of BF UGP, may be deemed to have sole power to dispose of these shares.</w:t>
            </w: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15,697,261</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bottom w:val="single" w:sz="8" w:color="auto"/>
              <w:right w:val="single" w:sz="8" w:color="auto"/>
            </w:tcBorders>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bottom w:val="single" w:sz="8" w:color="auto"/>
              <w:right w:val="single" w:sz="8" w:color="auto"/>
            </w:tcBorders>
          </w:tcPr>
          <w:p>
            <w:pPr>
              <w:ind w:left="1020"/>
              <w:spacing w:after="0" w:line="277"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1,405,827 shares underlying warrants exercisable within 60 days of December 31, 2022.</w:t>
      </w:r>
    </w:p>
    <w:p>
      <w:pPr>
        <w:spacing w:after="0" w:line="42"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Includes 1,422,603 shares underlying warrants exercisable within 60 days of December 31, 2022.</w:t>
      </w:r>
    </w:p>
    <w:p>
      <w:pPr>
        <w:spacing w:after="0" w:line="21" w:lineRule="exact"/>
        <w:rPr>
          <w:sz w:val="20"/>
          <w:szCs w:val="20"/>
          <w:color w:val="auto"/>
        </w:rPr>
      </w:pPr>
    </w:p>
    <w:p>
      <w:pPr>
        <w:jc w:val="both"/>
        <w:ind w:right="600" w:firstLine="8"/>
        <w:spacing w:after="0" w:line="210" w:lineRule="auto"/>
        <w:tabs>
          <w:tab w:leader="none" w:pos="112"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 Assumes the conversion shares underlying warrants held by the Reporting Person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5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Page 5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6"/>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Bullfrog Capital GP, Ltd. (“BF UGP”)</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 w:type="dxa"/>
            <w:vAlign w:val="bottom"/>
            <w:tcBorders>
              <w:left w:val="single" w:sz="8" w:color="auto"/>
            </w:tcBorders>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720" w:type="dxa"/>
            <w:vAlign w:val="bottom"/>
            <w:tcBorders>
              <w:right w:val="single" w:sz="8" w:color="auto"/>
            </w:tcBorders>
            <w:gridSpan w:val="4"/>
          </w:tcPr>
          <w:p>
            <w:pPr>
              <w:spacing w:after="0" w:line="221" w:lineRule="exact"/>
              <w:rPr>
                <w:sz w:val="20"/>
                <w:szCs w:val="20"/>
                <w:color w:val="auto"/>
              </w:rPr>
            </w:pPr>
            <w:r>
              <w:rPr>
                <w:rFonts w:ascii="Times New Roman" w:cs="Times New Roman" w:eastAsia="Times New Roman" w:hAnsi="Times New Roman"/>
                <w:sz w:val="16"/>
                <w:szCs w:val="16"/>
                <w:color w:val="auto"/>
              </w:rPr>
              <w:t>15,697,261 shares, of which 14,268,575</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shares are directly owned by Bullfrog Capital, L.P. (“Bullfrog”), for itself and</w:t>
            </w: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22"/>
                <w:szCs w:val="22"/>
                <w:color w:val="auto"/>
              </w:rPr>
            </w:pPr>
          </w:p>
        </w:tc>
        <w:tc>
          <w:tcPr>
            <w:tcW w:w="8720" w:type="dxa"/>
            <w:vAlign w:val="bottom"/>
            <w:tcBorders>
              <w:right w:val="single" w:sz="8" w:color="auto"/>
            </w:tcBorders>
            <w:gridSpan w:val="4"/>
          </w:tcPr>
          <w:p>
            <w:pPr>
              <w:spacing w:after="0" w:line="256" w:lineRule="exact"/>
              <w:rPr>
                <w:sz w:val="20"/>
                <w:szCs w:val="20"/>
                <w:color w:val="auto"/>
              </w:rPr>
            </w:pPr>
            <w:r>
              <w:rPr>
                <w:rFonts w:ascii="Times New Roman" w:cs="Times New Roman" w:eastAsia="Times New Roman" w:hAnsi="Times New Roman"/>
                <w:sz w:val="18"/>
                <w:szCs w:val="18"/>
                <w:color w:val="auto"/>
              </w:rPr>
              <w:t>as nominee for Bullfrog Founder Fund, L.P. (“Bullfrog FF”), and 1,428,686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are directly owned by RH-N</w:t>
            </w:r>
          </w:p>
        </w:tc>
        <w:tc>
          <w:tcPr>
            <w:tcW w:w="0" w:type="dxa"/>
            <w:vAlign w:val="bottom"/>
          </w:tcPr>
          <w:p>
            <w:pPr>
              <w:spacing w:after="0"/>
              <w:rPr>
                <w:sz w:val="1"/>
                <w:szCs w:val="1"/>
                <w:color w:val="auto"/>
              </w:rPr>
            </w:pPr>
          </w:p>
        </w:tc>
      </w:tr>
      <w:tr>
        <w:trPr>
          <w:trHeight w:val="171"/>
        </w:trPr>
        <w:tc>
          <w:tcPr>
            <w:tcW w:w="1720" w:type="dxa"/>
            <w:vAlign w:val="bottom"/>
            <w:tcBorders>
              <w:left w:val="single" w:sz="8" w:color="auto"/>
              <w:right w:val="single" w:sz="8" w:color="auto"/>
            </w:tcBorders>
            <w:gridSpan w:val="4"/>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4"/>
                <w:szCs w:val="14"/>
                <w:color w:val="auto"/>
              </w:rPr>
            </w:pPr>
          </w:p>
        </w:tc>
        <w:tc>
          <w:tcPr>
            <w:tcW w:w="8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Bullfrog Opportunity I, LLC (“RH-N”). BF UGP is the general partner of Bullfrog Capital GP, L.P. (“BF GP”), which is</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7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left w:val="single" w:sz="8" w:color="auto"/>
            </w:tcBorders>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general partner of Bullfrog and Bullfrog FF and the managing member of RH-N, may be deemed to have sole power</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7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Borders>
              <w:left w:val="single" w:sz="8" w:color="auto"/>
            </w:tcBorders>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to vote these shares, and BF GP and Meyer Malka (“Malka”), the sole director of BF UGP, may be deemed to have sole</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7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 w:type="dxa"/>
            <w:vAlign w:val="bottom"/>
            <w:tcBorders>
              <w:left w:val="single" w:sz="8" w:color="auto"/>
            </w:tcBorders>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power to vote these shares.</w:t>
            </w:r>
          </w:p>
        </w:tc>
        <w:tc>
          <w:tcPr>
            <w:tcW w:w="2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gridSpan w:val="3"/>
            <w:vMerge w:val="continue"/>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0" w:type="dxa"/>
            <w:vAlign w:val="bottom"/>
            <w:tcBorders>
              <w:lef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720" w:type="dxa"/>
            <w:vAlign w:val="bottom"/>
            <w:tcBorders>
              <w:right w:val="single" w:sz="8" w:color="auto"/>
            </w:tcBorders>
            <w:gridSpan w:val="4"/>
          </w:tcPr>
          <w:p>
            <w:pPr>
              <w:spacing w:after="0" w:line="256" w:lineRule="exact"/>
              <w:rPr>
                <w:sz w:val="20"/>
                <w:szCs w:val="20"/>
                <w:color w:val="auto"/>
              </w:rPr>
            </w:pPr>
            <w:r>
              <w:rPr>
                <w:rFonts w:ascii="Times New Roman" w:cs="Times New Roman" w:eastAsia="Times New Roman" w:hAnsi="Times New Roman"/>
                <w:sz w:val="18"/>
                <w:szCs w:val="18"/>
                <w:color w:val="auto"/>
              </w:rPr>
              <w:t>15,697,261 shares, of which 14,268,575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are directly owned by Bullfrog, for itself and as nominee for Bullfrog</w:t>
            </w:r>
          </w:p>
        </w:tc>
        <w:tc>
          <w:tcPr>
            <w:tcW w:w="0" w:type="dxa"/>
            <w:vAlign w:val="bottom"/>
          </w:tcPr>
          <w:p>
            <w:pPr>
              <w:spacing w:after="0"/>
              <w:rPr>
                <w:sz w:val="1"/>
                <w:szCs w:val="1"/>
                <w:color w:val="auto"/>
              </w:rPr>
            </w:pPr>
          </w:p>
        </w:tc>
      </w:tr>
      <w:tr>
        <w:trPr>
          <w:trHeight w:val="253"/>
        </w:trPr>
        <w:tc>
          <w:tcPr>
            <w:tcW w:w="28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720" w:type="dxa"/>
            <w:vAlign w:val="bottom"/>
            <w:tcBorders>
              <w:right w:val="single" w:sz="8" w:color="auto"/>
            </w:tcBorders>
            <w:gridSpan w:val="4"/>
          </w:tcPr>
          <w:p>
            <w:pPr>
              <w:spacing w:after="0" w:line="252" w:lineRule="exact"/>
              <w:rPr>
                <w:sz w:val="20"/>
                <w:szCs w:val="20"/>
                <w:color w:val="auto"/>
              </w:rPr>
            </w:pPr>
            <w:r>
              <w:rPr>
                <w:rFonts w:ascii="Times New Roman" w:cs="Times New Roman" w:eastAsia="Times New Roman" w:hAnsi="Times New Roman"/>
                <w:sz w:val="18"/>
                <w:szCs w:val="18"/>
                <w:color w:val="auto"/>
              </w:rPr>
              <w:t>FF, and 1,428,686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are directly owned by RH-N. BF UGP is the general partner of BF GP, which is the general</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partner of Bullfrog and Bullfrog FF and the managing member of RH-N, may be deemed to have sole power to vote</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these shares, and BF GP and Malka, the sole director of BF UGP, may be deemed to have sole power to vote these</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15,697,261</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bottom w:val="single" w:sz="8" w:color="auto"/>
              <w:right w:val="single" w:sz="8" w:color="auto"/>
            </w:tcBorders>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bottom w:val="single" w:sz="8" w:color="auto"/>
              <w:right w:val="single" w:sz="8" w:color="auto"/>
            </w:tcBorders>
          </w:tcPr>
          <w:p>
            <w:pPr>
              <w:ind w:left="1020"/>
              <w:spacing w:after="0" w:line="277"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1,405,827 shares underlying warrants exercisable within 60 days of December 31, 2022.</w:t>
      </w:r>
    </w:p>
    <w:p>
      <w:pPr>
        <w:spacing w:after="0" w:line="42"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Includes 1,422,603 shares underlying warrants exercisable within 60 days of December 31, 2022.</w:t>
      </w:r>
    </w:p>
    <w:p>
      <w:pPr>
        <w:spacing w:after="0" w:line="21" w:lineRule="exact"/>
        <w:rPr>
          <w:sz w:val="20"/>
          <w:szCs w:val="20"/>
          <w:color w:val="auto"/>
        </w:rPr>
      </w:pPr>
    </w:p>
    <w:p>
      <w:pPr>
        <w:jc w:val="both"/>
        <w:ind w:right="600" w:firstLine="8"/>
        <w:spacing w:after="0" w:line="210" w:lineRule="auto"/>
        <w:tabs>
          <w:tab w:leader="none" w:pos="112"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 Assumes the conversion shares underlying warrants held by the Reporting Person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20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Page 6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gridSpan w:val="6"/>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RH Ribbit Opportunity II, LLC ("RH II")</w:t>
            </w: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3,220,080 shares, except that Ribbit Capital GP II, L.P. (“GP II”), the managing member of RH II, Ribbit Capital GP</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II, Ltd. (“UGP II”), the general partner of GP II, and Meyer Malka (“Malka”), the sole director of UGP II, may be</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deemed to have sole power to vote these shares.</w:t>
            </w: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0" w:type="dxa"/>
            <w:vAlign w:val="bottom"/>
            <w:tcBorders>
              <w:left w:val="single" w:sz="8" w:color="auto"/>
            </w:tcBorders>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69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0" w:type="dxa"/>
            <w:vAlign w:val="bottom"/>
            <w:tcBorders>
              <w:left w:val="single" w:sz="8" w:color="auto"/>
            </w:tcBorders>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80" w:type="dxa"/>
            <w:vAlign w:val="bottom"/>
            <w:tcBorders>
              <w:lef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900" w:type="dxa"/>
            <w:vAlign w:val="bottom"/>
            <w:gridSpan w:val="3"/>
            <w:vMerge w:val="continue"/>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3,220,080 shares, except that GP II, the managing member of RH II, UGP II, the general partner of GP II, and Malka,</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sole director of UGP II, may be deemed to have sole power to dispose of these shares.</w:t>
            </w: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3,220,080</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2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20" w:type="dxa"/>
            <w:vAlign w:val="bottom"/>
            <w:tcBorders>
              <w:bottom w:val="single" w:sz="8" w:color="auto"/>
              <w:right w:val="single" w:sz="8" w:color="auto"/>
            </w:tcBorders>
          </w:tcPr>
          <w:p>
            <w:pPr>
              <w:ind w:left="480"/>
              <w:spacing w:after="0" w:line="277" w:lineRule="exact"/>
              <w:rPr>
                <w:sz w:val="20"/>
                <w:szCs w:val="20"/>
                <w:color w:val="auto"/>
              </w:rPr>
            </w:pPr>
            <w:r>
              <w:rPr>
                <w:rFonts w:ascii="Times New Roman" w:cs="Times New Roman" w:eastAsia="Times New Roman" w:hAnsi="Times New Roman"/>
                <w:sz w:val="18"/>
                <w:szCs w:val="18"/>
                <w:color w:val="auto"/>
              </w:rPr>
              <w:t>0.4%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2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0" w:firstLine="8"/>
        <w:spacing w:after="0" w:line="195" w:lineRule="auto"/>
        <w:tabs>
          <w:tab w:leader="none" w:pos="112"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250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6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20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Page 7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gridSpan w:val="3"/>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RH-D Ribbit Opportunity II, LLC ("RH-D")</w:t>
            </w: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00" w:type="dxa"/>
            <w:vAlign w:val="bottom"/>
            <w:tcBorders>
              <w:bottom w:val="single" w:sz="8" w:color="auto"/>
            </w:tcBorders>
            <w:gridSpan w:val="2"/>
          </w:tcPr>
          <w:p>
            <w:pPr>
              <w:jc w:val="right"/>
              <w:ind w:right="57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9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9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2,556,431 shares, except that Ribbit Capital GP II, L.P. (“GP II”), the managing member of RH-D, Ribbit Capital GP</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II, Ltd. (“UGP II”), the general partner of GP II, and Meyer Malka (“Malka”), the sole director of UGP II, may be</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deemed to have sole power to vote these shares.</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80" w:type="dxa"/>
            <w:vAlign w:val="bottom"/>
            <w:tcBorders>
              <w:left w:val="single" w:sz="8" w:color="auto"/>
            </w:tcBorders>
          </w:tcPr>
          <w:p>
            <w:pPr>
              <w:spacing w:after="0"/>
              <w:rPr>
                <w:sz w:val="3"/>
                <w:szCs w:val="3"/>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80" w:type="dxa"/>
            <w:vAlign w:val="bottom"/>
            <w:tcBorders>
              <w:left w:val="single" w:sz="8" w:color="auto"/>
            </w:tcBorders>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6920" w:type="dxa"/>
            <w:vAlign w:val="bottom"/>
            <w:gridSpan w:val="3"/>
            <w:vMerge w:val="continue"/>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80" w:type="dxa"/>
            <w:vAlign w:val="bottom"/>
            <w:tcBorders>
              <w:lef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80" w:type="dxa"/>
            <w:vAlign w:val="bottom"/>
            <w:tcBorders>
              <w:left w:val="single" w:sz="8" w:color="auto"/>
            </w:tcBorders>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920" w:type="dxa"/>
            <w:vAlign w:val="bottom"/>
            <w:gridSpan w:val="3"/>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tcBorders>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80" w:type="dxa"/>
            <w:vAlign w:val="bottom"/>
            <w:tcBorders>
              <w:left w:val="single" w:sz="8" w:color="auto"/>
            </w:tcBorders>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8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6920" w:type="dxa"/>
            <w:vAlign w:val="bottom"/>
            <w:gridSpan w:val="3"/>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2,556,431 shares, except that GP II, the managing member of RH-D, UGP II, the general partner of GP II, and Malka,</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sole director of UGP II, may be deemed to have sole power to dispose of these shares.</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9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9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right w:val="single" w:sz="8" w:color="auto"/>
            </w:tcBorders>
          </w:tcPr>
          <w:p>
            <w:pPr>
              <w:spacing w:after="0"/>
              <w:rPr>
                <w:sz w:val="20"/>
                <w:szCs w:val="20"/>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20" w:type="dxa"/>
            <w:vAlign w:val="bottom"/>
            <w:tcBorders>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2,556,431</w:t>
            </w: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600" w:type="dxa"/>
            <w:vAlign w:val="bottom"/>
            <w:tcBorders>
              <w:bottom w:val="single" w:sz="8" w:color="auto"/>
            </w:tcBorders>
            <w:gridSpan w:val="6"/>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2"/>
                <w:szCs w:val="22"/>
                <w:color w:val="auto"/>
              </w:rPr>
            </w:pPr>
          </w:p>
        </w:tc>
        <w:tc>
          <w:tcPr>
            <w:tcW w:w="8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2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4"/>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20" w:type="dxa"/>
            <w:vAlign w:val="bottom"/>
            <w:tcBorders>
              <w:bottom w:val="single" w:sz="8" w:color="auto"/>
              <w:right w:val="single" w:sz="8" w:color="auto"/>
            </w:tcBorders>
          </w:tcPr>
          <w:p>
            <w:pPr>
              <w:ind w:left="480"/>
              <w:spacing w:after="0" w:line="303" w:lineRule="exact"/>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right w:val="single" w:sz="8" w:color="auto"/>
            </w:tcBorders>
          </w:tcPr>
          <w:p>
            <w:pPr>
              <w:spacing w:after="0"/>
              <w:rPr>
                <w:sz w:val="20"/>
                <w:szCs w:val="20"/>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0" w:firstLine="8"/>
        <w:spacing w:after="0" w:line="195" w:lineRule="auto"/>
        <w:tabs>
          <w:tab w:leader="none" w:pos="112"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68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9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9"/>
              </w:rPr>
              <w:t>Page 8 of 21</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gridSpan w:val="6"/>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right w:val="single" w:sz="8" w:color="auto"/>
            </w:tcBorders>
          </w:tcPr>
          <w:p>
            <w:pPr>
              <w:spacing w:after="0"/>
              <w:rPr>
                <w:sz w:val="20"/>
                <w:szCs w:val="20"/>
                <w:color w:val="auto"/>
              </w:rPr>
            </w:pPr>
          </w:p>
        </w:tc>
        <w:tc>
          <w:tcPr>
            <w:tcW w:w="8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RH-E Ribbit Opportunity II, LLC ("RH-E")</w:t>
            </w: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spacing w:after="0"/>
              <w:rPr>
                <w:sz w:val="20"/>
                <w:szCs w:val="20"/>
                <w:color w:val="auto"/>
              </w:rPr>
            </w:pPr>
          </w:p>
        </w:tc>
        <w:tc>
          <w:tcPr>
            <w:tcW w:w="8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80" w:type="dxa"/>
            <w:vAlign w:val="bottom"/>
            <w:tcBorders>
              <w:bottom w:val="single" w:sz="8" w:color="auto"/>
            </w:tcBorders>
            <w:gridSpan w:val="2"/>
          </w:tcPr>
          <w:p>
            <w:pPr>
              <w:jc w:val="right"/>
              <w:ind w:right="470"/>
              <w:spacing w:after="0" w:line="207" w:lineRule="exact"/>
              <w:rPr>
                <w:sz w:val="20"/>
                <w:szCs w:val="20"/>
                <w:color w:val="auto"/>
              </w:rPr>
            </w:pPr>
            <w:r>
              <w:rPr>
                <w:rFonts w:ascii="Times New Roman" w:cs="Times New Roman" w:eastAsia="Times New Roman" w:hAnsi="Times New Roman"/>
                <w:sz w:val="18"/>
                <w:szCs w:val="18"/>
                <w:color w:val="auto"/>
                <w:w w:val="91"/>
              </w:rPr>
              <w:t xml:space="preserve">(b) </w:t>
            </w:r>
            <w:r>
              <w:rPr>
                <w:rFonts w:ascii="MS PGothic" w:cs="MS PGothic" w:eastAsia="MS PGothic" w:hAnsi="MS PGothic"/>
                <w:sz w:val="18"/>
                <w:szCs w:val="18"/>
                <w:color w:val="auto"/>
                <w:w w:val="91"/>
              </w:rPr>
              <w:t>☒</w:t>
            </w:r>
          </w:p>
        </w:tc>
        <w:tc>
          <w:tcPr>
            <w:tcW w:w="16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6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right w:val="single" w:sz="8" w:color="auto"/>
            </w:tcBorders>
          </w:tcPr>
          <w:p>
            <w:pPr>
              <w:spacing w:after="0"/>
              <w:rPr>
                <w:sz w:val="18"/>
                <w:szCs w:val="18"/>
                <w:color w:val="auto"/>
              </w:rPr>
            </w:pPr>
          </w:p>
        </w:tc>
        <w:tc>
          <w:tcPr>
            <w:tcW w:w="8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6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2,363,270 shares, except that Ribbit Capital GP II, L.P. (“GP II”), the managing member of RH-E, Ribbit Capital GP</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II, Ltd. (“UGP II”), the general partner of GP II, and Meyer Malka (“Malka”), the sole director of UGP II, may be deemed</w:t>
            </w:r>
          </w:p>
        </w:tc>
        <w:tc>
          <w:tcPr>
            <w:tcW w:w="0" w:type="dxa"/>
            <w:vAlign w:val="bottom"/>
          </w:tcPr>
          <w:p>
            <w:pPr>
              <w:spacing w:after="0"/>
              <w:rPr>
                <w:sz w:val="1"/>
                <w:szCs w:val="1"/>
                <w:color w:val="auto"/>
              </w:rPr>
            </w:pPr>
          </w:p>
        </w:tc>
      </w:tr>
      <w:tr>
        <w:trPr>
          <w:trHeight w:val="234"/>
        </w:trPr>
        <w:tc>
          <w:tcPr>
            <w:tcW w:w="16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680" w:type="dxa"/>
            <w:vAlign w:val="bottom"/>
            <w:tcBorders>
              <w:bottom w:val="single" w:sz="8" w:color="auto"/>
              <w:right w:val="single" w:sz="8" w:color="auto"/>
            </w:tcBorders>
          </w:tcPr>
          <w:p>
            <w:pPr>
              <w:spacing w:after="0"/>
              <w:rPr>
                <w:sz w:val="20"/>
                <w:szCs w:val="20"/>
                <w:color w:val="auto"/>
              </w:rPr>
            </w:pPr>
          </w:p>
        </w:tc>
        <w:tc>
          <w:tcPr>
            <w:tcW w:w="6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 have sole power to vote these shares.</w:t>
            </w:r>
          </w:p>
        </w:tc>
        <w:tc>
          <w:tcPr>
            <w:tcW w:w="2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tcPr>
          <w:p>
            <w:pPr>
              <w:spacing w:after="0"/>
              <w:rPr>
                <w:sz w:val="15"/>
                <w:szCs w:val="15"/>
                <w:color w:val="auto"/>
              </w:rPr>
            </w:pPr>
          </w:p>
        </w:tc>
        <w:tc>
          <w:tcPr>
            <w:tcW w:w="10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69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60" w:type="dxa"/>
            <w:vAlign w:val="bottom"/>
            <w:tcBorders>
              <w:lef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960" w:type="dxa"/>
            <w:vAlign w:val="bottom"/>
            <w:gridSpan w:val="3"/>
            <w:vMerge w:val="continue"/>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2,363,270 shares, except that GP II, the managing member of RH-E, UGP II, the general partner of GP II, and Malka, the</w:t>
            </w:r>
          </w:p>
        </w:tc>
        <w:tc>
          <w:tcPr>
            <w:tcW w:w="0" w:type="dxa"/>
            <w:vAlign w:val="bottom"/>
          </w:tcPr>
          <w:p>
            <w:pPr>
              <w:spacing w:after="0"/>
              <w:rPr>
                <w:sz w:val="1"/>
                <w:szCs w:val="1"/>
                <w:color w:val="auto"/>
              </w:rPr>
            </w:pPr>
          </w:p>
        </w:tc>
      </w:tr>
      <w:tr>
        <w:trPr>
          <w:trHeight w:val="234"/>
        </w:trPr>
        <w:tc>
          <w:tcPr>
            <w:tcW w:w="26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director of UGP II, may be deemed to have sole power to dispose of these shares.</w:t>
            </w:r>
          </w:p>
        </w:tc>
        <w:tc>
          <w:tcPr>
            <w:tcW w:w="2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auto"/>
              <w:right w:val="single" w:sz="8" w:color="auto"/>
            </w:tcBorders>
          </w:tcPr>
          <w:p>
            <w:pPr>
              <w:spacing w:after="0"/>
              <w:rPr>
                <w:sz w:val="20"/>
                <w:szCs w:val="20"/>
                <w:color w:val="auto"/>
              </w:rPr>
            </w:pPr>
          </w:p>
        </w:tc>
        <w:tc>
          <w:tcPr>
            <w:tcW w:w="8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2,363,270</w:t>
            </w: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10</w:t>
            </w:r>
          </w:p>
        </w:tc>
        <w:tc>
          <w:tcPr>
            <w:tcW w:w="440" w:type="dxa"/>
            <w:vAlign w:val="bottom"/>
            <w:tcBorders>
              <w:bottom w:val="single" w:sz="8" w:color="auto"/>
              <w:right w:val="single" w:sz="8" w:color="auto"/>
            </w:tcBorders>
          </w:tcPr>
          <w:p>
            <w:pPr>
              <w:spacing w:after="0"/>
              <w:rPr>
                <w:sz w:val="20"/>
                <w:szCs w:val="20"/>
                <w:color w:val="auto"/>
              </w:rPr>
            </w:pPr>
          </w:p>
        </w:tc>
        <w:tc>
          <w:tcPr>
            <w:tcW w:w="8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11</w:t>
            </w:r>
          </w:p>
        </w:tc>
        <w:tc>
          <w:tcPr>
            <w:tcW w:w="440" w:type="dxa"/>
            <w:vAlign w:val="bottom"/>
            <w:tcBorders>
              <w:bottom w:val="single" w:sz="8" w:color="auto"/>
              <w:right w:val="single" w:sz="8" w:color="auto"/>
            </w:tcBorders>
          </w:tcPr>
          <w:p>
            <w:pPr>
              <w:spacing w:after="0"/>
              <w:rPr>
                <w:sz w:val="24"/>
                <w:szCs w:val="24"/>
                <w:color w:val="auto"/>
              </w:rPr>
            </w:pPr>
          </w:p>
        </w:tc>
        <w:tc>
          <w:tcPr>
            <w:tcW w:w="8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Borders>
              <w:bottom w:val="single" w:sz="8" w:color="auto"/>
              <w:right w:val="single" w:sz="8" w:color="auto"/>
            </w:tcBorders>
          </w:tcPr>
          <w:p>
            <w:pPr>
              <w:ind w:left="760"/>
              <w:spacing w:after="0" w:line="277" w:lineRule="exact"/>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6"/>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12</w:t>
            </w:r>
          </w:p>
        </w:tc>
        <w:tc>
          <w:tcPr>
            <w:tcW w:w="440" w:type="dxa"/>
            <w:vAlign w:val="bottom"/>
            <w:tcBorders>
              <w:bottom w:val="single" w:sz="8" w:color="auto"/>
              <w:right w:val="single" w:sz="8" w:color="auto"/>
            </w:tcBorders>
          </w:tcPr>
          <w:p>
            <w:pPr>
              <w:spacing w:after="0"/>
              <w:rPr>
                <w:sz w:val="20"/>
                <w:szCs w:val="20"/>
                <w:color w:val="auto"/>
              </w:rPr>
            </w:pPr>
          </w:p>
        </w:tc>
        <w:tc>
          <w:tcPr>
            <w:tcW w:w="8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0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0" w:firstLine="8"/>
        <w:spacing w:after="0" w:line="195" w:lineRule="auto"/>
        <w:tabs>
          <w:tab w:leader="none" w:pos="112"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5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Page 9 of 21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6"/>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Ribbit Capital II, L.P. ("Fund II")</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26,481,814 shares held directly for itself and as nominee for Ribbit Founder Fund II, L.P. (“FF II”), except that Ribbit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Capital GP II, L.P. (“GP II”) the general partner of Fund II, Ribbit Capital GP II, Ltd., (“UGP II”), the general partner of</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bottom w:val="single" w:sz="8" w:color="auto"/>
              <w:right w:val="single" w:sz="8" w:color="auto"/>
            </w:tcBorders>
          </w:tcPr>
          <w:p>
            <w:pPr>
              <w:spacing w:after="0"/>
              <w:rPr>
                <w:sz w:val="20"/>
                <w:szCs w:val="20"/>
                <w:color w:val="auto"/>
              </w:rPr>
            </w:pPr>
          </w:p>
        </w:tc>
        <w:tc>
          <w:tcPr>
            <w:tcW w:w="872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GP II, and Meyer Malka (“Malka”), the sole director of UGP II, may be deemed to have sole power to vote these shares.</w:t>
            </w:r>
          </w:p>
        </w:tc>
        <w:tc>
          <w:tcPr>
            <w:tcW w:w="0" w:type="dxa"/>
            <w:vAlign w:val="bottom"/>
          </w:tcPr>
          <w:p>
            <w:pPr>
              <w:spacing w:after="0"/>
              <w:rPr>
                <w:sz w:val="1"/>
                <w:szCs w:val="1"/>
                <w:color w:val="auto"/>
              </w:rPr>
            </w:pPr>
          </w:p>
        </w:tc>
      </w:tr>
      <w:tr>
        <w:trPr>
          <w:trHeight w:val="183"/>
        </w:trPr>
        <w:tc>
          <w:tcPr>
            <w:tcW w:w="280" w:type="dxa"/>
            <w:vAlign w:val="bottom"/>
            <w:tcBorders>
              <w:left w:val="single" w:sz="8" w:color="auto"/>
            </w:tcBorders>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0" w:type="dxa"/>
            <w:vAlign w:val="bottom"/>
            <w:tcBorders>
              <w:left w:val="single" w:sz="8" w:color="auto"/>
            </w:tcBorders>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80" w:type="dxa"/>
            <w:vAlign w:val="bottom"/>
            <w:tcBorders>
              <w:lef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360" w:type="dxa"/>
            <w:vAlign w:val="bottom"/>
            <w:gridSpan w:val="3"/>
            <w:vMerge w:val="continue"/>
          </w:tcPr>
          <w:p>
            <w:pPr>
              <w:spacing w:after="0"/>
              <w:rPr>
                <w:sz w:val="5"/>
                <w:szCs w:val="5"/>
                <w:color w:val="auto"/>
              </w:rPr>
            </w:pPr>
          </w:p>
        </w:tc>
        <w:tc>
          <w:tcPr>
            <w:tcW w:w="2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26,481,814 shares held directly for itself and as nominee for FF II, except that GP II the general partner of Fund II, UGP</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II, the general partner of GP II, and Malka, the sole director of UGP II, may be deemed to have sole power to dispose of</w:t>
            </w: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these shares.</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26,481,814</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bottom w:val="single" w:sz="8" w:color="auto"/>
              <w:right w:val="single" w:sz="8" w:color="auto"/>
            </w:tcBorders>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bottom w:val="single" w:sz="8" w:color="auto"/>
              <w:right w:val="single" w:sz="8" w:color="auto"/>
            </w:tcBorders>
          </w:tcPr>
          <w:p>
            <w:pPr>
              <w:ind w:left="1020"/>
              <w:spacing w:after="0" w:line="277" w:lineRule="exact"/>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0" w:firstLine="8"/>
        <w:spacing w:after="0" w:line="195" w:lineRule="auto"/>
        <w:tabs>
          <w:tab w:leader="none" w:pos="112"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9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Page 10 of 21</w:t>
            </w:r>
          </w:p>
        </w:tc>
      </w:tr>
      <w:tr>
        <w:trPr>
          <w:trHeight w:val="209"/>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gridSpan w:val="6"/>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94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Ribbit Capital GP II, L.P. (“GP II”)</w:t>
            </w:r>
          </w:p>
        </w:tc>
        <w:tc>
          <w:tcPr>
            <w:tcW w:w="194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94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94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94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34,621,595 shares, of which 3,220,080 shares are directly owned by RH Ribbit Opportunity II, LLC (“RH II”),</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2,556,431 shares are held directly by RH-D Ribbit Opportunity II, LLC (“RH-D”), 2,363,270 shares are directly owned</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RH-E Ribbit Opportunity II, LLC (“RH-E”), and 26,481,814 shares are directly owned by Ribbit Capital II, L.P.</w:t>
            </w: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(“Fund II”) for itself and as nominee for Ribbit Founder Fund II, L.P. (“FF II”). GP II, the general partner of Fund II and</w:t>
            </w: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FF II and the managing member of RH II and RH-E, may be deemed to have sole power to vote these shares, Ribbit</w:t>
            </w: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Capital GP II, Ltd. (“UGP II”), the general partner of GP II, and Meyer Malka (“Malka”), the sole director of UGP II,</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may be deemed to have sole power to vote these shares.</w:t>
            </w:r>
          </w:p>
        </w:tc>
        <w:tc>
          <w:tcPr>
            <w:tcW w:w="194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94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94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94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34,621,595 shares of which 3,220,080 shares are directly owned by RH II, 2,556,431 shares are held directly by RH-D,</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2,363,270 shares are directly owned by RH-E, and 26,481,814 shares are directly owned by Fund II for itself and as</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nominee for FF II. GP II, the general partner of Fund II and FF II and the managing member of RH II, RH-D and RH-E,</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may be deemed to have sole power to dispose of these shares, and UGP II, the general partner of GP II, and Malka, the</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director of UGP II, may be deemed to have sole power to dispose of these shares.</w:t>
            </w:r>
          </w:p>
        </w:tc>
        <w:tc>
          <w:tcPr>
            <w:tcW w:w="194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94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940" w:type="dxa"/>
            <w:vAlign w:val="bottom"/>
            <w:tcBorders>
              <w:bottom w:val="single" w:sz="8" w:color="auto"/>
              <w:right w:val="single" w:sz="8" w:color="auto"/>
            </w:tcBorders>
          </w:tcPr>
          <w:p>
            <w:pPr>
              <w:spacing w:after="0"/>
              <w:rPr>
                <w:sz w:val="20"/>
                <w:szCs w:val="20"/>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94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34,621,595</w:t>
            </w: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940" w:type="dxa"/>
            <w:vAlign w:val="bottom"/>
            <w:tcBorders>
              <w:bottom w:val="single" w:sz="8" w:color="auto"/>
              <w:right w:val="single" w:sz="8" w:color="auto"/>
            </w:tcBorders>
          </w:tcPr>
          <w:p>
            <w:pPr>
              <w:ind w:left="1160"/>
              <w:spacing w:after="0" w:line="181" w:lineRule="exact"/>
              <w:rPr>
                <w:sz w:val="20"/>
                <w:szCs w:val="20"/>
                <w:color w:val="auto"/>
              </w:rPr>
            </w:pPr>
            <w:r>
              <w:rPr>
                <w:rFonts w:ascii="MS PGothic" w:cs="MS PGothic" w:eastAsia="MS PGothic" w:hAnsi="MS PGothic"/>
                <w:sz w:val="18"/>
                <w:szCs w:val="18"/>
                <w:color w:val="auto"/>
              </w:rPr>
              <w:t>☐</w:t>
            </w: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940" w:type="dxa"/>
            <w:vAlign w:val="bottom"/>
            <w:tcBorders>
              <w:bottom w:val="single" w:sz="8" w:color="auto"/>
              <w:right w:val="single" w:sz="8" w:color="auto"/>
            </w:tcBorders>
          </w:tcPr>
          <w:p>
            <w:pPr>
              <w:ind w:left="600"/>
              <w:spacing w:after="0" w:line="277" w:lineRule="exact"/>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29"/>
                <w:szCs w:val="29"/>
                <w:color w:val="auto"/>
                <w:vertAlign w:val="superscript"/>
              </w:rPr>
              <w:t>1</w:t>
            </w: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94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PN</w:t>
            </w:r>
          </w:p>
        </w:tc>
      </w:tr>
    </w:tbl>
    <w:p>
      <w:pPr>
        <w:spacing w:after="0" w:line="238" w:lineRule="exact"/>
        <w:rPr>
          <w:sz w:val="20"/>
          <w:szCs w:val="20"/>
          <w:color w:val="auto"/>
        </w:rPr>
      </w:pPr>
    </w:p>
    <w:p>
      <w:pPr>
        <w:ind w:right="600" w:firstLine="8"/>
        <w:spacing w:after="0" w:line="195" w:lineRule="auto"/>
        <w:tabs>
          <w:tab w:leader="none" w:pos="112"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74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8"/>
              </w:rPr>
              <w:t>Page 11 of 21</w:t>
            </w: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60" w:type="dxa"/>
            <w:vAlign w:val="bottom"/>
            <w:tcBorders>
              <w:bottom w:val="single" w:sz="8" w:color="auto"/>
            </w:tcBorders>
            <w:gridSpan w:val="6"/>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16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Ribbit Capital GP II, Ltd. (“UGP II”)</w:t>
            </w:r>
          </w:p>
        </w:tc>
        <w:tc>
          <w:tcPr>
            <w:tcW w:w="216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6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6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1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34,621,595 shares, of which 3,220,080 shares are directly owned by RH Ribbit Opportunity II, LLC (“RH II”),</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2,556,431 shares are held directly by RH-D Ribbit Opportunity II, LLC (“RH-D”), 2,363,270 shares are directly owned</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RH-E Ribbit Opportunity II, LLC (“RH-E”), and 26,481,814 shares are directly owned by Ribbit Capital II, L.P.</w:t>
            </w: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(“Fund II”) for itself and as nominee for Ribbit Founder Fund II, L.P. (“FF II”). UGP II is the general partner of Ribbit</w:t>
            </w: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Capital GP II, L.P. (“GP II”), which is the general partner of Fund II and FF II and the managing member of RH II, RH-</w:t>
            </w: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 and RH-E, may be deemed to have sole power to vote these shares, and Meyer Malka (“Malka”), the sole director of</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UGP II, may be deemed to have sole power to vote these shares.</w:t>
            </w:r>
          </w:p>
        </w:tc>
        <w:tc>
          <w:tcPr>
            <w:tcW w:w="21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16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1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1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34,621,595 shares of which 3,220,080 shares are directly owned by RH II, 2,556,431 shares are held directly by RH-D,</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2,363,270 shares are directly owned by RH-E, and 26,481,814 shares are directly owned by Fund II for itself and as</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nominee for FF II. UGP II is the general partner of GP II, which is the general partner of Fund II and FF II and the</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managing member of RH II, RH-D and RH-E, may be deemed to have sole power to vote these shares, and Malka, the</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director of UGP II, may be deemed to have sole power to vote these shares.</w:t>
            </w:r>
          </w:p>
        </w:tc>
        <w:tc>
          <w:tcPr>
            <w:tcW w:w="21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6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160" w:type="dxa"/>
            <w:vAlign w:val="bottom"/>
            <w:tcBorders>
              <w:bottom w:val="single" w:sz="8" w:color="auto"/>
              <w:right w:val="single" w:sz="8" w:color="auto"/>
            </w:tcBorders>
          </w:tcPr>
          <w:p>
            <w:pPr>
              <w:spacing w:after="0"/>
              <w:rPr>
                <w:sz w:val="20"/>
                <w:szCs w:val="20"/>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34,621,595</w:t>
            </w: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6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60" w:type="dxa"/>
            <w:vAlign w:val="bottom"/>
            <w:tcBorders>
              <w:bottom w:val="single" w:sz="8" w:color="auto"/>
              <w:right w:val="single" w:sz="8" w:color="auto"/>
            </w:tcBorders>
          </w:tcPr>
          <w:p>
            <w:pPr>
              <w:ind w:left="820"/>
              <w:spacing w:after="0" w:line="277" w:lineRule="exact"/>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29"/>
                <w:szCs w:val="29"/>
                <w:color w:val="auto"/>
                <w:vertAlign w:val="superscript"/>
              </w:rPr>
              <w:t>1</w:t>
            </w: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OO</w:t>
            </w:r>
          </w:p>
        </w:tc>
      </w:tr>
    </w:tbl>
    <w:p>
      <w:pPr>
        <w:spacing w:after="0" w:line="238" w:lineRule="exact"/>
        <w:rPr>
          <w:sz w:val="20"/>
          <w:szCs w:val="20"/>
          <w:color w:val="auto"/>
        </w:rPr>
      </w:pPr>
    </w:p>
    <w:p>
      <w:pPr>
        <w:ind w:right="600" w:firstLine="8"/>
        <w:spacing w:after="0" w:line="195" w:lineRule="auto"/>
        <w:tabs>
          <w:tab w:leader="none" w:pos="112"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15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12 of 21</w:t>
            </w: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6"/>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6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Ribbit Capital III, L.P. ("Fund III")</w:t>
            </w:r>
          </w:p>
        </w:tc>
        <w:tc>
          <w:tcPr>
            <w:tcW w:w="236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4,554,560 shares held directly for itself and as nominee for Ribbit Founder Fund III, L.P. ("FF III"), except that Ribbit</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Capital GP III, L.P. (“GP III”) the general partner of Fund III, Ribbit Capital GP III, Ltd. (“UGP III”), the general</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partner of GP III, and Meyer Malka (“Malka”), the sole director of UGP III, may be deemed to have sole power to vote</w:t>
            </w:r>
          </w:p>
        </w:tc>
      </w:tr>
      <w:tr>
        <w:trPr>
          <w:trHeight w:val="234"/>
        </w:trPr>
        <w:tc>
          <w:tcPr>
            <w:tcW w:w="280" w:type="dxa"/>
            <w:vAlign w:val="bottom"/>
            <w:tcBorders>
              <w:left w:val="single" w:sz="8" w:color="auto"/>
            </w:tcBorders>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these shares.</w:t>
            </w:r>
          </w:p>
        </w:tc>
        <w:tc>
          <w:tcPr>
            <w:tcW w:w="2360" w:type="dxa"/>
            <w:vAlign w:val="bottom"/>
            <w:tcBorders>
              <w:bottom w:val="single" w:sz="8" w:color="auto"/>
              <w:right w:val="single" w:sz="8" w:color="auto"/>
            </w:tcBorders>
          </w:tcPr>
          <w:p>
            <w:pPr>
              <w:spacing w:after="0"/>
              <w:rPr>
                <w:sz w:val="20"/>
                <w:szCs w:val="20"/>
                <w:color w:val="auto"/>
              </w:rPr>
            </w:pPr>
          </w:p>
        </w:tc>
      </w:tr>
      <w:tr>
        <w:trPr>
          <w:trHeight w:val="183"/>
        </w:trPr>
        <w:tc>
          <w:tcPr>
            <w:tcW w:w="280" w:type="dxa"/>
            <w:vAlign w:val="bottom"/>
            <w:tcBorders>
              <w:left w:val="single" w:sz="8" w:color="auto"/>
            </w:tcBorders>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15"/>
                <w:szCs w:val="15"/>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2360" w:type="dxa"/>
            <w:vAlign w:val="bottom"/>
            <w:tcBorders>
              <w:bottom w:val="single" w:sz="8" w:color="auto"/>
              <w:right w:val="single" w:sz="8" w:color="auto"/>
            </w:tcBorders>
          </w:tcPr>
          <w:p>
            <w:pPr>
              <w:spacing w:after="0"/>
              <w:rPr>
                <w:sz w:val="23"/>
                <w:szCs w:val="23"/>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4,554,560 shares held directly for itself and as nominee for FF III, except that GP III the general partner of Fund III,</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UGP III, the general partner of GP III, and Malka, the sole director of UGP III, may be deemed to have sole power to</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dispose of these shares.</w:t>
            </w:r>
          </w:p>
        </w:tc>
        <w:tc>
          <w:tcPr>
            <w:tcW w:w="236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2360" w:type="dxa"/>
            <w:vAlign w:val="bottom"/>
            <w:tcBorders>
              <w:bottom w:val="single" w:sz="8" w:color="auto"/>
              <w:right w:val="single" w:sz="8" w:color="auto"/>
            </w:tcBorders>
          </w:tcPr>
          <w:p>
            <w:pPr>
              <w:spacing w:after="0"/>
              <w:rPr>
                <w:sz w:val="20"/>
                <w:szCs w:val="20"/>
                <w:color w:val="auto"/>
              </w:rPr>
            </w:pP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4,554,560</w:t>
            </w: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bottom w:val="single" w:sz="8" w:color="auto"/>
              <w:right w:val="single" w:sz="8" w:color="auto"/>
            </w:tcBorders>
          </w:tcPr>
          <w:p>
            <w:pPr>
              <w:ind w:left="1020"/>
              <w:spacing w:after="0" w:line="277" w:lineRule="exact"/>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29"/>
                <w:szCs w:val="29"/>
                <w:color w:val="auto"/>
                <w:vertAlign w:val="superscript"/>
              </w:rPr>
              <w:t>1</w:t>
            </w: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PN</w:t>
            </w:r>
          </w:p>
        </w:tc>
      </w:tr>
    </w:tbl>
    <w:p>
      <w:pPr>
        <w:spacing w:after="0" w:line="238" w:lineRule="exact"/>
        <w:rPr>
          <w:sz w:val="20"/>
          <w:szCs w:val="20"/>
          <w:color w:val="auto"/>
        </w:rPr>
      </w:pPr>
    </w:p>
    <w:p>
      <w:pPr>
        <w:ind w:right="600" w:firstLine="8"/>
        <w:spacing w:after="0" w:line="195" w:lineRule="auto"/>
        <w:tabs>
          <w:tab w:leader="none" w:pos="112"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24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Page 13 of 21</w:t>
            </w: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6"/>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50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Ribbit Capital GP III, L.P. (“GP III”)</w:t>
            </w:r>
          </w:p>
        </w:tc>
        <w:tc>
          <w:tcPr>
            <w:tcW w:w="150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0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0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50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4,554,560 shares, owned by Ribbit Capital III, L.P. (“Fund III”) for itself and as nominee for Ribbit Founder Fund III,</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L.P. (“FF III”). GP III, the general partner of Fund III and FF III, may be deemed to have sole power to vote these</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shares, and Ribbit Capital III, Ltd. (“UGP III”), the general partner of GP III, and Meyer Malka (“Malka”), the sole</w:t>
            </w:r>
          </w:p>
        </w:tc>
      </w:tr>
      <w:tr>
        <w:trPr>
          <w:trHeight w:val="234"/>
        </w:trPr>
        <w:tc>
          <w:tcPr>
            <w:tcW w:w="280" w:type="dxa"/>
            <w:vAlign w:val="bottom"/>
            <w:tcBorders>
              <w:left w:val="single" w:sz="8" w:color="auto"/>
            </w:tcBorders>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director of UGP III, may be deemed to have sole power to vote these shares.</w:t>
            </w:r>
          </w:p>
        </w:tc>
        <w:tc>
          <w:tcPr>
            <w:tcW w:w="1500" w:type="dxa"/>
            <w:vAlign w:val="bottom"/>
            <w:tcBorders>
              <w:bottom w:val="single" w:sz="8" w:color="auto"/>
              <w:right w:val="single" w:sz="8" w:color="auto"/>
            </w:tcBorders>
          </w:tcPr>
          <w:p>
            <w:pPr>
              <w:spacing w:after="0"/>
              <w:rPr>
                <w:sz w:val="20"/>
                <w:szCs w:val="20"/>
                <w:color w:val="auto"/>
              </w:rPr>
            </w:pPr>
          </w:p>
        </w:tc>
      </w:tr>
      <w:tr>
        <w:trPr>
          <w:trHeight w:val="183"/>
        </w:trPr>
        <w:tc>
          <w:tcPr>
            <w:tcW w:w="280" w:type="dxa"/>
            <w:vAlign w:val="bottom"/>
            <w:tcBorders>
              <w:left w:val="single" w:sz="8" w:color="auto"/>
            </w:tcBorders>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72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1500" w:type="dxa"/>
            <w:vAlign w:val="bottom"/>
            <w:tcBorders>
              <w:right w:val="single" w:sz="8" w:color="auto"/>
            </w:tcBorders>
          </w:tcPr>
          <w:p>
            <w:pPr>
              <w:spacing w:after="0"/>
              <w:rPr>
                <w:sz w:val="15"/>
                <w:szCs w:val="15"/>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7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500" w:type="dxa"/>
            <w:vAlign w:val="bottom"/>
            <w:tcBorders>
              <w:bottom w:val="single" w:sz="8" w:color="auto"/>
              <w:right w:val="single" w:sz="8" w:color="auto"/>
            </w:tcBorders>
          </w:tcPr>
          <w:p>
            <w:pPr>
              <w:spacing w:after="0"/>
              <w:rPr>
                <w:sz w:val="23"/>
                <w:szCs w:val="23"/>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50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4,554,560 shares owned by Fund III for itself and as nominee for FF III. GP III, the general partner of Fund III and FF</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III, may be deemed to have sole power to dispose of these shares, except that UGP III, the general partner of GP III, and</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Malka, the sole director of UGP III, may be deemed to have sole power to dispose of these shares.</w:t>
            </w:r>
          </w:p>
        </w:tc>
        <w:tc>
          <w:tcPr>
            <w:tcW w:w="150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0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500" w:type="dxa"/>
            <w:vAlign w:val="bottom"/>
            <w:tcBorders>
              <w:bottom w:val="single" w:sz="8" w:color="auto"/>
              <w:right w:val="single" w:sz="8" w:color="auto"/>
            </w:tcBorders>
          </w:tcPr>
          <w:p>
            <w:pPr>
              <w:spacing w:after="0"/>
              <w:rPr>
                <w:sz w:val="20"/>
                <w:szCs w:val="20"/>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0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4,554,560</w:t>
            </w: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50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00" w:type="dxa"/>
            <w:vAlign w:val="bottom"/>
            <w:tcBorders>
              <w:bottom w:val="single" w:sz="8" w:color="auto"/>
              <w:right w:val="single" w:sz="8" w:color="auto"/>
            </w:tcBorders>
          </w:tcPr>
          <w:p>
            <w:pPr>
              <w:ind w:left="160"/>
              <w:spacing w:after="0" w:line="277" w:lineRule="exact"/>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29"/>
                <w:szCs w:val="29"/>
                <w:color w:val="auto"/>
                <w:vertAlign w:val="superscript"/>
              </w:rPr>
              <w:t>1</w:t>
            </w: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PN</w:t>
            </w:r>
          </w:p>
        </w:tc>
      </w:tr>
    </w:tbl>
    <w:p>
      <w:pPr>
        <w:spacing w:after="0" w:line="238" w:lineRule="exact"/>
        <w:rPr>
          <w:sz w:val="20"/>
          <w:szCs w:val="20"/>
          <w:color w:val="auto"/>
        </w:rPr>
      </w:pPr>
    </w:p>
    <w:p>
      <w:pPr>
        <w:ind w:right="600" w:firstLine="8"/>
        <w:spacing w:after="0" w:line="195" w:lineRule="auto"/>
        <w:tabs>
          <w:tab w:leader="none" w:pos="112"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2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Page 14 of 21</w:t>
            </w:r>
          </w:p>
        </w:tc>
      </w:tr>
      <w:tr>
        <w:trPr>
          <w:trHeight w:val="210"/>
        </w:trPr>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gridSpan w:val="6"/>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0"/>
                <w:szCs w:val="20"/>
                <w:color w:val="auto"/>
              </w:rPr>
            </w:pPr>
          </w:p>
        </w:tc>
        <w:tc>
          <w:tcPr>
            <w:tcW w:w="8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58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Ribbit Capital GP III, Ltd. (“UGP III”)</w:t>
            </w:r>
          </w:p>
        </w:tc>
        <w:tc>
          <w:tcPr>
            <w:tcW w:w="158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0"/>
                <w:szCs w:val="20"/>
                <w:color w:val="auto"/>
              </w:rPr>
            </w:pPr>
          </w:p>
        </w:tc>
        <w:tc>
          <w:tcPr>
            <w:tcW w:w="8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80" w:type="dxa"/>
            <w:vAlign w:val="bottom"/>
            <w:tcBorders>
              <w:right w:val="single" w:sz="8" w:color="auto"/>
            </w:tcBorders>
          </w:tcPr>
          <w:p>
            <w:pPr>
              <w:spacing w:after="0"/>
              <w:rPr>
                <w:sz w:val="20"/>
                <w:szCs w:val="20"/>
                <w:color w:val="auto"/>
              </w:rPr>
            </w:pPr>
          </w:p>
        </w:tc>
      </w:tr>
      <w:tr>
        <w:trPr>
          <w:trHeight w:val="405"/>
        </w:trPr>
        <w:tc>
          <w:tcPr>
            <w:tcW w:w="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20" w:type="dxa"/>
            <w:vAlign w:val="bottom"/>
            <w:tcBorders>
              <w:bottom w:val="single" w:sz="8" w:color="auto"/>
            </w:tcBorders>
            <w:gridSpan w:val="2"/>
          </w:tcPr>
          <w:p>
            <w:pPr>
              <w:jc w:val="right"/>
              <w:ind w:right="59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1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18"/>
                <w:szCs w:val="18"/>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8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58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4,554,560 shares, owned by Ribbit Capital III, L.P. (“Fund III”) for itself and as nominee for Ribbit Founder Fund III,</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L.P. (“FF III”). UGP III is the general partner of Ribbit Capital GP III, L.P. (“GP III”), which is the general partner of</w:t>
            </w: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Fund III and FF III, and may be deemed to have sole power to vote these shares, and GP III and Meyer Malka</w:t>
            </w:r>
          </w:p>
        </w:tc>
      </w:tr>
      <w:tr>
        <w:trPr>
          <w:trHeight w:val="234"/>
        </w:trPr>
        <w:tc>
          <w:tcPr>
            <w:tcW w:w="280" w:type="dxa"/>
            <w:vAlign w:val="bottom"/>
            <w:tcBorders>
              <w:left w:val="single" w:sz="8" w:color="auto"/>
            </w:tcBorders>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(“Malka”), the sole director of UGP III, may be deemed to have sole power to vote these shares.</w:t>
            </w:r>
          </w:p>
        </w:tc>
        <w:tc>
          <w:tcPr>
            <w:tcW w:w="1580" w:type="dxa"/>
            <w:vAlign w:val="bottom"/>
            <w:tcBorders>
              <w:bottom w:val="single" w:sz="8" w:color="auto"/>
              <w:right w:val="single" w:sz="8" w:color="auto"/>
            </w:tcBorders>
          </w:tcPr>
          <w:p>
            <w:pPr>
              <w:spacing w:after="0"/>
              <w:rPr>
                <w:sz w:val="20"/>
                <w:szCs w:val="20"/>
                <w:color w:val="auto"/>
              </w:rPr>
            </w:pPr>
          </w:p>
        </w:tc>
      </w:tr>
      <w:tr>
        <w:trPr>
          <w:trHeight w:val="183"/>
        </w:trPr>
        <w:tc>
          <w:tcPr>
            <w:tcW w:w="280" w:type="dxa"/>
            <w:vAlign w:val="bottom"/>
            <w:tcBorders>
              <w:left w:val="single" w:sz="8" w:color="auto"/>
            </w:tcBorders>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71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1580" w:type="dxa"/>
            <w:vAlign w:val="bottom"/>
            <w:tcBorders>
              <w:right w:val="single" w:sz="8" w:color="auto"/>
            </w:tcBorders>
          </w:tcPr>
          <w:p>
            <w:pPr>
              <w:spacing w:after="0"/>
              <w:rPr>
                <w:sz w:val="15"/>
                <w:szCs w:val="15"/>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7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580" w:type="dxa"/>
            <w:vAlign w:val="bottom"/>
            <w:tcBorders>
              <w:bottom w:val="single" w:sz="8" w:color="auto"/>
              <w:right w:val="single" w:sz="8" w:color="auto"/>
            </w:tcBorders>
          </w:tcPr>
          <w:p>
            <w:pPr>
              <w:spacing w:after="0"/>
              <w:rPr>
                <w:sz w:val="23"/>
                <w:szCs w:val="23"/>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58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4,554,560 shares, owned by Fund III for itself and as nominee for FF III. UGP III is the general partner of GP III, which</w:t>
            </w:r>
          </w:p>
        </w:tc>
      </w:tr>
      <w:tr>
        <w:trPr>
          <w:trHeight w:val="216"/>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is the general partner of Fund III and FF III, and may be deemed to have sole power to vote these shares, and GP III and</w:t>
            </w:r>
          </w:p>
        </w:tc>
      </w:tr>
      <w:tr>
        <w:trPr>
          <w:trHeight w:val="234"/>
        </w:trPr>
        <w:tc>
          <w:tcPr>
            <w:tcW w:w="28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Malka, the sole director of UGP III, may be deemed to have sole power to vote these shares..</w:t>
            </w:r>
          </w:p>
        </w:tc>
        <w:tc>
          <w:tcPr>
            <w:tcW w:w="1580" w:type="dxa"/>
            <w:vAlign w:val="bottom"/>
            <w:tcBorders>
              <w:bottom w:val="single" w:sz="8" w:color="auto"/>
              <w:right w:val="single" w:sz="8" w:color="auto"/>
            </w:tcBorders>
          </w:tcPr>
          <w:p>
            <w:pPr>
              <w:spacing w:after="0"/>
              <w:rPr>
                <w:sz w:val="20"/>
                <w:szCs w:val="20"/>
                <w:color w:val="auto"/>
              </w:rPr>
            </w:pPr>
          </w:p>
        </w:tc>
      </w:tr>
      <w:tr>
        <w:trPr>
          <w:trHeight w:val="218"/>
        </w:trPr>
        <w:tc>
          <w:tcPr>
            <w:tcW w:w="2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80" w:type="dxa"/>
            <w:vAlign w:val="bottom"/>
            <w:tcBorders>
              <w:right w:val="single" w:sz="8" w:color="auto"/>
            </w:tcBorders>
          </w:tcPr>
          <w:p>
            <w:pPr>
              <w:spacing w:after="0"/>
              <w:rPr>
                <w:sz w:val="18"/>
                <w:szCs w:val="18"/>
                <w:color w:val="auto"/>
              </w:rPr>
            </w:pPr>
          </w:p>
        </w:tc>
      </w:tr>
      <w:tr>
        <w:trPr>
          <w:trHeight w:val="234"/>
        </w:trPr>
        <w:tc>
          <w:tcPr>
            <w:tcW w:w="28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580" w:type="dxa"/>
            <w:vAlign w:val="bottom"/>
            <w:tcBorders>
              <w:bottom w:val="single" w:sz="8" w:color="auto"/>
              <w:right w:val="single" w:sz="8" w:color="auto"/>
            </w:tcBorders>
          </w:tcPr>
          <w:p>
            <w:pPr>
              <w:spacing w:after="0"/>
              <w:rPr>
                <w:sz w:val="20"/>
                <w:szCs w:val="20"/>
                <w:color w:val="auto"/>
              </w:rPr>
            </w:pP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8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4,554,560</w:t>
            </w:r>
          </w:p>
        </w:tc>
      </w:tr>
      <w:tr>
        <w:trPr>
          <w:trHeight w:val="236"/>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58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r>
      <w:tr>
        <w:trPr>
          <w:trHeight w:val="27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80" w:type="dxa"/>
            <w:vAlign w:val="bottom"/>
            <w:tcBorders>
              <w:bottom w:val="single" w:sz="8" w:color="auto"/>
              <w:right w:val="single" w:sz="8" w:color="auto"/>
            </w:tcBorders>
          </w:tcPr>
          <w:p>
            <w:pPr>
              <w:ind w:left="240"/>
              <w:spacing w:after="0" w:line="277" w:lineRule="exact"/>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29"/>
                <w:szCs w:val="29"/>
                <w:color w:val="auto"/>
                <w:vertAlign w:val="superscript"/>
              </w:rPr>
              <w:t>1</w:t>
            </w:r>
          </w:p>
        </w:tc>
      </w:tr>
      <w:tr>
        <w:trPr>
          <w:trHeight w:val="237"/>
        </w:trPr>
        <w:tc>
          <w:tcPr>
            <w:tcW w:w="2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5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OO</w:t>
            </w:r>
          </w:p>
        </w:tc>
      </w:tr>
    </w:tbl>
    <w:p>
      <w:pPr>
        <w:spacing w:after="0" w:line="238" w:lineRule="exact"/>
        <w:rPr>
          <w:sz w:val="20"/>
          <w:szCs w:val="20"/>
          <w:color w:val="auto"/>
        </w:rPr>
      </w:pPr>
    </w:p>
    <w:p>
      <w:pPr>
        <w:ind w:right="600" w:firstLine="8"/>
        <w:spacing w:after="0" w:line="195" w:lineRule="auto"/>
        <w:tabs>
          <w:tab w:leader="none" w:pos="112"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15 of 21</w:t>
            </w:r>
          </w:p>
        </w:tc>
      </w:tr>
    </w:tbl>
    <w:p>
      <w:pPr>
        <w:spacing w:after="0" w:line="211" w:lineRule="exact"/>
        <w:rPr>
          <w:sz w:val="20"/>
          <w:szCs w:val="20"/>
          <w:color w:val="auto"/>
        </w:rPr>
      </w:pPr>
    </w:p>
    <w:p>
      <w:pPr>
        <w:ind w:left="840" w:hanging="77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6172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Meyer Malka (“Malka”)</w:t>
      </w:r>
    </w:p>
    <w:p>
      <w:pPr>
        <w:spacing w:after="0" w:line="27" w:lineRule="exact"/>
        <w:rPr>
          <w:sz w:val="20"/>
          <w:szCs w:val="20"/>
          <w:color w:val="auto"/>
        </w:rPr>
      </w:pPr>
    </w:p>
    <w:p>
      <w:pPr>
        <w:ind w:left="840" w:hanging="774"/>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92" w:lineRule="exact"/>
        <w:rPr>
          <w:sz w:val="20"/>
          <w:szCs w:val="20"/>
          <w:color w:val="auto"/>
        </w:rPr>
      </w:pPr>
    </w:p>
    <w:p>
      <w:pPr>
        <w:ind w:left="840"/>
        <w:spacing w:after="0" w:line="207" w:lineRule="exact"/>
        <w:tabs>
          <w:tab w:leader="none" w:pos="14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p>
      <w:pPr>
        <w:spacing w:after="0" w:line="78" w:lineRule="exact"/>
        <w:rPr>
          <w:sz w:val="20"/>
          <w:szCs w:val="20"/>
          <w:color w:val="auto"/>
        </w:rPr>
      </w:pPr>
    </w:p>
    <w:p>
      <w:pPr>
        <w:ind w:left="820" w:hanging="75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50" w:lineRule="exact"/>
        <w:rPr>
          <w:sz w:val="20"/>
          <w:szCs w:val="20"/>
          <w:color w:val="auto"/>
        </w:rPr>
      </w:pPr>
    </w:p>
    <w:p>
      <w:pPr>
        <w:ind w:left="820" w:right="6760" w:hanging="754"/>
        <w:spacing w:after="0" w:line="27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199"/>
        </w:trPr>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right w:val="single" w:sz="8" w:color="auto"/>
            </w:tcBorders>
            <w:gridSpan w:val="2"/>
          </w:tcPr>
          <w:p>
            <w:pPr>
              <w:jc w:val="center"/>
              <w:ind w:right="230"/>
              <w:spacing w:after="0" w:line="200" w:lineRule="exact"/>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Borders>
              <w:top w:val="single" w:sz="8" w:color="auto"/>
              <w:right w:val="single" w:sz="8" w:color="auto"/>
            </w:tcBorders>
          </w:tcPr>
          <w:p>
            <w:pPr>
              <w:jc w:val="right"/>
              <w:ind w:right="570"/>
              <w:spacing w:after="0" w:line="200" w:lineRule="exact"/>
              <w:rPr>
                <w:sz w:val="20"/>
                <w:szCs w:val="20"/>
                <w:color w:val="auto"/>
              </w:rPr>
            </w:pPr>
            <w:r>
              <w:rPr>
                <w:rFonts w:ascii="Times New Roman" w:cs="Times New Roman" w:eastAsia="Times New Roman" w:hAnsi="Times New Roman"/>
                <w:sz w:val="18"/>
                <w:szCs w:val="18"/>
                <w:color w:val="auto"/>
              </w:rPr>
              <w:t>5</w:t>
            </w: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18"/>
                <w:szCs w:val="18"/>
                <w:color w:val="auto"/>
              </w:rPr>
              <w:t>SOLE VOTING POWER</w:t>
            </w: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55,003,773 shares, of which 28,174 shares are held directly, 102,183 shares are held by the Tibbir DE Trust, of which</w:t>
            </w:r>
          </w:p>
        </w:tc>
        <w:tc>
          <w:tcPr>
            <w:tcW w:w="0" w:type="dxa"/>
            <w:vAlign w:val="bottom"/>
          </w:tcPr>
          <w:p>
            <w:pPr>
              <w:spacing w:after="0"/>
              <w:rPr>
                <w:sz w:val="1"/>
                <w:szCs w:val="1"/>
                <w:color w:val="auto"/>
              </w:rPr>
            </w:pPr>
          </w:p>
        </w:tc>
      </w:tr>
      <w:tr>
        <w:trPr>
          <w:trHeight w:val="221"/>
        </w:trPr>
        <w:tc>
          <w:tcPr>
            <w:tcW w:w="17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tcPr>
          <w:p>
            <w:pPr>
              <w:spacing w:after="0"/>
              <w:rPr>
                <w:sz w:val="19"/>
                <w:szCs w:val="19"/>
                <w:color w:val="auto"/>
              </w:rPr>
            </w:pPr>
          </w:p>
        </w:tc>
        <w:tc>
          <w:tcPr>
            <w:tcW w:w="8720" w:type="dxa"/>
            <w:vAlign w:val="bottom"/>
            <w:gridSpan w:val="2"/>
          </w:tcPr>
          <w:p>
            <w:pPr>
              <w:spacing w:after="0" w:line="221" w:lineRule="exact"/>
              <w:rPr>
                <w:sz w:val="20"/>
                <w:szCs w:val="20"/>
                <w:color w:val="auto"/>
              </w:rPr>
            </w:pPr>
            <w:r>
              <w:rPr>
                <w:rFonts w:ascii="Times New Roman" w:cs="Times New Roman" w:eastAsia="Times New Roman" w:hAnsi="Times New Roman"/>
                <w:sz w:val="16"/>
                <w:szCs w:val="16"/>
                <w:color w:val="auto"/>
              </w:rPr>
              <w:t>Meyer Malka (“Malka”) serves as settlor and investment adviser, 14,268,575</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shares are owned by Bullfrog Capital, L.P.</w:t>
            </w:r>
          </w:p>
        </w:tc>
        <w:tc>
          <w:tcPr>
            <w:tcW w:w="0" w:type="dxa"/>
            <w:vAlign w:val="bottom"/>
          </w:tcPr>
          <w:p>
            <w:pPr>
              <w:spacing w:after="0"/>
              <w:rPr>
                <w:sz w:val="1"/>
                <w:szCs w:val="1"/>
                <w:color w:val="auto"/>
              </w:rPr>
            </w:pPr>
          </w:p>
        </w:tc>
      </w:tr>
      <w:tr>
        <w:trPr>
          <w:trHeight w:val="257"/>
        </w:trPr>
        <w:tc>
          <w:tcPr>
            <w:tcW w:w="17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800" w:type="dxa"/>
            <w:vAlign w:val="bottom"/>
            <w:tcBorders>
              <w:right w:val="single" w:sz="8" w:color="auto"/>
            </w:tcBorders>
          </w:tcPr>
          <w:p>
            <w:pPr>
              <w:spacing w:after="0"/>
              <w:rPr>
                <w:sz w:val="22"/>
                <w:szCs w:val="22"/>
                <w:color w:val="auto"/>
              </w:rPr>
            </w:pPr>
          </w:p>
        </w:tc>
        <w:tc>
          <w:tcPr>
            <w:tcW w:w="8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(“Bullfrog”) for itself and as nominee for Bullfrog Founder Fund, L.P. (“Bullfrog FF”), 1,428,686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are owned by</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230"/>
              <w:spacing w:after="0" w:line="170" w:lineRule="exact"/>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Borders>
              <w:right w:val="single" w:sz="8" w:color="auto"/>
            </w:tcBorders>
          </w:tcPr>
          <w:p>
            <w:pPr>
              <w:spacing w:after="0"/>
              <w:rPr>
                <w:sz w:val="14"/>
                <w:szCs w:val="14"/>
                <w:color w:val="auto"/>
              </w:rPr>
            </w:pPr>
          </w:p>
        </w:tc>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RH-N Bullfrog Opportunity I, LLC ("RH-N"), 3,220,080 shares are owned by RH Ribbit Opportunity II, LLC (“RH</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144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PERSON</w:t>
            </w:r>
          </w:p>
        </w:tc>
        <w:tc>
          <w:tcPr>
            <w:tcW w:w="800" w:type="dxa"/>
            <w:vAlign w:val="bottom"/>
            <w:tcBorders>
              <w:right w:val="single" w:sz="8" w:color="auto"/>
            </w:tcBorders>
          </w:tcPr>
          <w:p>
            <w:pPr>
              <w:spacing w:after="0"/>
              <w:rPr>
                <w:sz w:val="7"/>
                <w:szCs w:val="7"/>
                <w:color w:val="auto"/>
              </w:rPr>
            </w:pPr>
          </w:p>
        </w:tc>
        <w:tc>
          <w:tcPr>
            <w:tcW w:w="8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440" w:type="dxa"/>
            <w:vAlign w:val="bottom"/>
            <w:tcBorders>
              <w:right w:val="single" w:sz="8" w:color="auto"/>
            </w:tcBorders>
            <w:gridSpan w:val="2"/>
            <w:vMerge w:val="continue"/>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II”), 2,556,431 shares are owned by RH-D Ribbit Opportunity II, LLC (“RH-D”), 2,363,270 shares are owned by RH-E</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144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7"/>
              </w:rPr>
              <w:t>WITH</w:t>
            </w:r>
          </w:p>
        </w:tc>
        <w:tc>
          <w:tcPr>
            <w:tcW w:w="800" w:type="dxa"/>
            <w:vAlign w:val="bottom"/>
            <w:tcBorders>
              <w:right w:val="single" w:sz="8" w:color="auto"/>
            </w:tcBorders>
          </w:tcPr>
          <w:p>
            <w:pPr>
              <w:spacing w:after="0"/>
              <w:rPr>
                <w:sz w:val="7"/>
                <w:szCs w:val="7"/>
                <w:color w:val="auto"/>
              </w:rPr>
            </w:pPr>
          </w:p>
        </w:tc>
        <w:tc>
          <w:tcPr>
            <w:tcW w:w="8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440" w:type="dxa"/>
            <w:vAlign w:val="bottom"/>
            <w:tcBorders>
              <w:right w:val="single" w:sz="8" w:color="auto"/>
            </w:tcBorders>
            <w:gridSpan w:val="2"/>
            <w:vMerge w:val="continue"/>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Ribbit Opportunity II, LLC (“RH-E”), 26,481,814 shares are owned by Ribbit Capital II, L.P. (“Fund II”) for itself and</w:t>
            </w: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nominee for Ribbit Founder Fund II, L.P. (“FF II”) and 4,554,560 shares are owned by Ribbit Capital III, L.P. (“Fund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 for itself and as nominee for Ribbit Founder Fund III, L.P. (“FF III”). Malka is the sole director of Ribbit Capital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III, Ltd. (“UGP III”), which is the general partner of Ribbit Capital GP III, L.P. (“GP III”), which is the general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 of Fund III and FF III, Malka is the sole director of Ribbit Capital GP II, Ltd. (“UGP II”), which is the general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 of Ribbit Capital GP II, L.P. (“GP II”), which is the general partner of Fund II and FF II and the managing</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RH-D, RH-E and RH II, and Malka is the sole director of Bullfrog Capital GP, Ltd. (“BF UGP”), which is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general partner of Bullfrog Capital GP, L.P. (“BF GP”), which is the general partner of Bullfrog and Bullfrog FF and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managing member of RH-N.</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See response to row 5.</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55,003,773 shares, of which 28,174 shares are held directly, 102,183 shares are held by the Tibbir DE Trust, of which</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Malka serves as settlor and investment adviser, 14,268,575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are owned by Bullfrog for itself and as nominee for</w:t>
            </w:r>
          </w:p>
        </w:tc>
        <w:tc>
          <w:tcPr>
            <w:tcW w:w="0" w:type="dxa"/>
            <w:vAlign w:val="bottom"/>
          </w:tcPr>
          <w:p>
            <w:pPr>
              <w:spacing w:after="0"/>
              <w:rPr>
                <w:sz w:val="1"/>
                <w:szCs w:val="1"/>
                <w:color w:val="auto"/>
              </w:rPr>
            </w:pPr>
          </w:p>
        </w:tc>
      </w:tr>
      <w:tr>
        <w:trPr>
          <w:trHeight w:val="253"/>
        </w:trPr>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72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Bullfrog FF, 1,428,686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are owned by RH-N, 3,220,080 shares are owned by RH II, 2,556,431 shares are owned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RH-D, 2,363,270 shares are owned by RH-E, 26,481,814 shares are owned by Fund II for itself and as nominee for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FF II and 4,554,560 shares are owned by Fund III for itself and as nominee for FF III. Malka is the sole director of UGP</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 which is the general partner of GP III, which is the general partner of Fund III and FF III, Malka is the sole director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UGP II, which is the general partner of GP II, which is the general partner of Fund II and FF II and the managing</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RH-D, RH-E and RH II, and Malka is the sole director of BF UGP, which is the general partner of BF GP,</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which is the general partner of Bullfrog and Bullfrog FF and the managing member of RH-N.</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See response to row 7.</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55,003,773</w:t>
            </w:r>
          </w:p>
        </w:tc>
        <w:tc>
          <w:tcPr>
            <w:tcW w:w="0" w:type="dxa"/>
            <w:vAlign w:val="bottom"/>
          </w:tcPr>
          <w:p>
            <w:pPr>
              <w:spacing w:after="0"/>
              <w:rPr>
                <w:sz w:val="1"/>
                <w:szCs w:val="1"/>
                <w:color w:val="auto"/>
              </w:rPr>
            </w:pPr>
          </w:p>
        </w:tc>
      </w:tr>
      <w:tr>
        <w:trPr>
          <w:trHeight w:val="236"/>
        </w:trPr>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80" w:type="dxa"/>
            <w:vAlign w:val="bottom"/>
            <w:tcBorders>
              <w:bottom w:val="single" w:sz="8" w:color="auto"/>
            </w:tcBorders>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80" w:type="dxa"/>
            <w:vAlign w:val="bottom"/>
            <w:tcBorders>
              <w:bottom w:val="single" w:sz="8" w:color="auto"/>
            </w:tcBorders>
          </w:tcPr>
          <w:p>
            <w:pPr>
              <w:ind w:left="340"/>
              <w:spacing w:after="0" w:line="277" w:lineRule="exact"/>
              <w:rPr>
                <w:sz w:val="20"/>
                <w:szCs w:val="20"/>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36"/>
        </w:trPr>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1,405,827 shares underlying warrants exercisable within 60 days of December 31, 2022.</w:t>
      </w:r>
    </w:p>
    <w:p>
      <w:pPr>
        <w:spacing w:after="0" w:line="42"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Includes 1,422,603 shares underlying warrants exercisable within 60 days of December 31, 2022.</w:t>
      </w:r>
    </w:p>
    <w:p>
      <w:pPr>
        <w:spacing w:after="0" w:line="21" w:lineRule="exact"/>
        <w:rPr>
          <w:sz w:val="20"/>
          <w:szCs w:val="20"/>
          <w:color w:val="auto"/>
        </w:rPr>
      </w:pPr>
    </w:p>
    <w:p>
      <w:pPr>
        <w:jc w:val="both"/>
        <w:ind w:right="600" w:firstLine="8"/>
        <w:spacing w:after="0" w:line="210" w:lineRule="auto"/>
        <w:tabs>
          <w:tab w:leader="none" w:pos="112"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of class was calculated based on 758,805,255 shares of Class A Common Stock outstanding as of October 31, 2022, as set forth in the Issuer’s Quarterly Report on Form 10-Q filed with the Securities and Exchange Commission on November 3, 2022. Assumes the conversion shares underlying warrants held by the Reporting Person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16 of 21</w:t>
            </w:r>
          </w:p>
        </w:tc>
      </w:tr>
    </w:tbl>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u w:val="single" w:color="auto"/>
          <w:color w:val="auto"/>
        </w:rPr>
        <w:t>NAME OF ISSUER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Robinhood Markets, Inc.</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u w:val="single" w:color="auto"/>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85 Willow Rd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8"/>
          <w:szCs w:val="18"/>
          <w:u w:val="single" w:color="auto"/>
          <w:color w:val="auto"/>
        </w:rPr>
        <w:t>NAME OF PERSONS FILING</w:t>
      </w:r>
    </w:p>
    <w:p>
      <w:pPr>
        <w:spacing w:after="0" w:line="225" w:lineRule="exact"/>
        <w:rPr>
          <w:sz w:val="20"/>
          <w:szCs w:val="20"/>
          <w:color w:val="auto"/>
        </w:rPr>
      </w:pPr>
    </w:p>
    <w:p>
      <w:pPr>
        <w:ind w:left="1300" w:right="20"/>
        <w:spacing w:after="0" w:line="253" w:lineRule="auto"/>
        <w:rPr>
          <w:sz w:val="20"/>
          <w:szCs w:val="20"/>
          <w:color w:val="auto"/>
        </w:rPr>
      </w:pPr>
      <w:r>
        <w:rPr>
          <w:rFonts w:ascii="Times New Roman" w:cs="Times New Roman" w:eastAsia="Times New Roman" w:hAnsi="Times New Roman"/>
          <w:sz w:val="18"/>
          <w:szCs w:val="18"/>
          <w:color w:val="auto"/>
        </w:rPr>
        <w:t>This Schedule 13G is filed by Bullfrog Capital, L.P., a Cayman Islands exempted limited partnership (“Bullfrog”), RH-N Bullfrog Opportunity I, LLC, a Delaware limited liability company (“RH-N”), Bullfrog Capital GP, L.P., a Cayman Islands exempted limited partnership (“BF GP”), Bullfrog Capital GP, Ltd., a Cayman Islands limited company (“BF UGP”), RH Ribbit Opportunity II, LLC, a Delaware limited liability company (“RH II”), RH-D Ribbit Opportunity II, LLC, a Delaware limited liability company (“RH-D”), RH-E Ribbit Opportunity II, LLC, a Delaware limited liability company (“RH-E”), Ribbit Capital II, L.P., a Cayman Islands exempted limited partnership (“Fund II”), Ribbit Capital GP II, L.P., a Cayman Islands exempted limited partnership (“GP II”), Ribbit Capital GP II, Ltd., a Cayman Islands limited company (“UGP II”), Ribbit Capital III, L.P., a Cayman Islands exempted limited partnership (“Fund III”), Ribbit Capital GP III, L.P., a Cayman Islands exempted limited partnership (“GP III”), Ribbit Capital GP III, Ltd., a Cayman Islands limited company (“UGP III”) and Meyer Malka (“Malka”). The foregoing entities and individuals are collectively referred to as the “Reporting Persons.” Ribbit Opportunity Manager II, LLC was previously dissolved and therefore is no longer included as a Reporting Person on this Schedule 13G.</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u w:val="single" w:color="auto"/>
          <w:color w:val="auto"/>
        </w:rPr>
        <w:t>ADDRESS OF PRINCIPAL OFFICE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address for each of the Reporting Persons is: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Ribbit Capital Management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364 University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8"/>
          <w:szCs w:val="18"/>
          <w:u w:val="single" w:color="auto"/>
          <w:color w:val="auto"/>
        </w:rPr>
        <w:t>CITIZENSHIP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citizenship or place of organization of each of the Reporting Persons is set forth on such Reporting Person’s cover page.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u w:val="single" w:color="auto"/>
          <w:color w:val="auto"/>
        </w:rPr>
        <w:t>TITLE OF CLASS OF SECURITIES AND CUSIP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u w:val="single" w:color="auto"/>
          <w:color w:val="auto"/>
        </w:rPr>
        <w:t>CUSIP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770700102</w:t>
      </w:r>
    </w:p>
    <w:p>
      <w:pPr>
        <w:spacing w:after="0" w:line="225" w:lineRule="exact"/>
        <w:rPr>
          <w:sz w:val="20"/>
          <w:szCs w:val="20"/>
          <w:color w:val="auto"/>
        </w:rPr>
      </w:pPr>
    </w:p>
    <w:p>
      <w:pPr>
        <w:ind w:left="1300" w:right="54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17 of 21</w:t>
            </w: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OWNERSHIP</w:t>
            </w:r>
          </w:p>
        </w:tc>
        <w:tc>
          <w:tcPr>
            <w:tcW w:w="1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for each Reporting Person.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for each Reporting Person.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for each Reporting Person.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for each Reporting Person.</w:t>
      </w:r>
    </w:p>
    <w:p>
      <w:pPr>
        <w:spacing w:after="0" w:line="225" w:lineRule="exact"/>
        <w:rPr>
          <w:rFonts w:ascii="Times New Roman" w:cs="Times New Roman" w:eastAsia="Times New Roman" w:hAnsi="Times New Roman"/>
          <w:sz w:val="18"/>
          <w:szCs w:val="18"/>
          <w:color w:val="auto"/>
        </w:rPr>
      </w:pPr>
    </w:p>
    <w:p>
      <w:pPr>
        <w:jc w:val="both"/>
        <w:ind w:left="1960" w:right="5520" w:hanging="656"/>
        <w:spacing w:after="0" w:line="530" w:lineRule="auto"/>
        <w:tabs>
          <w:tab w:leader="none" w:pos="1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Sole power to dispose or to direct the disposition of</w:t>
      </w:r>
      <w:r>
        <w:rPr>
          <w:rFonts w:ascii="Times New Roman" w:cs="Times New Roman" w:eastAsia="Times New Roman" w:hAnsi="Times New Roman"/>
          <w:sz w:val="17"/>
          <w:szCs w:val="17"/>
          <w:color w:val="auto"/>
        </w:rPr>
        <w:t>: See Row 7 of cover page for each Reporting Person.</w:t>
      </w:r>
    </w:p>
    <w:p>
      <w:pPr>
        <w:ind w:left="1960" w:right="5340" w:hanging="656"/>
        <w:spacing w:after="0" w:line="530" w:lineRule="auto"/>
        <w:tabs>
          <w:tab w:leader="none" w:pos="1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Shared power to dispose or to direct the disposition of</w:t>
      </w:r>
      <w:r>
        <w:rPr>
          <w:rFonts w:ascii="Times New Roman" w:cs="Times New Roman" w:eastAsia="Times New Roman" w:hAnsi="Times New Roman"/>
          <w:sz w:val="17"/>
          <w:szCs w:val="17"/>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
        <w:spacing w:after="0" w:line="254" w:lineRule="auto"/>
        <w:rPr>
          <w:sz w:val="20"/>
          <w:szCs w:val="20"/>
          <w:color w:val="auto"/>
        </w:rPr>
      </w:pPr>
      <w:r>
        <w:rPr>
          <w:rFonts w:ascii="Times New Roman" w:cs="Times New Roman" w:eastAsia="Times New Roman" w:hAnsi="Times New Roman"/>
          <w:sz w:val="18"/>
          <w:szCs w:val="18"/>
          <w:color w:val="auto"/>
        </w:rPr>
        <w:t>Bullfrog Founder Fund, L.P. (“Bullfrog FF”), Ribbit Founder Fund II, L.P. (“FF II”) and Ribbit Founder Fund III, L.P. ("FF III") have ownership interests in the shares of Common Stock held directly by Bullfrog, Fund II and Fund III, respectively, but do not own shares of Common Stock directly and do not have voting or dispositive power over the shares held directly by Bullfrog, Fund II or Fund III. Under certain circumstances, set forth in the limited partnership agreements of Fund II, FF II, Fund III, FF III, Bullfrog, Bullfrog FF, GP II, GP III, and BF GP, the limited liability company agreements of RH-N, RH II, RH-D, RH-E and the memorandum and articles of association of UGP II, UGP III and BF UGP, the general and limited partners, members or directors, as the case may be, of each of such entities may be deemed to have the right to receive dividends from, or the proceeds from, the sale of shares of the Issuer directly or indirectly owned by each such entity of which they are a general partner, limited partner, member or director.</w:t>
      </w:r>
    </w:p>
    <w:p>
      <w:pPr>
        <w:spacing w:after="0" w:line="192"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18 of 21</w:t>
            </w:r>
          </w:p>
        </w:tc>
      </w:tr>
    </w:tbl>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19 of 21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2023</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RIBBIT CAPITAL II, L.P.</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RIBBIT CAPITAL GP II, L.P.</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RIBBIT CAPITAL GP II, LTD.</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Meyer Malka</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Meyer Malka</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30"/>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RIBBIT CAPITAL III, L.P.</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RIBBIT CAPITAL GP III, L.P.</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RIBBIT CAPITAL GP III, LTD.</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Meyer Malka</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Meyer Malka</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30"/>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BULLFROG CAPITAL, L.P.</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BULLFROG CAPITAL GP, L.P.</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BULLFROG CAPITAL GP, LTD.</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Meyer Malka</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Meyer Malka</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30"/>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RH-N BULLFROG OPPORTUNITY , LLC</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BULLFROG CAPITAL GP, L.P.</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14"/>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BULLFROG CAPITAL GP, LTD.</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700" w:type="dxa"/>
            <w:vAlign w:val="bottom"/>
          </w:tcPr>
          <w:p>
            <w:pPr>
              <w:spacing w:after="0"/>
              <w:rPr>
                <w:sz w:val="24"/>
                <w:szCs w:val="24"/>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Meyer Malka</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Meyer Malka</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20 of 21</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RH RIBBIT OPPORTUNITY II,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RH-D RIBBIT OPPORTUNITY II,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RH-E RIBBIT OPPORTUNITY II,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RIBBIT CAPITAL GP II,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RIBBIT CAPITAL GP II,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770700102</w:t>
            </w:r>
          </w:p>
        </w:tc>
        <w:tc>
          <w:tcPr>
            <w:tcW w:w="338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13 G</w:t>
            </w:r>
          </w:p>
        </w:tc>
        <w:tc>
          <w:tcPr>
            <w:tcW w:w="39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Page 21 of 21</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RIBBIT CAPITAL GP III,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RIBBIT CAPITAL GP III,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RIBBIT CAPITAL GP III,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BULLFROG CAPITAL GP,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BULLFROG CAPITAL GP,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BULLFROG CAPITAL GP,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MEYER MALKA</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Meyer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bullet"/>
      <w:start w:val="1"/>
    </w:lvl>
  </w:abstractNum>
  <w:abstractNum w:abstractNumId="3">
    <w:nsid w:val="41A7C4C9"/>
    <w:multiLevelType w:val="hybridMultilevel"/>
    <w:lvl w:ilvl="0">
      <w:lvlJc w:val="left"/>
      <w:lvlText w:val="2"/>
      <w:numFmt w:val="bullet"/>
      <w:start w:val="1"/>
    </w:lvl>
  </w:abstractNum>
  <w:abstractNum w:abstractNumId="4">
    <w:nsid w:val="6B68079A"/>
    <w:multiLevelType w:val="hybridMultilevel"/>
    <w:lvl w:ilvl="0">
      <w:lvlJc w:val="left"/>
      <w:lvlText w:val="1"/>
      <w:numFmt w:val="bullet"/>
      <w:start w:val="1"/>
    </w:lvl>
  </w:abstractNum>
  <w:abstractNum w:abstractNumId="5">
    <w:nsid w:val="4E6AFB66"/>
    <w:multiLevelType w:val="hybridMultilevel"/>
    <w:lvl w:ilvl="0">
      <w:lvlJc w:val="left"/>
      <w:lvlText w:val="2"/>
      <w:numFmt w:val="bullet"/>
      <w:start w:val="1"/>
    </w:lvl>
  </w:abstractNum>
  <w:abstractNum w:abstractNumId="6">
    <w:nsid w:val="25E45D32"/>
    <w:multiLevelType w:val="hybridMultilevel"/>
    <w:lvl w:ilvl="0">
      <w:lvlJc w:val="left"/>
      <w:lvlText w:val="1"/>
      <w:numFmt w:val="bullet"/>
      <w:start w:val="1"/>
    </w:lvl>
  </w:abstractNum>
  <w:abstractNum w:abstractNumId="7">
    <w:nsid w:val="519B500D"/>
    <w:multiLevelType w:val="hybridMultilevel"/>
    <w:lvl w:ilvl="0">
      <w:lvlJc w:val="left"/>
      <w:lvlText w:val="3"/>
      <w:numFmt w:val="bullet"/>
      <w:start w:val="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1"/>
      <w:numFmt w:val="bullet"/>
      <w:start w:val="1"/>
    </w:lvl>
  </w:abstractNum>
  <w:abstractNum w:abstractNumId="11">
    <w:nsid w:val="257130A3"/>
    <w:multiLevelType w:val="hybridMultilevel"/>
    <w:lvl w:ilvl="0">
      <w:lvlJc w:val="left"/>
      <w:lvlText w:val="1"/>
      <w:numFmt w:val="bullet"/>
      <w:start w:val="1"/>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1"/>
      <w:numFmt w:val="bullet"/>
      <w:start w:val="1"/>
    </w:lvl>
  </w:abstractNum>
  <w:abstractNum w:abstractNumId="16">
    <w:nsid w:val="721DA317"/>
    <w:multiLevelType w:val="hybridMultilevel"/>
    <w:lvl w:ilvl="0">
      <w:lvlJc w:val="left"/>
      <w:lvlText w:val="1"/>
      <w:numFmt w:val="bullet"/>
      <w:start w:val="1"/>
    </w:lvl>
  </w:abstractNum>
  <w:abstractNum w:abstractNumId="17">
    <w:nsid w:val="2443A858"/>
    <w:multiLevelType w:val="hybridMultilevel"/>
    <w:lvl w:ilvl="0">
      <w:lvlJc w:val="left"/>
      <w:lvlText w:val="1"/>
      <w:numFmt w:val="bullet"/>
      <w:start w:val="1"/>
    </w:lvl>
  </w:abstractNum>
  <w:abstractNum w:abstractNumId="18">
    <w:nsid w:val="2D1D5AE9"/>
    <w:multiLevelType w:val="hybridMultilevel"/>
    <w:lvl w:ilvl="0">
      <w:lvlJc w:val="left"/>
      <w:lvlText w:val="1"/>
      <w:numFmt w:val="bullet"/>
      <w:start w:val="1"/>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1"/>
      <w:numFmt w:val="bullet"/>
      <w:start w:val="1"/>
    </w:lvl>
  </w:abstractNum>
  <w:abstractNum w:abstractNumId="24">
    <w:nsid w:val="B03E0C6"/>
    <w:multiLevelType w:val="hybridMultilevel"/>
    <w:lvl w:ilvl="0">
      <w:lvlJc w:val="left"/>
      <w:lvlText w:val="3"/>
      <w:numFmt w:val="bullet"/>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2023-02-14T13:04:16Z</dcterms:created>
  <dcterms:modified xsi:type="dcterms:W3CDTF">2023-02-14T13:04:16Z</dcterms:modified>
</cp:coreProperties>
</file>