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0003_40app.htm"/>
      <w:bookmarkStart w:id="1" w:name="ksdp250003_40ap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Hi Edgar TeFile No. 812-________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Matter of the Application of:</w:t>
      </w:r>
    </w:p>
    <w:p>
      <w:pPr>
        <w:pStyle w:val="TextBody"/>
        <w:bidi w:val="0"/>
        <w:spacing w:before="0" w:after="0"/>
        <w:ind w:left="0" w:right="0" w:hanging="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890"/>
        <w:gridCol w:w="75"/>
      </w:tblGrid>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III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DE,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ASSET MANAGEMENT,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MARKETS,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EUROPE, UAB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ASSETS (JERSEY) LIMITED</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045" w:type="dxa"/>
        <w:jc w:val="left"/>
        <w:tblInd w:w="0" w:type="dxa"/>
        <w:tblLayout w:type="fixed"/>
        <w:tblCellMar>
          <w:top w:w="0" w:type="dxa"/>
          <w:left w:w="0" w:type="dxa"/>
          <w:bottom w:w="0" w:type="dxa"/>
          <w:right w:w="0" w:type="dxa"/>
        </w:tblCellMar>
      </w:tblPr>
      <w:tblGrid>
        <w:gridCol w:w="75"/>
        <w:gridCol w:w="1895"/>
        <w:gridCol w:w="75"/>
      </w:tblGrid>
      <w:tr>
        <w:trPr/>
        <w:tc>
          <w:tcPr>
            <w:tcW w:w="75"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Willow Road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Menlo Park, CA 94025</w:t>
              <w:br/>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650) 761-7789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tbl>
      <w:tblPr>
        <w:tblW w:w="3770" w:type="dxa"/>
        <w:jc w:val="left"/>
        <w:tblInd w:w="0" w:type="dxa"/>
        <w:tblLayout w:type="fixed"/>
        <w:tblCellMar>
          <w:top w:w="0" w:type="dxa"/>
          <w:left w:w="0" w:type="dxa"/>
          <w:bottom w:w="0" w:type="dxa"/>
          <w:right w:w="0" w:type="dxa"/>
        </w:tblCellMar>
      </w:tblPr>
      <w:tblGrid>
        <w:gridCol w:w="75"/>
        <w:gridCol w:w="3620"/>
        <w:gridCol w:w="75"/>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Communications, Notices and Orders to:</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Markle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Maureen Montgomery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 Willow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 94025</w:t>
              <w:br/>
              <w:t>(650) 761-7789</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tbl>
      <w:tblPr>
        <w:tblW w:w="3125" w:type="dxa"/>
        <w:jc w:val="left"/>
        <w:tblInd w:w="0" w:type="dxa"/>
        <w:tblLayout w:type="fixed"/>
        <w:tblCellMar>
          <w:top w:w="0" w:type="dxa"/>
          <w:left w:w="0" w:type="dxa"/>
          <w:bottom w:w="0" w:type="dxa"/>
          <w:right w:w="0" w:type="dxa"/>
        </w:tblCellMar>
      </w:tblPr>
      <w:tblGrid>
        <w:gridCol w:w="316"/>
        <w:gridCol w:w="2491"/>
        <w:gridCol w:w="318"/>
      </w:tblGrid>
      <w:tr>
        <w:trPr/>
        <w:tc>
          <w:tcPr>
            <w:tcW w:w="316"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ableContents"/>
              <w:bidi w:val="0"/>
              <w:spacing w:before="0" w:after="0"/>
              <w:ind w:left="0" w:right="0" w:hanging="0"/>
              <w:jc w:val="center"/>
              <w:rPr>
                <w:caps w:val="false"/>
                <w:smallCaps w:val="false"/>
              </w:rPr>
            </w:pPr>
            <w:r>
              <w:rPr>
                <w:caps w:val="false"/>
                <w:smallCaps w:val="false"/>
              </w:rPr>
              <w:t> </w:t>
            </w:r>
          </w:p>
        </w:tc>
        <w:tc>
          <w:tcPr>
            <w:tcW w:w="318" w:type="dxa"/>
            <w:tcBorders/>
            <w:vAlign w:val="center"/>
          </w:tcPr>
          <w:p>
            <w:pPr>
              <w:pStyle w:val="TableContents"/>
              <w:bidi w:val="0"/>
              <w:spacing w:before="0" w:after="283"/>
              <w:jc w:val="left"/>
              <w:rPr/>
            </w:pPr>
            <w:r>
              <w:rPr/>
              <w:t> </w:t>
            </w:r>
          </w:p>
        </w:tc>
      </w:tr>
      <w:tr>
        <w:trPr/>
        <w:tc>
          <w:tcPr>
            <w:tcW w:w="3125"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P. Healey,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1050 17th Street, NW</w:t>
              <w:br/>
              <w:t>Washington, DC 20036</w:t>
              <w:br/>
              <w:t>(202) 962-7000</w:t>
              <w:br/>
              <w:t>Christopher.Healey@davispolk.com</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Oran Ebel,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 Lexington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450-4000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Oran.Ebel@davispolk.com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OF AMERICA</w:t>
        <w:br/>
        <w:t>BEFORE THE</w:t>
        <w:br/>
        <w:t>SECURITIES AND EXCHANGE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633"/>
        <w:gridCol w:w="80"/>
        <w:gridCol w:w="6492"/>
      </w:tblGrid>
      <w:tr>
        <w:trPr/>
        <w:tc>
          <w:tcPr>
            <w:tcW w:w="36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MATTER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II</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III</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IV</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DE, LLC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ASSET MANAGEMENT, LLC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MARKETS, INC.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EUROPE, UAB</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ASSETS (JERSEY) LIMITED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812-________</w:t>
            </w:r>
          </w:p>
        </w:tc>
        <w:tc>
          <w:tcPr>
            <w:tcW w:w="80"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b/>
                <w:sz w:val="20"/>
              </w:rPr>
            </w:pPr>
            <w:r>
              <w:rPr>
                <w:b/>
                <w:sz w:val="20"/>
              </w:rPr>
              <w:t>:</w:t>
              <w:br/>
              <w:t>:</w:t>
              <w:br/>
              <w:t>:</w:t>
              <w:br/>
              <w:t>:</w:t>
              <w:br/>
              <w:t>:</w:t>
              <w:br/>
              <w:t>:</w:t>
              <w:br/>
              <w:t>:</w:t>
              <w:br/>
              <w:t>:</w:t>
              <w:br/>
              <w:t>:</w:t>
              <w:br/>
              <w:t>:</w:t>
            </w:r>
          </w:p>
          <w:p>
            <w:pPr>
              <w:pStyle w:val="TableContents"/>
              <w:bidi w:val="0"/>
              <w:spacing w:before="0" w:after="283"/>
              <w:jc w:val="left"/>
              <w:rPr/>
            </w:pPr>
            <w:r>
              <w:rPr/>
              <w:t> </w:t>
            </w:r>
          </w:p>
        </w:tc>
        <w:tc>
          <w:tcPr>
            <w:tcW w:w="649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FOR AN ORDER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SECTIONS 17(d) AND 57(i)</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INVESTMENT COMPANY ACT OF 1940 AND RULE 17d-1 UNDER THE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 OF 1940</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PERMITTING CERTAIN JOINT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OTHERWISE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BY SECTIONS 17(d) AND</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57(a)(4) OF AND RULE 17d-1 UNDER THE</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 OF 1940</w:t>
            </w:r>
          </w:p>
        </w:tc>
      </w:tr>
      <w:tr>
        <w:trPr/>
        <w:tc>
          <w:tcPr>
            <w:tcW w:w="3633" w:type="dxa"/>
            <w:tcBorders/>
            <w:tcMar>
              <w:top w:w="0" w:type="dxa"/>
              <w:left w:w="0" w:type="dxa"/>
              <w:bottom w:w="0" w:type="dxa"/>
              <w:right w:w="0" w:type="dxa"/>
            </w:tcMar>
            <w:vAlign w:val="center"/>
          </w:tcPr>
          <w:p>
            <w:pPr>
              <w:pStyle w:val="TableContents"/>
              <w:bidi w:val="0"/>
              <w:spacing w:before="0" w:after="283"/>
              <w:jc w:val="left"/>
              <w:rPr/>
            </w:pPr>
            <w:r>
              <w:rPr/>
              <w:t> </w:t>
            </w:r>
          </w:p>
        </w:tc>
        <w:tc>
          <w:tcPr>
            <w:tcW w:w="80" w:type="dxa"/>
            <w:tcBorders/>
            <w:tcMar>
              <w:top w:w="0" w:type="dxa"/>
              <w:left w:w="0" w:type="dxa"/>
              <w:bottom w:w="0" w:type="dxa"/>
              <w:right w:w="0" w:type="dxa"/>
            </w:tcMar>
            <w:vAlign w:val="center"/>
          </w:tcPr>
          <w:p>
            <w:pPr>
              <w:pStyle w:val="TableContents"/>
              <w:bidi w:val="0"/>
              <w:spacing w:before="0" w:after="283"/>
              <w:jc w:val="left"/>
              <w:rPr/>
            </w:pPr>
            <w:r>
              <w:rPr/>
              <w:t> </w:t>
            </w:r>
          </w:p>
        </w:tc>
        <w:tc>
          <w:tcPr>
            <w:tcW w:w="64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SUMMARY OF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entities hereby request an order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Sections 17(d) and 57(i) of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Rule 17d-1, permitting certain joint transactions otherwise prohibited by Sections 17(d) and 57(a)(4) of the 1940 Act and Rule 17d-1 thereunder.</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Ventures Fund I (the “</w:t>
            </w:r>
            <w:r>
              <w:rPr>
                <w:b/>
                <w:i/>
              </w:rPr>
              <w:t>RVI</w:t>
            </w:r>
            <w:r>
              <w:rPr/>
              <w:t>”), a Delaware statutory trust that is a non-diversified, closed-end management investment company registered under the 1940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Ventures Fund II (“</w:t>
            </w:r>
            <w:r>
              <w:rPr>
                <w:b/>
                <w:i/>
              </w:rPr>
              <w:t>RVII</w:t>
            </w:r>
            <w:r>
              <w:rPr/>
              <w:t>”), a Delaware statutory trust that was formed for the purpose of operating as an externally-managed, diversified, closed-end management investment company and that intends to elect to be regulated as a BDC under the 1940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Ventures Fund III (“</w:t>
            </w:r>
            <w:r>
              <w:rPr>
                <w:b/>
                <w:i/>
              </w:rPr>
              <w:t>RVIII</w:t>
            </w:r>
            <w:r>
              <w:rPr/>
              <w:t>”), a Delaware statutory trust that was formed for the purpose of operating as a non-diversified, closed-end management investment company registered under the 1940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Ventures Fund IV (“</w:t>
            </w:r>
            <w:r>
              <w:rPr>
                <w:b/>
                <w:i/>
              </w:rPr>
              <w:t>RVIV</w:t>
            </w:r>
            <w:r>
              <w:rPr/>
              <w:t xml:space="preserve">” and together with </w:t>
            </w:r>
            <w:r>
              <w:rPr>
                <w:b/>
                <w:i/>
              </w:rPr>
              <w:t>RVI</w:t>
            </w:r>
            <w:r>
              <w:rPr/>
              <w:t xml:space="preserve">, </w:t>
            </w:r>
            <w:r>
              <w:rPr>
                <w:b/>
                <w:i/>
              </w:rPr>
              <w:t>RVII</w:t>
            </w:r>
            <w:r>
              <w:rPr/>
              <w:t xml:space="preserve">, and </w:t>
            </w:r>
            <w:r>
              <w:rPr>
                <w:b/>
                <w:i/>
              </w:rPr>
              <w:t>RVIII</w:t>
            </w:r>
            <w:r>
              <w:rPr/>
              <w:t>, the “</w:t>
            </w:r>
            <w:r>
              <w:rPr>
                <w:b/>
                <w:i/>
              </w:rPr>
              <w:t>Existing Regulated Funds</w:t>
            </w:r>
            <w:r>
              <w:rPr/>
              <w:t xml:space="preserve">” </w:t>
            </w:r>
            <w:r>
              <w:rPr>
                <w:rFonts w:ascii="Times New Roman;Times;Serif" w:hAnsi="Times New Roman;Times;Serif"/>
                <w:position w:val="7"/>
                <w:sz w:val="16"/>
                <w:sz w:val="20"/>
              </w:rPr>
              <w:t>2</w:t>
            </w:r>
            <w:r>
              <w:rPr/>
              <w:t>), a Delaware statutory trust that was formed for the purpose of operating as an externally-</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8" w:type="dxa"/>
            <w:tcBorders/>
            <w:vAlign w:val="center"/>
          </w:tcPr>
          <w:p>
            <w:pPr>
              <w:pStyle w:val="TableContents"/>
              <w:bidi w:val="0"/>
              <w:spacing w:before="0" w:after="283"/>
              <w:jc w:val="left"/>
              <w:rPr/>
            </w:pPr>
            <w:r>
              <w:rPr/>
              <w:t>Unless otherwise indicated, all section and rule references herein are to the 1940 Act and rules promulgated thereunder.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7" w:type="dxa"/>
            <w:tcBorders/>
            <w:vAlign w:val="center"/>
          </w:tcPr>
          <w:p>
            <w:pPr>
              <w:pStyle w:val="TableContents"/>
              <w:bidi w:val="0"/>
              <w:spacing w:before="0" w:after="283"/>
              <w:jc w:val="left"/>
              <w:rPr/>
            </w:pPr>
            <w:r>
              <w:rPr/>
              <w:t>“</w:t>
            </w:r>
            <w:r>
              <w:rPr>
                <w:b/>
                <w:i/>
              </w:rPr>
              <w:t>Regulated Fund</w:t>
            </w:r>
            <w:r>
              <w:rPr/>
              <w:t>” means the Existing Regulated Funds and any Future Regulated Funds. “</w:t>
            </w:r>
            <w:r>
              <w:rPr>
                <w:b/>
                <w:i/>
              </w:rPr>
              <w:t>Future Regulated Fund</w:t>
            </w:r>
            <w:r>
              <w:rPr/>
              <w:t>” means an entity (or a series thereof, as applicable) (a) that is an open-end or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managed, diversified, closed-end management investment company and that intends to elect to be regulated as a BDC under the 1940 Act;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Ventures DE, LLC, a Delaware limited liability company that is registered as an investment adviser under the Investment Advisers Act of 1940 (the “Advisers Act”) and serves or will serve as the investment adviser to the Existing Regulated Funds (“Robinhood Ventures” or the “Adviser”), a wholly-owned subsidiary of Robinhood Markets, Inc. (“Robinhood Markets”), on behalf of itself and its successors;</w:t>
            </w:r>
            <w:r>
              <w:rPr>
                <w:rFonts w:ascii="Times New Roman;Times;Serif" w:hAnsi="Times New Roman;Times;Serif"/>
                <w:position w:val="7"/>
                <w:sz w:val="16"/>
                <w:sz w:val="20"/>
              </w:rPr>
              <w:t>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Asset Management, LLC, a Delaware limited liability company that is an investment adviser registered under the Advisers Act (“Robinhood Asset Management”) and a wholly-owned subsidiary of Robinhood Markets, on behalf of itself and its successors;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Robinhood Markets, Robinhood Europe, UAB,  and Robinhood Assets (Jersey) Limited, affiliates of the Adviser that may, from time to time, hold various financial assets in a principal capacity (i.e., a proprietary accounts), and that currently intend to participate in the proposed co-investment program (in such capacity, the “</w:t>
            </w:r>
            <w:r>
              <w:rPr>
                <w:b/>
                <w:i/>
              </w:rPr>
              <w:t>Existing Proprietary Accounts</w:t>
            </w:r>
            <w:r>
              <w:rPr/>
              <w:t>”, together with the Existing Regulated Funds, the Adviser, and Robinhood Asset Management, the “</w:t>
            </w:r>
            <w:r>
              <w:rPr>
                <w:b/>
                <w:i/>
              </w:rPr>
              <w:t>Applicants</w:t>
            </w:r>
            <w:r>
              <w:rPr/>
              <w:t>”).</w:t>
            </w:r>
            <w:r>
              <w:rPr>
                <w:rFonts w:ascii="Times New Roman;Times;Serif" w:hAnsi="Times New Roman;Times;Serif"/>
                <w:position w:val="7"/>
                <w:sz w:val="16"/>
                <w:sz w:val="20"/>
              </w:rPr>
              <w:t>4</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Times;Serif" w:hAnsi="Times New Roman;Times;Serif"/>
          <w:b/>
          <w:i/>
          <w:caps w:val="false"/>
          <w:smallCaps w:val="false"/>
          <w:sz w:val="20"/>
        </w:rPr>
        <w:t>Wholly-Owned Investment Sub</w:t>
      </w:r>
      <w:r>
        <w:rPr>
          <w:rFonts w:ascii="Times New Roman;Times;Serif" w:hAnsi="Times New Roman;Times;Serif"/>
          <w:b w:val="false"/>
          <w:i w:val="false"/>
          <w:caps w:val="false"/>
          <w:smallCaps w:val="false"/>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Times;Serif" w:hAnsi="Times New Roman;Times;Serif"/>
          <w:b/>
          <w:i/>
          <w:caps w:val="false"/>
          <w:smallCaps w:val="false"/>
          <w:sz w:val="20"/>
        </w:rPr>
        <w:t>BDC Downstream Fund</w:t>
      </w:r>
      <w:r>
        <w:rPr>
          <w:rFonts w:ascii="Times New Roman;Times;Serif" w:hAnsi="Times New Roman;Times;Serif"/>
          <w:b w:val="false"/>
          <w:i w:val="false"/>
          <w:caps w:val="false"/>
          <w:smallCaps w:val="false"/>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8" w:type="dxa"/>
            <w:tcBorders/>
            <w:vAlign w:val="center"/>
          </w:tcPr>
          <w:p>
            <w:pPr>
              <w:pStyle w:val="TableContents"/>
              <w:bidi w:val="0"/>
              <w:spacing w:before="0" w:after="283"/>
              <w:jc w:val="left"/>
              <w:rPr/>
            </w:pPr>
            <w:r>
              <w:rPr/>
              <w:t>The term “successor” means an entity that results from a reorganization into another jurisdiction or change in the type of business organization.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10058" w:type="dxa"/>
            <w:tcBorders/>
            <w:vAlign w:val="center"/>
          </w:tcPr>
          <w:p>
            <w:pPr>
              <w:pStyle w:val="TableContents"/>
              <w:bidi w:val="0"/>
              <w:spacing w:before="0" w:after="283"/>
              <w:jc w:val="left"/>
              <w:rPr/>
            </w:pPr>
            <w:r>
              <w:rPr/>
              <w:t>All existing entities that currently intend to rely upon the requested Order have been named as Applicants. Any other existing or future entity that subsequently relies on the Order will comply with the terms and conditions of the Application.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relief requested in this application for the Order (the “</w:t>
      </w:r>
      <w:r>
        <w:rPr>
          <w:rFonts w:ascii="Times New Roman;Times;Serif" w:hAnsi="Times New Roman;Times;Serif"/>
          <w:b/>
          <w:i/>
          <w:caps w:val="false"/>
          <w:smallCaps w:val="false"/>
          <w:sz w:val="20"/>
        </w:rPr>
        <w:t>Application</w:t>
      </w:r>
      <w:r>
        <w:rPr>
          <w:rFonts w:ascii="Times New Roman;Times;Serif" w:hAnsi="Times New Roman;Times;Serif"/>
          <w:b w:val="false"/>
          <w:i w:val="false"/>
          <w:caps w:val="false"/>
          <w:smallCaps w:val="false"/>
          <w:sz w:val="20"/>
        </w:rPr>
        <w:t>”) would allow a Regulated Fund and one or more Affiliated Entities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to engage in Co-Investment Transactions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the terms and conditions described herein. The Regulated Funds and Affiliated Entities that participate in a Co-Investment Transaction are collectively referred to herein as “</w:t>
      </w:r>
      <w:r>
        <w:rPr>
          <w:rFonts w:ascii="Times New Roman;Times;Serif" w:hAnsi="Times New Roman;Times;Serif"/>
          <w:b/>
          <w:i/>
          <w:caps w:val="false"/>
          <w:smallCaps w:val="false"/>
          <w:sz w:val="20"/>
        </w:rPr>
        <w:t>Participants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Applicants do not seek relief for transactions effected consistent with Commission staff no-action positions.</w:t>
      </w:r>
      <w:r>
        <w:rPr>
          <w:rFonts w:ascii="Times New Roman;Times;Serif" w:hAnsi="Times New Roman;Times;Serif"/>
          <w:b w:val="false"/>
          <w:i w:val="false"/>
          <w:caps w:val="false"/>
          <w:smallCaps w:val="false"/>
          <w:position w:val="7"/>
          <w:sz w:val="16"/>
          <w:sz w:val="20"/>
        </w:rPr>
        <w:t>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GENERAL DESCRIPTION OF THE APPLICANTS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Markets is a publicly traded holding company. Robinhood Ventures and Robinhood Asset Management are wholly-owned subsidiaries of Robinhood Markets. Robinhood Ventures and Robinhood Asset Management may therefore be deemed under control of Robinhood Markets. Robinhood Ventures may be deemed to control the Fund by virtue of its position as the Fund’s investment adviser. All of the Applicants may therefore be deemed under the common control of Robinhood Markets.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3524"/>
        <w:gridCol w:w="6167"/>
      </w:tblGrid>
      <w:tr>
        <w:trPr/>
        <w:tc>
          <w:tcPr>
            <w:tcW w:w="514"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pPr>
            <w:r>
              <w:rPr/>
              <w:t>A.</w:t>
            </w:r>
          </w:p>
        </w:tc>
        <w:tc>
          <w:tcPr>
            <w:tcW w:w="6167" w:type="dxa"/>
            <w:tcBorders/>
            <w:vAlign w:val="center"/>
          </w:tcPr>
          <w:p>
            <w:pPr>
              <w:pStyle w:val="TableContents"/>
              <w:bidi w:val="0"/>
              <w:spacing w:before="0" w:after="283"/>
              <w:jc w:val="left"/>
              <w:rPr>
                <w:u w:val="single"/>
              </w:rPr>
            </w:pPr>
            <w:r>
              <w:rPr>
                <w:u w:val="single"/>
              </w:rPr>
              <w:t>RVI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 is a closed-end, non-diversified management investment company that is registered under the 1940 Act.  RVI commenced operations on September 5, 2025. RVI intends to qualify annually as a regulated investment company (or “RIC”) under the Internal Revenue Code of 1986, as amended (the “Code”). RVI’s principal place of business is 85 Willow Road, Menlo Park, California, 94025.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RVI’s investment objective is to seek long-term capital appreciation. RVI’s business and affairs are managed under the direction of the Board of Trustees (“Board”), composed of five Trustees, three of whom are not “interested persons” (as defined in the 1940 Act) of the Fund (“Independent Trustees”).</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6"/>
        <w:gridCol w:w="3076"/>
        <w:gridCol w:w="6653"/>
      </w:tblGrid>
      <w:tr>
        <w:trPr/>
        <w:tc>
          <w:tcPr>
            <w:tcW w:w="47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pPr>
            <w:r>
              <w:rPr/>
              <w:t>B.</w:t>
            </w:r>
          </w:p>
        </w:tc>
        <w:tc>
          <w:tcPr>
            <w:tcW w:w="6653" w:type="dxa"/>
            <w:tcBorders/>
            <w:vAlign w:val="center"/>
          </w:tcPr>
          <w:p>
            <w:pPr>
              <w:pStyle w:val="TableContents"/>
              <w:bidi w:val="0"/>
              <w:spacing w:before="0" w:after="283"/>
              <w:jc w:val="left"/>
              <w:rPr>
                <w:u w:val="single"/>
              </w:rPr>
            </w:pPr>
            <w:r>
              <w:rPr>
                <w:u w:val="single"/>
              </w:rPr>
              <w:t>RVII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RVII is a Delaware statutory trust that was formed for the purpose of operating as an externally-managed, diversified, closed-end management investment company and that intends to elect to be regulated as a BDC under the 1940 Act. RVII commenced operations on March 16, 2026. RVII intends to qualify annually as a RIC under the Code. RVII’s principal place of business is 85 Willow Road, Menlo Park, California, 94025.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60"/>
        <w:ind w:left="0" w:right="0" w:firstLine="3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10058" w:type="dxa"/>
            <w:tcBorders/>
            <w:vAlign w:val="center"/>
          </w:tcPr>
          <w:p>
            <w:pPr>
              <w:pStyle w:val="TableContents"/>
              <w:bidi w:val="0"/>
              <w:spacing w:before="0" w:after="283"/>
              <w:jc w:val="left"/>
              <w:rPr/>
            </w:pPr>
            <w:r>
              <w:rPr/>
              <w:t>“</w:t>
            </w:r>
            <w:r>
              <w:rPr>
                <w:b/>
                <w:i/>
              </w:rPr>
              <w:t>Affiliated Entity</w:t>
            </w:r>
            <w:r>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 entity described in clause (b) is not advised by an Adviser, such entity shall be deemed to be an Adviser for purposes of the conditions.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10058" w:type="dxa"/>
            <w:tcBorders/>
            <w:vAlign w:val="center"/>
          </w:tcPr>
          <w:p>
            <w:pPr>
              <w:pStyle w:val="TableContents"/>
              <w:bidi w:val="0"/>
              <w:spacing w:before="0" w:after="283"/>
              <w:jc w:val="left"/>
              <w:rPr/>
            </w:pPr>
            <w:r>
              <w:rPr/>
              <w:t>“</w:t>
            </w:r>
            <w:r>
              <w:rPr>
                <w:b/>
                <w:i/>
              </w:rPr>
              <w:t>Co-Investment Transaction</w:t>
            </w:r>
            <w:r>
              <w:rPr/>
              <w:t>” means the acquisition or Disposition of securities of an issuer in a transaction effected in reliance on the Order or previously granted relief.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10058" w:type="dxa"/>
            <w:tcBorders/>
            <w:vAlign w:val="center"/>
          </w:tcPr>
          <w:p>
            <w:pPr>
              <w:pStyle w:val="TableContents"/>
              <w:bidi w:val="0"/>
              <w:spacing w:before="0" w:after="283"/>
              <w:jc w:val="left"/>
              <w:rPr/>
            </w:pPr>
            <w:r>
              <w:rPr/>
              <w:t>“</w:t>
            </w:r>
            <w:r>
              <w:rPr>
                <w:b/>
                <w:i/>
              </w:rPr>
              <w:t>Adviser</w:t>
            </w:r>
            <w:r>
              <w:rPr/>
              <w:t>” means Robinhood Ventures, Robinhood Asset Management and any other investment adviser controlling, controlled by, or under common control with Robinhood Ventures or Robinhood Asset Management. The term “Adviser” also includes any internally-managed Regulated Fund.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10058" w:type="dxa"/>
            <w:tcBorders/>
            <w:vAlign w:val="center"/>
          </w:tcPr>
          <w:p>
            <w:pPr>
              <w:pStyle w:val="TableContents"/>
              <w:bidi w:val="0"/>
              <w:spacing w:before="0" w:after="283"/>
              <w:jc w:val="left"/>
              <w:rPr/>
            </w:pPr>
            <w:r>
              <w:rPr>
                <w:i/>
              </w:rPr>
              <w:t>See, e.g.</w:t>
            </w:r>
            <w:r>
              <w:rPr/>
              <w:t>, Massachusetts Mutual Life Insurance Co. (pub. avail. June 7, 2000), Massachusetts Mutual Life Insurance Co. (pub. avail. July 28, 2000) and SMC Capital, Inc. (pub. avail. Sept. 5, 1995).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10058" w:type="dxa"/>
            <w:tcBorders/>
            <w:vAlign w:val="center"/>
          </w:tcPr>
          <w:p>
            <w:pPr>
              <w:pStyle w:val="TableContents"/>
              <w:bidi w:val="0"/>
              <w:spacing w:before="0" w:after="283"/>
              <w:jc w:val="left"/>
              <w:rPr/>
            </w:pPr>
            <w:r>
              <w:rPr/>
              <w:t>The board of each Future Regulated Fund will consist of a majority of members who are not “interested persons” of such Future Regulated Fund within the meaning of Section 2(a)(19) of the 1940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RVII’s investment objective is to seek long-term capital appreciation. RVII’s business and affairs are managed under the direction of its Board, composed of five Trustees, three of whom are Independent Trustees.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2816"/>
        <w:gridCol w:w="6953"/>
      </w:tblGrid>
      <w:tr>
        <w:trPr/>
        <w:tc>
          <w:tcPr>
            <w:tcW w:w="43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pPr>
            <w:r>
              <w:rPr/>
              <w:t>C.</w:t>
            </w:r>
          </w:p>
        </w:tc>
        <w:tc>
          <w:tcPr>
            <w:tcW w:w="6953" w:type="dxa"/>
            <w:tcBorders/>
            <w:vAlign w:val="center"/>
          </w:tcPr>
          <w:p>
            <w:pPr>
              <w:pStyle w:val="TableContents"/>
              <w:bidi w:val="0"/>
              <w:spacing w:before="0" w:after="283"/>
              <w:jc w:val="left"/>
              <w:rPr>
                <w:u w:val="single"/>
              </w:rPr>
            </w:pPr>
            <w:r>
              <w:rPr>
                <w:u w:val="single"/>
              </w:rPr>
              <w:t>RVIII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RVIII is a newly formed Delaware statutory trust that was formed for the purpose of operating as a non-diversified, closed-end management investment company that intends to become registered under the 1940 Act. RVIII has not yet commenced operations. RVIII intends to qualify annually as a RIC under the Code. RVIII’s principal place of business is 85 Willow Road, Menlo Park, California, 94025.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RVIII’s investment objective is to seek long-term capital appreciation. RVIII’s business and affairs are expected to be managed under the direction of its Board, composed of five Trustees, three of whom are expected to be Independent Trustees.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2844"/>
        <w:gridCol w:w="6946"/>
      </w:tblGrid>
      <w:tr>
        <w:trPr/>
        <w:tc>
          <w:tcPr>
            <w:tcW w:w="415"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pPr>
            <w:r>
              <w:rPr/>
              <w:t>D.</w:t>
            </w:r>
          </w:p>
        </w:tc>
        <w:tc>
          <w:tcPr>
            <w:tcW w:w="6946" w:type="dxa"/>
            <w:tcBorders/>
            <w:vAlign w:val="center"/>
          </w:tcPr>
          <w:p>
            <w:pPr>
              <w:pStyle w:val="TableContents"/>
              <w:bidi w:val="0"/>
              <w:spacing w:before="0" w:after="283"/>
              <w:jc w:val="left"/>
              <w:rPr>
                <w:u w:val="single"/>
              </w:rPr>
            </w:pPr>
            <w:r>
              <w:rPr>
                <w:u w:val="single"/>
              </w:rPr>
              <w:t>RVIV</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RVIV is a newly formed Delaware statutory trust that was formed for the purpose of operating as an externally-managed, diversified, closed-end management investment company and that intends to elect to be regulated as a BDC under the 1940 Act. RVIV has not yet commenced operations. RVIV intends to qualify annually as a RIC under the Code. RVIV’s principal place of business is 85 Willow Road, Menlo Park, California, 94025.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RVIV investment objective is to seek long-term capital appreciation. RVIV’s business and affairs are expected to be managed under the direction of its Board, composed of five Trustees, three of whom are expected to be Independent Trustees.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12"/>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E.</w:t>
            </w:r>
          </w:p>
        </w:tc>
        <w:tc>
          <w:tcPr>
            <w:tcW w:w="9725" w:type="dxa"/>
            <w:tcBorders/>
            <w:vAlign w:val="center"/>
          </w:tcPr>
          <w:p>
            <w:pPr>
              <w:pStyle w:val="TableContents"/>
              <w:bidi w:val="0"/>
              <w:spacing w:before="0" w:after="283"/>
              <w:jc w:val="left"/>
              <w:rPr>
                <w:u w:val="single"/>
              </w:rPr>
            </w:pPr>
            <w:r>
              <w:rPr>
                <w:u w:val="single"/>
              </w:rPr>
              <w:t>Robinhood Ventures and Robinhood Asset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Robinhood Ventures is registered under the Advisers Act and serves as the investment adviser to the Fund pursuant to an investment advisory agreement. Robinhood Ventures, Robinhood Asset Management or another Adviser will serve as the investment adviser to any Future Regulated Fund. Each of Robinhood Ventures and Robinhood Asset Management is a Delaware limited liability company. Robinhood Asset Management is a registered investment adviser. Robinhood Ventures and Robinhood Asset Management are wholly-owned subsidiaries of Robinhood Markets.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699"/>
        <w:gridCol w:w="9383"/>
      </w:tblGrid>
      <w:tr>
        <w:trPr/>
        <w:tc>
          <w:tcPr>
            <w:tcW w:w="12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F.</w:t>
            </w:r>
          </w:p>
        </w:tc>
        <w:tc>
          <w:tcPr>
            <w:tcW w:w="9383" w:type="dxa"/>
            <w:tcBorders/>
            <w:vAlign w:val="center"/>
          </w:tcPr>
          <w:p>
            <w:pPr>
              <w:pStyle w:val="TableContents"/>
              <w:bidi w:val="0"/>
              <w:spacing w:before="0" w:after="283"/>
              <w:jc w:val="left"/>
              <w:rPr>
                <w:u w:val="single"/>
              </w:rPr>
            </w:pPr>
            <w:r>
              <w:rPr>
                <w:u w:val="single"/>
              </w:rPr>
              <w:t>Existing Proprietary Accounts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Proprietary Accounts will, from time to time, hold various financial assets in a principal capacity.  Any proprietary account that is not advised by an Adviser will establish, maintain and implement policies and procedures reasonably designed to ensure it can comply with the Conditions contained in the Order applicable to such proprietary account.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ORDER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request an Order of the Commission under Sections 17(d) and 57(i) of the 1940 Act and Rule 17d-1 thereunder to permit, subject to the terms and conditions set forth below in this Application (the “</w:t>
      </w:r>
      <w:r>
        <w:rPr>
          <w:rFonts w:ascii="Times New Roman;Times;Serif" w:hAnsi="Times New Roman;Times;Serif"/>
          <w:b/>
          <w:i/>
          <w:caps w:val="false"/>
          <w:smallCaps w:val="false"/>
          <w:sz w:val="20"/>
        </w:rPr>
        <w:t>Conditions</w:t>
      </w:r>
      <w:r>
        <w:rPr>
          <w:rFonts w:ascii="Times New Roman;Times;Serif" w:hAnsi="Times New Roman;Times;Serif"/>
          <w:b w:val="false"/>
          <w:i w:val="false"/>
          <w:caps w:val="false"/>
          <w:smallCaps w:val="false"/>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Applicable Law</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 prohibits an affiliated person, or an affiliated person of such affiliated person, of a registered investment company, acting as principal, from participating in, or effecting any transaction in connection with, 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joint enterprise or other joint arrangement or profit-sharing plan”</w:t>
      </w: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in which the fund is a participant without first obtaining an order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Need for Relief</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a closed-end fund or a business development company, respectively, including a sub-adviser. Thus, an Adviser and any Affiliated Entities that it advises could be deemed to be persons related to Regulated Funds in a manner described by Sections 17(d) and 57(b). The Adviser and Robinhood Asset Management are wholly-owned by Robinhood Markets.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Adviser, Robinhood Asset Management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Conditions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agree that any Order granting the requested relief will be subject to the following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Same Terms</w:t>
      </w:r>
      <w:r>
        <w:rPr>
          <w:rFonts w:ascii="Times New Roman;Times;Serif" w:hAnsi="Times New Roman;Times;Serif"/>
          <w:b w:val="false"/>
          <w:i w:val="false"/>
          <w:caps w:val="false"/>
          <w:smallCaps w:val="false"/>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6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967" w:type="dxa"/>
            <w:tcBorders/>
            <w:vAlign w:val="center"/>
          </w:tcPr>
          <w:p>
            <w:pPr>
              <w:pStyle w:val="TableContents"/>
              <w:bidi w:val="0"/>
              <w:spacing w:before="0" w:after="283"/>
              <w:jc w:val="left"/>
              <w:rPr/>
            </w:pPr>
            <w:r>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the Board of each Regulated Fund that does not hold this right must be given the opportunity to veto the selection of such person.</w:t>
      </w:r>
      <w:r>
        <w:rPr>
          <w:rFonts w:ascii="Times New Roman;Times;Serif" w:hAnsi="Times New Roman;Times;Serif"/>
          <w:b w:val="false"/>
          <w:i w:val="false"/>
          <w:caps w:val="false"/>
          <w:smallCaps w:val="false"/>
          <w:position w:val="7"/>
          <w:sz w:val="16"/>
          <w:sz w:val="2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Existing Investments in the Issuer</w:t>
      </w:r>
      <w:r>
        <w:rPr>
          <w:rFonts w:ascii="Times New Roman;Times;Serif" w:hAnsi="Times New Roman;Times;Serif"/>
          <w:b w:val="false"/>
          <w:i w:val="false"/>
          <w:caps w:val="false"/>
          <w:smallCaps w:val="false"/>
          <w:sz w:val="20"/>
        </w:rPr>
        <w:t>. Prior to a Regulated Fund acquiring in a Co-Investment Transaction a security of an issuer in which an Affiliated Entity has an existing interest in such issuer, the “required majority,” as defined in Section 57(o) of the 1940 Act,</w:t>
      </w: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of the Regulated Fund (“</w:t>
      </w:r>
      <w:r>
        <w:rPr>
          <w:rFonts w:ascii="Times New Roman;Times;Serif" w:hAnsi="Times New Roman;Times;Serif"/>
          <w:b/>
          <w:i/>
          <w:caps w:val="false"/>
          <w:smallCaps w:val="false"/>
          <w:sz w:val="20"/>
        </w:rPr>
        <w:t>Required Majority</w:t>
      </w:r>
      <w:r>
        <w:rPr>
          <w:rFonts w:ascii="Times New Roman;Times;Serif" w:hAnsi="Times New Roman;Times;Serif"/>
          <w:b w:val="false"/>
          <w:i w:val="false"/>
          <w:caps w:val="false"/>
          <w:smallCaps w:val="false"/>
          <w:sz w:val="20"/>
        </w:rPr>
        <w:t>”) will take the steps set forth in Section 57(f) of the 1940 Act,</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Related Expenses</w:t>
      </w:r>
      <w:r>
        <w:rPr>
          <w:rFonts w:ascii="Times New Roman;Times;Serif" w:hAnsi="Times New Roman;Times;Serif"/>
          <w:b w:val="false"/>
          <w:i w:val="false"/>
          <w:caps w:val="false"/>
          <w:smallCaps w:val="false"/>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Times;Serif" w:hAnsi="Times New Roman;Times;Serif"/>
          <w:b w:val="false"/>
          <w:i w:val="false"/>
          <w:caps w:val="false"/>
          <w:smallCaps w:val="false"/>
          <w:position w:val="7"/>
          <w:sz w:val="16"/>
          <w:sz w:val="20"/>
        </w:rPr>
        <w:t>14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No Remuneration</w:t>
      </w:r>
      <w:r>
        <w:rPr>
          <w:rFonts w:ascii="Times New Roman;Times;Serif" w:hAnsi="Times New Roman;Times;Serif"/>
          <w:b w:val="false"/>
          <w:i w:val="false"/>
          <w:caps w:val="false"/>
          <w:smallCaps w:val="false"/>
          <w:sz w:val="20"/>
        </w:rPr>
        <w:t>. Any transaction fee</w:t>
      </w: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60"/>
        <w:ind w:left="0" w:right="0" w:firstLine="3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w:t>
            </w:r>
          </w:p>
        </w:tc>
        <w:tc>
          <w:tcPr>
            <w:tcW w:w="9968" w:type="dxa"/>
            <w:tcBorders/>
            <w:vAlign w:val="center"/>
          </w:tcPr>
          <w:p>
            <w:pPr>
              <w:pStyle w:val="TableContents"/>
              <w:bidi w:val="0"/>
              <w:spacing w:before="0" w:after="283"/>
              <w:jc w:val="left"/>
              <w:rPr/>
            </w:pPr>
            <w:r>
              <w:rPr/>
              <w:t>Such a Board can also, consistent with applicable fund documents, facilitate this opportunity by delegating the authority to veto the selection of such person to a committee of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w:t>
            </w:r>
          </w:p>
        </w:tc>
        <w:tc>
          <w:tcPr>
            <w:tcW w:w="9968" w:type="dxa"/>
            <w:tcBorders/>
            <w:vAlign w:val="center"/>
          </w:tcPr>
          <w:p>
            <w:pPr>
              <w:pStyle w:val="TableContents"/>
              <w:bidi w:val="0"/>
              <w:spacing w:before="0" w:after="283"/>
              <w:jc w:val="left"/>
              <w:rPr/>
            </w:pPr>
            <w:r>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full Board of the Regulated Fund at the Board’s next regularly-scheduled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w:t>
            </w:r>
          </w:p>
        </w:tc>
        <w:tc>
          <w:tcPr>
            <w:tcW w:w="9968" w:type="dxa"/>
            <w:tcBorders/>
            <w:vAlign w:val="center"/>
          </w:tcPr>
          <w:p>
            <w:pPr>
              <w:pStyle w:val="TableContents"/>
              <w:bidi w:val="0"/>
              <w:spacing w:before="0" w:after="283"/>
              <w:jc w:val="left"/>
              <w:rPr/>
            </w:pPr>
            <w:r>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14</w:t>
            </w:r>
          </w:p>
        </w:tc>
        <w:tc>
          <w:tcPr>
            <w:tcW w:w="9968" w:type="dxa"/>
            <w:tcBorders/>
            <w:vAlign w:val="center"/>
          </w:tcPr>
          <w:p>
            <w:pPr>
              <w:pStyle w:val="TableContents"/>
              <w:bidi w:val="0"/>
              <w:spacing w:before="0" w:after="283"/>
              <w:jc w:val="left"/>
              <w:rPr/>
            </w:pPr>
            <w:r>
              <w:rPr/>
              <w:t>Expenses of an individual Participant that are incurred solely by the Participant due to its unique circumstances (such as legal and compliance expenses) will be borne by such Participant.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15</w:t>
            </w:r>
          </w:p>
        </w:tc>
        <w:tc>
          <w:tcPr>
            <w:tcW w:w="9968" w:type="dxa"/>
            <w:tcBorders/>
            <w:vAlign w:val="center"/>
          </w:tcPr>
          <w:p>
            <w:pPr>
              <w:pStyle w:val="TableContents"/>
              <w:bidi w:val="0"/>
              <w:spacing w:before="0" w:after="283"/>
              <w:jc w:val="left"/>
              <w:rPr/>
            </w:pPr>
            <w:r>
              <w:rPr/>
              <w:t>Applicants are not requesting and the Commission is not providing any relief for transaction fees received in connection with any Co-Investment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Times;Serif" w:hAnsi="Times New Roman;Times;Serif"/>
          <w:b/>
          <w:i/>
          <w:caps w:val="false"/>
          <w:smallCaps w:val="false"/>
          <w:sz w:val="20"/>
        </w:rPr>
        <w:t>Co-Investment Policies</w:t>
      </w:r>
      <w:r>
        <w:rPr>
          <w:rFonts w:ascii="Times New Roman;Times;Serif" w:hAnsi="Times New Roman;Times;Serif"/>
          <w:b w:val="false"/>
          <w:i w:val="false"/>
          <w:caps w:val="false"/>
          <w:smallCaps w:val="false"/>
          <w:sz w:val="20"/>
        </w:rPr>
        <w:t>”). Each Adviser (and each Affiliated Entity that is not advised by an Adviser) will provide its Co-Investment Policies to the Regulated Funds and will notify the Regulated Funds of any material changes thereto.</w:t>
      </w:r>
      <w:r>
        <w:rPr>
          <w:rFonts w:ascii="Times New Roman;Times;Serif" w:hAnsi="Times New Roman;Times;Serif"/>
          <w:b w:val="false"/>
          <w:i w:val="false"/>
          <w:caps w:val="false"/>
          <w:smallCaps w:val="false"/>
          <w:position w:val="7"/>
          <w:sz w:val="16"/>
          <w:sz w:val="20"/>
        </w:rPr>
        <w:t>16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left"/>
              <w:rPr/>
            </w:pPr>
            <w:r>
              <w:rPr/>
              <w:t>Prior to any Disposition</w:t>
            </w:r>
            <w:r>
              <w:rPr>
                <w:rFonts w:ascii="Times New Roman;Times;Serif" w:hAnsi="Times New Roman;Times;Serif"/>
                <w:position w:val="7"/>
                <w:sz w:val="16"/>
                <w:sz w:val="20"/>
              </w:rPr>
              <w:t>17</w:t>
            </w:r>
            <w:r>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Times;Serif" w:hAnsi="Times New Roman;Times;Serif"/>
                <w:position w:val="7"/>
                <w:sz w:val="16"/>
                <w:sz w:val="20"/>
              </w:rPr>
              <w:t>18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Board Oversight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left"/>
              <w:rPr/>
            </w:pPr>
            <w:r>
              <w:rPr/>
              <w:t>Each Regulated Fund’s directors will oversee the Regulated Fund’s participation in the co-investment program in the exercise of their reasonable business judgment.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left"/>
              <w:rPr/>
            </w:pPr>
            <w:r>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left"/>
              <w:rPr/>
            </w:pPr>
            <w:r>
              <w:rPr/>
              <w:t>Every year, each Regulated Fund’s Adviser and chief compliance officer will provide the Regulated Fund’s Board with reports or other information requested by the Board related to the Regulated</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0"/>
        <w:gridCol w:w="318"/>
        <w:gridCol w:w="9827"/>
      </w:tblGrid>
      <w:tr>
        <w:trPr/>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16</w:t>
            </w:r>
          </w:p>
        </w:tc>
        <w:tc>
          <w:tcPr>
            <w:tcW w:w="9827" w:type="dxa"/>
            <w:tcBorders/>
            <w:vAlign w:val="center"/>
          </w:tcPr>
          <w:p>
            <w:pPr>
              <w:pStyle w:val="TableContents"/>
              <w:bidi w:val="0"/>
              <w:spacing w:before="0" w:after="283"/>
              <w:jc w:val="left"/>
              <w:rPr/>
            </w:pPr>
            <w:r>
              <w:rPr/>
              <w:t>The Affiliated Entities may adopt shared Co-Investment Policies.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17</w:t>
            </w:r>
          </w:p>
        </w:tc>
        <w:tc>
          <w:tcPr>
            <w:tcW w:w="9968" w:type="dxa"/>
            <w:tcBorders/>
            <w:vAlign w:val="center"/>
          </w:tcPr>
          <w:p>
            <w:pPr>
              <w:pStyle w:val="TableContents"/>
              <w:bidi w:val="0"/>
              <w:spacing w:before="0" w:after="283"/>
              <w:jc w:val="left"/>
              <w:rPr/>
            </w:pPr>
            <w:r>
              <w:rPr/>
              <w:t>“</w:t>
            </w:r>
            <w:r>
              <w:rPr>
                <w:b/>
                <w:i/>
              </w:rPr>
              <w:t>Disposition</w:t>
            </w:r>
            <w:r>
              <w:rPr/>
              <w:t>” means the sale, exchange, transfer or other disposition of an interest in a security of an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18</w:t>
            </w:r>
          </w:p>
        </w:tc>
        <w:tc>
          <w:tcPr>
            <w:tcW w:w="9968" w:type="dxa"/>
            <w:tcBorders/>
            <w:vAlign w:val="center"/>
          </w:tcPr>
          <w:p>
            <w:pPr>
              <w:pStyle w:val="TableContents"/>
              <w:bidi w:val="0"/>
              <w:spacing w:before="0" w:after="283"/>
              <w:jc w:val="left"/>
              <w:rPr/>
            </w:pPr>
            <w:r>
              <w:rPr/>
              <w:t>“</w:t>
            </w:r>
            <w:r>
              <w:rPr>
                <w:b/>
                <w:i/>
              </w:rPr>
              <w:t>Tradable Security</w:t>
            </w:r>
            <w:r>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1267"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participation in the co-investment program and any material changes in the Affiliated Entities’ participation in the co-investment program, including changes to the Affiliated Entities’ Co-Investment Policies.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(e)</w:t>
            </w:r>
          </w:p>
        </w:tc>
        <w:tc>
          <w:tcPr>
            <w:tcW w:w="9950" w:type="dxa"/>
            <w:tcBorders/>
            <w:vAlign w:val="center"/>
          </w:tcPr>
          <w:p>
            <w:pPr>
              <w:pStyle w:val="TableContents"/>
              <w:bidi w:val="0"/>
              <w:spacing w:before="0" w:after="283"/>
              <w:jc w:val="left"/>
              <w:rPr/>
            </w:pPr>
            <w:r>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Recordkeeping</w:t>
      </w:r>
      <w:r>
        <w:rPr>
          <w:rFonts w:ascii="Times New Roman;Times;Serif" w:hAnsi="Times New Roman;Times;Serif"/>
          <w:b w:val="false"/>
          <w:i w:val="false"/>
          <w:caps w:val="false"/>
          <w:smallCaps w:val="false"/>
          <w:sz w:val="20"/>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Times;Serif" w:hAnsi="Times New Roman;Times;Serif"/>
          <w:b w:val="false"/>
          <w:i w:val="false"/>
          <w:caps w:val="false"/>
          <w:smallCaps w:val="false"/>
          <w:position w:val="7"/>
          <w:sz w:val="16"/>
          <w:sz w:val="20"/>
        </w:rPr>
        <w:t>19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STATEMENT IN SUPPORT OF RELIEF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Benefits to the Regulated Funds and their Shareholders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Shareholder Protections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6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19</w:t>
            </w:r>
          </w:p>
        </w:tc>
        <w:tc>
          <w:tcPr>
            <w:tcW w:w="9967" w:type="dxa"/>
            <w:tcBorders/>
            <w:vAlign w:val="center"/>
          </w:tcPr>
          <w:p>
            <w:pPr>
              <w:pStyle w:val="TableContents"/>
              <w:bidi w:val="0"/>
              <w:spacing w:before="0" w:after="283"/>
              <w:jc w:val="left"/>
              <w:rPr/>
            </w:pPr>
            <w:r>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PRECEDENTS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has previously issued orders permitting certain investment companies subject to regulation under the 1940 Act and their affiliated persons to be able to participate in Co-Investment Transactions (the “</w:t>
      </w:r>
      <w:r>
        <w:rPr>
          <w:rFonts w:ascii="Times New Roman;Times;Serif" w:hAnsi="Times New Roman;Times;Serif"/>
          <w:b/>
          <w:i/>
          <w:caps w:val="false"/>
          <w:smallCaps w:val="false"/>
          <w:sz w:val="20"/>
        </w:rPr>
        <w:t>Existing Orders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PROCEDURAL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Communications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all communications concerning this Application, the Notice and the Order 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Markle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Maureen Montgomery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 Willow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California 94025 </w:t>
        <w:br/>
        <w:t>(650) 761-7789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address any questions, and a copy of any communications, concerning this Application, the Notice, and the Order to: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P. Healey,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extBody"/>
        <w:bidi w:val="0"/>
        <w:spacing w:before="0" w:after="0"/>
        <w:ind w:left="18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1050 17th Street NW</w:t>
        <w:br/>
        <w:t>Washington, DC 20036</w:t>
        <w:br/>
        <w:t>(202) 962-7000</w:t>
        <w:br/>
        <w:t>Christopher.Healey@davispolk.com</w:t>
      </w:r>
    </w:p>
    <w:p>
      <w:pPr>
        <w:pStyle w:val="TextBody"/>
        <w:bidi w:val="0"/>
        <w:spacing w:before="0" w:after="0"/>
        <w:ind w:left="187"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Oran Ebel,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extBody"/>
        <w:bidi w:val="0"/>
        <w:spacing w:before="0" w:after="0"/>
        <w:ind w:left="18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 Lexington Avenue</w:t>
        <w:br/>
        <w:t>New York, NY 10017</w:t>
        <w:br/>
        <w:t>(212) 450-4000</w:t>
        <w:br/>
        <w:t>Oran.Ebel@davispolk.com</w:t>
      </w:r>
    </w:p>
    <w:p>
      <w:pPr>
        <w:pStyle w:val="TextBody"/>
        <w:bidi w:val="0"/>
        <w:spacing w:before="0" w:after="0"/>
        <w:ind w:left="187" w:right="0" w:hanging="0"/>
        <w:jc w:val="center"/>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Authorizations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60" w:after="60"/>
        <w:ind w:left="0" w:right="0" w:firstLine="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20</w:t>
            </w:r>
          </w:p>
        </w:tc>
        <w:tc>
          <w:tcPr>
            <w:tcW w:w="9967" w:type="dxa"/>
            <w:tcBorders/>
            <w:vAlign w:val="center"/>
          </w:tcPr>
          <w:p>
            <w:pPr>
              <w:pStyle w:val="TableContents"/>
              <w:bidi w:val="0"/>
              <w:spacing w:before="0" w:after="283"/>
              <w:jc w:val="left"/>
              <w:rPr/>
            </w:pPr>
            <w:r>
              <w:rPr>
                <w:i/>
              </w:rPr>
              <w:t>See, e.g.</w:t>
            </w:r>
            <w:r>
              <w:rPr/>
              <w:t xml:space="preserve">, FS Credit Opportunities Corp., </w:t>
            </w:r>
            <w:r>
              <w:rPr>
                <w:i/>
              </w:rPr>
              <w:t>et al.</w:t>
            </w:r>
            <w:r>
              <w:rPr/>
              <w:t xml:space="preserve"> (File No. 812-15706), Release No. IC-35520 (April 3, 2025) (notice), Release No. IC-35561 (April 29, 2025) (order); Sixth Street Specialty Lending, Inc. </w:t>
            </w:r>
            <w:r>
              <w:rPr>
                <w:i/>
              </w:rPr>
              <w:t>et al.</w:t>
            </w:r>
            <w:r>
              <w:rPr/>
              <w:t xml:space="preserve"> (File No. 812-15729), Release No. IC-35531 (April 10, 2025) (notice), Release No. IC-35570 (May 6, 2025) (order); Blue Owl Capital Corporation, </w:t>
            </w:r>
            <w:r>
              <w:rPr>
                <w:i/>
              </w:rPr>
              <w:t>et al.</w:t>
            </w:r>
            <w:r>
              <w:rPr/>
              <w:t xml:space="preserve"> (File No. 812-15715), Release No. IC-35530 (April 9, 2025) (notice), Release No. IC-35573 (May 6, 2025) (order); BlackRock Growth Equity Fund LP, </w:t>
            </w:r>
            <w:r>
              <w:rPr>
                <w:i/>
              </w:rPr>
              <w:t>et al.</w:t>
            </w:r>
            <w:r>
              <w:rPr/>
              <w:t xml:space="preserve"> (File No. 812-15712), Release No. IC-35525 (April 8, 2025) (notice), Release No. IC-35572 (May 6, 2025) (order).</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Applicants have caused this Application to be duly signed on their behalf on the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firstLine="36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555"/>
        <w:gridCol w:w="903"/>
        <w:gridCol w:w="1575"/>
        <w:gridCol w:w="75"/>
      </w:tblGrid>
      <w:tr>
        <w:trPr/>
        <w:tc>
          <w:tcPr>
            <w:tcW w:w="3033" w:type="dxa"/>
            <w:gridSpan w:val="3"/>
            <w:tcBorders/>
            <w:vAlign w:val="center"/>
          </w:tcPr>
          <w:p>
            <w:pPr>
              <w:pStyle w:val="TableContents"/>
              <w:bidi w:val="0"/>
              <w:spacing w:before="0" w:after="283"/>
              <w:jc w:val="left"/>
              <w:rPr>
                <w:b/>
                <w:sz w:val="20"/>
              </w:rPr>
            </w:pPr>
            <w:r>
              <w:rPr>
                <w:b/>
                <w:sz w:val="20"/>
              </w:rPr>
              <w:t>ROBINHOOD VENTURES FUND I</w:t>
            </w:r>
          </w:p>
        </w:tc>
        <w:tc>
          <w:tcPr>
            <w:tcW w:w="75" w:type="dxa"/>
            <w:tcBorders/>
            <w:vAlign w:val="center"/>
          </w:tcPr>
          <w:p>
            <w:pPr>
              <w:pStyle w:val="TableContents"/>
              <w:bidi w:val="0"/>
              <w:spacing w:before="0" w:after="283"/>
              <w:jc w:val="left"/>
              <w:rPr/>
            </w:pPr>
            <w:r>
              <w:rPr/>
              <w:t> </w:t>
            </w:r>
          </w:p>
        </w:tc>
      </w:tr>
      <w:tr>
        <w:trPr/>
        <w:tc>
          <w:tcPr>
            <w:tcW w:w="303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sz w:val="20"/>
              </w:rPr>
            </w:pPr>
            <w:r>
              <w:rPr>
                <w:sz w:val="20"/>
              </w:rPr>
              <w:t>By:</w:t>
            </w:r>
          </w:p>
        </w:tc>
        <w:tc>
          <w:tcPr>
            <w:tcW w:w="247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Name:</w:t>
            </w:r>
          </w:p>
        </w:tc>
        <w:tc>
          <w:tcPr>
            <w:tcW w:w="1575"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Title:</w:t>
            </w:r>
          </w:p>
        </w:tc>
        <w:tc>
          <w:tcPr>
            <w:tcW w:w="1575"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184" w:type="dxa"/>
        <w:jc w:val="left"/>
        <w:tblInd w:w="0" w:type="dxa"/>
        <w:tblLayout w:type="fixed"/>
        <w:tblCellMar>
          <w:top w:w="0" w:type="dxa"/>
          <w:left w:w="0" w:type="dxa"/>
          <w:bottom w:w="0" w:type="dxa"/>
          <w:right w:w="0" w:type="dxa"/>
        </w:tblCellMar>
      </w:tblPr>
      <w:tblGrid>
        <w:gridCol w:w="569"/>
        <w:gridCol w:w="926"/>
        <w:gridCol w:w="1614"/>
        <w:gridCol w:w="75"/>
      </w:tblGrid>
      <w:tr>
        <w:trPr/>
        <w:tc>
          <w:tcPr>
            <w:tcW w:w="3109" w:type="dxa"/>
            <w:gridSpan w:val="3"/>
            <w:tcBorders/>
            <w:vAlign w:val="center"/>
          </w:tcPr>
          <w:p>
            <w:pPr>
              <w:pStyle w:val="TableContents"/>
              <w:bidi w:val="0"/>
              <w:spacing w:before="0" w:after="283"/>
              <w:jc w:val="left"/>
              <w:rPr>
                <w:b/>
                <w:sz w:val="20"/>
              </w:rPr>
            </w:pPr>
            <w:r>
              <w:rPr>
                <w:b/>
                <w:sz w:val="20"/>
              </w:rPr>
              <w:t>ROBINHOOD VENTURES FUND II</w:t>
            </w:r>
          </w:p>
        </w:tc>
        <w:tc>
          <w:tcPr>
            <w:tcW w:w="75" w:type="dxa"/>
            <w:tcBorders/>
            <w:vAlign w:val="center"/>
          </w:tcPr>
          <w:p>
            <w:pPr>
              <w:pStyle w:val="TableContents"/>
              <w:bidi w:val="0"/>
              <w:spacing w:before="0" w:after="283"/>
              <w:jc w:val="left"/>
              <w:rPr/>
            </w:pPr>
            <w:r>
              <w:rPr/>
              <w:t> </w:t>
            </w:r>
          </w:p>
        </w:tc>
      </w:tr>
      <w:tr>
        <w:trPr/>
        <w:tc>
          <w:tcPr>
            <w:tcW w:w="31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sz w:val="20"/>
              </w:rPr>
            </w:pPr>
            <w:r>
              <w:rPr>
                <w:sz w:val="20"/>
              </w:rPr>
              <w:t>By:</w:t>
            </w:r>
          </w:p>
        </w:tc>
        <w:tc>
          <w:tcPr>
            <w:tcW w:w="25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sz w:val="20"/>
              </w:rPr>
            </w:pPr>
            <w:r>
              <w:rPr>
                <w:sz w:val="20"/>
              </w:rPr>
              <w:t>Name:</w:t>
            </w:r>
          </w:p>
        </w:tc>
        <w:tc>
          <w:tcPr>
            <w:tcW w:w="1614"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sz w:val="20"/>
              </w:rPr>
            </w:pPr>
            <w:r>
              <w:rPr>
                <w:sz w:val="20"/>
              </w:rPr>
              <w:t>Title:</w:t>
            </w:r>
          </w:p>
        </w:tc>
        <w:tc>
          <w:tcPr>
            <w:tcW w:w="1614"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259" w:type="dxa"/>
        <w:jc w:val="left"/>
        <w:tblInd w:w="0" w:type="dxa"/>
        <w:tblLayout w:type="fixed"/>
        <w:tblCellMar>
          <w:top w:w="0" w:type="dxa"/>
          <w:left w:w="0" w:type="dxa"/>
          <w:bottom w:w="0" w:type="dxa"/>
          <w:right w:w="0" w:type="dxa"/>
        </w:tblCellMar>
      </w:tblPr>
      <w:tblGrid>
        <w:gridCol w:w="583"/>
        <w:gridCol w:w="948"/>
        <w:gridCol w:w="1653"/>
        <w:gridCol w:w="75"/>
      </w:tblGrid>
      <w:tr>
        <w:trPr/>
        <w:tc>
          <w:tcPr>
            <w:tcW w:w="3184" w:type="dxa"/>
            <w:gridSpan w:val="3"/>
            <w:tcBorders/>
            <w:vAlign w:val="center"/>
          </w:tcPr>
          <w:p>
            <w:pPr>
              <w:pStyle w:val="TableContents"/>
              <w:bidi w:val="0"/>
              <w:spacing w:before="0" w:after="283"/>
              <w:jc w:val="left"/>
              <w:rPr>
                <w:b/>
                <w:sz w:val="20"/>
              </w:rPr>
            </w:pPr>
            <w:r>
              <w:rPr>
                <w:b/>
                <w:sz w:val="20"/>
              </w:rPr>
              <w:t>ROBINHOOD VENTURES FUND III</w:t>
            </w:r>
          </w:p>
        </w:tc>
        <w:tc>
          <w:tcPr>
            <w:tcW w:w="75" w:type="dxa"/>
            <w:tcBorders/>
            <w:vAlign w:val="center"/>
          </w:tcPr>
          <w:p>
            <w:pPr>
              <w:pStyle w:val="TableContents"/>
              <w:bidi w:val="0"/>
              <w:spacing w:before="0" w:after="283"/>
              <w:jc w:val="left"/>
              <w:rPr/>
            </w:pPr>
            <w:r>
              <w:rPr/>
              <w:t> </w:t>
            </w:r>
          </w:p>
        </w:tc>
      </w:tr>
      <w:tr>
        <w:trPr/>
        <w:tc>
          <w:tcPr>
            <w:tcW w:w="318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sz w:val="20"/>
              </w:rPr>
            </w:pPr>
            <w:r>
              <w:rPr>
                <w:sz w:val="20"/>
              </w:rPr>
              <w:t>By:</w:t>
            </w:r>
          </w:p>
        </w:tc>
        <w:tc>
          <w:tcPr>
            <w:tcW w:w="260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sz w:val="20"/>
              </w:rPr>
            </w:pPr>
            <w:r>
              <w:rPr>
                <w:sz w:val="20"/>
              </w:rPr>
              <w:t>Name:</w:t>
            </w:r>
          </w:p>
        </w:tc>
        <w:tc>
          <w:tcPr>
            <w:tcW w:w="1653"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sz w:val="20"/>
              </w:rPr>
            </w:pPr>
            <w:r>
              <w:rPr>
                <w:sz w:val="20"/>
              </w:rPr>
              <w:t>Title:</w:t>
            </w:r>
          </w:p>
        </w:tc>
        <w:tc>
          <w:tcPr>
            <w:tcW w:w="1653"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244" w:type="dxa"/>
        <w:jc w:val="left"/>
        <w:tblInd w:w="0" w:type="dxa"/>
        <w:tblLayout w:type="fixed"/>
        <w:tblCellMar>
          <w:top w:w="0" w:type="dxa"/>
          <w:left w:w="0" w:type="dxa"/>
          <w:bottom w:w="0" w:type="dxa"/>
          <w:right w:w="0" w:type="dxa"/>
        </w:tblCellMar>
      </w:tblPr>
      <w:tblGrid>
        <w:gridCol w:w="580"/>
        <w:gridCol w:w="944"/>
        <w:gridCol w:w="1645"/>
        <w:gridCol w:w="75"/>
      </w:tblGrid>
      <w:tr>
        <w:trPr/>
        <w:tc>
          <w:tcPr>
            <w:tcW w:w="3169" w:type="dxa"/>
            <w:gridSpan w:val="3"/>
            <w:tcBorders/>
            <w:vAlign w:val="center"/>
          </w:tcPr>
          <w:p>
            <w:pPr>
              <w:pStyle w:val="TableContents"/>
              <w:bidi w:val="0"/>
              <w:spacing w:before="0" w:after="283"/>
              <w:jc w:val="left"/>
              <w:rPr>
                <w:b/>
                <w:sz w:val="20"/>
              </w:rPr>
            </w:pPr>
            <w:r>
              <w:rPr>
                <w:b/>
                <w:sz w:val="20"/>
              </w:rPr>
              <w:t>ROBINHOOD VENTURES FUND IV</w:t>
            </w:r>
          </w:p>
        </w:tc>
        <w:tc>
          <w:tcPr>
            <w:tcW w:w="75"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sz w:val="20"/>
              </w:rPr>
            </w:pPr>
            <w:r>
              <w:rPr>
                <w:sz w:val="20"/>
              </w:rPr>
              <w:t>By:</w:t>
            </w:r>
          </w:p>
        </w:tc>
        <w:tc>
          <w:tcPr>
            <w:tcW w:w="258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sz w:val="20"/>
              </w:rPr>
            </w:pPr>
            <w:r>
              <w:rPr>
                <w:sz w:val="20"/>
              </w:rPr>
              <w:t>Name:</w:t>
            </w:r>
          </w:p>
        </w:tc>
        <w:tc>
          <w:tcPr>
            <w:tcW w:w="1645"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sz w:val="20"/>
              </w:rPr>
            </w:pPr>
            <w:r>
              <w:rPr>
                <w:sz w:val="20"/>
              </w:rPr>
              <w:t>Title:</w:t>
            </w:r>
          </w:p>
        </w:tc>
        <w:tc>
          <w:tcPr>
            <w:tcW w:w="1645"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228" w:type="dxa"/>
        <w:jc w:val="left"/>
        <w:tblInd w:w="0" w:type="dxa"/>
        <w:tblLayout w:type="fixed"/>
        <w:tblCellMar>
          <w:top w:w="0" w:type="dxa"/>
          <w:left w:w="0" w:type="dxa"/>
          <w:bottom w:w="0" w:type="dxa"/>
          <w:right w:w="0" w:type="dxa"/>
        </w:tblCellMar>
      </w:tblPr>
      <w:tblGrid>
        <w:gridCol w:w="365"/>
        <w:gridCol w:w="593"/>
        <w:gridCol w:w="2195"/>
        <w:gridCol w:w="75"/>
      </w:tblGrid>
      <w:tr>
        <w:trPr/>
        <w:tc>
          <w:tcPr>
            <w:tcW w:w="3153" w:type="dxa"/>
            <w:gridSpan w:val="3"/>
            <w:tcBorders/>
            <w:vAlign w:val="center"/>
          </w:tcPr>
          <w:p>
            <w:pPr>
              <w:pStyle w:val="TableContents"/>
              <w:bidi w:val="0"/>
              <w:spacing w:before="0" w:after="283"/>
              <w:jc w:val="left"/>
              <w:rPr>
                <w:b/>
                <w:sz w:val="20"/>
              </w:rPr>
            </w:pPr>
            <w:r>
              <w:rPr>
                <w:b/>
                <w:sz w:val="20"/>
              </w:rPr>
              <w:t>ROBINHOOD VENTURES DE, LLC</w:t>
            </w:r>
          </w:p>
        </w:tc>
        <w:tc>
          <w:tcPr>
            <w:tcW w:w="75" w:type="dxa"/>
            <w:tcBorders/>
            <w:vAlign w:val="center"/>
          </w:tcPr>
          <w:p>
            <w:pPr>
              <w:pStyle w:val="TableContents"/>
              <w:bidi w:val="0"/>
              <w:spacing w:before="0" w:after="283"/>
              <w:jc w:val="left"/>
              <w:rPr/>
            </w:pPr>
            <w:r>
              <w:rPr/>
              <w:t> </w:t>
            </w:r>
          </w:p>
        </w:tc>
      </w:tr>
      <w:tr>
        <w:trPr/>
        <w:tc>
          <w:tcPr>
            <w:tcW w:w="31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20"/>
              </w:rPr>
            </w:pPr>
            <w:r>
              <w:rPr>
                <w:sz w:val="20"/>
              </w:rPr>
              <w:t>By:</w:t>
            </w:r>
          </w:p>
        </w:tc>
        <w:tc>
          <w:tcPr>
            <w:tcW w:w="278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sz w:val="20"/>
              </w:rPr>
            </w:pPr>
            <w:r>
              <w:rPr>
                <w:sz w:val="20"/>
              </w:rPr>
              <w:t>Name:</w:t>
            </w:r>
          </w:p>
        </w:tc>
        <w:tc>
          <w:tcPr>
            <w:tcW w:w="2195"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sz w:val="20"/>
              </w:rPr>
            </w:pPr>
            <w:r>
              <w:rPr>
                <w:sz w:val="20"/>
              </w:rPr>
              <w:t>Title:</w:t>
            </w:r>
          </w:p>
        </w:tc>
        <w:tc>
          <w:tcPr>
            <w:tcW w:w="2195" w:type="dxa"/>
            <w:tcBorders/>
            <w:vAlign w:val="center"/>
          </w:tcPr>
          <w:p>
            <w:pPr>
              <w:pStyle w:val="TableContents"/>
              <w:bidi w:val="0"/>
              <w:spacing w:before="0" w:after="283"/>
              <w:jc w:val="left"/>
              <w:rPr>
                <w:sz w:val="20"/>
              </w:rPr>
            </w:pPr>
            <w:r>
              <w:rPr>
                <w:sz w:val="20"/>
              </w:rPr>
              <w:t>Chief Investment Officer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979" w:type="dxa"/>
        <w:jc w:val="left"/>
        <w:tblInd w:w="0" w:type="dxa"/>
        <w:tblLayout w:type="fixed"/>
        <w:tblCellMar>
          <w:top w:w="0" w:type="dxa"/>
          <w:left w:w="0" w:type="dxa"/>
          <w:bottom w:w="0" w:type="dxa"/>
          <w:right w:w="0" w:type="dxa"/>
        </w:tblCellMar>
      </w:tblPr>
      <w:tblGrid>
        <w:gridCol w:w="589"/>
        <w:gridCol w:w="958"/>
        <w:gridCol w:w="2357"/>
        <w:gridCol w:w="75"/>
      </w:tblGrid>
      <w:tr>
        <w:trPr/>
        <w:tc>
          <w:tcPr>
            <w:tcW w:w="3904" w:type="dxa"/>
            <w:gridSpan w:val="3"/>
            <w:tcBorders/>
            <w:vAlign w:val="center"/>
          </w:tcPr>
          <w:p>
            <w:pPr>
              <w:pStyle w:val="TableContents"/>
              <w:bidi w:val="0"/>
              <w:spacing w:before="0" w:after="283"/>
              <w:jc w:val="left"/>
              <w:rPr>
                <w:b/>
                <w:sz w:val="20"/>
              </w:rPr>
            </w:pPr>
            <w:r>
              <w:rPr>
                <w:b/>
                <w:sz w:val="20"/>
              </w:rPr>
              <w:t>ROBINHOOD ASSET MANAGEMENT, LLC</w:t>
            </w:r>
          </w:p>
        </w:tc>
        <w:tc>
          <w:tcPr>
            <w:tcW w:w="75" w:type="dxa"/>
            <w:tcBorders/>
            <w:vAlign w:val="center"/>
          </w:tcPr>
          <w:p>
            <w:pPr>
              <w:pStyle w:val="TableContents"/>
              <w:bidi w:val="0"/>
              <w:spacing w:before="0" w:after="283"/>
              <w:jc w:val="left"/>
              <w:rPr/>
            </w:pPr>
            <w:r>
              <w:rPr/>
              <w:t> </w:t>
            </w:r>
          </w:p>
        </w:tc>
      </w:tr>
      <w:tr>
        <w:trPr/>
        <w:tc>
          <w:tcPr>
            <w:tcW w:w="390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sz w:val="20"/>
              </w:rPr>
            </w:pPr>
            <w:r>
              <w:rPr>
                <w:sz w:val="20"/>
              </w:rPr>
              <w:t>By:</w:t>
            </w:r>
          </w:p>
        </w:tc>
        <w:tc>
          <w:tcPr>
            <w:tcW w:w="331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Guild</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sz w:val="20"/>
              </w:rPr>
            </w:pPr>
            <w:r>
              <w:rPr>
                <w:sz w:val="20"/>
              </w:rPr>
              <w:t>Name:</w:t>
            </w:r>
          </w:p>
        </w:tc>
        <w:tc>
          <w:tcPr>
            <w:tcW w:w="2357" w:type="dxa"/>
            <w:tcBorders/>
            <w:vAlign w:val="center"/>
          </w:tcPr>
          <w:p>
            <w:pPr>
              <w:pStyle w:val="TableContents"/>
              <w:bidi w:val="0"/>
              <w:spacing w:before="0" w:after="283"/>
              <w:jc w:val="left"/>
              <w:rPr>
                <w:sz w:val="20"/>
              </w:rPr>
            </w:pPr>
            <w:r>
              <w:rPr>
                <w:sz w:val="20"/>
              </w:rPr>
              <w:t>Stephanie Guild</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sz w:val="20"/>
              </w:rPr>
            </w:pPr>
            <w:r>
              <w:rPr>
                <w:sz w:val="20"/>
              </w:rPr>
              <w:t>Title:</w:t>
            </w:r>
          </w:p>
        </w:tc>
        <w:tc>
          <w:tcPr>
            <w:tcW w:w="2357"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2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2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b/>
                <w:sz w:val="20"/>
              </w:rPr>
            </w:pPr>
            <w:r>
              <w:rPr>
                <w:b/>
                <w:sz w:val="20"/>
              </w:rPr>
              <w:t>ROBINHOOD MARKETS, INC.</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80" w:type="dxa"/>
            <w:tcBorders/>
            <w:vAlign w:val="center"/>
          </w:tcPr>
          <w:p>
            <w:pPr>
              <w:pStyle w:val="TableContents"/>
              <w:bidi w:val="0"/>
              <w:spacing w:before="0" w:after="283"/>
              <w:jc w:val="left"/>
              <w:rPr>
                <w:sz w:val="20"/>
              </w:rPr>
            </w:pPr>
            <w:r>
              <w:rPr>
                <w:sz w:val="20"/>
              </w:rPr>
              <w:t>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b/>
                <w:sz w:val="20"/>
              </w:rPr>
            </w:pPr>
            <w:r>
              <w:rPr>
                <w:b/>
                <w:sz w:val="20"/>
              </w:rPr>
              <w:t>ROBINHOOD EUROPE, UAB</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80" w:type="dxa"/>
            <w:tcBorders/>
            <w:vAlign w:val="center"/>
          </w:tcPr>
          <w:p>
            <w:pPr>
              <w:pStyle w:val="TableContents"/>
              <w:bidi w:val="0"/>
              <w:spacing w:before="0" w:after="283"/>
              <w:jc w:val="left"/>
              <w:rPr>
                <w:sz w:val="20"/>
              </w:rPr>
            </w:pPr>
            <w:r>
              <w:rPr>
                <w:sz w:val="20"/>
              </w:rPr>
              <w:t>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919" w:type="dxa"/>
        <w:jc w:val="left"/>
        <w:tblInd w:w="0" w:type="dxa"/>
        <w:tblLayout w:type="fixed"/>
        <w:tblCellMar>
          <w:top w:w="0" w:type="dxa"/>
          <w:left w:w="0" w:type="dxa"/>
          <w:bottom w:w="0" w:type="dxa"/>
          <w:right w:w="0" w:type="dxa"/>
        </w:tblCellMar>
      </w:tblPr>
      <w:tblGrid>
        <w:gridCol w:w="466"/>
        <w:gridCol w:w="759"/>
        <w:gridCol w:w="2619"/>
        <w:gridCol w:w="75"/>
      </w:tblGrid>
      <w:tr>
        <w:trPr/>
        <w:tc>
          <w:tcPr>
            <w:tcW w:w="3844" w:type="dxa"/>
            <w:gridSpan w:val="3"/>
            <w:tcBorders/>
            <w:vAlign w:val="center"/>
          </w:tcPr>
          <w:p>
            <w:pPr>
              <w:pStyle w:val="TableContents"/>
              <w:bidi w:val="0"/>
              <w:spacing w:before="0" w:after="283"/>
              <w:jc w:val="left"/>
              <w:rPr>
                <w:b/>
                <w:sz w:val="20"/>
              </w:rPr>
            </w:pPr>
            <w:r>
              <w:rPr>
                <w:b/>
                <w:sz w:val="20"/>
              </w:rPr>
              <w:t>ROBINHOOD ASSETS (JERSEY) LIMITED</w:t>
            </w:r>
          </w:p>
        </w:tc>
        <w:tc>
          <w:tcPr>
            <w:tcW w:w="75" w:type="dxa"/>
            <w:tcBorders/>
            <w:vAlign w:val="center"/>
          </w:tcPr>
          <w:p>
            <w:pPr>
              <w:pStyle w:val="TableContents"/>
              <w:bidi w:val="0"/>
              <w:spacing w:before="0" w:after="283"/>
              <w:jc w:val="left"/>
              <w:rPr/>
            </w:pPr>
            <w:r>
              <w:rPr/>
              <w:t> </w:t>
            </w:r>
          </w:p>
        </w:tc>
      </w:tr>
      <w:tr>
        <w:trPr/>
        <w:tc>
          <w:tcPr>
            <w:tcW w:w="384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sz w:val="20"/>
              </w:rPr>
            </w:pPr>
            <w:r>
              <w:rPr>
                <w:sz w:val="20"/>
              </w:rPr>
              <w:t>By:</w:t>
            </w:r>
          </w:p>
        </w:tc>
        <w:tc>
          <w:tcPr>
            <w:tcW w:w="337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20"/>
              </w:rPr>
            </w:pPr>
            <w:r>
              <w:rPr>
                <w:sz w:val="20"/>
              </w:rPr>
              <w:t>Name:</w:t>
            </w:r>
          </w:p>
        </w:tc>
        <w:tc>
          <w:tcPr>
            <w:tcW w:w="2619" w:type="dxa"/>
            <w:tcBorders/>
            <w:vAlign w:val="center"/>
          </w:tcPr>
          <w:p>
            <w:pPr>
              <w:pStyle w:val="TableContents"/>
              <w:bidi w:val="0"/>
              <w:spacing w:before="0" w:after="283"/>
              <w:jc w:val="left"/>
              <w:rPr>
                <w:sz w:val="20"/>
              </w:rPr>
            </w:pPr>
            <w:r>
              <w:rPr>
                <w:sz w:val="20"/>
              </w:rPr>
              <w:t>Shiv Verma</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20"/>
              </w:rPr>
            </w:pPr>
            <w:r>
              <w:rPr>
                <w:sz w:val="20"/>
              </w:rPr>
              <w:t>Title:</w:t>
            </w:r>
          </w:p>
        </w:tc>
        <w:tc>
          <w:tcPr>
            <w:tcW w:w="2619"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26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26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VERIFICATION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states that he or she has duly executed the attached Application for an Order under Sections 17(d) and 57(i) of the Investment Company Act of 1940, as amended, and Rule 17d-1 thereunder, for and on behalf of the Applicants, as the case may be, that he or she holds the office with such entity as indicated below and that all actions by the officers, directors, and other bodies necessary to authorize the undersigned to execute and file such Application have been taken. The undersigned further says that he or she is familiar with the instrument and the contents thereof, and that the facts set forth therein are true to the best of his or her knowledge, information, and belief.</w:t>
      </w:r>
    </w:p>
    <w:p>
      <w:pPr>
        <w:pStyle w:val="TextBody"/>
        <w:bidi w:val="0"/>
        <w:spacing w:before="0" w:after="0"/>
        <w:ind w:left="0" w:right="0" w:hanging="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555"/>
        <w:gridCol w:w="903"/>
        <w:gridCol w:w="1575"/>
        <w:gridCol w:w="75"/>
      </w:tblGrid>
      <w:tr>
        <w:trPr/>
        <w:tc>
          <w:tcPr>
            <w:tcW w:w="3033" w:type="dxa"/>
            <w:gridSpan w:val="3"/>
            <w:tcBorders/>
            <w:vAlign w:val="center"/>
          </w:tcPr>
          <w:p>
            <w:pPr>
              <w:pStyle w:val="TableContents"/>
              <w:bidi w:val="0"/>
              <w:spacing w:before="0" w:after="283"/>
              <w:jc w:val="left"/>
              <w:rPr>
                <w:b/>
                <w:sz w:val="20"/>
              </w:rPr>
            </w:pPr>
            <w:r>
              <w:rPr>
                <w:b/>
                <w:sz w:val="20"/>
              </w:rPr>
              <w:t>ROBINHOOD VENTURES FUND I</w:t>
            </w:r>
          </w:p>
        </w:tc>
        <w:tc>
          <w:tcPr>
            <w:tcW w:w="75" w:type="dxa"/>
            <w:tcBorders/>
            <w:vAlign w:val="center"/>
          </w:tcPr>
          <w:p>
            <w:pPr>
              <w:pStyle w:val="TableContents"/>
              <w:bidi w:val="0"/>
              <w:spacing w:before="0" w:after="283"/>
              <w:jc w:val="left"/>
              <w:rPr/>
            </w:pPr>
            <w:r>
              <w:rPr/>
              <w:t> </w:t>
            </w:r>
          </w:p>
        </w:tc>
      </w:tr>
      <w:tr>
        <w:trPr/>
        <w:tc>
          <w:tcPr>
            <w:tcW w:w="303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sz w:val="20"/>
              </w:rPr>
            </w:pPr>
            <w:r>
              <w:rPr>
                <w:sz w:val="20"/>
              </w:rPr>
              <w:t>By:</w:t>
            </w:r>
          </w:p>
        </w:tc>
        <w:tc>
          <w:tcPr>
            <w:tcW w:w="247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Name:</w:t>
            </w:r>
          </w:p>
        </w:tc>
        <w:tc>
          <w:tcPr>
            <w:tcW w:w="1575"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Title:</w:t>
            </w:r>
          </w:p>
        </w:tc>
        <w:tc>
          <w:tcPr>
            <w:tcW w:w="1575"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184" w:type="dxa"/>
        <w:jc w:val="left"/>
        <w:tblInd w:w="0" w:type="dxa"/>
        <w:tblLayout w:type="fixed"/>
        <w:tblCellMar>
          <w:top w:w="0" w:type="dxa"/>
          <w:left w:w="0" w:type="dxa"/>
          <w:bottom w:w="0" w:type="dxa"/>
          <w:right w:w="0" w:type="dxa"/>
        </w:tblCellMar>
      </w:tblPr>
      <w:tblGrid>
        <w:gridCol w:w="569"/>
        <w:gridCol w:w="926"/>
        <w:gridCol w:w="1614"/>
        <w:gridCol w:w="75"/>
      </w:tblGrid>
      <w:tr>
        <w:trPr/>
        <w:tc>
          <w:tcPr>
            <w:tcW w:w="3109" w:type="dxa"/>
            <w:gridSpan w:val="3"/>
            <w:tcBorders/>
            <w:vAlign w:val="center"/>
          </w:tcPr>
          <w:p>
            <w:pPr>
              <w:pStyle w:val="TableContents"/>
              <w:bidi w:val="0"/>
              <w:spacing w:before="0" w:after="283"/>
              <w:jc w:val="left"/>
              <w:rPr>
                <w:b/>
                <w:sz w:val="20"/>
              </w:rPr>
            </w:pPr>
            <w:r>
              <w:rPr>
                <w:b/>
                <w:sz w:val="20"/>
              </w:rPr>
              <w:t>ROBINHOOD VENTURES FUND II</w:t>
            </w:r>
          </w:p>
        </w:tc>
        <w:tc>
          <w:tcPr>
            <w:tcW w:w="75" w:type="dxa"/>
            <w:tcBorders/>
            <w:vAlign w:val="center"/>
          </w:tcPr>
          <w:p>
            <w:pPr>
              <w:pStyle w:val="TableContents"/>
              <w:bidi w:val="0"/>
              <w:spacing w:before="0" w:after="283"/>
              <w:jc w:val="left"/>
              <w:rPr/>
            </w:pPr>
            <w:r>
              <w:rPr/>
              <w:t> </w:t>
            </w:r>
          </w:p>
        </w:tc>
      </w:tr>
      <w:tr>
        <w:trPr/>
        <w:tc>
          <w:tcPr>
            <w:tcW w:w="310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sz w:val="20"/>
              </w:rPr>
            </w:pPr>
            <w:r>
              <w:rPr>
                <w:sz w:val="20"/>
              </w:rPr>
              <w:t>By:</w:t>
            </w:r>
          </w:p>
        </w:tc>
        <w:tc>
          <w:tcPr>
            <w:tcW w:w="25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sz w:val="20"/>
              </w:rPr>
            </w:pPr>
            <w:r>
              <w:rPr>
                <w:sz w:val="20"/>
              </w:rPr>
              <w:t>Name:</w:t>
            </w:r>
          </w:p>
        </w:tc>
        <w:tc>
          <w:tcPr>
            <w:tcW w:w="1614"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sz w:val="20"/>
              </w:rPr>
            </w:pPr>
            <w:r>
              <w:rPr>
                <w:sz w:val="20"/>
              </w:rPr>
              <w:t>Title:</w:t>
            </w:r>
          </w:p>
        </w:tc>
        <w:tc>
          <w:tcPr>
            <w:tcW w:w="1614"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left"/>
              <w:rPr/>
            </w:pPr>
            <w:r>
              <w:rPr/>
              <w:t> </w:t>
            </w:r>
          </w:p>
        </w:tc>
        <w:tc>
          <w:tcPr>
            <w:tcW w:w="16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259" w:type="dxa"/>
        <w:jc w:val="left"/>
        <w:tblInd w:w="0" w:type="dxa"/>
        <w:tblLayout w:type="fixed"/>
        <w:tblCellMar>
          <w:top w:w="0" w:type="dxa"/>
          <w:left w:w="0" w:type="dxa"/>
          <w:bottom w:w="0" w:type="dxa"/>
          <w:right w:w="0" w:type="dxa"/>
        </w:tblCellMar>
      </w:tblPr>
      <w:tblGrid>
        <w:gridCol w:w="583"/>
        <w:gridCol w:w="948"/>
        <w:gridCol w:w="1653"/>
        <w:gridCol w:w="75"/>
      </w:tblGrid>
      <w:tr>
        <w:trPr/>
        <w:tc>
          <w:tcPr>
            <w:tcW w:w="3184" w:type="dxa"/>
            <w:gridSpan w:val="3"/>
            <w:tcBorders/>
            <w:vAlign w:val="center"/>
          </w:tcPr>
          <w:p>
            <w:pPr>
              <w:pStyle w:val="TableContents"/>
              <w:bidi w:val="0"/>
              <w:spacing w:before="0" w:after="283"/>
              <w:jc w:val="left"/>
              <w:rPr>
                <w:b/>
                <w:sz w:val="20"/>
              </w:rPr>
            </w:pPr>
            <w:r>
              <w:rPr>
                <w:b/>
                <w:sz w:val="20"/>
              </w:rPr>
              <w:t>ROBINHOOD VENTURES FUND III</w:t>
            </w:r>
          </w:p>
        </w:tc>
        <w:tc>
          <w:tcPr>
            <w:tcW w:w="75" w:type="dxa"/>
            <w:tcBorders/>
            <w:vAlign w:val="center"/>
          </w:tcPr>
          <w:p>
            <w:pPr>
              <w:pStyle w:val="TableContents"/>
              <w:bidi w:val="0"/>
              <w:spacing w:before="0" w:after="283"/>
              <w:jc w:val="left"/>
              <w:rPr/>
            </w:pPr>
            <w:r>
              <w:rPr/>
              <w:t> </w:t>
            </w:r>
          </w:p>
        </w:tc>
      </w:tr>
      <w:tr>
        <w:trPr/>
        <w:tc>
          <w:tcPr>
            <w:tcW w:w="318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sz w:val="20"/>
              </w:rPr>
            </w:pPr>
            <w:r>
              <w:rPr>
                <w:sz w:val="20"/>
              </w:rPr>
              <w:t>By:</w:t>
            </w:r>
          </w:p>
        </w:tc>
        <w:tc>
          <w:tcPr>
            <w:tcW w:w="2601"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sz w:val="20"/>
              </w:rPr>
            </w:pPr>
            <w:r>
              <w:rPr>
                <w:sz w:val="20"/>
              </w:rPr>
              <w:t>Name:</w:t>
            </w:r>
          </w:p>
        </w:tc>
        <w:tc>
          <w:tcPr>
            <w:tcW w:w="1653"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sz w:val="20"/>
              </w:rPr>
            </w:pPr>
            <w:r>
              <w:rPr>
                <w:sz w:val="20"/>
              </w:rPr>
              <w:t>Title:</w:t>
            </w:r>
          </w:p>
        </w:tc>
        <w:tc>
          <w:tcPr>
            <w:tcW w:w="1653"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244" w:type="dxa"/>
        <w:jc w:val="left"/>
        <w:tblInd w:w="0" w:type="dxa"/>
        <w:tblLayout w:type="fixed"/>
        <w:tblCellMar>
          <w:top w:w="0" w:type="dxa"/>
          <w:left w:w="0" w:type="dxa"/>
          <w:bottom w:w="0" w:type="dxa"/>
          <w:right w:w="0" w:type="dxa"/>
        </w:tblCellMar>
      </w:tblPr>
      <w:tblGrid>
        <w:gridCol w:w="580"/>
        <w:gridCol w:w="944"/>
        <w:gridCol w:w="1645"/>
        <w:gridCol w:w="75"/>
      </w:tblGrid>
      <w:tr>
        <w:trPr/>
        <w:tc>
          <w:tcPr>
            <w:tcW w:w="3169" w:type="dxa"/>
            <w:gridSpan w:val="3"/>
            <w:tcBorders/>
            <w:vAlign w:val="center"/>
          </w:tcPr>
          <w:p>
            <w:pPr>
              <w:pStyle w:val="TableContents"/>
              <w:bidi w:val="0"/>
              <w:spacing w:before="0" w:after="283"/>
              <w:jc w:val="left"/>
              <w:rPr>
                <w:b/>
                <w:sz w:val="20"/>
              </w:rPr>
            </w:pPr>
            <w:r>
              <w:rPr>
                <w:b/>
                <w:sz w:val="20"/>
              </w:rPr>
              <w:t>ROBINHOOD VENTURES FUND IV</w:t>
            </w:r>
          </w:p>
        </w:tc>
        <w:tc>
          <w:tcPr>
            <w:tcW w:w="75" w:type="dxa"/>
            <w:tcBorders/>
            <w:vAlign w:val="center"/>
          </w:tcPr>
          <w:p>
            <w:pPr>
              <w:pStyle w:val="TableContents"/>
              <w:bidi w:val="0"/>
              <w:spacing w:before="0" w:after="283"/>
              <w:jc w:val="left"/>
              <w:rPr/>
            </w:pPr>
            <w:r>
              <w:rPr/>
              <w:t> </w:t>
            </w:r>
          </w:p>
        </w:tc>
      </w:tr>
      <w:tr>
        <w:trPr/>
        <w:tc>
          <w:tcPr>
            <w:tcW w:w="3169"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sz w:val="20"/>
              </w:rPr>
            </w:pPr>
            <w:r>
              <w:rPr>
                <w:sz w:val="20"/>
              </w:rPr>
              <w:t>By:</w:t>
            </w:r>
          </w:p>
        </w:tc>
        <w:tc>
          <w:tcPr>
            <w:tcW w:w="258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sz w:val="20"/>
              </w:rPr>
            </w:pPr>
            <w:r>
              <w:rPr>
                <w:sz w:val="20"/>
              </w:rPr>
              <w:t>Name:</w:t>
            </w:r>
          </w:p>
        </w:tc>
        <w:tc>
          <w:tcPr>
            <w:tcW w:w="1645"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sz w:val="20"/>
              </w:rPr>
            </w:pPr>
            <w:r>
              <w:rPr>
                <w:sz w:val="20"/>
              </w:rPr>
              <w:t>Title:</w:t>
            </w:r>
          </w:p>
        </w:tc>
        <w:tc>
          <w:tcPr>
            <w:tcW w:w="1645"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228" w:type="dxa"/>
        <w:jc w:val="left"/>
        <w:tblInd w:w="0" w:type="dxa"/>
        <w:tblLayout w:type="fixed"/>
        <w:tblCellMar>
          <w:top w:w="0" w:type="dxa"/>
          <w:left w:w="0" w:type="dxa"/>
          <w:bottom w:w="0" w:type="dxa"/>
          <w:right w:w="0" w:type="dxa"/>
        </w:tblCellMar>
      </w:tblPr>
      <w:tblGrid>
        <w:gridCol w:w="365"/>
        <w:gridCol w:w="593"/>
        <w:gridCol w:w="2195"/>
        <w:gridCol w:w="75"/>
      </w:tblGrid>
      <w:tr>
        <w:trPr/>
        <w:tc>
          <w:tcPr>
            <w:tcW w:w="3153" w:type="dxa"/>
            <w:gridSpan w:val="3"/>
            <w:tcBorders/>
            <w:vAlign w:val="center"/>
          </w:tcPr>
          <w:p>
            <w:pPr>
              <w:pStyle w:val="TableContents"/>
              <w:bidi w:val="0"/>
              <w:spacing w:before="0" w:after="283"/>
              <w:jc w:val="left"/>
              <w:rPr>
                <w:b/>
                <w:sz w:val="20"/>
              </w:rPr>
            </w:pPr>
            <w:r>
              <w:rPr>
                <w:b/>
                <w:sz w:val="20"/>
              </w:rPr>
              <w:t>ROBINHOOD VENTURES DE, LLC</w:t>
            </w:r>
          </w:p>
        </w:tc>
        <w:tc>
          <w:tcPr>
            <w:tcW w:w="75" w:type="dxa"/>
            <w:tcBorders/>
            <w:vAlign w:val="center"/>
          </w:tcPr>
          <w:p>
            <w:pPr>
              <w:pStyle w:val="TableContents"/>
              <w:bidi w:val="0"/>
              <w:spacing w:before="0" w:after="283"/>
              <w:jc w:val="left"/>
              <w:rPr/>
            </w:pPr>
            <w:r>
              <w:rPr/>
              <w:t> </w:t>
            </w:r>
          </w:p>
        </w:tc>
      </w:tr>
      <w:tr>
        <w:trPr/>
        <w:tc>
          <w:tcPr>
            <w:tcW w:w="315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sz w:val="20"/>
              </w:rPr>
            </w:pPr>
            <w:r>
              <w:rPr>
                <w:sz w:val="20"/>
              </w:rPr>
              <w:t>By:</w:t>
            </w:r>
          </w:p>
        </w:tc>
        <w:tc>
          <w:tcPr>
            <w:tcW w:w="278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Sarah Pinto</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sz w:val="20"/>
              </w:rPr>
            </w:pPr>
            <w:r>
              <w:rPr>
                <w:sz w:val="20"/>
              </w:rPr>
              <w:t>Name:</w:t>
            </w:r>
          </w:p>
        </w:tc>
        <w:tc>
          <w:tcPr>
            <w:tcW w:w="2195" w:type="dxa"/>
            <w:tcBorders/>
            <w:vAlign w:val="center"/>
          </w:tcPr>
          <w:p>
            <w:pPr>
              <w:pStyle w:val="TableContents"/>
              <w:bidi w:val="0"/>
              <w:spacing w:before="0" w:after="283"/>
              <w:jc w:val="left"/>
              <w:rPr>
                <w:sz w:val="20"/>
              </w:rPr>
            </w:pPr>
            <w:r>
              <w:rPr>
                <w:sz w:val="20"/>
              </w:rPr>
              <w:t>Sarah Pinto</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sz w:val="20"/>
              </w:rPr>
            </w:pPr>
            <w:r>
              <w:rPr>
                <w:sz w:val="20"/>
              </w:rPr>
              <w:t>Title:</w:t>
            </w:r>
          </w:p>
        </w:tc>
        <w:tc>
          <w:tcPr>
            <w:tcW w:w="2195" w:type="dxa"/>
            <w:tcBorders/>
            <w:vAlign w:val="center"/>
          </w:tcPr>
          <w:p>
            <w:pPr>
              <w:pStyle w:val="TableContents"/>
              <w:bidi w:val="0"/>
              <w:spacing w:before="0" w:after="283"/>
              <w:jc w:val="left"/>
              <w:rPr>
                <w:sz w:val="20"/>
              </w:rPr>
            </w:pPr>
            <w:r>
              <w:rPr>
                <w:sz w:val="20"/>
              </w:rPr>
              <w:t>Chief Investment Officer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tbl>
      <w:tblPr>
        <w:tblW w:w="3979" w:type="dxa"/>
        <w:jc w:val="left"/>
        <w:tblInd w:w="0" w:type="dxa"/>
        <w:tblLayout w:type="fixed"/>
        <w:tblCellMar>
          <w:top w:w="0" w:type="dxa"/>
          <w:left w:w="0" w:type="dxa"/>
          <w:bottom w:w="0" w:type="dxa"/>
          <w:right w:w="0" w:type="dxa"/>
        </w:tblCellMar>
      </w:tblPr>
      <w:tblGrid>
        <w:gridCol w:w="589"/>
        <w:gridCol w:w="958"/>
        <w:gridCol w:w="2357"/>
        <w:gridCol w:w="75"/>
      </w:tblGrid>
      <w:tr>
        <w:trPr/>
        <w:tc>
          <w:tcPr>
            <w:tcW w:w="3904" w:type="dxa"/>
            <w:gridSpan w:val="3"/>
            <w:tcBorders/>
            <w:vAlign w:val="center"/>
          </w:tcPr>
          <w:p>
            <w:pPr>
              <w:pStyle w:val="TableContents"/>
              <w:bidi w:val="0"/>
              <w:spacing w:before="0" w:after="283"/>
              <w:jc w:val="left"/>
              <w:rPr>
                <w:b/>
                <w:sz w:val="20"/>
              </w:rPr>
            </w:pPr>
            <w:r>
              <w:rPr>
                <w:b/>
                <w:sz w:val="20"/>
              </w:rPr>
              <w:t>ROBINHOOD ASSET MANAGEMENT, LLC</w:t>
            </w:r>
          </w:p>
        </w:tc>
        <w:tc>
          <w:tcPr>
            <w:tcW w:w="75" w:type="dxa"/>
            <w:tcBorders/>
            <w:vAlign w:val="center"/>
          </w:tcPr>
          <w:p>
            <w:pPr>
              <w:pStyle w:val="TableContents"/>
              <w:bidi w:val="0"/>
              <w:spacing w:before="0" w:after="283"/>
              <w:jc w:val="left"/>
              <w:rPr/>
            </w:pPr>
            <w:r>
              <w:rPr/>
              <w:t> </w:t>
            </w:r>
          </w:p>
        </w:tc>
      </w:tr>
      <w:tr>
        <w:trPr/>
        <w:tc>
          <w:tcPr>
            <w:tcW w:w="390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sz w:val="20"/>
              </w:rPr>
            </w:pPr>
            <w:r>
              <w:rPr>
                <w:sz w:val="20"/>
              </w:rPr>
              <w:t>By:</w:t>
            </w:r>
          </w:p>
        </w:tc>
        <w:tc>
          <w:tcPr>
            <w:tcW w:w="331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Guild</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sz w:val="20"/>
              </w:rPr>
            </w:pPr>
            <w:r>
              <w:rPr>
                <w:sz w:val="20"/>
              </w:rPr>
              <w:t>Name:</w:t>
            </w:r>
          </w:p>
        </w:tc>
        <w:tc>
          <w:tcPr>
            <w:tcW w:w="2357" w:type="dxa"/>
            <w:tcBorders/>
            <w:vAlign w:val="center"/>
          </w:tcPr>
          <w:p>
            <w:pPr>
              <w:pStyle w:val="TableContents"/>
              <w:bidi w:val="0"/>
              <w:spacing w:before="0" w:after="283"/>
              <w:jc w:val="left"/>
              <w:rPr>
                <w:sz w:val="20"/>
              </w:rPr>
            </w:pPr>
            <w:r>
              <w:rPr>
                <w:sz w:val="20"/>
              </w:rPr>
              <w:t>Stephanie Guild</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sz w:val="20"/>
              </w:rPr>
            </w:pPr>
            <w:r>
              <w:rPr>
                <w:sz w:val="20"/>
              </w:rPr>
              <w:t>Title:</w:t>
            </w:r>
          </w:p>
        </w:tc>
        <w:tc>
          <w:tcPr>
            <w:tcW w:w="2357"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2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9"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c>
          <w:tcPr>
            <w:tcW w:w="2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b/>
                <w:sz w:val="20"/>
              </w:rPr>
            </w:pPr>
            <w:r>
              <w:rPr>
                <w:b/>
                <w:sz w:val="20"/>
              </w:rPr>
              <w:t>ROBINHOOD MARKETS, INC.</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80" w:type="dxa"/>
            <w:tcBorders/>
            <w:vAlign w:val="center"/>
          </w:tcPr>
          <w:p>
            <w:pPr>
              <w:pStyle w:val="TableContents"/>
              <w:bidi w:val="0"/>
              <w:spacing w:before="0" w:after="283"/>
              <w:jc w:val="left"/>
              <w:rPr>
                <w:sz w:val="20"/>
              </w:rPr>
            </w:pPr>
            <w:r>
              <w:rPr>
                <w:sz w:val="20"/>
              </w:rPr>
              <w:t>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b/>
                <w:sz w:val="20"/>
              </w:rPr>
            </w:pPr>
            <w:r>
              <w:rPr>
                <w:b/>
                <w:sz w:val="20"/>
              </w:rPr>
              <w:t>ROBINHOOD EUROPE, UAB</w:t>
            </w:r>
          </w:p>
        </w:tc>
        <w:tc>
          <w:tcPr>
            <w:tcW w:w="75" w:type="dxa"/>
            <w:tcBorders/>
            <w:vAlign w:val="center"/>
          </w:tcPr>
          <w:p>
            <w:pPr>
              <w:pStyle w:val="TableContents"/>
              <w:bidi w:val="0"/>
              <w:spacing w:before="0" w:after="283"/>
              <w:jc w:val="left"/>
              <w:rPr/>
            </w:pPr>
            <w:r>
              <w:rPr/>
              <w:t> </w:t>
            </w:r>
          </w:p>
        </w:tc>
      </w:tr>
      <w:tr>
        <w:trPr/>
        <w:tc>
          <w:tcPr>
            <w:tcW w:w="27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42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80" w:type="dxa"/>
            <w:tcBorders/>
            <w:vAlign w:val="center"/>
          </w:tcPr>
          <w:p>
            <w:pPr>
              <w:pStyle w:val="TableContents"/>
              <w:bidi w:val="0"/>
              <w:spacing w:before="0" w:after="283"/>
              <w:jc w:val="left"/>
              <w:rPr>
                <w:sz w:val="20"/>
              </w:rPr>
            </w:pPr>
            <w:r>
              <w:rPr>
                <w:sz w:val="20"/>
              </w:rPr>
              <w:t>Shiv Verma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919" w:type="dxa"/>
        <w:jc w:val="left"/>
        <w:tblInd w:w="0" w:type="dxa"/>
        <w:tblLayout w:type="fixed"/>
        <w:tblCellMar>
          <w:top w:w="0" w:type="dxa"/>
          <w:left w:w="0" w:type="dxa"/>
          <w:bottom w:w="0" w:type="dxa"/>
          <w:right w:w="0" w:type="dxa"/>
        </w:tblCellMar>
      </w:tblPr>
      <w:tblGrid>
        <w:gridCol w:w="466"/>
        <w:gridCol w:w="759"/>
        <w:gridCol w:w="2619"/>
        <w:gridCol w:w="75"/>
      </w:tblGrid>
      <w:tr>
        <w:trPr/>
        <w:tc>
          <w:tcPr>
            <w:tcW w:w="3844" w:type="dxa"/>
            <w:gridSpan w:val="3"/>
            <w:tcBorders/>
            <w:vAlign w:val="center"/>
          </w:tcPr>
          <w:p>
            <w:pPr>
              <w:pStyle w:val="TableContents"/>
              <w:bidi w:val="0"/>
              <w:spacing w:before="0" w:after="283"/>
              <w:jc w:val="left"/>
              <w:rPr>
                <w:b/>
                <w:sz w:val="20"/>
              </w:rPr>
            </w:pPr>
            <w:r>
              <w:rPr>
                <w:b/>
                <w:sz w:val="20"/>
              </w:rPr>
              <w:t>ROBINHOOD ASSETS (JERSEY) LIMITED</w:t>
            </w:r>
          </w:p>
        </w:tc>
        <w:tc>
          <w:tcPr>
            <w:tcW w:w="75" w:type="dxa"/>
            <w:tcBorders/>
            <w:vAlign w:val="center"/>
          </w:tcPr>
          <w:p>
            <w:pPr>
              <w:pStyle w:val="TableContents"/>
              <w:bidi w:val="0"/>
              <w:spacing w:before="0" w:after="283"/>
              <w:jc w:val="left"/>
              <w:rPr/>
            </w:pPr>
            <w:r>
              <w:rPr/>
              <w:t> </w:t>
            </w:r>
          </w:p>
        </w:tc>
      </w:tr>
      <w:tr>
        <w:trPr/>
        <w:tc>
          <w:tcPr>
            <w:tcW w:w="384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sz w:val="20"/>
              </w:rPr>
            </w:pPr>
            <w:r>
              <w:rPr>
                <w:sz w:val="20"/>
              </w:rPr>
              <w:t>By:</w:t>
            </w:r>
          </w:p>
        </w:tc>
        <w:tc>
          <w:tcPr>
            <w:tcW w:w="337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Shiv Verma</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20"/>
              </w:rPr>
            </w:pPr>
            <w:r>
              <w:rPr>
                <w:sz w:val="20"/>
              </w:rPr>
              <w:t>Name:</w:t>
            </w:r>
          </w:p>
        </w:tc>
        <w:tc>
          <w:tcPr>
            <w:tcW w:w="2619" w:type="dxa"/>
            <w:tcBorders/>
            <w:vAlign w:val="center"/>
          </w:tcPr>
          <w:p>
            <w:pPr>
              <w:pStyle w:val="TableContents"/>
              <w:bidi w:val="0"/>
              <w:spacing w:before="0" w:after="283"/>
              <w:jc w:val="left"/>
              <w:rPr>
                <w:sz w:val="20"/>
              </w:rPr>
            </w:pPr>
            <w:r>
              <w:rPr>
                <w:sz w:val="20"/>
              </w:rPr>
              <w:t>Shiv Verma</w:t>
            </w:r>
          </w:p>
        </w:tc>
        <w:tc>
          <w:tcPr>
            <w:tcW w:w="75" w:type="dxa"/>
            <w:tcBorders/>
            <w:vAlign w:val="center"/>
          </w:tcPr>
          <w:p>
            <w:pPr>
              <w:pStyle w:val="TableContents"/>
              <w:bidi w:val="0"/>
              <w:spacing w:before="0" w:after="283"/>
              <w:jc w:val="left"/>
              <w:rPr/>
            </w:pPr>
            <w:r>
              <w:rPr/>
              <w:t> </w:t>
            </w:r>
          </w:p>
        </w:tc>
      </w:tr>
      <w:tr>
        <w:trPr/>
        <w:tc>
          <w:tcPr>
            <w:tcW w:w="466"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sz w:val="20"/>
              </w:rPr>
            </w:pPr>
            <w:r>
              <w:rPr>
                <w:sz w:val="20"/>
              </w:rPr>
              <w:t>Title:</w:t>
            </w:r>
          </w:p>
        </w:tc>
        <w:tc>
          <w:tcPr>
            <w:tcW w:w="2619"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Board of Trustees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trustees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January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Initial Trustee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II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Initial Trustee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trustees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Initial Trustee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III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Initial Trustee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trustees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June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 of the Initial Trustee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Robinhood Ventures Fund IV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Initial Trustee deems it advisable and in the best interest of the Fund to file with the U.S. Securities and Exchange Commission (the “Commission”)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on behalf of the Fund and in its name to prepare, execute, and cause to be filed with the Commission an Application for an order of Exemption, substantially in the form attached hereto as Exhibit A, and any amendments thereto, pursuant to Section 17(d) of the 1940 Act;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the officers of the Fund be, and each of them hereby is, authorized and directed to take such further action and execute such other documents as such officer or officers shall deem necessary or advisable in order to effectuate the intent of the foregoing resolution; and be it further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that any and all actions previously taken by the Fund or any of its trustees or officers in connection with the actions contemplated by the foregoing resolutions be, and each of them hereby is, ratified, confirmed, approved and adopted in all respects as and for the acts and deeds of the Fund.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June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7155</Words>
  <Characters>38238</Characters>
  <CharactersWithSpaces>45637</CharactersWithSpaces>
  <Paragraphs>859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