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532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5321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Tenev Vladimir</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tcPr>
          <w:p>
            <w:pPr>
              <w:ind w:left="4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5"/>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ROBINHOOD MARKETS, INC.</w:t>
            </w:r>
          </w:p>
        </w:tc>
      </w:tr>
      <w:tr>
        <w:trPr>
          <w:trHeight w:val="255"/>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85 WILLOW ROAD</w:t>
            </w:r>
          </w:p>
        </w:tc>
        <w:tc>
          <w:tcPr>
            <w:tcW w:w="880" w:type="dxa"/>
            <w:vAlign w:val="bottom"/>
          </w:tcPr>
          <w:p>
            <w:pPr>
              <w:spacing w:after="0"/>
              <w:rPr>
                <w:sz w:val="22"/>
                <w:szCs w:val="22"/>
                <w:color w:val="auto"/>
              </w:rPr>
            </w:pPr>
          </w:p>
        </w:tc>
      </w:tr>
      <w:tr>
        <w:trPr>
          <w:trHeight w:val="423"/>
        </w:trPr>
        <w:tc>
          <w:tcPr>
            <w:tcW w:w="1180" w:type="dxa"/>
            <w:vAlign w:val="bottom"/>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1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461"/>
        </w:trPr>
        <w:tc>
          <w:tcPr>
            <w:tcW w:w="1180" w:type="dxa"/>
            <w:vAlign w:val="bottom"/>
          </w:tcPr>
          <w:p>
            <w:pPr>
              <w:ind w:left="4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Robinhood Markets,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HOOD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17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0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32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40" w:type="dxa"/>
            <w:vAlign w:val="bottom"/>
          </w:tcPr>
          <w:p>
            <w:pPr>
              <w:spacing w:after="0"/>
              <w:rPr>
                <w:sz w:val="10"/>
                <w:szCs w:val="10"/>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06/04/2024</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250,000</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20" w:type="dxa"/>
            <w:vAlign w:val="bottom"/>
          </w:tcPr>
          <w:p>
            <w:pPr>
              <w:jc w:val="right"/>
              <w:ind w:right="177"/>
              <w:spacing w:after="0"/>
              <w:rPr>
                <w:sz w:val="20"/>
                <w:szCs w:val="20"/>
                <w:color w:val="auto"/>
              </w:rPr>
            </w:pPr>
            <w:r>
              <w:rPr>
                <w:rFonts w:ascii="Times New Roman" w:cs="Times New Roman" w:eastAsia="Times New Roman" w:hAnsi="Times New Roman"/>
                <w:sz w:val="11"/>
                <w:szCs w:val="11"/>
                <w:color w:val="008000"/>
              </w:rPr>
              <w:t>(1)</w:t>
            </w:r>
          </w:p>
        </w:tc>
        <w:tc>
          <w:tcPr>
            <w:tcW w:w="1300" w:type="dxa"/>
            <w:vAlign w:val="bottom"/>
            <w:gridSpan w:val="3"/>
          </w:tcPr>
          <w:p>
            <w:pPr>
              <w:jc w:val="center"/>
              <w:ind w:left="55"/>
              <w:spacing w:after="0"/>
              <w:rPr>
                <w:sz w:val="20"/>
                <w:szCs w:val="20"/>
                <w:color w:val="auto"/>
              </w:rPr>
            </w:pPr>
            <w:r>
              <w:rPr>
                <w:rFonts w:ascii="Times New Roman" w:cs="Times New Roman" w:eastAsia="Times New Roman" w:hAnsi="Times New Roman"/>
                <w:sz w:val="17"/>
                <w:szCs w:val="17"/>
                <w:color w:val="0000FF"/>
                <w:w w:val="97"/>
              </w:rPr>
              <w:t>250,000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06/04/2024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250,000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21.0331</w:t>
            </w:r>
            <w:r>
              <w:rPr>
                <w:rFonts w:ascii="Times New Roman" w:cs="Times New Roman" w:eastAsia="Times New Roman" w:hAnsi="Times New Roman"/>
                <w:sz w:val="21"/>
                <w:szCs w:val="21"/>
                <w:color w:val="008000"/>
                <w:w w:val="96"/>
                <w:vertAlign w:val="superscript"/>
              </w:rPr>
              <w:t>(3)</w:t>
            </w: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480"/>
              <w:spacing w:after="0"/>
              <w:rPr>
                <w:sz w:val="20"/>
                <w:szCs w:val="20"/>
                <w:color w:val="auto"/>
              </w:rPr>
            </w:pPr>
            <w:r>
              <w:rPr>
                <w:rFonts w:ascii="Times New Roman" w:cs="Times New Roman" w:eastAsia="Times New Roman" w:hAnsi="Times New Roman"/>
                <w:sz w:val="17"/>
                <w:szCs w:val="17"/>
                <w:color w:val="0000FF"/>
                <w:w w:val="93"/>
              </w:rPr>
              <w:t>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00" w:type="dxa"/>
            <w:vAlign w:val="bottom"/>
            <w:gridSpan w:val="3"/>
          </w:tcPr>
          <w:p>
            <w:pPr>
              <w:jc w:val="center"/>
              <w:ind w:left="55"/>
              <w:spacing w:after="0"/>
              <w:rPr>
                <w:sz w:val="20"/>
                <w:szCs w:val="20"/>
                <w:color w:val="auto"/>
              </w:rPr>
            </w:pPr>
            <w:r>
              <w:rPr>
                <w:rFonts w:ascii="Times New Roman" w:cs="Times New Roman" w:eastAsia="Times New Roman" w:hAnsi="Times New Roman"/>
                <w:sz w:val="17"/>
                <w:szCs w:val="17"/>
                <w:color w:val="0000FF"/>
                <w:w w:val="99"/>
              </w:rPr>
              <w:t>6,907</w:t>
            </w:r>
          </w:p>
        </w:tc>
        <w:tc>
          <w:tcPr>
            <w:tcW w:w="3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40" w:type="dxa"/>
            <w:vAlign w:val="bottom"/>
            <w:tcBorders>
              <w:bottom w:val="single" w:sz="8" w:color="2C2C2C"/>
            </w:tcBorders>
            <w:gridSpan w:val="9"/>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0"/>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960" w:type="dxa"/>
            <w:vAlign w:val="bottom"/>
            <w:gridSpan w:val="2"/>
          </w:tcPr>
          <w:p>
            <w:pPr>
              <w:ind w:left="10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250,000</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0" w:lineRule="exact"/>
              <w:rPr>
                <w:sz w:val="20"/>
                <w:szCs w:val="20"/>
                <w:color w:val="auto"/>
              </w:rPr>
            </w:pPr>
            <w:r>
              <w:rPr>
                <w:rFonts w:ascii="Times New Roman" w:cs="Times New Roman" w:eastAsia="Times New Roman" w:hAnsi="Times New Roman"/>
                <w:sz w:val="13"/>
                <w:szCs w:val="13"/>
                <w:color w:val="0000FF"/>
              </w:rPr>
              <w:t>06/04/2024</w:t>
            </w:r>
          </w:p>
        </w:tc>
        <w:tc>
          <w:tcPr>
            <w:tcW w:w="1080" w:type="dxa"/>
            <w:vAlign w:val="bottom"/>
          </w:tcPr>
          <w:p>
            <w:pPr>
              <w:spacing w:after="0"/>
              <w:rPr>
                <w:sz w:val="12"/>
                <w:szCs w:val="12"/>
                <w:color w:val="auto"/>
              </w:rPr>
            </w:pPr>
          </w:p>
        </w:tc>
        <w:tc>
          <w:tcPr>
            <w:tcW w:w="5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12"/>
                <w:szCs w:val="12"/>
                <w:color w:val="auto"/>
              </w:rPr>
            </w:pPr>
          </w:p>
        </w:tc>
        <w:tc>
          <w:tcPr>
            <w:tcW w:w="800" w:type="dxa"/>
            <w:vAlign w:val="bottom"/>
          </w:tcPr>
          <w:p>
            <w:pPr>
              <w:ind w:left="360"/>
              <w:spacing w:after="0" w:line="140" w:lineRule="exact"/>
              <w:rPr>
                <w:sz w:val="20"/>
                <w:szCs w:val="20"/>
                <w:color w:val="auto"/>
              </w:rPr>
            </w:pPr>
            <w:r>
              <w:rPr>
                <w:rFonts w:ascii="Times New Roman" w:cs="Times New Roman" w:eastAsia="Times New Roman" w:hAnsi="Times New Roman"/>
                <w:sz w:val="13"/>
                <w:szCs w:val="13"/>
                <w:color w:val="0000FF"/>
                <w:w w:val="99"/>
              </w:rPr>
              <w:t>250,000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20" w:type="dxa"/>
            <w:vAlign w:val="bottom"/>
            <w:vMerge w:val="continue"/>
          </w:tcPr>
          <w:p>
            <w:pPr>
              <w:spacing w:after="0"/>
              <w:rPr>
                <w:sz w:val="12"/>
                <w:szCs w:val="12"/>
                <w:color w:val="auto"/>
              </w:rPr>
            </w:pPr>
          </w:p>
        </w:tc>
        <w:tc>
          <w:tcPr>
            <w:tcW w:w="6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6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49,444,720</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part of the transaction effected on June 4, 2024 pursuant to the Rule 10b5-1 trading plan adopted by the Reporting Person on September 11, 2023 ("Tenev 10b5-1 plan"), the Reporting Person sold 250,000 shares of his Class B Common Stock, resulting in an automatic conversion of the shares into Class A Common Stock upon execution of the sale.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the Tenev 10b5-1 plan.</w:t>
      </w:r>
    </w:p>
    <w:p>
      <w:pPr>
        <w:spacing w:after="0" w:line="41"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$20.68 to $21.61. The weighted-average price is reported above. The Reporting Person hereby undertakes to provide to the SEC staff, the Issuer, or any security holder of the Issuer, upon request, full information regarding the number of shares and prices at which the trades were made.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Brandon Webb,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06/06/2024</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 for Vladimir Tenev</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006" TargetMode="External"/><Relationship Id="rId13"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2024-06-06T17:27:03Z</dcterms:created>
  <dcterms:modified xsi:type="dcterms:W3CDTF">2024-06-06T17:27:03Z</dcterms:modified>
</cp:coreProperties>
</file>