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8677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867791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77"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Bhatt Baiju</w:t>
              </w:r>
            </w:hyperlink>
          </w:p>
        </w:tc>
        <w:tc>
          <w:tcPr>
            <w:tcW w:w="1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Robinhood Markets,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HOOD</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6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ROBINHOOD MARKETS, INC.</w:t>
            </w: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85 WILLOW ROAD</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77"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94025</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7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8"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2"/>
          </w:tcPr>
          <w:p>
            <w:pPr>
              <w:jc w:val="center"/>
              <w:ind w:left="406"/>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jc w:val="center"/>
              <w:ind w:left="406"/>
              <w:spacing w:after="0"/>
              <w:rPr>
                <w:sz w:val="20"/>
                <w:szCs w:val="20"/>
                <w:color w:val="auto"/>
              </w:rPr>
            </w:pPr>
            <w:r>
              <w:rPr>
                <w:rFonts w:ascii="Times New Roman" w:cs="Times New Roman" w:eastAsia="Times New Roman" w:hAnsi="Times New Roman"/>
                <w:sz w:val="17"/>
                <w:szCs w:val="17"/>
                <w:color w:val="0000FF"/>
                <w:w w:val="98"/>
              </w:rPr>
              <w:t>06/11/2026</w:t>
            </w: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center"/>
              <w:ind w:right="325"/>
              <w:spacing w:after="0"/>
              <w:rPr>
                <w:sz w:val="20"/>
                <w:szCs w:val="20"/>
                <w:color w:val="auto"/>
              </w:rPr>
            </w:pPr>
            <w:r>
              <w:rPr>
                <w:rFonts w:ascii="Times New Roman" w:cs="Times New Roman" w:eastAsia="Times New Roman" w:hAnsi="Times New Roman"/>
                <w:sz w:val="13"/>
                <w:szCs w:val="13"/>
                <w:color w:val="0000FF"/>
                <w:w w:val="91"/>
              </w:rPr>
              <w:t>C</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57,898</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tcPr>
          <w:p>
            <w:pPr>
              <w:jc w:val="center"/>
              <w:ind w:left="142"/>
              <w:spacing w:after="0"/>
              <w:rPr>
                <w:sz w:val="20"/>
                <w:szCs w:val="20"/>
                <w:color w:val="auto"/>
              </w:rPr>
            </w:pPr>
            <w:r>
              <w:rPr>
                <w:rFonts w:ascii="Times New Roman" w:cs="Times New Roman" w:eastAsia="Times New Roman" w:hAnsi="Times New Roman"/>
                <w:sz w:val="11"/>
                <w:szCs w:val="11"/>
                <w:color w:val="008000"/>
                <w:w w:val="93"/>
              </w:rPr>
              <w:t>(1)</w:t>
            </w:r>
          </w:p>
        </w:tc>
        <w:tc>
          <w:tcPr>
            <w:tcW w:w="20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57,898</w:t>
            </w:r>
          </w:p>
        </w:tc>
        <w:tc>
          <w:tcPr>
            <w:tcW w:w="280" w:type="dxa"/>
            <w:vAlign w:val="bottom"/>
          </w:tcPr>
          <w:p>
            <w:pPr>
              <w:spacing w:after="0"/>
              <w:rPr>
                <w:sz w:val="17"/>
                <w:szCs w:val="17"/>
                <w:color w:val="auto"/>
              </w:rPr>
            </w:pPr>
          </w:p>
        </w:tc>
        <w:tc>
          <w:tcPr>
            <w:tcW w:w="660" w:type="dxa"/>
            <w:vAlign w:val="bottom"/>
          </w:tcPr>
          <w:p>
            <w:pPr>
              <w:jc w:val="center"/>
              <w:ind w:right="28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86.5384</w:t>
            </w:r>
            <w:r>
              <w:rPr>
                <w:rFonts w:ascii="Times New Roman" w:cs="Times New Roman" w:eastAsia="Times New Roman" w:hAnsi="Times New Roman"/>
                <w:sz w:val="21"/>
                <w:szCs w:val="21"/>
                <w:color w:val="008000"/>
                <w:w w:val="93"/>
                <w:vertAlign w:val="superscript"/>
              </w:rPr>
              <w:t>(3)</w:t>
            </w: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jc w:val="center"/>
              <w:ind w:left="406"/>
              <w:spacing w:after="0"/>
              <w:rPr>
                <w:sz w:val="20"/>
                <w:szCs w:val="20"/>
                <w:color w:val="auto"/>
              </w:rPr>
            </w:pPr>
            <w:r>
              <w:rPr>
                <w:rFonts w:ascii="Times New Roman" w:cs="Times New Roman" w:eastAsia="Times New Roman" w:hAnsi="Times New Roman"/>
                <w:sz w:val="17"/>
                <w:szCs w:val="17"/>
                <w:color w:val="0000FF"/>
                <w:w w:val="98"/>
              </w:rPr>
              <w:t>06/11/2026</w:t>
            </w: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center"/>
              <w:ind w:right="325"/>
              <w:spacing w:after="0" w:line="207" w:lineRule="exact"/>
              <w:rPr>
                <w:sz w:val="20"/>
                <w:szCs w:val="20"/>
                <w:color w:val="auto"/>
              </w:rPr>
            </w:pPr>
            <w:r>
              <w:rPr>
                <w:rFonts w:ascii="Times New Roman" w:cs="Times New Roman" w:eastAsia="Times New Roman" w:hAnsi="Times New Roman"/>
                <w:sz w:val="23"/>
                <w:szCs w:val="23"/>
                <w:color w:val="0000FF"/>
                <w:w w:val="98"/>
                <w:vertAlign w:val="subscript"/>
              </w:rPr>
              <w:t>S</w:t>
            </w:r>
            <w:r>
              <w:rPr>
                <w:rFonts w:ascii="Times New Roman" w:cs="Times New Roman" w:eastAsia="Times New Roman" w:hAnsi="Times New Roman"/>
                <w:sz w:val="10"/>
                <w:szCs w:val="10"/>
                <w:color w:val="008000"/>
                <w:w w:val="98"/>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80" w:type="dxa"/>
            <w:vAlign w:val="bottom"/>
            <w:gridSpan w:val="2"/>
            <w:vMerge w:val="continue"/>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52,898</w:t>
            </w:r>
          </w:p>
        </w:tc>
        <w:tc>
          <w:tcPr>
            <w:tcW w:w="280" w:type="dxa"/>
            <w:vAlign w:val="bottom"/>
          </w:tcPr>
          <w:p>
            <w:pPr>
              <w:spacing w:after="0"/>
              <w:rPr>
                <w:sz w:val="17"/>
                <w:szCs w:val="17"/>
                <w:color w:val="auto"/>
              </w:rPr>
            </w:pPr>
          </w:p>
        </w:tc>
        <w:tc>
          <w:tcPr>
            <w:tcW w:w="660" w:type="dxa"/>
            <w:vAlign w:val="bottom"/>
          </w:tcPr>
          <w:p>
            <w:pPr>
              <w:jc w:val="center"/>
              <w:ind w:right="28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87.3823</w:t>
            </w:r>
            <w:r>
              <w:rPr>
                <w:rFonts w:ascii="Times New Roman" w:cs="Times New Roman" w:eastAsia="Times New Roman" w:hAnsi="Times New Roman"/>
                <w:sz w:val="21"/>
                <w:szCs w:val="21"/>
                <w:color w:val="008000"/>
                <w:w w:val="93"/>
                <w:vertAlign w:val="superscript"/>
              </w:rPr>
              <w:t>(4)</w:t>
            </w: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jc w:val="center"/>
              <w:ind w:left="406"/>
              <w:spacing w:after="0"/>
              <w:rPr>
                <w:sz w:val="20"/>
                <w:szCs w:val="20"/>
                <w:color w:val="auto"/>
              </w:rPr>
            </w:pPr>
            <w:r>
              <w:rPr>
                <w:rFonts w:ascii="Times New Roman" w:cs="Times New Roman" w:eastAsia="Times New Roman" w:hAnsi="Times New Roman"/>
                <w:sz w:val="17"/>
                <w:szCs w:val="17"/>
                <w:color w:val="0000FF"/>
                <w:w w:val="98"/>
              </w:rPr>
              <w:t>06/11/2026</w:t>
            </w: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center"/>
              <w:ind w:right="325"/>
              <w:spacing w:after="0" w:line="207" w:lineRule="exact"/>
              <w:rPr>
                <w:sz w:val="20"/>
                <w:szCs w:val="20"/>
                <w:color w:val="auto"/>
              </w:rPr>
            </w:pPr>
            <w:r>
              <w:rPr>
                <w:rFonts w:ascii="Times New Roman" w:cs="Times New Roman" w:eastAsia="Times New Roman" w:hAnsi="Times New Roman"/>
                <w:sz w:val="23"/>
                <w:szCs w:val="23"/>
                <w:color w:val="0000FF"/>
                <w:w w:val="98"/>
                <w:vertAlign w:val="subscript"/>
              </w:rPr>
              <w:t>S</w:t>
            </w:r>
            <w:r>
              <w:rPr>
                <w:rFonts w:ascii="Times New Roman" w:cs="Times New Roman" w:eastAsia="Times New Roman" w:hAnsi="Times New Roman"/>
                <w:sz w:val="10"/>
                <w:szCs w:val="10"/>
                <w:color w:val="008000"/>
                <w:w w:val="98"/>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12,280</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80" w:type="dxa"/>
            <w:vAlign w:val="bottom"/>
            <w:gridSpan w:val="2"/>
            <w:vMerge w:val="continue"/>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40,618</w:t>
            </w:r>
          </w:p>
        </w:tc>
        <w:tc>
          <w:tcPr>
            <w:tcW w:w="280" w:type="dxa"/>
            <w:vAlign w:val="bottom"/>
          </w:tcPr>
          <w:p>
            <w:pPr>
              <w:spacing w:after="0"/>
              <w:rPr>
                <w:sz w:val="17"/>
                <w:szCs w:val="17"/>
                <w:color w:val="auto"/>
              </w:rPr>
            </w:pPr>
          </w:p>
        </w:tc>
        <w:tc>
          <w:tcPr>
            <w:tcW w:w="660" w:type="dxa"/>
            <w:vAlign w:val="bottom"/>
          </w:tcPr>
          <w:p>
            <w:pPr>
              <w:jc w:val="center"/>
              <w:ind w:right="28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88.4139</w:t>
            </w:r>
            <w:r>
              <w:rPr>
                <w:rFonts w:ascii="Times New Roman" w:cs="Times New Roman" w:eastAsia="Times New Roman" w:hAnsi="Times New Roman"/>
                <w:sz w:val="21"/>
                <w:szCs w:val="21"/>
                <w:color w:val="008000"/>
                <w:w w:val="93"/>
                <w:vertAlign w:val="superscript"/>
              </w:rPr>
              <w:t>(5)</w:t>
            </w: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jc w:val="center"/>
              <w:ind w:left="406"/>
              <w:spacing w:after="0"/>
              <w:rPr>
                <w:sz w:val="20"/>
                <w:szCs w:val="20"/>
                <w:color w:val="auto"/>
              </w:rPr>
            </w:pPr>
            <w:r>
              <w:rPr>
                <w:rFonts w:ascii="Times New Roman" w:cs="Times New Roman" w:eastAsia="Times New Roman" w:hAnsi="Times New Roman"/>
                <w:sz w:val="17"/>
                <w:szCs w:val="17"/>
                <w:color w:val="0000FF"/>
                <w:w w:val="98"/>
              </w:rPr>
              <w:t>06/11/2026</w:t>
            </w: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center"/>
              <w:ind w:right="325"/>
              <w:spacing w:after="0" w:line="207" w:lineRule="exact"/>
              <w:rPr>
                <w:sz w:val="20"/>
                <w:szCs w:val="20"/>
                <w:color w:val="auto"/>
              </w:rPr>
            </w:pPr>
            <w:r>
              <w:rPr>
                <w:rFonts w:ascii="Times New Roman" w:cs="Times New Roman" w:eastAsia="Times New Roman" w:hAnsi="Times New Roman"/>
                <w:sz w:val="23"/>
                <w:szCs w:val="23"/>
                <w:color w:val="0000FF"/>
                <w:w w:val="98"/>
                <w:vertAlign w:val="subscript"/>
              </w:rPr>
              <w:t>S</w:t>
            </w:r>
            <w:r>
              <w:rPr>
                <w:rFonts w:ascii="Times New Roman" w:cs="Times New Roman" w:eastAsia="Times New Roman" w:hAnsi="Times New Roman"/>
                <w:sz w:val="10"/>
                <w:szCs w:val="10"/>
                <w:color w:val="008000"/>
                <w:w w:val="98"/>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8,013</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80" w:type="dxa"/>
            <w:vAlign w:val="bottom"/>
            <w:gridSpan w:val="2"/>
            <w:vMerge w:val="continue"/>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32,605</w:t>
            </w:r>
          </w:p>
        </w:tc>
        <w:tc>
          <w:tcPr>
            <w:tcW w:w="280" w:type="dxa"/>
            <w:vAlign w:val="bottom"/>
          </w:tcPr>
          <w:p>
            <w:pPr>
              <w:spacing w:after="0"/>
              <w:rPr>
                <w:sz w:val="17"/>
                <w:szCs w:val="17"/>
                <w:color w:val="auto"/>
              </w:rPr>
            </w:pPr>
          </w:p>
        </w:tc>
        <w:tc>
          <w:tcPr>
            <w:tcW w:w="660" w:type="dxa"/>
            <w:vAlign w:val="bottom"/>
          </w:tcPr>
          <w:p>
            <w:pPr>
              <w:jc w:val="center"/>
              <w:ind w:right="28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89.5273</w:t>
            </w:r>
            <w:r>
              <w:rPr>
                <w:rFonts w:ascii="Times New Roman" w:cs="Times New Roman" w:eastAsia="Times New Roman" w:hAnsi="Times New Roman"/>
                <w:sz w:val="21"/>
                <w:szCs w:val="21"/>
                <w:color w:val="008000"/>
                <w:w w:val="93"/>
                <w:vertAlign w:val="superscript"/>
              </w:rPr>
              <w:t>(6)</w:t>
            </w: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jc w:val="center"/>
              <w:ind w:left="406"/>
              <w:spacing w:after="0"/>
              <w:rPr>
                <w:sz w:val="20"/>
                <w:szCs w:val="20"/>
                <w:color w:val="auto"/>
              </w:rPr>
            </w:pPr>
            <w:r>
              <w:rPr>
                <w:rFonts w:ascii="Times New Roman" w:cs="Times New Roman" w:eastAsia="Times New Roman" w:hAnsi="Times New Roman"/>
                <w:sz w:val="17"/>
                <w:szCs w:val="17"/>
                <w:color w:val="0000FF"/>
                <w:w w:val="98"/>
              </w:rPr>
              <w:t>06/11/2026</w:t>
            </w: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center"/>
              <w:ind w:right="325"/>
              <w:spacing w:after="0" w:line="207" w:lineRule="exact"/>
              <w:rPr>
                <w:sz w:val="20"/>
                <w:szCs w:val="20"/>
                <w:color w:val="auto"/>
              </w:rPr>
            </w:pPr>
            <w:r>
              <w:rPr>
                <w:rFonts w:ascii="Times New Roman" w:cs="Times New Roman" w:eastAsia="Times New Roman" w:hAnsi="Times New Roman"/>
                <w:sz w:val="23"/>
                <w:szCs w:val="23"/>
                <w:color w:val="0000FF"/>
                <w:w w:val="98"/>
                <w:vertAlign w:val="subscript"/>
              </w:rPr>
              <w:t>S</w:t>
            </w:r>
            <w:r>
              <w:rPr>
                <w:rFonts w:ascii="Times New Roman" w:cs="Times New Roman" w:eastAsia="Times New Roman" w:hAnsi="Times New Roman"/>
                <w:sz w:val="10"/>
                <w:szCs w:val="10"/>
                <w:color w:val="008000"/>
                <w:w w:val="98"/>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9,951</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80" w:type="dxa"/>
            <w:vAlign w:val="bottom"/>
            <w:gridSpan w:val="2"/>
            <w:vMerge w:val="continue"/>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22,654</w:t>
            </w:r>
          </w:p>
        </w:tc>
        <w:tc>
          <w:tcPr>
            <w:tcW w:w="280" w:type="dxa"/>
            <w:vAlign w:val="bottom"/>
          </w:tcPr>
          <w:p>
            <w:pPr>
              <w:spacing w:after="0"/>
              <w:rPr>
                <w:sz w:val="17"/>
                <w:szCs w:val="17"/>
                <w:color w:val="auto"/>
              </w:rPr>
            </w:pPr>
          </w:p>
        </w:tc>
        <w:tc>
          <w:tcPr>
            <w:tcW w:w="660" w:type="dxa"/>
            <w:vAlign w:val="bottom"/>
          </w:tcPr>
          <w:p>
            <w:pPr>
              <w:jc w:val="center"/>
              <w:ind w:right="28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90.4176</w:t>
            </w:r>
            <w:r>
              <w:rPr>
                <w:rFonts w:ascii="Times New Roman" w:cs="Times New Roman" w:eastAsia="Times New Roman" w:hAnsi="Times New Roman"/>
                <w:sz w:val="21"/>
                <w:szCs w:val="21"/>
                <w:color w:val="008000"/>
                <w:w w:val="93"/>
                <w:vertAlign w:val="superscript"/>
              </w:rPr>
              <w:t>(7)</w:t>
            </w: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jc w:val="center"/>
              <w:ind w:left="406"/>
              <w:spacing w:after="0"/>
              <w:rPr>
                <w:sz w:val="20"/>
                <w:szCs w:val="20"/>
                <w:color w:val="auto"/>
              </w:rPr>
            </w:pPr>
            <w:r>
              <w:rPr>
                <w:rFonts w:ascii="Times New Roman" w:cs="Times New Roman" w:eastAsia="Times New Roman" w:hAnsi="Times New Roman"/>
                <w:sz w:val="17"/>
                <w:szCs w:val="17"/>
                <w:color w:val="0000FF"/>
                <w:w w:val="98"/>
              </w:rPr>
              <w:t>06/11/2026</w:t>
            </w: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center"/>
              <w:ind w:right="325"/>
              <w:spacing w:after="0" w:line="207" w:lineRule="exact"/>
              <w:rPr>
                <w:sz w:val="20"/>
                <w:szCs w:val="20"/>
                <w:color w:val="auto"/>
              </w:rPr>
            </w:pPr>
            <w:r>
              <w:rPr>
                <w:rFonts w:ascii="Times New Roman" w:cs="Times New Roman" w:eastAsia="Times New Roman" w:hAnsi="Times New Roman"/>
                <w:sz w:val="23"/>
                <w:szCs w:val="23"/>
                <w:color w:val="0000FF"/>
                <w:w w:val="98"/>
                <w:vertAlign w:val="subscript"/>
              </w:rPr>
              <w:t>S</w:t>
            </w:r>
            <w:r>
              <w:rPr>
                <w:rFonts w:ascii="Times New Roman" w:cs="Times New Roman" w:eastAsia="Times New Roman" w:hAnsi="Times New Roman"/>
                <w:sz w:val="10"/>
                <w:szCs w:val="10"/>
                <w:color w:val="008000"/>
                <w:w w:val="98"/>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3,400</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80" w:type="dxa"/>
            <w:vAlign w:val="bottom"/>
            <w:gridSpan w:val="2"/>
            <w:vMerge w:val="continue"/>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19,254</w:t>
            </w:r>
          </w:p>
        </w:tc>
        <w:tc>
          <w:tcPr>
            <w:tcW w:w="280" w:type="dxa"/>
            <w:vAlign w:val="bottom"/>
          </w:tcPr>
          <w:p>
            <w:pPr>
              <w:spacing w:after="0"/>
              <w:rPr>
                <w:sz w:val="17"/>
                <w:szCs w:val="17"/>
                <w:color w:val="auto"/>
              </w:rPr>
            </w:pPr>
          </w:p>
        </w:tc>
        <w:tc>
          <w:tcPr>
            <w:tcW w:w="660" w:type="dxa"/>
            <w:vAlign w:val="bottom"/>
          </w:tcPr>
          <w:p>
            <w:pPr>
              <w:jc w:val="center"/>
              <w:ind w:right="28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91.5854</w:t>
            </w:r>
            <w:r>
              <w:rPr>
                <w:rFonts w:ascii="Times New Roman" w:cs="Times New Roman" w:eastAsia="Times New Roman" w:hAnsi="Times New Roman"/>
                <w:sz w:val="21"/>
                <w:szCs w:val="21"/>
                <w:color w:val="008000"/>
                <w:w w:val="93"/>
                <w:vertAlign w:val="superscript"/>
              </w:rPr>
              <w:t>(8)</w:t>
            </w: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jc w:val="center"/>
              <w:ind w:left="406"/>
              <w:spacing w:after="0"/>
              <w:rPr>
                <w:sz w:val="20"/>
                <w:szCs w:val="20"/>
                <w:color w:val="auto"/>
              </w:rPr>
            </w:pPr>
            <w:r>
              <w:rPr>
                <w:rFonts w:ascii="Times New Roman" w:cs="Times New Roman" w:eastAsia="Times New Roman" w:hAnsi="Times New Roman"/>
                <w:sz w:val="17"/>
                <w:szCs w:val="17"/>
                <w:color w:val="0000FF"/>
                <w:w w:val="98"/>
              </w:rPr>
              <w:t>06/11/2026</w:t>
            </w: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center"/>
              <w:ind w:right="325"/>
              <w:spacing w:after="0" w:line="207" w:lineRule="exact"/>
              <w:rPr>
                <w:sz w:val="20"/>
                <w:szCs w:val="20"/>
                <w:color w:val="auto"/>
              </w:rPr>
            </w:pPr>
            <w:r>
              <w:rPr>
                <w:rFonts w:ascii="Times New Roman" w:cs="Times New Roman" w:eastAsia="Times New Roman" w:hAnsi="Times New Roman"/>
                <w:sz w:val="23"/>
                <w:szCs w:val="23"/>
                <w:color w:val="0000FF"/>
                <w:w w:val="98"/>
                <w:vertAlign w:val="subscript"/>
              </w:rPr>
              <w:t>S</w:t>
            </w:r>
            <w:r>
              <w:rPr>
                <w:rFonts w:ascii="Times New Roman" w:cs="Times New Roman" w:eastAsia="Times New Roman" w:hAnsi="Times New Roman"/>
                <w:sz w:val="10"/>
                <w:szCs w:val="10"/>
                <w:color w:val="008000"/>
                <w:w w:val="98"/>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6,448</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80" w:type="dxa"/>
            <w:vAlign w:val="bottom"/>
            <w:gridSpan w:val="2"/>
            <w:vMerge w:val="continue"/>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12,806</w:t>
            </w:r>
          </w:p>
        </w:tc>
        <w:tc>
          <w:tcPr>
            <w:tcW w:w="280" w:type="dxa"/>
            <w:vAlign w:val="bottom"/>
          </w:tcPr>
          <w:p>
            <w:pPr>
              <w:spacing w:after="0"/>
              <w:rPr>
                <w:sz w:val="17"/>
                <w:szCs w:val="17"/>
                <w:color w:val="auto"/>
              </w:rPr>
            </w:pPr>
          </w:p>
        </w:tc>
        <w:tc>
          <w:tcPr>
            <w:tcW w:w="660" w:type="dxa"/>
            <w:vAlign w:val="bottom"/>
          </w:tcPr>
          <w:p>
            <w:pPr>
              <w:jc w:val="center"/>
              <w:ind w:right="28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92.5225</w:t>
            </w:r>
            <w:r>
              <w:rPr>
                <w:rFonts w:ascii="Times New Roman" w:cs="Times New Roman" w:eastAsia="Times New Roman" w:hAnsi="Times New Roman"/>
                <w:sz w:val="21"/>
                <w:szCs w:val="21"/>
                <w:color w:val="008000"/>
                <w:w w:val="93"/>
                <w:vertAlign w:val="superscript"/>
              </w:rPr>
              <w:t>(9)</w:t>
            </w: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jc w:val="center"/>
              <w:ind w:left="406"/>
              <w:spacing w:after="0"/>
              <w:rPr>
                <w:sz w:val="20"/>
                <w:szCs w:val="20"/>
                <w:color w:val="auto"/>
              </w:rPr>
            </w:pPr>
            <w:r>
              <w:rPr>
                <w:rFonts w:ascii="Times New Roman" w:cs="Times New Roman" w:eastAsia="Times New Roman" w:hAnsi="Times New Roman"/>
                <w:sz w:val="17"/>
                <w:szCs w:val="17"/>
                <w:color w:val="0000FF"/>
                <w:w w:val="98"/>
              </w:rPr>
              <w:t>06/11/2026</w:t>
            </w: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center"/>
              <w:ind w:right="325"/>
              <w:spacing w:after="0" w:line="207" w:lineRule="exact"/>
              <w:rPr>
                <w:sz w:val="20"/>
                <w:szCs w:val="20"/>
                <w:color w:val="auto"/>
              </w:rPr>
            </w:pPr>
            <w:r>
              <w:rPr>
                <w:rFonts w:ascii="Times New Roman" w:cs="Times New Roman" w:eastAsia="Times New Roman" w:hAnsi="Times New Roman"/>
                <w:sz w:val="23"/>
                <w:szCs w:val="23"/>
                <w:color w:val="0000FF"/>
                <w:w w:val="98"/>
                <w:vertAlign w:val="subscript"/>
              </w:rPr>
              <w:t>S</w:t>
            </w:r>
            <w:r>
              <w:rPr>
                <w:rFonts w:ascii="Times New Roman" w:cs="Times New Roman" w:eastAsia="Times New Roman" w:hAnsi="Times New Roman"/>
                <w:sz w:val="10"/>
                <w:szCs w:val="10"/>
                <w:color w:val="008000"/>
                <w:w w:val="98"/>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10,392</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80" w:type="dxa"/>
            <w:vAlign w:val="bottom"/>
            <w:gridSpan w:val="2"/>
            <w:vMerge w:val="continue"/>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2,414</w:t>
            </w:r>
          </w:p>
        </w:tc>
        <w:tc>
          <w:tcPr>
            <w:tcW w:w="280" w:type="dxa"/>
            <w:vAlign w:val="bottom"/>
          </w:tcPr>
          <w:p>
            <w:pPr>
              <w:spacing w:after="0"/>
              <w:rPr>
                <w:sz w:val="17"/>
                <w:szCs w:val="17"/>
                <w:color w:val="auto"/>
              </w:rPr>
            </w:pPr>
          </w:p>
        </w:tc>
        <w:tc>
          <w:tcPr>
            <w:tcW w:w="660" w:type="dxa"/>
            <w:vAlign w:val="bottom"/>
          </w:tcPr>
          <w:p>
            <w:pPr>
              <w:jc w:val="center"/>
              <w:ind w:right="28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93.2088</w:t>
            </w:r>
            <w:r>
              <w:rPr>
                <w:rFonts w:ascii="Times New Roman" w:cs="Times New Roman" w:eastAsia="Times New Roman" w:hAnsi="Times New Roman"/>
                <w:sz w:val="21"/>
                <w:szCs w:val="21"/>
                <w:color w:val="008000"/>
                <w:w w:val="93"/>
                <w:vertAlign w:val="superscript"/>
              </w:rPr>
              <w:t>(10)</w:t>
            </w: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jc w:val="center"/>
              <w:ind w:left="406"/>
              <w:spacing w:after="0"/>
              <w:rPr>
                <w:sz w:val="20"/>
                <w:szCs w:val="20"/>
                <w:color w:val="auto"/>
              </w:rPr>
            </w:pPr>
            <w:r>
              <w:rPr>
                <w:rFonts w:ascii="Times New Roman" w:cs="Times New Roman" w:eastAsia="Times New Roman" w:hAnsi="Times New Roman"/>
                <w:sz w:val="17"/>
                <w:szCs w:val="17"/>
                <w:color w:val="0000FF"/>
                <w:w w:val="98"/>
              </w:rPr>
              <w:t>06/11/2026</w:t>
            </w: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center"/>
              <w:ind w:right="325"/>
              <w:spacing w:after="0" w:line="207" w:lineRule="exact"/>
              <w:rPr>
                <w:sz w:val="20"/>
                <w:szCs w:val="20"/>
                <w:color w:val="auto"/>
              </w:rPr>
            </w:pPr>
            <w:r>
              <w:rPr>
                <w:rFonts w:ascii="Times New Roman" w:cs="Times New Roman" w:eastAsia="Times New Roman" w:hAnsi="Times New Roman"/>
                <w:sz w:val="23"/>
                <w:szCs w:val="23"/>
                <w:color w:val="0000FF"/>
                <w:w w:val="98"/>
                <w:vertAlign w:val="subscript"/>
              </w:rPr>
              <w:t>S</w:t>
            </w:r>
            <w:r>
              <w:rPr>
                <w:rFonts w:ascii="Times New Roman" w:cs="Times New Roman" w:eastAsia="Times New Roman" w:hAnsi="Times New Roman"/>
                <w:sz w:val="10"/>
                <w:szCs w:val="10"/>
                <w:color w:val="008000"/>
                <w:w w:val="98"/>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2,414</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8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jc w:val="center"/>
              <w:ind w:right="459"/>
              <w:spacing w:after="0"/>
              <w:rPr>
                <w:sz w:val="20"/>
                <w:szCs w:val="20"/>
                <w:color w:val="auto"/>
              </w:rPr>
            </w:pPr>
            <w:r>
              <w:rPr>
                <w:rFonts w:ascii="Times New Roman" w:cs="Times New Roman" w:eastAsia="Times New Roman" w:hAnsi="Times New Roman"/>
                <w:sz w:val="17"/>
                <w:szCs w:val="17"/>
                <w:color w:val="0000FF"/>
                <w:w w:val="93"/>
              </w:rPr>
              <w:t>0</w:t>
            </w:r>
          </w:p>
        </w:tc>
        <w:tc>
          <w:tcPr>
            <w:tcW w:w="280" w:type="dxa"/>
            <w:vAlign w:val="bottom"/>
          </w:tcPr>
          <w:p>
            <w:pPr>
              <w:spacing w:after="0"/>
              <w:rPr>
                <w:sz w:val="17"/>
                <w:szCs w:val="17"/>
                <w:color w:val="auto"/>
              </w:rPr>
            </w:pPr>
          </w:p>
        </w:tc>
        <w:tc>
          <w:tcPr>
            <w:tcW w:w="660" w:type="dxa"/>
            <w:vAlign w:val="bottom"/>
          </w:tcPr>
          <w:p>
            <w:pPr>
              <w:jc w:val="center"/>
              <w:ind w:right="28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3,579</w:t>
            </w:r>
          </w:p>
        </w:tc>
        <w:tc>
          <w:tcPr>
            <w:tcW w:w="280" w:type="dxa"/>
            <w:vAlign w:val="bottom"/>
          </w:tcPr>
          <w:p>
            <w:pPr>
              <w:spacing w:after="0"/>
              <w:rPr>
                <w:sz w:val="22"/>
                <w:szCs w:val="22"/>
                <w:color w:val="auto"/>
              </w:rPr>
            </w:pPr>
          </w:p>
        </w:tc>
        <w:tc>
          <w:tcPr>
            <w:tcW w:w="660" w:type="dxa"/>
            <w:vAlign w:val="bottom"/>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gridSpan w:val="4"/>
          </w:tcPr>
          <w:p>
            <w:pPr>
              <w:spacing w:after="0"/>
              <w:rPr>
                <w:sz w:val="8"/>
                <w:szCs w:val="8"/>
                <w:color w:val="auto"/>
              </w:rPr>
            </w:pPr>
          </w:p>
        </w:tc>
        <w:tc>
          <w:tcPr>
            <w:tcW w:w="3480" w:type="dxa"/>
            <w:vAlign w:val="bottom"/>
            <w:tcBorders>
              <w:bottom w:val="single" w:sz="8" w:color="2C2C2C"/>
            </w:tcBorders>
            <w:gridSpan w:val="7"/>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2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06"/>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4"/>
              </w:rPr>
              <w:t>of (D) (Instr.</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-1167765</wp:posOffset>
            </wp:positionV>
            <wp:extent cx="29210" cy="1562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562100"/>
                    </a:xfrm>
                    <a:prstGeom prst="rect">
                      <a:avLst/>
                    </a:prstGeom>
                    <a:noFill/>
                  </pic:spPr>
                </pic:pic>
              </a:graphicData>
            </a:graphic>
          </wp:anchor>
        </w:drawing>
      </w:r>
    </w:p>
    <w:p>
      <w:pPr>
        <w:sectPr>
          <w:pgSz w:w="11900" w:h="16838" w:orient="portrait"/>
          <w:cols w:equalWidth="0" w:num="1">
            <w:col w:w="11080"/>
          </w:cols>
          <w:pgMar w:left="460" w:top="217" w:right="359" w:bottom="17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140" w:type="dxa"/>
            <w:vAlign w:val="bottom"/>
            <w:gridSpan w:val="9"/>
          </w:tcPr>
          <w:p>
            <w:pPr>
              <w:spacing w:after="0" w:line="52"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line="78" w:lineRule="exact"/>
              <w:rPr>
                <w:sz w:val="20"/>
                <w:szCs w:val="20"/>
                <w:color w:val="auto"/>
              </w:rPr>
            </w:pPr>
            <w:r>
              <w:rPr>
                <w:rFonts w:ascii="Arial" w:cs="Arial" w:eastAsia="Arial" w:hAnsi="Arial"/>
                <w:sz w:val="8"/>
                <w:szCs w:val="8"/>
                <w:b w:val="1"/>
                <w:bCs w:val="1"/>
                <w:color w:val="auto"/>
              </w:rPr>
              <w:t>or</w:t>
            </w: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40" w:type="dxa"/>
            <w:vAlign w:val="bottom"/>
            <w:gridSpan w:val="8"/>
          </w:tcPr>
          <w:p>
            <w:pPr>
              <w:ind w:left="700"/>
              <w:spacing w:after="0" w:line="116" w:lineRule="exact"/>
              <w:rPr>
                <w:sz w:val="20"/>
                <w:szCs w:val="20"/>
                <w:color w:val="auto"/>
              </w:rPr>
            </w:pPr>
            <w:r>
              <w:rPr>
                <w:rFonts w:ascii="Arial" w:cs="Arial" w:eastAsia="Arial" w:hAnsi="Arial"/>
                <w:sz w:val="13"/>
                <w:szCs w:val="13"/>
                <w:b w:val="1"/>
                <w:bCs w:val="1"/>
                <w:color w:val="auto"/>
              </w:rPr>
              <w:t>(e.g., puts, calls, warrants, options, convertible securities)</w:t>
            </w:r>
          </w:p>
        </w:tc>
        <w:tc>
          <w:tcPr>
            <w:tcW w:w="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0"/>
                <w:szCs w:val="20"/>
                <w:color w:val="auto"/>
              </w:rPr>
            </w:pPr>
            <w:r>
              <w:rPr>
                <w:rFonts w:ascii="Arial" w:cs="Arial" w:eastAsia="Arial" w:hAnsi="Arial"/>
                <w:sz w:val="2"/>
                <w:szCs w:val="2"/>
                <w:b w:val="1"/>
                <w:bCs w:val="1"/>
                <w:color w:val="auto"/>
              </w:rPr>
              <w:t>Number</w:t>
            </w: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jc w:val="center"/>
              <w:ind w:left="64"/>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4Code.  V</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78"/>
              </w:rPr>
              <w:t>5(A).Number(D)</w:t>
            </w:r>
          </w:p>
        </w:tc>
        <w:tc>
          <w:tcPr>
            <w:tcW w:w="1480" w:type="dxa"/>
            <w:vAlign w:val="bottom"/>
            <w:gridSpan w:val="2"/>
          </w:tcPr>
          <w:p>
            <w:pPr>
              <w:ind w:left="60"/>
              <w:spacing w:after="0"/>
              <w:rPr>
                <w:sz w:val="20"/>
                <w:szCs w:val="20"/>
                <w:color w:val="auto"/>
              </w:rPr>
            </w:pPr>
            <w:r>
              <w:rPr>
                <w:rFonts w:ascii="Arial" w:cs="Arial" w:eastAsia="Arial" w:hAnsi="Arial"/>
                <w:sz w:val="10"/>
                <w:szCs w:val="10"/>
                <w:b w:val="1"/>
                <w:bCs w:val="1"/>
                <w:color w:val="auto"/>
                <w:w w:val="76"/>
              </w:rPr>
              <w:t>6Exercisable.DateExercisableDate and</w:t>
            </w:r>
          </w:p>
        </w:tc>
        <w:tc>
          <w:tcPr>
            <w:tcW w:w="1220" w:type="dxa"/>
            <w:vAlign w:val="bottom"/>
            <w:gridSpan w:val="2"/>
          </w:tcPr>
          <w:p>
            <w:pPr>
              <w:ind w:left="80"/>
              <w:spacing w:after="0"/>
              <w:rPr>
                <w:sz w:val="20"/>
                <w:szCs w:val="20"/>
                <w:color w:val="auto"/>
              </w:rPr>
            </w:pPr>
            <w:r>
              <w:rPr>
                <w:rFonts w:ascii="Arial" w:cs="Arial" w:eastAsia="Arial" w:hAnsi="Arial"/>
                <w:sz w:val="10"/>
                <w:szCs w:val="10"/>
                <w:b w:val="1"/>
                <w:bCs w:val="1"/>
                <w:color w:val="auto"/>
                <w:w w:val="77"/>
              </w:rPr>
              <w:t>7Title.Title and SharesAmount</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17"/>
        </w:trPr>
        <w:tc>
          <w:tcPr>
            <w:tcW w:w="70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color w:val="0000FF"/>
                <w:w w:val="74"/>
              </w:rPr>
              <w:t>Class</w:t>
            </w:r>
            <w:r>
              <w:rPr>
                <w:rFonts w:ascii="Arial" w:cs="Arial" w:eastAsia="Arial" w:hAnsi="Arial"/>
                <w:sz w:val="11"/>
                <w:szCs w:val="11"/>
                <w:b w:val="1"/>
                <w:bCs w:val="1"/>
                <w:color w:val="000000"/>
                <w:w w:val="74"/>
              </w:rPr>
              <w:t>Security</w:t>
            </w:r>
            <w:r>
              <w:rPr>
                <w:rFonts w:ascii="Times New Roman" w:cs="Times New Roman" w:eastAsia="Times New Roman" w:hAnsi="Times New Roman"/>
                <w:sz w:val="13"/>
                <w:szCs w:val="13"/>
                <w:color w:val="0000FF"/>
                <w:w w:val="74"/>
              </w:rPr>
              <w:t>B</w:t>
            </w:r>
          </w:p>
        </w:tc>
        <w:tc>
          <w:tcPr>
            <w:tcW w:w="780" w:type="dxa"/>
            <w:vAlign w:val="bottom"/>
          </w:tcPr>
          <w:p>
            <w:pPr>
              <w:ind w:left="80"/>
              <w:spacing w:after="0" w:line="117"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17"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17"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17"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17"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17"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rPr>
                <w:sz w:val="20"/>
                <w:szCs w:val="20"/>
                <w:color w:val="auto"/>
              </w:rPr>
            </w:pPr>
            <w:r>
              <w:rPr>
                <w:rFonts w:ascii="Arial" w:cs="Arial" w:eastAsia="Arial" w:hAnsi="Arial"/>
                <w:sz w:val="10"/>
                <w:szCs w:val="10"/>
                <w:b w:val="1"/>
                <w:bCs w:val="1"/>
                <w:color w:val="auto"/>
                <w:w w:val="73"/>
              </w:rPr>
              <w:t>Underlying</w:t>
            </w:r>
            <w:r>
              <w:rPr>
                <w:rFonts w:ascii="Times New Roman" w:cs="Times New Roman" w:eastAsia="Times New Roman" w:hAnsi="Times New Roman"/>
                <w:sz w:val="10"/>
                <w:szCs w:val="10"/>
                <w:color w:val="0000FF"/>
                <w:w w:val="73"/>
              </w:rPr>
              <w:t>ClassA</w:t>
            </w:r>
          </w:p>
        </w:tc>
        <w:tc>
          <w:tcPr>
            <w:tcW w:w="520" w:type="dxa"/>
            <w:vAlign w:val="bottom"/>
          </w:tcPr>
          <w:p>
            <w:pPr>
              <w:spacing w:after="0"/>
              <w:rPr>
                <w:sz w:val="10"/>
                <w:szCs w:val="10"/>
                <w:color w:val="auto"/>
              </w:rPr>
            </w:pPr>
          </w:p>
        </w:tc>
        <w:tc>
          <w:tcPr>
            <w:tcW w:w="700" w:type="dxa"/>
            <w:vAlign w:val="bottom"/>
          </w:tcPr>
          <w:p>
            <w:pPr>
              <w:ind w:left="80"/>
              <w:spacing w:after="0" w:line="117"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17"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17"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17"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7"/>
        </w:trPr>
        <w:tc>
          <w:tcPr>
            <w:tcW w:w="7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Price</w:t>
            </w:r>
            <w:r>
              <w:rPr>
                <w:rFonts w:ascii="Times New Roman" w:cs="Times New Roman" w:eastAsia="Times New Roman" w:hAnsi="Times New Roman"/>
                <w:sz w:val="10"/>
                <w:szCs w:val="10"/>
                <w:color w:val="008000"/>
              </w:rPr>
              <w:t>(1)</w:t>
            </w:r>
            <w:r>
              <w:rPr>
                <w:rFonts w:ascii="Arial" w:cs="Arial" w:eastAsia="Arial" w:hAnsi="Arial"/>
                <w:sz w:val="12"/>
                <w:szCs w:val="12"/>
                <w:b w:val="1"/>
                <w:bCs w:val="1"/>
                <w:color w:val="auto"/>
              </w:rPr>
              <w:t>of</w:t>
            </w:r>
          </w:p>
        </w:tc>
        <w:tc>
          <w:tcPr>
            <w:tcW w:w="1040" w:type="dxa"/>
            <w:vAlign w:val="bottom"/>
          </w:tcPr>
          <w:p>
            <w:pPr>
              <w:spacing w:after="0"/>
              <w:rPr>
                <w:sz w:val="6"/>
                <w:szCs w:val="6"/>
                <w:color w:val="auto"/>
              </w:rPr>
            </w:pPr>
          </w:p>
        </w:tc>
        <w:tc>
          <w:tcPr>
            <w:tcW w:w="1140" w:type="dxa"/>
            <w:vAlign w:val="bottom"/>
            <w:vMerge w:val="restart"/>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74"/>
              </w:rPr>
              <w:t>8)</w:t>
            </w:r>
          </w:p>
        </w:tc>
        <w:tc>
          <w:tcPr>
            <w:tcW w:w="6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82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(1)</w:t>
            </w:r>
          </w:p>
        </w:tc>
        <w:tc>
          <w:tcPr>
            <w:tcW w:w="122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78" w:lineRule="exact"/>
              <w:rPr>
                <w:sz w:val="20"/>
                <w:szCs w:val="20"/>
                <w:color w:val="auto"/>
              </w:rPr>
            </w:pPr>
            <w:r>
              <w:rPr>
                <w:rFonts w:ascii="Times New Roman" w:cs="Times New Roman" w:eastAsia="Times New Roman" w:hAnsi="Times New Roman"/>
                <w:sz w:val="8"/>
                <w:szCs w:val="8"/>
                <w:color w:val="0000FF"/>
              </w:rPr>
              <w:t>By Living</w:t>
            </w:r>
          </w:p>
        </w:tc>
        <w:tc>
          <w:tcPr>
            <w:tcW w:w="0" w:type="dxa"/>
            <w:vAlign w:val="bottom"/>
          </w:tcPr>
          <w:p>
            <w:pPr>
              <w:spacing w:after="0"/>
              <w:rPr>
                <w:sz w:val="1"/>
                <w:szCs w:val="1"/>
                <w:color w:val="auto"/>
              </w:rPr>
            </w:pPr>
          </w:p>
        </w:tc>
      </w:tr>
      <w:tr>
        <w:trPr>
          <w:trHeight w:val="52"/>
        </w:trPr>
        <w:tc>
          <w:tcPr>
            <w:tcW w:w="7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47"/>
              <w:spacing w:after="0" w:line="78" w:lineRule="exact"/>
              <w:rPr>
                <w:sz w:val="20"/>
                <w:szCs w:val="20"/>
                <w:color w:val="auto"/>
              </w:rPr>
            </w:pPr>
            <w:r>
              <w:rPr>
                <w:rFonts w:ascii="Times New Roman" w:cs="Times New Roman" w:eastAsia="Times New Roman" w:hAnsi="Times New Roman"/>
                <w:sz w:val="8"/>
                <w:szCs w:val="8"/>
                <w:color w:val="0000FF"/>
              </w:rPr>
              <w:t>06/11/2026</w:t>
            </w:r>
          </w:p>
        </w:tc>
        <w:tc>
          <w:tcPr>
            <w:tcW w:w="114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640" w:type="dxa"/>
            <w:vAlign w:val="bottom"/>
            <w:vMerge w:val="restart"/>
          </w:tcPr>
          <w:p>
            <w:pPr>
              <w:spacing w:after="0" w:line="78" w:lineRule="exact"/>
              <w:rPr>
                <w:sz w:val="20"/>
                <w:szCs w:val="20"/>
                <w:color w:val="auto"/>
              </w:rPr>
            </w:pPr>
            <w:r>
              <w:rPr>
                <w:rFonts w:ascii="Times New Roman" w:cs="Times New Roman" w:eastAsia="Times New Roman" w:hAnsi="Times New Roman"/>
                <w:sz w:val="8"/>
                <w:szCs w:val="8"/>
                <w:color w:val="0000FF"/>
              </w:rPr>
              <w:t>C</w:t>
            </w:r>
          </w:p>
        </w:tc>
        <w:tc>
          <w:tcPr>
            <w:tcW w:w="80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60" w:type="dxa"/>
            <w:vAlign w:val="bottom"/>
          </w:tcPr>
          <w:p>
            <w:pPr>
              <w:ind w:left="80"/>
              <w:spacing w:after="0" w:line="52" w:lineRule="exact"/>
              <w:rPr>
                <w:sz w:val="20"/>
                <w:szCs w:val="20"/>
                <w:color w:val="auto"/>
              </w:rPr>
            </w:pPr>
            <w:r>
              <w:rPr>
                <w:rFonts w:ascii="Arial" w:cs="Arial" w:eastAsia="Arial" w:hAnsi="Arial"/>
                <w:sz w:val="5"/>
                <w:szCs w:val="5"/>
                <w:b w:val="1"/>
                <w:bCs w:val="1"/>
                <w:color w:val="auto"/>
              </w:rPr>
              <w:t>Ownership</w:t>
            </w:r>
          </w:p>
        </w:tc>
        <w:tc>
          <w:tcPr>
            <w:tcW w:w="0" w:type="dxa"/>
            <w:vAlign w:val="bottom"/>
          </w:tcPr>
          <w:p>
            <w:pPr>
              <w:spacing w:after="0"/>
              <w:rPr>
                <w:sz w:val="1"/>
                <w:szCs w:val="1"/>
                <w:color w:val="auto"/>
              </w:rPr>
            </w:pPr>
          </w:p>
        </w:tc>
      </w:tr>
      <w:tr>
        <w:trPr>
          <w:trHeight w:val="26"/>
        </w:trPr>
        <w:tc>
          <w:tcPr>
            <w:tcW w:w="700" w:type="dxa"/>
            <w:vAlign w:val="bottom"/>
          </w:tcPr>
          <w:p>
            <w:pPr>
              <w:ind w:left="80"/>
              <w:spacing w:after="0"/>
              <w:rPr>
                <w:sz w:val="20"/>
                <w:szCs w:val="20"/>
                <w:color w:val="auto"/>
              </w:rPr>
            </w:pPr>
            <w:r>
              <w:rPr>
                <w:rFonts w:ascii="Times New Roman" w:cs="Times New Roman" w:eastAsia="Times New Roman" w:hAnsi="Times New Roman"/>
                <w:sz w:val="2"/>
                <w:szCs w:val="2"/>
                <w:color w:val="0000FF"/>
              </w:rPr>
              <w:t>Common</w:t>
            </w: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2"/>
                <w:szCs w:val="2"/>
                <w:color w:val="0000FF"/>
              </w:rPr>
              <w:t>57,898</w:t>
            </w: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2"/>
                <w:szCs w:val="2"/>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2"/>
                <w:szCs w:val="2"/>
                <w:color w:val="0000FF"/>
              </w:rPr>
              <w:t>57,898</w:t>
            </w:r>
          </w:p>
        </w:tc>
        <w:tc>
          <w:tcPr>
            <w:tcW w:w="700" w:type="dxa"/>
            <w:vAlign w:val="bottom"/>
          </w:tcPr>
          <w:p>
            <w:pPr>
              <w:ind w:left="300"/>
              <w:spacing w:after="0"/>
              <w:rPr>
                <w:sz w:val="20"/>
                <w:szCs w:val="20"/>
                <w:color w:val="auto"/>
              </w:rPr>
            </w:pPr>
            <w:r>
              <w:rPr>
                <w:rFonts w:ascii="Arial" w:cs="Arial" w:eastAsia="Arial" w:hAnsi="Arial"/>
                <w:sz w:val="2"/>
                <w:szCs w:val="2"/>
                <w:color w:val="auto"/>
              </w:rPr>
              <w:t>$</w:t>
            </w:r>
            <w:r>
              <w:rPr>
                <w:rFonts w:ascii="Times New Roman" w:cs="Times New Roman" w:eastAsia="Times New Roman" w:hAnsi="Times New Roman"/>
                <w:sz w:val="2"/>
                <w:szCs w:val="2"/>
                <w:color w:val="0000FF"/>
              </w:rPr>
              <w:t>0</w:t>
            </w:r>
          </w:p>
        </w:tc>
        <w:tc>
          <w:tcPr>
            <w:tcW w:w="940" w:type="dxa"/>
            <w:vAlign w:val="bottom"/>
          </w:tcPr>
          <w:p>
            <w:pPr>
              <w:ind w:left="180"/>
              <w:spacing w:after="0"/>
              <w:rPr>
                <w:sz w:val="20"/>
                <w:szCs w:val="20"/>
                <w:color w:val="auto"/>
              </w:rPr>
            </w:pPr>
            <w:r>
              <w:rPr>
                <w:rFonts w:ascii="Times New Roman" w:cs="Times New Roman" w:eastAsia="Times New Roman" w:hAnsi="Times New Roman"/>
                <w:sz w:val="2"/>
                <w:szCs w:val="2"/>
                <w:color w:val="0000FF"/>
              </w:rPr>
              <w:t>46,948,479</w:t>
            </w:r>
          </w:p>
        </w:tc>
        <w:tc>
          <w:tcPr>
            <w:tcW w:w="720" w:type="dxa"/>
            <w:vAlign w:val="bottom"/>
          </w:tcPr>
          <w:p>
            <w:pPr>
              <w:ind w:left="340"/>
              <w:spacing w:after="0"/>
              <w:rPr>
                <w:sz w:val="20"/>
                <w:szCs w:val="20"/>
                <w:color w:val="auto"/>
              </w:rPr>
            </w:pPr>
            <w:r>
              <w:rPr>
                <w:rFonts w:ascii="Times New Roman" w:cs="Times New Roman" w:eastAsia="Times New Roman" w:hAnsi="Times New Roman"/>
                <w:sz w:val="2"/>
                <w:szCs w:val="2"/>
                <w:color w:val="0000FF"/>
              </w:rPr>
              <w:t>I</w:t>
            </w:r>
          </w:p>
        </w:tc>
        <w:tc>
          <w:tcPr>
            <w:tcW w:w="760" w:type="dxa"/>
            <w:vAlign w:val="bottom"/>
          </w:tcPr>
          <w:p>
            <w:pPr>
              <w:ind w:left="80"/>
              <w:spacing w:after="0"/>
              <w:rPr>
                <w:sz w:val="20"/>
                <w:szCs w:val="20"/>
                <w:color w:val="auto"/>
              </w:rPr>
            </w:pPr>
            <w:r>
              <w:rPr>
                <w:rFonts w:ascii="Times New Roman" w:cs="Times New Roman" w:eastAsia="Times New Roman" w:hAnsi="Times New Roman"/>
                <w:sz w:val="2"/>
                <w:szCs w:val="2"/>
                <w:color w:val="0000FF"/>
              </w:rPr>
              <w:t>Trust</w:t>
            </w:r>
          </w:p>
        </w:tc>
        <w:tc>
          <w:tcPr>
            <w:tcW w:w="0" w:type="dxa"/>
            <w:vAlign w:val="bottom"/>
          </w:tcPr>
          <w:p>
            <w:pPr>
              <w:spacing w:after="0" w:line="20" w:lineRule="exact"/>
              <w:rPr>
                <w:sz w:val="1"/>
                <w:szCs w:val="1"/>
                <w:color w:val="auto"/>
              </w:rPr>
            </w:pPr>
          </w:p>
        </w:tc>
      </w:tr>
      <w:tr>
        <w:trPr>
          <w:trHeight w:val="103"/>
        </w:trPr>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ind w:left="80"/>
              <w:spacing w:after="0" w:line="104" w:lineRule="exact"/>
              <w:rPr>
                <w:sz w:val="20"/>
                <w:szCs w:val="20"/>
                <w:color w:val="auto"/>
              </w:rPr>
            </w:pPr>
            <w:r>
              <w:rPr>
                <w:rFonts w:ascii="Arial" w:cs="Arial" w:eastAsia="Arial" w:hAnsi="Arial"/>
                <w:sz w:val="10"/>
                <w:szCs w:val="10"/>
                <w:b w:val="1"/>
                <w:bCs w:val="1"/>
                <w:color w:val="auto"/>
              </w:rPr>
              <w:t>Acquired</w:t>
            </w: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gridSpan w:val="2"/>
          </w:tcPr>
          <w:p>
            <w:pPr>
              <w:ind w:left="80"/>
              <w:spacing w:after="0" w:line="104" w:lineRule="exact"/>
              <w:rPr>
                <w:sz w:val="20"/>
                <w:szCs w:val="20"/>
                <w:color w:val="auto"/>
              </w:rPr>
            </w:pPr>
            <w:r>
              <w:rPr>
                <w:rFonts w:ascii="Arial" w:cs="Arial" w:eastAsia="Arial" w:hAnsi="Arial"/>
                <w:sz w:val="10"/>
                <w:szCs w:val="10"/>
                <w:b w:val="1"/>
                <w:bCs w:val="1"/>
                <w:color w:val="auto"/>
              </w:rPr>
              <w:t>(Instr. 3 and 4)</w:t>
            </w:r>
          </w:p>
        </w:tc>
        <w:tc>
          <w:tcPr>
            <w:tcW w:w="700" w:type="dxa"/>
            <w:vAlign w:val="bottom"/>
          </w:tcPr>
          <w:p>
            <w:pPr>
              <w:spacing w:after="0"/>
              <w:rPr>
                <w:sz w:val="8"/>
                <w:szCs w:val="8"/>
                <w:color w:val="auto"/>
              </w:rPr>
            </w:pPr>
          </w:p>
        </w:tc>
        <w:tc>
          <w:tcPr>
            <w:tcW w:w="940" w:type="dxa"/>
            <w:vAlign w:val="bottom"/>
          </w:tcPr>
          <w:p>
            <w:pPr>
              <w:ind w:left="80"/>
              <w:spacing w:after="0" w:line="104" w:lineRule="exact"/>
              <w:rPr>
                <w:sz w:val="20"/>
                <w:szCs w:val="20"/>
                <w:color w:val="auto"/>
              </w:rPr>
            </w:pPr>
            <w:r>
              <w:rPr>
                <w:rFonts w:ascii="Arial" w:cs="Arial" w:eastAsia="Arial" w:hAnsi="Arial"/>
                <w:sz w:val="10"/>
                <w:szCs w:val="10"/>
                <w:b w:val="1"/>
                <w:bCs w:val="1"/>
                <w:color w:val="auto"/>
              </w:rPr>
              <w:t>Owned</w:t>
            </w:r>
          </w:p>
        </w:tc>
        <w:tc>
          <w:tcPr>
            <w:tcW w:w="720" w:type="dxa"/>
            <w:vAlign w:val="bottom"/>
          </w:tcPr>
          <w:p>
            <w:pPr>
              <w:ind w:left="60"/>
              <w:spacing w:after="0" w:line="104" w:lineRule="exact"/>
              <w:rPr>
                <w:sz w:val="20"/>
                <w:szCs w:val="20"/>
                <w:color w:val="auto"/>
              </w:rPr>
            </w:pPr>
            <w:r>
              <w:rPr>
                <w:rFonts w:ascii="Arial" w:cs="Arial" w:eastAsia="Arial" w:hAnsi="Arial"/>
                <w:sz w:val="10"/>
                <w:szCs w:val="10"/>
                <w:b w:val="1"/>
                <w:bCs w:val="1"/>
                <w:color w:val="auto"/>
              </w:rPr>
              <w:t>or Indirect</w:t>
            </w:r>
          </w:p>
        </w:tc>
        <w:tc>
          <w:tcPr>
            <w:tcW w:w="760" w:type="dxa"/>
            <w:vAlign w:val="bottom"/>
          </w:tcPr>
          <w:p>
            <w:pPr>
              <w:ind w:left="80"/>
              <w:spacing w:after="0" w:line="104"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129"/>
        </w:trPr>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ind w:left="80"/>
              <w:spacing w:after="0" w:line="109" w:lineRule="exact"/>
              <w:rPr>
                <w:sz w:val="20"/>
                <w:szCs w:val="20"/>
                <w:color w:val="auto"/>
              </w:rPr>
            </w:pPr>
            <w:r>
              <w:rPr>
                <w:rFonts w:ascii="Arial" w:cs="Arial" w:eastAsia="Arial" w:hAnsi="Arial"/>
                <w:sz w:val="12"/>
                <w:szCs w:val="12"/>
                <w:b w:val="1"/>
                <w:bCs w:val="1"/>
                <w:color w:val="auto"/>
              </w:rPr>
              <w:t>Security</w:t>
            </w: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ind w:left="80"/>
              <w:spacing w:after="0" w:line="109" w:lineRule="exact"/>
              <w:rPr>
                <w:sz w:val="20"/>
                <w:szCs w:val="20"/>
                <w:color w:val="auto"/>
              </w:rPr>
            </w:pPr>
            <w:r>
              <w:rPr>
                <w:rFonts w:ascii="Arial" w:cs="Arial" w:eastAsia="Arial" w:hAnsi="Arial"/>
                <w:sz w:val="12"/>
                <w:szCs w:val="12"/>
                <w:b w:val="1"/>
                <w:bCs w:val="1"/>
                <w:color w:val="auto"/>
              </w:rPr>
              <w:t>(A) or</w:t>
            </w:r>
          </w:p>
        </w:tc>
        <w:tc>
          <w:tcPr>
            <w:tcW w:w="6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ind w:left="180"/>
              <w:spacing w:after="0" w:line="116"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ind w:left="80"/>
              <w:spacing w:after="0" w:line="109" w:lineRule="exact"/>
              <w:rPr>
                <w:sz w:val="20"/>
                <w:szCs w:val="20"/>
                <w:color w:val="auto"/>
              </w:rPr>
            </w:pPr>
            <w:r>
              <w:rPr>
                <w:rFonts w:ascii="Arial" w:cs="Arial" w:eastAsia="Arial" w:hAnsi="Arial"/>
                <w:sz w:val="12"/>
                <w:szCs w:val="12"/>
                <w:b w:val="1"/>
                <w:bCs w:val="1"/>
                <w:color w:val="auto"/>
              </w:rPr>
              <w:t>Following</w:t>
            </w:r>
          </w:p>
        </w:tc>
        <w:tc>
          <w:tcPr>
            <w:tcW w:w="720" w:type="dxa"/>
            <w:vAlign w:val="bottom"/>
            <w:tcBorders>
              <w:bottom w:val="single" w:sz="8" w:color="2C2C2C"/>
            </w:tcBorders>
          </w:tcPr>
          <w:p>
            <w:pPr>
              <w:ind w:left="60"/>
              <w:spacing w:after="0" w:line="109" w:lineRule="exact"/>
              <w:rPr>
                <w:sz w:val="20"/>
                <w:szCs w:val="20"/>
                <w:color w:val="auto"/>
              </w:rPr>
            </w:pPr>
            <w:r>
              <w:rPr>
                <w:rFonts w:ascii="Arial" w:cs="Arial" w:eastAsia="Arial" w:hAnsi="Arial"/>
                <w:sz w:val="12"/>
                <w:szCs w:val="12"/>
                <w:b w:val="1"/>
                <w:bCs w:val="1"/>
                <w:color w:val="auto"/>
              </w:rPr>
              <w:t>(I) (Instr. 4)</w:t>
            </w:r>
          </w:p>
        </w:tc>
        <w:tc>
          <w:tcPr>
            <w:tcW w:w="7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20" w:type="dxa"/>
            <w:vAlign w:val="bottom"/>
            <w:gridSpan w:val="3"/>
          </w:tcPr>
          <w:p>
            <w:pPr>
              <w:ind w:left="40"/>
              <w:spacing w:after="0" w:line="148" w:lineRule="exact"/>
              <w:rPr>
                <w:sz w:val="20"/>
                <w:szCs w:val="20"/>
                <w:color w:val="auto"/>
              </w:rPr>
            </w:pPr>
            <w:r>
              <w:rPr>
                <w:rFonts w:ascii="Arial" w:cs="Arial" w:eastAsia="Arial" w:hAnsi="Arial"/>
                <w:sz w:val="13"/>
                <w:szCs w:val="13"/>
                <w:b w:val="1"/>
                <w:bCs w:val="1"/>
                <w:color w:val="auto"/>
              </w:rPr>
              <w:t>Explanation of Responses:</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Disposed</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ind w:left="80"/>
              <w:spacing w:after="0" w:line="91" w:lineRule="exact"/>
              <w:rPr>
                <w:sz w:val="20"/>
                <w:szCs w:val="20"/>
                <w:color w:val="auto"/>
              </w:rPr>
            </w:pPr>
            <w:r>
              <w:rPr>
                <w:rFonts w:ascii="Arial" w:cs="Arial" w:eastAsia="Arial" w:hAnsi="Arial"/>
                <w:sz w:val="10"/>
                <w:szCs w:val="10"/>
                <w:b w:val="1"/>
                <w:bCs w:val="1"/>
                <w:color w:val="auto"/>
              </w:rPr>
              <w:t>of (D) (Instr.</w:t>
            </w: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ind w:left="80"/>
              <w:spacing w:after="0" w:line="91" w:lineRule="exact"/>
              <w:rPr>
                <w:sz w:val="20"/>
                <w:szCs w:val="20"/>
                <w:color w:val="auto"/>
              </w:rPr>
            </w:pPr>
            <w:r>
              <w:rPr>
                <w:rFonts w:ascii="Arial" w:cs="Arial" w:eastAsia="Arial" w:hAnsi="Arial"/>
                <w:sz w:val="10"/>
                <w:szCs w:val="10"/>
                <w:b w:val="1"/>
                <w:bCs w:val="1"/>
                <w:color w:val="auto"/>
              </w:rPr>
              <w:t>Transaction(s)</w:t>
            </w: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1080" w:type="dxa"/>
            <w:vAlign w:val="bottom"/>
            <w:gridSpan w:val="15"/>
          </w:tcPr>
          <w:p>
            <w:pPr>
              <w:ind w:left="40"/>
              <w:spacing w:after="0" w:line="103" w:lineRule="exact"/>
              <w:rPr>
                <w:sz w:val="20"/>
                <w:szCs w:val="20"/>
                <w:color w:val="auto"/>
              </w:rPr>
            </w:pPr>
            <w:r>
              <w:rPr>
                <w:rFonts w:ascii="Times New Roman" w:cs="Times New Roman" w:eastAsia="Times New Roman" w:hAnsi="Times New Roman"/>
                <w:sz w:val="11"/>
                <w:szCs w:val="11"/>
                <w:color w:val="008000"/>
              </w:rPr>
              <w:t>1. As part of the transactions effected on June 11, 2026 pursuant to the Rule 10b5-1 trading plan adopted by the Baiju Bhatt Living Trust ("Living Trust") on November 13, 2025 ("Bhatt 10b5-1 plan"), the</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ind w:left="80"/>
              <w:spacing w:after="0" w:line="27" w:lineRule="exact"/>
              <w:rPr>
                <w:sz w:val="20"/>
                <w:szCs w:val="20"/>
                <w:color w:val="auto"/>
              </w:rPr>
            </w:pPr>
            <w:r>
              <w:rPr>
                <w:rFonts w:ascii="Arial" w:cs="Arial" w:eastAsia="Arial" w:hAnsi="Arial"/>
                <w:sz w:val="3"/>
                <w:szCs w:val="3"/>
                <w:b w:val="1"/>
                <w:bCs w:val="1"/>
                <w:color w:val="auto"/>
              </w:rPr>
              <w:t>3, 4 and 5)</w:t>
            </w: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ind w:left="80"/>
              <w:spacing w:after="0" w:line="27" w:lineRule="exact"/>
              <w:rPr>
                <w:sz w:val="20"/>
                <w:szCs w:val="20"/>
                <w:color w:val="auto"/>
              </w:rPr>
            </w:pPr>
            <w:r>
              <w:rPr>
                <w:rFonts w:ascii="Arial" w:cs="Arial" w:eastAsia="Arial" w:hAnsi="Arial"/>
                <w:sz w:val="3"/>
                <w:szCs w:val="3"/>
                <w:b w:val="1"/>
                <w:bCs w:val="1"/>
                <w:color w:val="auto"/>
              </w:rPr>
              <w:t>(Instr. 4)</w:t>
            </w: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0"/>
        <w:spacing w:after="0"/>
        <w:rPr>
          <w:sz w:val="20"/>
          <w:szCs w:val="20"/>
          <w:color w:val="auto"/>
        </w:rPr>
      </w:pPr>
      <w:r>
        <w:rPr>
          <w:rFonts w:ascii="Times New Roman" w:cs="Times New Roman" w:eastAsia="Times New Roman" w:hAnsi="Times New Roman"/>
          <w:sz w:val="13"/>
          <w:szCs w:val="13"/>
          <w:color w:val="008000"/>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164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6595" cy="2164080"/>
                    </a:xfrm>
                    <a:prstGeom prst="rect">
                      <a:avLst/>
                    </a:prstGeom>
                    <a:noFill/>
                  </pic:spPr>
                </pic:pic>
              </a:graphicData>
            </a:graphic>
          </wp:anchor>
        </w:drawing>
        <w:t>Living Trust sold an aggregate of 57,898 shares of its Class B Common Stock, resulting in an automatic conversion of the same amount of shares into Class A Common Stock upon execution of the sales.</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2. This transaction was effected pursuant to the Bhatt 10b5-1 plan.</w:t>
      </w:r>
    </w:p>
    <w:p>
      <w:pPr>
        <w:spacing w:after="0" w:line="44" w:lineRule="exact"/>
        <w:rPr>
          <w:sz w:val="20"/>
          <w:szCs w:val="20"/>
          <w:color w:val="auto"/>
        </w:rPr>
      </w:pPr>
    </w:p>
    <w:p>
      <w:pPr>
        <w:ind w:left="40" w:right="260"/>
        <w:spacing w:after="0" w:line="256" w:lineRule="auto"/>
        <w:rPr>
          <w:sz w:val="20"/>
          <w:szCs w:val="20"/>
          <w:color w:val="auto"/>
        </w:rPr>
      </w:pPr>
      <w:r>
        <w:rPr>
          <w:rFonts w:ascii="Times New Roman" w:cs="Times New Roman" w:eastAsia="Times New Roman" w:hAnsi="Times New Roman"/>
          <w:sz w:val="13"/>
          <w:szCs w:val="13"/>
          <w:color w:val="008000"/>
        </w:rPr>
        <w:t>3. This transaction was executed in multiple trades during the day at prices ranging from $85.97 to $86.95. The weighted-average price is reported above. The Reporting Person hereby undertakes to provide to the SEC staff, the Issuer, or any security holder of the Issuer, upon request, full information regarding the number of shares and prices at which the trades were made.</w: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4. This transaction was executed in multiple trades during the day at prices ranging from $86.98 to $87.97. The weighted-average price is reported</w:t>
      </w:r>
      <w:r>
        <w:rPr>
          <w:rFonts w:ascii="Arial" w:cs="Arial" w:eastAsia="Arial" w:hAnsi="Arial"/>
          <w:sz w:val="10"/>
          <w:szCs w:val="10"/>
          <w:b w:val="1"/>
          <w:bCs w:val="1"/>
          <w:color w:val="000000"/>
        </w:rPr>
        <w:t>Amount</w:t>
      </w:r>
      <w:r>
        <w:rPr>
          <w:rFonts w:ascii="Times New Roman" w:cs="Times New Roman" w:eastAsia="Times New Roman" w:hAnsi="Times New Roman"/>
          <w:sz w:val="12"/>
          <w:szCs w:val="12"/>
          <w:color w:val="008000"/>
        </w:rPr>
        <w:t>above. The Reporting Person hereby undertakes to provide to</w:t>
      </w:r>
    </w:p>
    <w:p>
      <w:pPr>
        <w:ind w:left="40"/>
        <w:spacing w:after="0"/>
        <w:rPr>
          <w:sz w:val="20"/>
          <w:szCs w:val="20"/>
          <w:color w:val="auto"/>
        </w:rPr>
      </w:pPr>
      <w:r>
        <w:rPr>
          <w:rFonts w:ascii="Times New Roman" w:cs="Times New Roman" w:eastAsia="Times New Roman" w:hAnsi="Times New Roman"/>
          <w:sz w:val="13"/>
          <w:szCs w:val="13"/>
          <w:color w:val="008000"/>
        </w:rPr>
        <w:t xml:space="preserve">the SEC staff, the Issuer, or any security holder of the Issuer, upon request, full information regarding the number of shares and prices at which </w:t>
      </w:r>
      <w:r>
        <w:rPr>
          <w:rFonts w:ascii="Arial" w:cs="Arial" w:eastAsia="Arial" w:hAnsi="Arial"/>
          <w:sz w:val="11"/>
          <w:szCs w:val="11"/>
          <w:b w:val="1"/>
          <w:bCs w:val="1"/>
          <w:color w:val="000000"/>
        </w:rPr>
        <w:t>or</w:t>
      </w:r>
      <w:r>
        <w:rPr>
          <w:rFonts w:ascii="Times New Roman" w:cs="Times New Roman" w:eastAsia="Times New Roman" w:hAnsi="Times New Roman"/>
          <w:sz w:val="13"/>
          <w:szCs w:val="13"/>
          <w:color w:val="008000"/>
        </w:rPr>
        <w:t>the trades were made.</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5. This transaction was executed in multiple trades during the day at prices ranging from $87.98 to $88.96. The weighted-average price is reported</w:t>
      </w:r>
      <w:r>
        <w:rPr>
          <w:rFonts w:ascii="Arial" w:cs="Arial" w:eastAsia="Arial" w:hAnsi="Arial"/>
          <w:sz w:val="10"/>
          <w:szCs w:val="10"/>
          <w:b w:val="1"/>
          <w:bCs w:val="1"/>
          <w:color w:val="000000"/>
        </w:rPr>
        <w:t>Number</w:t>
      </w:r>
      <w:r>
        <w:rPr>
          <w:rFonts w:ascii="Times New Roman" w:cs="Times New Roman" w:eastAsia="Times New Roman" w:hAnsi="Times New Roman"/>
          <w:sz w:val="12"/>
          <w:szCs w:val="12"/>
          <w:color w:val="008000"/>
        </w:rPr>
        <w:t>above. The Reporting Person hereby undertakes to provide to</w:t>
      </w:r>
    </w:p>
    <w:p>
      <w:pPr>
        <w:ind w:left="40"/>
        <w:spacing w:after="0" w:line="193" w:lineRule="auto"/>
        <w:rPr>
          <w:sz w:val="20"/>
          <w:szCs w:val="20"/>
          <w:color w:val="auto"/>
        </w:rPr>
      </w:pPr>
      <w:r>
        <w:rPr>
          <w:rFonts w:ascii="Times New Roman" w:cs="Times New Roman" w:eastAsia="Times New Roman" w:hAnsi="Times New Roman"/>
          <w:sz w:val="11"/>
          <w:szCs w:val="11"/>
          <w:color w:val="008000"/>
        </w:rPr>
        <w:t>the SEC staff, the Issuer, or any security holder of the Issuer, upon request, full information regarding the</w:t>
      </w:r>
      <w:r>
        <w:rPr>
          <w:rFonts w:ascii="Arial" w:cs="Arial" w:eastAsia="Arial" w:hAnsi="Arial"/>
          <w:sz w:val="9"/>
          <w:szCs w:val="9"/>
          <w:b w:val="1"/>
          <w:bCs w:val="1"/>
          <w:color w:val="000000"/>
        </w:rPr>
        <w:t>Date</w:t>
      </w:r>
      <w:r>
        <w:rPr>
          <w:rFonts w:ascii="Times New Roman" w:cs="Times New Roman" w:eastAsia="Times New Roman" w:hAnsi="Times New Roman"/>
          <w:sz w:val="11"/>
          <w:szCs w:val="11"/>
          <w:color w:val="008000"/>
        </w:rPr>
        <w:t>number of shares</w:t>
      </w:r>
      <w:r>
        <w:rPr>
          <w:rFonts w:ascii="Arial" w:cs="Arial" w:eastAsia="Arial" w:hAnsi="Arial"/>
          <w:sz w:val="9"/>
          <w:szCs w:val="9"/>
          <w:b w:val="1"/>
          <w:bCs w:val="1"/>
          <w:color w:val="000000"/>
        </w:rPr>
        <w:t>Expiration</w:t>
      </w:r>
      <w:r>
        <w:rPr>
          <w:rFonts w:ascii="Times New Roman" w:cs="Times New Roman" w:eastAsia="Times New Roman" w:hAnsi="Times New Roman"/>
          <w:sz w:val="11"/>
          <w:szCs w:val="11"/>
          <w:color w:val="008000"/>
        </w:rPr>
        <w:t xml:space="preserve">andprices at which </w:t>
      </w:r>
      <w:r>
        <w:rPr>
          <w:rFonts w:ascii="Arial" w:cs="Arial" w:eastAsia="Arial" w:hAnsi="Arial"/>
          <w:sz w:val="9"/>
          <w:szCs w:val="9"/>
          <w:b w:val="1"/>
          <w:bCs w:val="1"/>
          <w:color w:val="000000"/>
        </w:rPr>
        <w:t>of</w:t>
      </w:r>
      <w:r>
        <w:rPr>
          <w:rFonts w:ascii="Times New Roman" w:cs="Times New Roman" w:eastAsia="Times New Roman" w:hAnsi="Times New Roman"/>
          <w:sz w:val="11"/>
          <w:szCs w:val="11"/>
          <w:color w:val="008000"/>
        </w:rPr>
        <w:t>the trades were made.</w:t>
      </w:r>
    </w:p>
    <w:p>
      <w:pPr>
        <w:ind w:left="3720"/>
        <w:spacing w:after="0" w:line="222" w:lineRule="auto"/>
        <w:tabs>
          <w:tab w:leader="none" w:pos="4120" w:val="left"/>
          <w:tab w:leader="none" w:pos="4520" w:val="left"/>
          <w:tab w:leader="none" w:pos="4820" w:val="left"/>
          <w:tab w:leader="none" w:pos="5300" w:val="left"/>
          <w:tab w:leader="none" w:pos="6080" w:val="left"/>
          <w:tab w:leader="none" w:pos="6800" w:val="left"/>
          <w:tab w:leader="none" w:pos="7420" w:val="left"/>
        </w:tabs>
        <w:rPr>
          <w:sz w:val="20"/>
          <w:szCs w:val="20"/>
          <w:color w:val="auto"/>
        </w:rPr>
      </w:pPr>
      <w:r>
        <w:rPr>
          <w:rFonts w:ascii="Arial" w:cs="Arial" w:eastAsia="Arial" w:hAnsi="Arial"/>
          <w:sz w:val="12"/>
          <w:szCs w:val="12"/>
          <w:b w:val="1"/>
          <w:bCs w:val="1"/>
          <w:color w:val="auto"/>
        </w:rPr>
        <w:t>Code</w:t>
        <w:tab/>
        <w:t>V</w:t>
      </w:r>
      <w:r>
        <w:rPr>
          <w:sz w:val="20"/>
          <w:szCs w:val="20"/>
          <w:color w:val="auto"/>
        </w:rPr>
        <w:tab/>
      </w:r>
      <w:r>
        <w:rPr>
          <w:rFonts w:ascii="Arial" w:cs="Arial" w:eastAsia="Arial" w:hAnsi="Arial"/>
          <w:sz w:val="12"/>
          <w:szCs w:val="12"/>
          <w:b w:val="1"/>
          <w:bCs w:val="1"/>
          <w:color w:val="auto"/>
        </w:rPr>
        <w:t>(A)</w:t>
        <w:tab/>
        <w:t>(D)</w:t>
      </w:r>
      <w:r>
        <w:rPr>
          <w:sz w:val="20"/>
          <w:szCs w:val="20"/>
          <w:color w:val="auto"/>
        </w:rPr>
        <w:tab/>
      </w:r>
      <w:r>
        <w:rPr>
          <w:rFonts w:ascii="Arial" w:cs="Arial" w:eastAsia="Arial" w:hAnsi="Arial"/>
          <w:sz w:val="12"/>
          <w:szCs w:val="12"/>
          <w:b w:val="1"/>
          <w:bCs w:val="1"/>
          <w:color w:val="auto"/>
        </w:rPr>
        <w:t>Exercisable</w:t>
        <w:tab/>
        <w:t>Date</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10"/>
          <w:szCs w:val="10"/>
          <w:b w:val="1"/>
          <w:bCs w:val="1"/>
          <w:color w:val="auto"/>
        </w:rPr>
        <w:t>Shares</w:t>
      </w:r>
    </w:p>
    <w:p>
      <w:pPr>
        <w:ind w:left="40" w:right="26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$89.00 to $89.97. The weighted-average price is reported above. The Reporting Person hereby undertakes to provide to the SEC staff, the Issuer, or any security holder of the Issuer, upon request, full information regarding the number of shares and prices at which the trades were made.</w:t>
      </w:r>
    </w:p>
    <w:p>
      <w:pPr>
        <w:spacing w:after="0" w:line="27"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$90.00 to $90.98. The weighted-average price is reported above. The Reporting Person hereby undertakes to provide to the SEC staff, the Issuer, or any security holder of the Issuer, upon request, full information regarding the number of shares and prices at which the trades were made.</w:t>
      </w:r>
    </w:p>
    <w:p>
      <w:pPr>
        <w:spacing w:after="0" w:line="16"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$91.01 to $91.99. The weighted-average price is reported above. The Reporting Person hereby undertakes to provide to the SEC staff, the Issuer, or any security holder of the Issuer, upon request, full information regarding the number of shares and prices at which the trades were made.</w:t>
      </w:r>
    </w:p>
    <w:p>
      <w:pPr>
        <w:spacing w:after="0" w:line="16"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$92.01 to $93.00. The weighted-average price is reported above. The Reporting Person hereby undertakes to provide to the SEC staff, the Issuer, or any security holder of the Issuer, upon request, full information regarding the number of shares and prices at which the trades were made.</w:t>
      </w:r>
    </w:p>
    <w:p>
      <w:pPr>
        <w:spacing w:after="0" w:line="16"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23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$93.01 to $93.46. The weighted-average price is reported above. The Reporting Person hereby undertakes to provide to the SEC staff, the Issuer, or any security holder of the Issuer, upon request, full information regarding the number of shares and prices at which the trades were made.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Matthew Yorkavich,</w:t>
            </w:r>
          </w:p>
        </w:tc>
        <w:tc>
          <w:tcPr>
            <w:tcW w:w="620" w:type="dxa"/>
            <w:vAlign w:val="bottom"/>
            <w:gridSpan w:val="2"/>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140" w:type="dxa"/>
            <w:vAlign w:val="bottom"/>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8"/>
              </w:rPr>
              <w:t>attorney-in- fact for Baiju Bhatt</w:t>
            </w:r>
          </w:p>
        </w:tc>
        <w:tc>
          <w:tcPr>
            <w:tcW w:w="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tcBorders>
              <w:bottom w:val="single" w:sz="8" w:color="auto"/>
            </w:tcBorders>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6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70914" TargetMode="External"/><Relationship Id="rId14" Type="http://schemas.openxmlformats.org/officeDocument/2006/relationships/hyperlink" Target="http://www.sec.gov/cgi-bin/browse-edgar?action=getcompany&amp;CIK=00017838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2026-06-15T15:37:00Z</dcterms:created>
  <dcterms:modified xsi:type="dcterms:W3CDTF">2026-06-15T15:37:00Z</dcterms:modified>
</cp:coreProperties>
</file>