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Robinhood Markets, Inc.</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770700102</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220" w:right="140" w:hanging="216"/>
        <w:spacing w:after="0" w:line="308" w:lineRule="auto"/>
        <w:rPr>
          <w:rFonts w:ascii="MS PGothic" w:cs="MS PGothic" w:eastAsia="MS PGothic" w:hAnsi="MS PGothic"/>
          <w:sz w:val="18"/>
          <w:szCs w:val="18"/>
          <w:color w:val="auto"/>
        </w:rPr>
      </w:pPr>
      <w:r>
        <w:rPr>
          <w:rFonts w:ascii="Arial" w:cs="Arial" w:eastAsia="Arial" w:hAnsi="Arial"/>
          <w:sz w:val="17"/>
          <w:szCs w:val="17"/>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219710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80"/>
          </w:cols>
          <w:pgMar w:left="440" w:top="517" w:right="57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CUSIP No. 770700102</w:t>
            </w:r>
          </w:p>
        </w:tc>
        <w:tc>
          <w:tcPr>
            <w:tcW w:w="3780" w:type="dxa"/>
            <w:vAlign w:val="bottom"/>
          </w:tcPr>
          <w:p>
            <w:pPr>
              <w:ind w:left="820"/>
              <w:spacing w:after="0"/>
              <w:rPr>
                <w:sz w:val="20"/>
                <w:szCs w:val="20"/>
                <w:color w:val="auto"/>
              </w:rPr>
            </w:pPr>
            <w:r>
              <w:rPr>
                <w:rFonts w:ascii="Arial" w:cs="Arial" w:eastAsia="Arial" w:hAnsi="Arial"/>
                <w:sz w:val="18"/>
                <w:szCs w:val="18"/>
                <w:b w:val="1"/>
                <w:bCs w:val="1"/>
                <w:color w:val="auto"/>
              </w:rPr>
              <w:t>SCHEDULE 13G</w:t>
            </w:r>
          </w:p>
        </w:tc>
        <w:tc>
          <w:tcPr>
            <w:tcW w:w="3000" w:type="dxa"/>
            <w:vAlign w:val="bottom"/>
            <w:gridSpan w:val="2"/>
          </w:tcPr>
          <w:p>
            <w:pPr>
              <w:ind w:left="1580"/>
              <w:spacing w:after="0"/>
              <w:rPr>
                <w:sz w:val="20"/>
                <w:szCs w:val="20"/>
                <w:color w:val="auto"/>
              </w:rPr>
            </w:pPr>
            <w:r>
              <w:rPr>
                <w:rFonts w:ascii="Arial" w:cs="Arial" w:eastAsia="Arial" w:hAnsi="Arial"/>
                <w:sz w:val="18"/>
                <w:szCs w:val="18"/>
                <w:b w:val="1"/>
                <w:bCs w:val="1"/>
                <w:color w:val="auto"/>
                <w:w w:val="85"/>
              </w:rPr>
              <w:t>Page 2 of 14 Pages</w:t>
            </w:r>
          </w:p>
        </w:tc>
      </w:tr>
      <w:tr>
        <w:trPr>
          <w:trHeight w:val="148"/>
        </w:trPr>
        <w:tc>
          <w:tcPr>
            <w:tcW w:w="42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24"/>
        </w:trPr>
        <w:tc>
          <w:tcPr>
            <w:tcW w:w="424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689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689100"/>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-154305</wp:posOffset>
            </wp:positionV>
            <wp:extent cx="8890" cy="5400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00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b w:val="1"/>
                <w:bCs w:val="1"/>
                <w:color w:val="auto"/>
              </w:rPr>
              <w:t>Index Ventures VI (Jersey) L.P.</w:t>
            </w:r>
          </w:p>
        </w:tc>
        <w:tc>
          <w:tcPr>
            <w:tcW w:w="0" w:type="dxa"/>
            <w:vAlign w:val="bottom"/>
          </w:tcPr>
          <w:p>
            <w:pPr>
              <w:spacing w:after="0"/>
              <w:rPr>
                <w:sz w:val="1"/>
                <w:szCs w:val="1"/>
                <w:color w:val="auto"/>
              </w:rPr>
            </w:pPr>
          </w:p>
        </w:tc>
      </w:tr>
      <w:tr>
        <w:trPr>
          <w:trHeight w:val="164"/>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420" w:type="dxa"/>
            <w:vAlign w:val="bottom"/>
            <w:gridSpan w:val="5"/>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(b)</w:t>
            </w:r>
          </w:p>
        </w:tc>
        <w:tc>
          <w:tcPr>
            <w:tcW w:w="91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Jersey, Channel Islands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8"/>
              </w:rPr>
              <w:t>NUMBER OF</w:t>
            </w:r>
          </w:p>
        </w:tc>
        <w:tc>
          <w:tcPr>
            <w:tcW w:w="8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70,022,080 (1)</w:t>
            </w:r>
          </w:p>
        </w:tc>
        <w:tc>
          <w:tcPr>
            <w:tcW w:w="0" w:type="dxa"/>
            <w:vAlign w:val="bottom"/>
          </w:tcPr>
          <w:p>
            <w:pPr>
              <w:spacing w:after="0"/>
              <w:rPr>
                <w:sz w:val="1"/>
                <w:szCs w:val="1"/>
                <w:color w:val="auto"/>
              </w:rPr>
            </w:pPr>
          </w:p>
        </w:tc>
      </w:tr>
      <w:tr>
        <w:trPr>
          <w:trHeight w:val="48"/>
        </w:trPr>
        <w:tc>
          <w:tcPr>
            <w:tcW w:w="1440" w:type="dxa"/>
            <w:vAlign w:val="bottom"/>
            <w:gridSpan w:val="2"/>
            <w:vMerge w:val="continue"/>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60" w:type="dxa"/>
            <w:vAlign w:val="bottom"/>
            <w:vMerge w:val="restart"/>
          </w:tcPr>
          <w:p>
            <w:pPr>
              <w:jc w:val="center"/>
              <w:ind w:right="164"/>
              <w:spacing w:after="0"/>
              <w:rPr>
                <w:sz w:val="20"/>
                <w:szCs w:val="20"/>
                <w:color w:val="auto"/>
              </w:rPr>
            </w:pPr>
            <w:r>
              <w:rPr>
                <w:rFonts w:ascii="Arial" w:cs="Arial" w:eastAsia="Arial" w:hAnsi="Arial"/>
                <w:sz w:val="18"/>
                <w:szCs w:val="18"/>
                <w:color w:val="auto"/>
                <w:w w:val="94"/>
              </w:rPr>
              <w:t>SHARES</w:t>
            </w:r>
          </w:p>
        </w:tc>
        <w:tc>
          <w:tcPr>
            <w:tcW w:w="8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20" w:type="dxa"/>
            <w:vAlign w:val="bottom"/>
            <w:vMerge w:val="restart"/>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60" w:type="dxa"/>
            <w:vAlign w:val="bottom"/>
          </w:tcPr>
          <w:p>
            <w:pPr>
              <w:jc w:val="center"/>
              <w:ind w:right="164"/>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960" w:type="dxa"/>
            <w:vAlign w:val="bottom"/>
          </w:tcPr>
          <w:p>
            <w:pPr>
              <w:jc w:val="center"/>
              <w:ind w:right="164"/>
              <w:spacing w:after="0"/>
              <w:rPr>
                <w:sz w:val="20"/>
                <w:szCs w:val="20"/>
                <w:color w:val="auto"/>
              </w:rPr>
            </w:pPr>
            <w:r>
              <w:rPr>
                <w:rFonts w:ascii="Arial" w:cs="Arial" w:eastAsia="Arial" w:hAnsi="Arial"/>
                <w:sz w:val="18"/>
                <w:szCs w:val="18"/>
                <w:color w:val="auto"/>
                <w:w w:val="92"/>
              </w:rPr>
              <w:t>PERSON</w:t>
            </w:r>
          </w:p>
        </w:tc>
        <w:tc>
          <w:tcPr>
            <w:tcW w:w="8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020" w:type="dxa"/>
            <w:vAlign w:val="bottom"/>
          </w:tcPr>
          <w:p>
            <w:pPr>
              <w:ind w:left="180"/>
              <w:spacing w:after="0" w:line="244" w:lineRule="exact"/>
              <w:rPr>
                <w:sz w:val="20"/>
                <w:szCs w:val="20"/>
                <w:color w:val="auto"/>
              </w:rPr>
            </w:pPr>
            <w:r>
              <w:rPr>
                <w:rFonts w:ascii="Arial" w:cs="Arial" w:eastAsia="Arial" w:hAnsi="Arial"/>
                <w:sz w:val="22"/>
                <w:szCs w:val="22"/>
                <w:color w:val="auto"/>
              </w:rPr>
              <w:t>70,022,080 (1)</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960" w:type="dxa"/>
            <w:vAlign w:val="bottom"/>
            <w:vMerge w:val="restart"/>
          </w:tcPr>
          <w:p>
            <w:pPr>
              <w:jc w:val="center"/>
              <w:ind w:right="164"/>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70,022,080 (1)</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w w:val="88"/>
              </w:rPr>
              <w:t>9.6% (1)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2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PN</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24" w:right="20" w:hanging="424"/>
        <w:spacing w:after="0" w:line="289"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Index Ventures VI (Jersey) L.P. (“</w:t>
      </w:r>
      <w:r>
        <w:rPr>
          <w:rFonts w:ascii="Arial" w:cs="Arial" w:eastAsia="Arial" w:hAnsi="Arial"/>
          <w:sz w:val="16"/>
          <w:szCs w:val="16"/>
          <w:b w:val="1"/>
          <w:bCs w:val="1"/>
          <w:color w:val="auto"/>
        </w:rPr>
        <w:t>Index Ventures VI</w:t>
      </w:r>
      <w:r>
        <w:rPr>
          <w:rFonts w:ascii="Arial" w:cs="Arial" w:eastAsia="Arial" w:hAnsi="Arial"/>
          <w:sz w:val="16"/>
          <w:szCs w:val="16"/>
          <w:color w:val="auto"/>
        </w:rPr>
        <w:t>”) directly owns 70,022,080 shares of the Issuer’s Class A Common Stock, par value $0.0001 per share (“</w:t>
      </w:r>
      <w:r>
        <w:rPr>
          <w:rFonts w:ascii="Arial" w:cs="Arial" w:eastAsia="Arial" w:hAnsi="Arial"/>
          <w:sz w:val="16"/>
          <w:szCs w:val="16"/>
          <w:b w:val="1"/>
          <w:bCs w:val="1"/>
          <w:color w:val="auto"/>
        </w:rPr>
        <w:t>Class A Common Stock</w:t>
      </w:r>
      <w:r>
        <w:rPr>
          <w:rFonts w:ascii="Arial" w:cs="Arial" w:eastAsia="Arial" w:hAnsi="Arial"/>
          <w:sz w:val="16"/>
          <w:szCs w:val="16"/>
          <w:color w:val="auto"/>
        </w:rPr>
        <w:t>”). The percent of class was calculated based on 729,550,661 shares of Class A Common Stock outstanding as of October 27, 2021, as set forth in the Issuer’s Quarterly Report on Form 10-Q filed with the Securities and Exchange Commission on</w:t>
      </w:r>
    </w:p>
    <w:p>
      <w:pPr>
        <w:spacing w:after="0" w:line="1"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8"/>
          <w:szCs w:val="18"/>
          <w:color w:val="auto"/>
        </w:rPr>
        <w:t>October 29, 2021.</w:t>
      </w:r>
    </w:p>
    <w:p>
      <w:pPr>
        <w:sectPr>
          <w:pgSz w:w="11900" w:h="16838" w:orient="portrait"/>
          <w:cols w:equalWidth="0" w:num="1">
            <w:col w:w="11024"/>
          </w:cols>
          <w:pgMar w:left="436" w:top="270" w:right="439" w:bottom="1440" w:gutter="0" w:footer="0" w:header="0"/>
        </w:sectPr>
      </w:pPr>
    </w:p>
    <w:bookmarkStart w:id="2" w:name="page3"/>
    <w:bookmarkEnd w:id="2"/>
    <w:p>
      <w:pPr>
        <w:ind w:left="4"/>
        <w:spacing w:after="0"/>
        <w:tabs>
          <w:tab w:leader="none" w:pos="5044" w:val="left"/>
          <w:tab w:leader="none" w:pos="95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770700102</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3 of 14 Pages</w:t>
      </w:r>
    </w:p>
    <w:p>
      <w:pPr>
        <w:spacing w:after="0" w:line="175" w:lineRule="exact"/>
        <w:rPr>
          <w:sz w:val="20"/>
          <w:szCs w:val="20"/>
          <w:color w:val="auto"/>
        </w:rPr>
      </w:pPr>
    </w:p>
    <w:p>
      <w:pPr>
        <w:ind w:left="664" w:hanging="417"/>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400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400675"/>
                    </a:xfrm>
                    <a:prstGeom prst="rect">
                      <a:avLst/>
                    </a:prstGeom>
                    <a:noFill/>
                  </pic:spPr>
                </pic:pic>
              </a:graphicData>
            </a:graphic>
          </wp:anchor>
        </w:drawing>
      </w:r>
    </w:p>
    <w:p>
      <w:pPr>
        <w:spacing w:after="0" w:line="219" w:lineRule="exact"/>
        <w:rPr>
          <w:sz w:val="20"/>
          <w:szCs w:val="20"/>
          <w:color w:val="auto"/>
        </w:rPr>
      </w:pPr>
    </w:p>
    <w:p>
      <w:pPr>
        <w:ind w:left="684"/>
        <w:spacing w:after="0"/>
        <w:rPr>
          <w:sz w:val="20"/>
          <w:szCs w:val="20"/>
          <w:color w:val="auto"/>
        </w:rPr>
      </w:pPr>
      <w:r>
        <w:rPr>
          <w:rFonts w:ascii="Arial" w:cs="Arial" w:eastAsia="Arial" w:hAnsi="Arial"/>
          <w:sz w:val="22"/>
          <w:szCs w:val="22"/>
          <w:b w:val="1"/>
          <w:bCs w:val="1"/>
          <w:color w:val="auto"/>
        </w:rPr>
        <w:t>Index Ventures VI Parallel Entrepreneur Fund (Jersey) L.P.</w:t>
      </w:r>
    </w:p>
    <w:p>
      <w:pPr>
        <w:spacing w:after="0" w:line="30" w:lineRule="exact"/>
        <w:rPr>
          <w:sz w:val="20"/>
          <w:szCs w:val="20"/>
          <w:color w:val="auto"/>
        </w:rPr>
      </w:pPr>
    </w:p>
    <w:p>
      <w:pPr>
        <w:ind w:left="664" w:hanging="417"/>
        <w:spacing w:after="0"/>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84"/>
        <w:spacing w:after="0"/>
        <w:rPr>
          <w:sz w:val="20"/>
          <w:szCs w:val="20"/>
          <w:color w:val="auto"/>
        </w:rPr>
      </w:pPr>
      <w:r>
        <w:rPr>
          <w:rFonts w:ascii="Arial" w:cs="Arial" w:eastAsia="Arial" w:hAnsi="Arial"/>
          <w:sz w:val="22"/>
          <w:szCs w:val="22"/>
          <w:color w:val="auto"/>
        </w:rPr>
        <w:t>Jersey, Channel Islands</w:t>
      </w:r>
    </w:p>
    <w:p>
      <w:pPr>
        <w:spacing w:after="0" w:line="24" w:lineRule="exact"/>
        <w:rPr>
          <w:sz w:val="20"/>
          <w:szCs w:val="20"/>
          <w:color w:val="auto"/>
        </w:rPr>
      </w:pPr>
    </w:p>
    <w:p>
      <w:pPr>
        <w:ind w:left="2044" w:hanging="411"/>
        <w:spacing w:after="0"/>
        <w:tabs>
          <w:tab w:leader="none" w:pos="2044"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tbl>
      <w:tblPr>
        <w:tblLayout w:type="fixed"/>
        <w:tblInd w:w="204" w:type="dxa"/>
        <w:tblCellMar>
          <w:top w:w="0" w:type="dxa"/>
          <w:left w:w="0" w:type="dxa"/>
          <w:bottom w:w="0" w:type="dxa"/>
          <w:right w:w="0" w:type="dxa"/>
        </w:tblCellMar>
      </w:tblPr>
      <w:tr>
        <w:trPr>
          <w:trHeight w:val="27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1,413,380 (1)</w:t>
            </w:r>
          </w:p>
        </w:tc>
        <w:tc>
          <w:tcPr>
            <w:tcW w:w="0" w:type="dxa"/>
            <w:vAlign w:val="bottom"/>
          </w:tcPr>
          <w:p>
            <w:pPr>
              <w:spacing w:after="0"/>
              <w:rPr>
                <w:sz w:val="1"/>
                <w:szCs w:val="1"/>
                <w:color w:val="auto"/>
              </w:rPr>
            </w:pPr>
          </w:p>
        </w:tc>
      </w:tr>
      <w:tr>
        <w:trPr>
          <w:trHeight w:val="48"/>
        </w:trPr>
        <w:tc>
          <w:tcPr>
            <w:tcW w:w="1300" w:type="dxa"/>
            <w:vAlign w:val="bottom"/>
            <w:vMerge w:val="continue"/>
          </w:tcPr>
          <w:p>
            <w:pPr>
              <w:spacing w:after="0"/>
              <w:rPr>
                <w:sz w:val="4"/>
                <w:szCs w:val="4"/>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vMerge w:val="continue"/>
          </w:tcPr>
          <w:p>
            <w:pPr>
              <w:spacing w:after="0"/>
              <w:rPr>
                <w:sz w:val="15"/>
                <w:szCs w:val="15"/>
                <w:color w:val="auto"/>
              </w:rPr>
            </w:pPr>
          </w:p>
        </w:tc>
        <w:tc>
          <w:tcPr>
            <w:tcW w:w="9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0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9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21"/>
                <w:szCs w:val="21"/>
                <w:color w:val="auto"/>
              </w:rPr>
            </w:pPr>
          </w:p>
        </w:tc>
        <w:tc>
          <w:tcPr>
            <w:tcW w:w="9000" w:type="dxa"/>
            <w:vAlign w:val="bottom"/>
          </w:tcPr>
          <w:p>
            <w:pPr>
              <w:ind w:left="160"/>
              <w:spacing w:after="0" w:line="244" w:lineRule="exact"/>
              <w:rPr>
                <w:sz w:val="20"/>
                <w:szCs w:val="20"/>
                <w:color w:val="auto"/>
              </w:rPr>
            </w:pPr>
            <w:r>
              <w:rPr>
                <w:rFonts w:ascii="Arial" w:cs="Arial" w:eastAsia="Arial" w:hAnsi="Arial"/>
                <w:sz w:val="22"/>
                <w:szCs w:val="22"/>
                <w:color w:val="auto"/>
              </w:rPr>
              <w:t>1,413,380 (1)</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064"/>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644" w:hanging="397"/>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684"/>
        <w:spacing w:after="0"/>
        <w:rPr>
          <w:sz w:val="20"/>
          <w:szCs w:val="20"/>
          <w:color w:val="auto"/>
        </w:rPr>
      </w:pPr>
      <w:r>
        <w:rPr>
          <w:rFonts w:ascii="Arial" w:cs="Arial" w:eastAsia="Arial" w:hAnsi="Arial"/>
          <w:sz w:val="22"/>
          <w:szCs w:val="22"/>
          <w:color w:val="auto"/>
        </w:rPr>
        <w:t>1,413,380 (1)</w:t>
      </w:r>
    </w:p>
    <w:p>
      <w:pPr>
        <w:spacing w:after="0" w:line="24" w:lineRule="exact"/>
        <w:rPr>
          <w:sz w:val="20"/>
          <w:szCs w:val="20"/>
          <w:color w:val="auto"/>
        </w:rPr>
      </w:pPr>
    </w:p>
    <w:p>
      <w:pPr>
        <w:ind w:left="664" w:hanging="507"/>
        <w:spacing w:after="0"/>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8" w:lineRule="exact"/>
        <w:rPr>
          <w:sz w:val="20"/>
          <w:szCs w:val="20"/>
          <w:color w:val="auto"/>
        </w:rPr>
      </w:pPr>
    </w:p>
    <w:p>
      <w:pPr>
        <w:ind w:left="68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664" w:hanging="507"/>
        <w:spacing w:after="0"/>
        <w:tabs>
          <w:tab w:leader="none" w:pos="6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9" w:lineRule="exact"/>
        <w:rPr>
          <w:sz w:val="20"/>
          <w:szCs w:val="20"/>
          <w:color w:val="auto"/>
        </w:rPr>
      </w:pPr>
    </w:p>
    <w:p>
      <w:pPr>
        <w:ind w:left="684"/>
        <w:spacing w:after="0"/>
        <w:rPr>
          <w:sz w:val="20"/>
          <w:szCs w:val="20"/>
          <w:color w:val="auto"/>
        </w:rPr>
      </w:pPr>
      <w:r>
        <w:rPr>
          <w:rFonts w:ascii="Arial" w:cs="Arial" w:eastAsia="Arial" w:hAnsi="Arial"/>
          <w:sz w:val="22"/>
          <w:szCs w:val="22"/>
          <w:color w:val="auto"/>
        </w:rPr>
        <w:t>0.2% (1)</w:t>
      </w:r>
    </w:p>
    <w:p>
      <w:pPr>
        <w:spacing w:after="0" w:line="24" w:lineRule="exact"/>
        <w:rPr>
          <w:sz w:val="20"/>
          <w:szCs w:val="20"/>
          <w:color w:val="auto"/>
        </w:rPr>
      </w:pPr>
    </w:p>
    <w:p>
      <w:pPr>
        <w:ind w:left="644" w:hanging="487"/>
        <w:spacing w:after="0"/>
        <w:tabs>
          <w:tab w:leader="none" w:pos="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5" w:lineRule="exact"/>
        <w:rPr>
          <w:sz w:val="20"/>
          <w:szCs w:val="20"/>
          <w:color w:val="auto"/>
        </w:rPr>
      </w:pPr>
    </w:p>
    <w:p>
      <w:pPr>
        <w:ind w:left="684"/>
        <w:spacing w:after="0"/>
        <w:rPr>
          <w:sz w:val="20"/>
          <w:szCs w:val="20"/>
          <w:color w:val="auto"/>
        </w:rPr>
      </w:pPr>
      <w:r>
        <w:rPr>
          <w:rFonts w:ascii="Arial" w:cs="Arial" w:eastAsia="Arial" w:hAnsi="Arial"/>
          <w:sz w:val="22"/>
          <w:szCs w:val="22"/>
          <w:color w:val="auto"/>
        </w:rPr>
        <w:t>PN</w:t>
      </w:r>
    </w:p>
    <w:p>
      <w:pPr>
        <w:spacing w:after="0" w:line="263" w:lineRule="exact"/>
        <w:rPr>
          <w:sz w:val="20"/>
          <w:szCs w:val="20"/>
          <w:color w:val="auto"/>
        </w:rPr>
      </w:pPr>
    </w:p>
    <w:p>
      <w:pPr>
        <w:ind w:left="424" w:right="60" w:hanging="424"/>
        <w:spacing w:after="0" w:line="261"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Index Ventures VI Parallel Entrepreneur Fund (Jersey) L.P. (“</w:t>
      </w:r>
      <w:r>
        <w:rPr>
          <w:rFonts w:ascii="Arial" w:cs="Arial" w:eastAsia="Arial" w:hAnsi="Arial"/>
          <w:sz w:val="18"/>
          <w:szCs w:val="18"/>
          <w:b w:val="1"/>
          <w:bCs w:val="1"/>
          <w:color w:val="auto"/>
        </w:rPr>
        <w:t>Index Ventures VI Parallel</w:t>
      </w:r>
      <w:r>
        <w:rPr>
          <w:rFonts w:ascii="Arial" w:cs="Arial" w:eastAsia="Arial" w:hAnsi="Arial"/>
          <w:sz w:val="18"/>
          <w:szCs w:val="18"/>
          <w:color w:val="auto"/>
        </w:rPr>
        <w:t>” and together with Index Ventures VI, the “</w:t>
      </w:r>
      <w:r>
        <w:rPr>
          <w:rFonts w:ascii="Arial" w:cs="Arial" w:eastAsia="Arial" w:hAnsi="Arial"/>
          <w:sz w:val="18"/>
          <w:szCs w:val="18"/>
          <w:b w:val="1"/>
          <w:bCs w:val="1"/>
          <w:color w:val="auto"/>
        </w:rPr>
        <w:t>Index VI</w:t>
      </w:r>
      <w:r>
        <w:rPr>
          <w:rFonts w:ascii="Arial" w:cs="Arial" w:eastAsia="Arial" w:hAnsi="Arial"/>
          <w:sz w:val="18"/>
          <w:szCs w:val="18"/>
          <w:color w:val="auto"/>
        </w:rPr>
        <w:t xml:space="preserve"> </w:t>
      </w:r>
      <w:r>
        <w:rPr>
          <w:rFonts w:ascii="Arial" w:cs="Arial" w:eastAsia="Arial" w:hAnsi="Arial"/>
          <w:sz w:val="18"/>
          <w:szCs w:val="18"/>
          <w:b w:val="1"/>
          <w:bCs w:val="1"/>
          <w:color w:val="auto"/>
        </w:rPr>
        <w:t>Funds</w:t>
      </w:r>
      <w:r>
        <w:rPr>
          <w:rFonts w:ascii="Arial" w:cs="Arial" w:eastAsia="Arial" w:hAnsi="Arial"/>
          <w:sz w:val="18"/>
          <w:szCs w:val="18"/>
          <w:color w:val="auto"/>
        </w:rPr>
        <w:t>”) directly owns 1,413,380 shares of the Issuer’s Class A Common Stock. The percent of class was calculated based on 729,550,661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Class A Common Stock outstanding as of October 27, 2021, as set forth in the Issuer’s Quarterly Report on Form 10-Q filed with the Securities and Exchange Commission on October 29, 2021.</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CUSIP No. 770700102</w:t>
            </w:r>
          </w:p>
        </w:tc>
        <w:tc>
          <w:tcPr>
            <w:tcW w:w="3780" w:type="dxa"/>
            <w:vAlign w:val="bottom"/>
          </w:tcPr>
          <w:p>
            <w:pPr>
              <w:ind w:left="820"/>
              <w:spacing w:after="0"/>
              <w:rPr>
                <w:sz w:val="20"/>
                <w:szCs w:val="20"/>
                <w:color w:val="auto"/>
              </w:rPr>
            </w:pPr>
            <w:r>
              <w:rPr>
                <w:rFonts w:ascii="Arial" w:cs="Arial" w:eastAsia="Arial" w:hAnsi="Arial"/>
                <w:sz w:val="18"/>
                <w:szCs w:val="18"/>
                <w:b w:val="1"/>
                <w:bCs w:val="1"/>
                <w:color w:val="auto"/>
              </w:rPr>
              <w:t>SCHEDULE 13G</w:t>
            </w:r>
          </w:p>
        </w:tc>
        <w:tc>
          <w:tcPr>
            <w:tcW w:w="3000" w:type="dxa"/>
            <w:vAlign w:val="bottom"/>
            <w:gridSpan w:val="2"/>
          </w:tcPr>
          <w:p>
            <w:pPr>
              <w:ind w:left="1580"/>
              <w:spacing w:after="0"/>
              <w:rPr>
                <w:sz w:val="20"/>
                <w:szCs w:val="20"/>
                <w:color w:val="auto"/>
              </w:rPr>
            </w:pPr>
            <w:r>
              <w:rPr>
                <w:rFonts w:ascii="Arial" w:cs="Arial" w:eastAsia="Arial" w:hAnsi="Arial"/>
                <w:sz w:val="18"/>
                <w:szCs w:val="18"/>
                <w:b w:val="1"/>
                <w:bCs w:val="1"/>
                <w:color w:val="auto"/>
                <w:w w:val="85"/>
              </w:rPr>
              <w:t>Page 4 of 14 Pages</w:t>
            </w:r>
          </w:p>
        </w:tc>
      </w:tr>
      <w:tr>
        <w:trPr>
          <w:trHeight w:val="148"/>
        </w:trPr>
        <w:tc>
          <w:tcPr>
            <w:tcW w:w="42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24"/>
        </w:trPr>
        <w:tc>
          <w:tcPr>
            <w:tcW w:w="424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689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89100"/>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-154305</wp:posOffset>
            </wp:positionV>
            <wp:extent cx="8890" cy="5400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00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b w:val="1"/>
                <w:bCs w:val="1"/>
                <w:color w:val="auto"/>
              </w:rPr>
              <w:t>Index Venture Associates VI Limited</w:t>
            </w:r>
          </w:p>
        </w:tc>
        <w:tc>
          <w:tcPr>
            <w:tcW w:w="0" w:type="dxa"/>
            <w:vAlign w:val="bottom"/>
          </w:tcPr>
          <w:p>
            <w:pPr>
              <w:spacing w:after="0"/>
              <w:rPr>
                <w:sz w:val="1"/>
                <w:szCs w:val="1"/>
                <w:color w:val="auto"/>
              </w:rPr>
            </w:pPr>
          </w:p>
        </w:tc>
      </w:tr>
      <w:tr>
        <w:trPr>
          <w:trHeight w:val="164"/>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420" w:type="dxa"/>
            <w:vAlign w:val="bottom"/>
            <w:gridSpan w:val="5"/>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(b)</w:t>
            </w:r>
          </w:p>
        </w:tc>
        <w:tc>
          <w:tcPr>
            <w:tcW w:w="91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Jersey, Channel Islands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8"/>
              </w:rPr>
              <w:t>NUMBER OF</w:t>
            </w:r>
          </w:p>
        </w:tc>
        <w:tc>
          <w:tcPr>
            <w:tcW w:w="8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72,339,700 (1)</w:t>
            </w:r>
          </w:p>
        </w:tc>
        <w:tc>
          <w:tcPr>
            <w:tcW w:w="0" w:type="dxa"/>
            <w:vAlign w:val="bottom"/>
          </w:tcPr>
          <w:p>
            <w:pPr>
              <w:spacing w:after="0"/>
              <w:rPr>
                <w:sz w:val="1"/>
                <w:szCs w:val="1"/>
                <w:color w:val="auto"/>
              </w:rPr>
            </w:pPr>
          </w:p>
        </w:tc>
      </w:tr>
      <w:tr>
        <w:trPr>
          <w:trHeight w:val="48"/>
        </w:trPr>
        <w:tc>
          <w:tcPr>
            <w:tcW w:w="1440" w:type="dxa"/>
            <w:vAlign w:val="bottom"/>
            <w:gridSpan w:val="2"/>
            <w:vMerge w:val="continue"/>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60" w:type="dxa"/>
            <w:vAlign w:val="bottom"/>
            <w:vMerge w:val="restart"/>
          </w:tcPr>
          <w:p>
            <w:pPr>
              <w:jc w:val="center"/>
              <w:ind w:right="164"/>
              <w:spacing w:after="0"/>
              <w:rPr>
                <w:sz w:val="20"/>
                <w:szCs w:val="20"/>
                <w:color w:val="auto"/>
              </w:rPr>
            </w:pPr>
            <w:r>
              <w:rPr>
                <w:rFonts w:ascii="Arial" w:cs="Arial" w:eastAsia="Arial" w:hAnsi="Arial"/>
                <w:sz w:val="18"/>
                <w:szCs w:val="18"/>
                <w:color w:val="auto"/>
                <w:w w:val="94"/>
              </w:rPr>
              <w:t>SHARES</w:t>
            </w:r>
          </w:p>
        </w:tc>
        <w:tc>
          <w:tcPr>
            <w:tcW w:w="8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20" w:type="dxa"/>
            <w:vAlign w:val="bottom"/>
            <w:vMerge w:val="restart"/>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60" w:type="dxa"/>
            <w:vAlign w:val="bottom"/>
          </w:tcPr>
          <w:p>
            <w:pPr>
              <w:jc w:val="center"/>
              <w:ind w:right="164"/>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960" w:type="dxa"/>
            <w:vAlign w:val="bottom"/>
          </w:tcPr>
          <w:p>
            <w:pPr>
              <w:jc w:val="center"/>
              <w:ind w:right="164"/>
              <w:spacing w:after="0"/>
              <w:rPr>
                <w:sz w:val="20"/>
                <w:szCs w:val="20"/>
                <w:color w:val="auto"/>
              </w:rPr>
            </w:pPr>
            <w:r>
              <w:rPr>
                <w:rFonts w:ascii="Arial" w:cs="Arial" w:eastAsia="Arial" w:hAnsi="Arial"/>
                <w:sz w:val="18"/>
                <w:szCs w:val="18"/>
                <w:color w:val="auto"/>
                <w:w w:val="92"/>
              </w:rPr>
              <w:t>PERSON</w:t>
            </w:r>
          </w:p>
        </w:tc>
        <w:tc>
          <w:tcPr>
            <w:tcW w:w="8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020" w:type="dxa"/>
            <w:vAlign w:val="bottom"/>
          </w:tcPr>
          <w:p>
            <w:pPr>
              <w:ind w:left="180"/>
              <w:spacing w:after="0" w:line="244" w:lineRule="exact"/>
              <w:rPr>
                <w:sz w:val="20"/>
                <w:szCs w:val="20"/>
                <w:color w:val="auto"/>
              </w:rPr>
            </w:pPr>
            <w:r>
              <w:rPr>
                <w:rFonts w:ascii="Arial" w:cs="Arial" w:eastAsia="Arial" w:hAnsi="Arial"/>
                <w:sz w:val="22"/>
                <w:szCs w:val="22"/>
                <w:color w:val="auto"/>
              </w:rPr>
              <w:t>72,339,700 (1)</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960" w:type="dxa"/>
            <w:vAlign w:val="bottom"/>
            <w:vMerge w:val="restart"/>
          </w:tcPr>
          <w:p>
            <w:pPr>
              <w:jc w:val="center"/>
              <w:ind w:right="164"/>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72,339,700 (1)</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w w:val="88"/>
              </w:rPr>
              <w:t>9.9% (1)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2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CO</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80" w:hanging="4"/>
        <w:spacing w:after="0" w:line="303" w:lineRule="auto"/>
        <w:tabs>
          <w:tab w:leader="none" w:pos="25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Index Venture Associates VI Limited (“</w:t>
      </w:r>
      <w:r>
        <w:rPr>
          <w:rFonts w:ascii="Arial" w:cs="Arial" w:eastAsia="Arial" w:hAnsi="Arial"/>
          <w:sz w:val="16"/>
          <w:szCs w:val="16"/>
          <w:b w:val="1"/>
          <w:bCs w:val="1"/>
          <w:color w:val="auto"/>
        </w:rPr>
        <w:t>IVA VI</w:t>
      </w:r>
      <w:r>
        <w:rPr>
          <w:rFonts w:ascii="Arial" w:cs="Arial" w:eastAsia="Arial" w:hAnsi="Arial"/>
          <w:sz w:val="16"/>
          <w:szCs w:val="16"/>
          <w:color w:val="auto"/>
        </w:rPr>
        <w:t>”) may be deemed to beneficially own an aggregate of 72,339,700 shares of Class A Common Stock, consisting of (i) 71,435,460 shares of Class A Common Stock held directly by the Index VI Funds and (ii) 904,240 shares of Class A Common Stock held directly by Yucca. The percent of class was calculated based on 729,550,661 shares of Class A Common Stock outstanding as of October 27, 2021, as set forth in the Issuer’s Quarterly Report on Form 10-Q filed with the Securities and Exchange Commission on October 29, 2021.</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CUSIP No. 770700102</w:t>
            </w:r>
          </w:p>
        </w:tc>
        <w:tc>
          <w:tcPr>
            <w:tcW w:w="3780" w:type="dxa"/>
            <w:vAlign w:val="bottom"/>
          </w:tcPr>
          <w:p>
            <w:pPr>
              <w:ind w:left="820"/>
              <w:spacing w:after="0"/>
              <w:rPr>
                <w:sz w:val="20"/>
                <w:szCs w:val="20"/>
                <w:color w:val="auto"/>
              </w:rPr>
            </w:pPr>
            <w:r>
              <w:rPr>
                <w:rFonts w:ascii="Arial" w:cs="Arial" w:eastAsia="Arial" w:hAnsi="Arial"/>
                <w:sz w:val="18"/>
                <w:szCs w:val="18"/>
                <w:b w:val="1"/>
                <w:bCs w:val="1"/>
                <w:color w:val="auto"/>
              </w:rPr>
              <w:t>SCHEDULE 13G</w:t>
            </w:r>
          </w:p>
        </w:tc>
        <w:tc>
          <w:tcPr>
            <w:tcW w:w="3000" w:type="dxa"/>
            <w:vAlign w:val="bottom"/>
            <w:gridSpan w:val="2"/>
          </w:tcPr>
          <w:p>
            <w:pPr>
              <w:ind w:left="1580"/>
              <w:spacing w:after="0"/>
              <w:rPr>
                <w:sz w:val="20"/>
                <w:szCs w:val="20"/>
                <w:color w:val="auto"/>
              </w:rPr>
            </w:pPr>
            <w:r>
              <w:rPr>
                <w:rFonts w:ascii="Arial" w:cs="Arial" w:eastAsia="Arial" w:hAnsi="Arial"/>
                <w:sz w:val="18"/>
                <w:szCs w:val="18"/>
                <w:b w:val="1"/>
                <w:bCs w:val="1"/>
                <w:color w:val="auto"/>
                <w:w w:val="85"/>
              </w:rPr>
              <w:t>Page 5 of 14 Pages</w:t>
            </w:r>
          </w:p>
        </w:tc>
      </w:tr>
      <w:tr>
        <w:trPr>
          <w:trHeight w:val="148"/>
        </w:trPr>
        <w:tc>
          <w:tcPr>
            <w:tcW w:w="42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24"/>
        </w:trPr>
        <w:tc>
          <w:tcPr>
            <w:tcW w:w="424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688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688465"/>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-154305</wp:posOffset>
            </wp:positionV>
            <wp:extent cx="8890" cy="5400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00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b w:val="1"/>
                <w:bCs w:val="1"/>
                <w:color w:val="auto"/>
              </w:rPr>
              <w:t>Index Ventures Growth III (Jersey), L.P.</w:t>
            </w:r>
          </w:p>
        </w:tc>
        <w:tc>
          <w:tcPr>
            <w:tcW w:w="0" w:type="dxa"/>
            <w:vAlign w:val="bottom"/>
          </w:tcPr>
          <w:p>
            <w:pPr>
              <w:spacing w:after="0"/>
              <w:rPr>
                <w:sz w:val="1"/>
                <w:szCs w:val="1"/>
                <w:color w:val="auto"/>
              </w:rPr>
            </w:pPr>
          </w:p>
        </w:tc>
      </w:tr>
      <w:tr>
        <w:trPr>
          <w:trHeight w:val="164"/>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420" w:type="dxa"/>
            <w:vAlign w:val="bottom"/>
            <w:gridSpan w:val="5"/>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(b)</w:t>
            </w:r>
          </w:p>
        </w:tc>
        <w:tc>
          <w:tcPr>
            <w:tcW w:w="91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Jersey, Channel Islands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8"/>
              </w:rPr>
              <w:t>NUMBER OF</w:t>
            </w:r>
          </w:p>
        </w:tc>
        <w:tc>
          <w:tcPr>
            <w:tcW w:w="8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10,296,520 (1)</w:t>
            </w:r>
          </w:p>
        </w:tc>
        <w:tc>
          <w:tcPr>
            <w:tcW w:w="0" w:type="dxa"/>
            <w:vAlign w:val="bottom"/>
          </w:tcPr>
          <w:p>
            <w:pPr>
              <w:spacing w:after="0"/>
              <w:rPr>
                <w:sz w:val="1"/>
                <w:szCs w:val="1"/>
                <w:color w:val="auto"/>
              </w:rPr>
            </w:pPr>
          </w:p>
        </w:tc>
      </w:tr>
      <w:tr>
        <w:trPr>
          <w:trHeight w:val="48"/>
        </w:trPr>
        <w:tc>
          <w:tcPr>
            <w:tcW w:w="1440" w:type="dxa"/>
            <w:vAlign w:val="bottom"/>
            <w:gridSpan w:val="2"/>
            <w:vMerge w:val="continue"/>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60" w:type="dxa"/>
            <w:vAlign w:val="bottom"/>
            <w:vMerge w:val="restart"/>
          </w:tcPr>
          <w:p>
            <w:pPr>
              <w:jc w:val="center"/>
              <w:ind w:right="164"/>
              <w:spacing w:after="0"/>
              <w:rPr>
                <w:sz w:val="20"/>
                <w:szCs w:val="20"/>
                <w:color w:val="auto"/>
              </w:rPr>
            </w:pPr>
            <w:r>
              <w:rPr>
                <w:rFonts w:ascii="Arial" w:cs="Arial" w:eastAsia="Arial" w:hAnsi="Arial"/>
                <w:sz w:val="18"/>
                <w:szCs w:val="18"/>
                <w:color w:val="auto"/>
                <w:w w:val="94"/>
              </w:rPr>
              <w:t>SHARES</w:t>
            </w:r>
          </w:p>
        </w:tc>
        <w:tc>
          <w:tcPr>
            <w:tcW w:w="8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20" w:type="dxa"/>
            <w:vAlign w:val="bottom"/>
            <w:vMerge w:val="restart"/>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60" w:type="dxa"/>
            <w:vAlign w:val="bottom"/>
          </w:tcPr>
          <w:p>
            <w:pPr>
              <w:jc w:val="center"/>
              <w:ind w:right="164"/>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960" w:type="dxa"/>
            <w:vAlign w:val="bottom"/>
          </w:tcPr>
          <w:p>
            <w:pPr>
              <w:jc w:val="center"/>
              <w:ind w:right="164"/>
              <w:spacing w:after="0"/>
              <w:rPr>
                <w:sz w:val="20"/>
                <w:szCs w:val="20"/>
                <w:color w:val="auto"/>
              </w:rPr>
            </w:pPr>
            <w:r>
              <w:rPr>
                <w:rFonts w:ascii="Arial" w:cs="Arial" w:eastAsia="Arial" w:hAnsi="Arial"/>
                <w:sz w:val="18"/>
                <w:szCs w:val="18"/>
                <w:color w:val="auto"/>
                <w:w w:val="92"/>
              </w:rPr>
              <w:t>PERSON</w:t>
            </w:r>
          </w:p>
        </w:tc>
        <w:tc>
          <w:tcPr>
            <w:tcW w:w="8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020" w:type="dxa"/>
            <w:vAlign w:val="bottom"/>
          </w:tcPr>
          <w:p>
            <w:pPr>
              <w:ind w:left="180"/>
              <w:spacing w:after="0" w:line="244" w:lineRule="exact"/>
              <w:rPr>
                <w:sz w:val="20"/>
                <w:szCs w:val="20"/>
                <w:color w:val="auto"/>
              </w:rPr>
            </w:pPr>
            <w:r>
              <w:rPr>
                <w:rFonts w:ascii="Arial" w:cs="Arial" w:eastAsia="Arial" w:hAnsi="Arial"/>
                <w:sz w:val="22"/>
                <w:szCs w:val="22"/>
                <w:color w:val="auto"/>
              </w:rPr>
              <w:t>10,296,520 (1)</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960" w:type="dxa"/>
            <w:vAlign w:val="bottom"/>
            <w:vMerge w:val="restart"/>
          </w:tcPr>
          <w:p>
            <w:pPr>
              <w:jc w:val="center"/>
              <w:ind w:right="164"/>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10,296,520 (1)</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w w:val="88"/>
              </w:rPr>
              <w:t>1.4% (1)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2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PN</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380" w:hanging="424"/>
        <w:spacing w:after="0" w:line="289"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Index Ventures Growth III (Jersey), L.P. (“</w:t>
      </w:r>
      <w:r>
        <w:rPr>
          <w:rFonts w:ascii="Arial" w:cs="Arial" w:eastAsia="Arial" w:hAnsi="Arial"/>
          <w:sz w:val="17"/>
          <w:szCs w:val="17"/>
          <w:b w:val="1"/>
          <w:bCs w:val="1"/>
          <w:color w:val="auto"/>
        </w:rPr>
        <w:t>Index Growth III</w:t>
      </w:r>
      <w:r>
        <w:rPr>
          <w:rFonts w:ascii="Arial" w:cs="Arial" w:eastAsia="Arial" w:hAnsi="Arial"/>
          <w:sz w:val="17"/>
          <w:szCs w:val="17"/>
          <w:color w:val="auto"/>
        </w:rPr>
        <w:t>”) directly owns 10,296,520 shares of the Issuer’s Class A Common Stock. The percent of class was calculated based on 729,550,661 shares of Class A Common Stock outstanding as of October 27, 2021, as set forth in the Issuer’s Quarterly Report on Form 10-Q filed with the Securities and Exchange Commission on October 29, 2021.</w:t>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CUSIP No. 770700102</w:t>
            </w:r>
          </w:p>
        </w:tc>
        <w:tc>
          <w:tcPr>
            <w:tcW w:w="3780" w:type="dxa"/>
            <w:vAlign w:val="bottom"/>
          </w:tcPr>
          <w:p>
            <w:pPr>
              <w:ind w:left="820"/>
              <w:spacing w:after="0"/>
              <w:rPr>
                <w:sz w:val="20"/>
                <w:szCs w:val="20"/>
                <w:color w:val="auto"/>
              </w:rPr>
            </w:pPr>
            <w:r>
              <w:rPr>
                <w:rFonts w:ascii="Arial" w:cs="Arial" w:eastAsia="Arial" w:hAnsi="Arial"/>
                <w:sz w:val="18"/>
                <w:szCs w:val="18"/>
                <w:b w:val="1"/>
                <w:bCs w:val="1"/>
                <w:color w:val="auto"/>
              </w:rPr>
              <w:t>SCHEDULE 13G</w:t>
            </w:r>
          </w:p>
        </w:tc>
        <w:tc>
          <w:tcPr>
            <w:tcW w:w="3000" w:type="dxa"/>
            <w:vAlign w:val="bottom"/>
            <w:gridSpan w:val="2"/>
          </w:tcPr>
          <w:p>
            <w:pPr>
              <w:ind w:left="1580"/>
              <w:spacing w:after="0"/>
              <w:rPr>
                <w:sz w:val="20"/>
                <w:szCs w:val="20"/>
                <w:color w:val="auto"/>
              </w:rPr>
            </w:pPr>
            <w:r>
              <w:rPr>
                <w:rFonts w:ascii="Arial" w:cs="Arial" w:eastAsia="Arial" w:hAnsi="Arial"/>
                <w:sz w:val="18"/>
                <w:szCs w:val="18"/>
                <w:b w:val="1"/>
                <w:bCs w:val="1"/>
                <w:color w:val="auto"/>
                <w:w w:val="85"/>
              </w:rPr>
              <w:t>Page 6 of 14 Pages</w:t>
            </w:r>
          </w:p>
        </w:tc>
      </w:tr>
      <w:tr>
        <w:trPr>
          <w:trHeight w:val="148"/>
        </w:trPr>
        <w:tc>
          <w:tcPr>
            <w:tcW w:w="42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24"/>
        </w:trPr>
        <w:tc>
          <w:tcPr>
            <w:tcW w:w="424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689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89100"/>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-154305</wp:posOffset>
            </wp:positionV>
            <wp:extent cx="8890" cy="5400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00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b w:val="1"/>
                <w:bCs w:val="1"/>
                <w:color w:val="auto"/>
              </w:rPr>
              <w:t>Index Venture Growth Associates III Limited</w:t>
            </w:r>
          </w:p>
        </w:tc>
        <w:tc>
          <w:tcPr>
            <w:tcW w:w="0" w:type="dxa"/>
            <w:vAlign w:val="bottom"/>
          </w:tcPr>
          <w:p>
            <w:pPr>
              <w:spacing w:after="0"/>
              <w:rPr>
                <w:sz w:val="1"/>
                <w:szCs w:val="1"/>
                <w:color w:val="auto"/>
              </w:rPr>
            </w:pPr>
          </w:p>
        </w:tc>
      </w:tr>
      <w:tr>
        <w:trPr>
          <w:trHeight w:val="164"/>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420" w:type="dxa"/>
            <w:vAlign w:val="bottom"/>
            <w:gridSpan w:val="5"/>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(b)</w:t>
            </w:r>
          </w:p>
        </w:tc>
        <w:tc>
          <w:tcPr>
            <w:tcW w:w="91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Jersey, Channel Islands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8"/>
              </w:rPr>
              <w:t>NUMBER OF</w:t>
            </w:r>
          </w:p>
        </w:tc>
        <w:tc>
          <w:tcPr>
            <w:tcW w:w="8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10,453,300 (1)</w:t>
            </w:r>
          </w:p>
        </w:tc>
        <w:tc>
          <w:tcPr>
            <w:tcW w:w="0" w:type="dxa"/>
            <w:vAlign w:val="bottom"/>
          </w:tcPr>
          <w:p>
            <w:pPr>
              <w:spacing w:after="0"/>
              <w:rPr>
                <w:sz w:val="1"/>
                <w:szCs w:val="1"/>
                <w:color w:val="auto"/>
              </w:rPr>
            </w:pPr>
          </w:p>
        </w:tc>
      </w:tr>
      <w:tr>
        <w:trPr>
          <w:trHeight w:val="48"/>
        </w:trPr>
        <w:tc>
          <w:tcPr>
            <w:tcW w:w="1440" w:type="dxa"/>
            <w:vAlign w:val="bottom"/>
            <w:gridSpan w:val="2"/>
            <w:vMerge w:val="continue"/>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60" w:type="dxa"/>
            <w:vAlign w:val="bottom"/>
            <w:vMerge w:val="restart"/>
          </w:tcPr>
          <w:p>
            <w:pPr>
              <w:jc w:val="center"/>
              <w:ind w:right="164"/>
              <w:spacing w:after="0"/>
              <w:rPr>
                <w:sz w:val="20"/>
                <w:szCs w:val="20"/>
                <w:color w:val="auto"/>
              </w:rPr>
            </w:pPr>
            <w:r>
              <w:rPr>
                <w:rFonts w:ascii="Arial" w:cs="Arial" w:eastAsia="Arial" w:hAnsi="Arial"/>
                <w:sz w:val="18"/>
                <w:szCs w:val="18"/>
                <w:color w:val="auto"/>
                <w:w w:val="94"/>
              </w:rPr>
              <w:t>SHARES</w:t>
            </w:r>
          </w:p>
        </w:tc>
        <w:tc>
          <w:tcPr>
            <w:tcW w:w="8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20" w:type="dxa"/>
            <w:vAlign w:val="bottom"/>
            <w:vMerge w:val="restart"/>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60" w:type="dxa"/>
            <w:vAlign w:val="bottom"/>
          </w:tcPr>
          <w:p>
            <w:pPr>
              <w:jc w:val="center"/>
              <w:ind w:right="164"/>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960" w:type="dxa"/>
            <w:vAlign w:val="bottom"/>
          </w:tcPr>
          <w:p>
            <w:pPr>
              <w:jc w:val="center"/>
              <w:ind w:right="164"/>
              <w:spacing w:after="0"/>
              <w:rPr>
                <w:sz w:val="20"/>
                <w:szCs w:val="20"/>
                <w:color w:val="auto"/>
              </w:rPr>
            </w:pPr>
            <w:r>
              <w:rPr>
                <w:rFonts w:ascii="Arial" w:cs="Arial" w:eastAsia="Arial" w:hAnsi="Arial"/>
                <w:sz w:val="18"/>
                <w:szCs w:val="18"/>
                <w:color w:val="auto"/>
                <w:w w:val="92"/>
              </w:rPr>
              <w:t>PERSON</w:t>
            </w:r>
          </w:p>
        </w:tc>
        <w:tc>
          <w:tcPr>
            <w:tcW w:w="8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020" w:type="dxa"/>
            <w:vAlign w:val="bottom"/>
          </w:tcPr>
          <w:p>
            <w:pPr>
              <w:ind w:left="180"/>
              <w:spacing w:after="0" w:line="244" w:lineRule="exact"/>
              <w:rPr>
                <w:sz w:val="20"/>
                <w:szCs w:val="20"/>
                <w:color w:val="auto"/>
              </w:rPr>
            </w:pPr>
            <w:r>
              <w:rPr>
                <w:rFonts w:ascii="Arial" w:cs="Arial" w:eastAsia="Arial" w:hAnsi="Arial"/>
                <w:sz w:val="22"/>
                <w:szCs w:val="22"/>
                <w:color w:val="auto"/>
              </w:rPr>
              <w:t>10,453,300 (1)</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960" w:type="dxa"/>
            <w:vAlign w:val="bottom"/>
            <w:vMerge w:val="restart"/>
          </w:tcPr>
          <w:p>
            <w:pPr>
              <w:jc w:val="center"/>
              <w:ind w:right="164"/>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10,453,300 (1)</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w w:val="88"/>
              </w:rPr>
              <w:t>1.4% (1)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2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CO</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58"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Index Venture Growth Associates III Limited (“</w:t>
      </w:r>
      <w:r>
        <w:rPr>
          <w:rFonts w:ascii="Arial" w:cs="Arial" w:eastAsia="Arial" w:hAnsi="Arial"/>
          <w:sz w:val="18"/>
          <w:szCs w:val="18"/>
          <w:b w:val="1"/>
          <w:bCs w:val="1"/>
          <w:color w:val="auto"/>
        </w:rPr>
        <w:t>IVGA III</w:t>
      </w:r>
      <w:r>
        <w:rPr>
          <w:rFonts w:ascii="Arial" w:cs="Arial" w:eastAsia="Arial" w:hAnsi="Arial"/>
          <w:sz w:val="18"/>
          <w:szCs w:val="18"/>
          <w:color w:val="auto"/>
        </w:rPr>
        <w:t>”) may be deemed to beneficially own an aggregate of 10,453,300 shares of Class A Common Stock, consisting of (i) 10,296,520 shares of Class A Common Stock held directly by Index Growth III and (ii) 156,780 shares of Class A Common Stock held directly by Yucca. The percent of class was calculated based on 729,550,661 shares of Class A Common Stock outstanding as of October 27, 2021, as set forth in the Issuer’s Quarterly Report on Form 10-Q filed with the Securities and Exchange Commission on October 29, 2021.</w:t>
      </w:r>
    </w:p>
    <w:p>
      <w:pPr>
        <w:sectPr>
          <w:pgSz w:w="11900" w:h="16838" w:orient="portrait"/>
          <w:cols w:equalWidth="0" w:num="1">
            <w:col w:w="11024"/>
          </w:cols>
          <w:pgMar w:left="436" w:top="270"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CUSIP No. 770700102</w:t>
            </w:r>
          </w:p>
        </w:tc>
        <w:tc>
          <w:tcPr>
            <w:tcW w:w="3780" w:type="dxa"/>
            <w:vAlign w:val="bottom"/>
          </w:tcPr>
          <w:p>
            <w:pPr>
              <w:ind w:left="820"/>
              <w:spacing w:after="0"/>
              <w:rPr>
                <w:sz w:val="20"/>
                <w:szCs w:val="20"/>
                <w:color w:val="auto"/>
              </w:rPr>
            </w:pPr>
            <w:r>
              <w:rPr>
                <w:rFonts w:ascii="Arial" w:cs="Arial" w:eastAsia="Arial" w:hAnsi="Arial"/>
                <w:sz w:val="18"/>
                <w:szCs w:val="18"/>
                <w:b w:val="1"/>
                <w:bCs w:val="1"/>
                <w:color w:val="auto"/>
              </w:rPr>
              <w:t>SCHEDULE 13G</w:t>
            </w:r>
          </w:p>
        </w:tc>
        <w:tc>
          <w:tcPr>
            <w:tcW w:w="3000" w:type="dxa"/>
            <w:vAlign w:val="bottom"/>
            <w:gridSpan w:val="2"/>
          </w:tcPr>
          <w:p>
            <w:pPr>
              <w:ind w:left="1580"/>
              <w:spacing w:after="0"/>
              <w:rPr>
                <w:sz w:val="20"/>
                <w:szCs w:val="20"/>
                <w:color w:val="auto"/>
              </w:rPr>
            </w:pPr>
            <w:r>
              <w:rPr>
                <w:rFonts w:ascii="Arial" w:cs="Arial" w:eastAsia="Arial" w:hAnsi="Arial"/>
                <w:sz w:val="18"/>
                <w:szCs w:val="18"/>
                <w:b w:val="1"/>
                <w:bCs w:val="1"/>
                <w:color w:val="auto"/>
                <w:w w:val="85"/>
              </w:rPr>
              <w:t>Page 7 of 14 Pages</w:t>
            </w:r>
          </w:p>
        </w:tc>
      </w:tr>
      <w:tr>
        <w:trPr>
          <w:trHeight w:val="148"/>
        </w:trPr>
        <w:tc>
          <w:tcPr>
            <w:tcW w:w="42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24"/>
        </w:trPr>
        <w:tc>
          <w:tcPr>
            <w:tcW w:w="424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688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688465"/>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-154305</wp:posOffset>
            </wp:positionV>
            <wp:extent cx="8890" cy="5400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00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b w:val="1"/>
                <w:bCs w:val="1"/>
                <w:color w:val="auto"/>
              </w:rPr>
              <w:t>Index Ventures Growth V (Jersey), L.P.</w:t>
            </w:r>
          </w:p>
        </w:tc>
        <w:tc>
          <w:tcPr>
            <w:tcW w:w="0" w:type="dxa"/>
            <w:vAlign w:val="bottom"/>
          </w:tcPr>
          <w:p>
            <w:pPr>
              <w:spacing w:after="0"/>
              <w:rPr>
                <w:sz w:val="1"/>
                <w:szCs w:val="1"/>
                <w:color w:val="auto"/>
              </w:rPr>
            </w:pPr>
          </w:p>
        </w:tc>
      </w:tr>
      <w:tr>
        <w:trPr>
          <w:trHeight w:val="164"/>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420" w:type="dxa"/>
            <w:vAlign w:val="bottom"/>
            <w:gridSpan w:val="5"/>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(b)</w:t>
            </w:r>
          </w:p>
        </w:tc>
        <w:tc>
          <w:tcPr>
            <w:tcW w:w="91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Jersey, Channel Islands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8"/>
              </w:rPr>
              <w:t>NUMBER OF</w:t>
            </w:r>
          </w:p>
        </w:tc>
        <w:tc>
          <w:tcPr>
            <w:tcW w:w="8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2,148,312 (1)</w:t>
            </w:r>
          </w:p>
        </w:tc>
        <w:tc>
          <w:tcPr>
            <w:tcW w:w="0" w:type="dxa"/>
            <w:vAlign w:val="bottom"/>
          </w:tcPr>
          <w:p>
            <w:pPr>
              <w:spacing w:after="0"/>
              <w:rPr>
                <w:sz w:val="1"/>
                <w:szCs w:val="1"/>
                <w:color w:val="auto"/>
              </w:rPr>
            </w:pPr>
          </w:p>
        </w:tc>
      </w:tr>
      <w:tr>
        <w:trPr>
          <w:trHeight w:val="48"/>
        </w:trPr>
        <w:tc>
          <w:tcPr>
            <w:tcW w:w="1440" w:type="dxa"/>
            <w:vAlign w:val="bottom"/>
            <w:gridSpan w:val="2"/>
            <w:vMerge w:val="continue"/>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60" w:type="dxa"/>
            <w:vAlign w:val="bottom"/>
            <w:vMerge w:val="restart"/>
          </w:tcPr>
          <w:p>
            <w:pPr>
              <w:jc w:val="center"/>
              <w:ind w:right="164"/>
              <w:spacing w:after="0"/>
              <w:rPr>
                <w:sz w:val="20"/>
                <w:szCs w:val="20"/>
                <w:color w:val="auto"/>
              </w:rPr>
            </w:pPr>
            <w:r>
              <w:rPr>
                <w:rFonts w:ascii="Arial" w:cs="Arial" w:eastAsia="Arial" w:hAnsi="Arial"/>
                <w:sz w:val="18"/>
                <w:szCs w:val="18"/>
                <w:color w:val="auto"/>
                <w:w w:val="94"/>
              </w:rPr>
              <w:t>SHARES</w:t>
            </w:r>
          </w:p>
        </w:tc>
        <w:tc>
          <w:tcPr>
            <w:tcW w:w="8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20" w:type="dxa"/>
            <w:vAlign w:val="bottom"/>
            <w:vMerge w:val="restart"/>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60" w:type="dxa"/>
            <w:vAlign w:val="bottom"/>
          </w:tcPr>
          <w:p>
            <w:pPr>
              <w:jc w:val="center"/>
              <w:ind w:right="164"/>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960" w:type="dxa"/>
            <w:vAlign w:val="bottom"/>
          </w:tcPr>
          <w:p>
            <w:pPr>
              <w:jc w:val="center"/>
              <w:ind w:right="164"/>
              <w:spacing w:after="0"/>
              <w:rPr>
                <w:sz w:val="20"/>
                <w:szCs w:val="20"/>
                <w:color w:val="auto"/>
              </w:rPr>
            </w:pPr>
            <w:r>
              <w:rPr>
                <w:rFonts w:ascii="Arial" w:cs="Arial" w:eastAsia="Arial" w:hAnsi="Arial"/>
                <w:sz w:val="18"/>
                <w:szCs w:val="18"/>
                <w:color w:val="auto"/>
                <w:w w:val="92"/>
              </w:rPr>
              <w:t>PERSON</w:t>
            </w:r>
          </w:p>
        </w:tc>
        <w:tc>
          <w:tcPr>
            <w:tcW w:w="8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020" w:type="dxa"/>
            <w:vAlign w:val="bottom"/>
          </w:tcPr>
          <w:p>
            <w:pPr>
              <w:ind w:left="180"/>
              <w:spacing w:after="0" w:line="244" w:lineRule="exact"/>
              <w:rPr>
                <w:sz w:val="20"/>
                <w:szCs w:val="20"/>
                <w:color w:val="auto"/>
              </w:rPr>
            </w:pPr>
            <w:r>
              <w:rPr>
                <w:rFonts w:ascii="Arial" w:cs="Arial" w:eastAsia="Arial" w:hAnsi="Arial"/>
                <w:sz w:val="22"/>
                <w:szCs w:val="22"/>
                <w:color w:val="auto"/>
              </w:rPr>
              <w:t>2,148,312 (1)</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960" w:type="dxa"/>
            <w:vAlign w:val="bottom"/>
            <w:vMerge w:val="restart"/>
          </w:tcPr>
          <w:p>
            <w:pPr>
              <w:jc w:val="center"/>
              <w:ind w:right="164"/>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8"/>
              </w:rPr>
              <w:t>2,148,312 (1)</w:t>
            </w: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w w:val="88"/>
              </w:rPr>
              <w:t>0.3% (1)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2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PN</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80" w:hanging="424"/>
        <w:spacing w:after="0" w:line="258"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Index Ventures Growth V (Jersey), L.P. (“</w:t>
      </w:r>
      <w:r>
        <w:rPr>
          <w:rFonts w:ascii="Arial" w:cs="Arial" w:eastAsia="Arial" w:hAnsi="Arial"/>
          <w:sz w:val="18"/>
          <w:szCs w:val="18"/>
          <w:b w:val="1"/>
          <w:bCs w:val="1"/>
          <w:color w:val="auto"/>
        </w:rPr>
        <w:t>Index Growth V</w:t>
      </w:r>
      <w:r>
        <w:rPr>
          <w:rFonts w:ascii="Arial" w:cs="Arial" w:eastAsia="Arial" w:hAnsi="Arial"/>
          <w:sz w:val="18"/>
          <w:szCs w:val="18"/>
          <w:color w:val="auto"/>
        </w:rPr>
        <w:t>” and together with the Index VI Funds and Index Growth III, the “</w:t>
      </w:r>
      <w:r>
        <w:rPr>
          <w:rFonts w:ascii="Arial" w:cs="Arial" w:eastAsia="Arial" w:hAnsi="Arial"/>
          <w:sz w:val="18"/>
          <w:szCs w:val="18"/>
          <w:b w:val="1"/>
          <w:bCs w:val="1"/>
          <w:color w:val="auto"/>
        </w:rPr>
        <w:t>Index Venture</w:t>
      </w:r>
      <w:r>
        <w:rPr>
          <w:rFonts w:ascii="Arial" w:cs="Arial" w:eastAsia="Arial" w:hAnsi="Arial"/>
          <w:sz w:val="18"/>
          <w:szCs w:val="18"/>
          <w:color w:val="auto"/>
        </w:rPr>
        <w:t xml:space="preserve"> </w:t>
      </w:r>
      <w:r>
        <w:rPr>
          <w:rFonts w:ascii="Arial" w:cs="Arial" w:eastAsia="Arial" w:hAnsi="Arial"/>
          <w:sz w:val="18"/>
          <w:szCs w:val="18"/>
          <w:b w:val="1"/>
          <w:bCs w:val="1"/>
          <w:color w:val="auto"/>
        </w:rPr>
        <w:t>Funds</w:t>
      </w:r>
      <w:r>
        <w:rPr>
          <w:rFonts w:ascii="Arial" w:cs="Arial" w:eastAsia="Arial" w:hAnsi="Arial"/>
          <w:sz w:val="18"/>
          <w:szCs w:val="18"/>
          <w:color w:val="auto"/>
        </w:rPr>
        <w:t>”) directly owns (i) 1,874,816 shares of the Issuer’s Class A Common Stock and (ii) 273,496 shares of Class A Common Stock underlying</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exercisable within 60 days of December 31, 2021. The percent of class was calculated based on 729,550,661 shares of Class A Common Stock outstanding as of October 27, 2021, as set forth in the Issuer’s Quarterly Report on Form 10-Q filed with the Securities and Exchange Commission on October 29, 2021.</w:t>
      </w:r>
    </w:p>
    <w:p>
      <w:pPr>
        <w:sectPr>
          <w:pgSz w:w="11900" w:h="16838" w:orient="portrait"/>
          <w:cols w:equalWidth="0" w:num="1">
            <w:col w:w="11024"/>
          </w:cols>
          <w:pgMar w:left="436" w:top="270"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CUSIP No. 770700102</w:t>
            </w:r>
          </w:p>
        </w:tc>
        <w:tc>
          <w:tcPr>
            <w:tcW w:w="3780" w:type="dxa"/>
            <w:vAlign w:val="bottom"/>
          </w:tcPr>
          <w:p>
            <w:pPr>
              <w:ind w:left="820"/>
              <w:spacing w:after="0"/>
              <w:rPr>
                <w:sz w:val="20"/>
                <w:szCs w:val="20"/>
                <w:color w:val="auto"/>
              </w:rPr>
            </w:pPr>
            <w:r>
              <w:rPr>
                <w:rFonts w:ascii="Arial" w:cs="Arial" w:eastAsia="Arial" w:hAnsi="Arial"/>
                <w:sz w:val="18"/>
                <w:szCs w:val="18"/>
                <w:b w:val="1"/>
                <w:bCs w:val="1"/>
                <w:color w:val="auto"/>
              </w:rPr>
              <w:t>SCHEDULE 13G</w:t>
            </w:r>
          </w:p>
        </w:tc>
        <w:tc>
          <w:tcPr>
            <w:tcW w:w="3000" w:type="dxa"/>
            <w:vAlign w:val="bottom"/>
            <w:gridSpan w:val="2"/>
          </w:tcPr>
          <w:p>
            <w:pPr>
              <w:ind w:left="1580"/>
              <w:spacing w:after="0"/>
              <w:rPr>
                <w:sz w:val="20"/>
                <w:szCs w:val="20"/>
                <w:color w:val="auto"/>
              </w:rPr>
            </w:pPr>
            <w:r>
              <w:rPr>
                <w:rFonts w:ascii="Arial" w:cs="Arial" w:eastAsia="Arial" w:hAnsi="Arial"/>
                <w:sz w:val="18"/>
                <w:szCs w:val="18"/>
                <w:b w:val="1"/>
                <w:bCs w:val="1"/>
                <w:color w:val="auto"/>
                <w:w w:val="85"/>
              </w:rPr>
              <w:t>Page 8 of 14 Pages</w:t>
            </w:r>
          </w:p>
        </w:tc>
      </w:tr>
      <w:tr>
        <w:trPr>
          <w:trHeight w:val="148"/>
        </w:trPr>
        <w:tc>
          <w:tcPr>
            <w:tcW w:w="42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24"/>
        </w:trPr>
        <w:tc>
          <w:tcPr>
            <w:tcW w:w="424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689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689100"/>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-154305</wp:posOffset>
            </wp:positionV>
            <wp:extent cx="8890" cy="54006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00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b w:val="1"/>
                <w:bCs w:val="1"/>
                <w:color w:val="auto"/>
              </w:rPr>
              <w:t>Index Venture Growth Associates V Limited</w:t>
            </w:r>
          </w:p>
        </w:tc>
        <w:tc>
          <w:tcPr>
            <w:tcW w:w="0" w:type="dxa"/>
            <w:vAlign w:val="bottom"/>
          </w:tcPr>
          <w:p>
            <w:pPr>
              <w:spacing w:after="0"/>
              <w:rPr>
                <w:sz w:val="1"/>
                <w:szCs w:val="1"/>
                <w:color w:val="auto"/>
              </w:rPr>
            </w:pPr>
          </w:p>
        </w:tc>
      </w:tr>
      <w:tr>
        <w:trPr>
          <w:trHeight w:val="164"/>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420" w:type="dxa"/>
            <w:vAlign w:val="bottom"/>
            <w:gridSpan w:val="5"/>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(b)</w:t>
            </w:r>
          </w:p>
        </w:tc>
        <w:tc>
          <w:tcPr>
            <w:tcW w:w="91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Jersey, Channel Islands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8"/>
              </w:rPr>
              <w:t>NUMBER OF</w:t>
            </w:r>
          </w:p>
        </w:tc>
        <w:tc>
          <w:tcPr>
            <w:tcW w:w="8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2,214,754 (1)</w:t>
            </w:r>
          </w:p>
        </w:tc>
        <w:tc>
          <w:tcPr>
            <w:tcW w:w="0" w:type="dxa"/>
            <w:vAlign w:val="bottom"/>
          </w:tcPr>
          <w:p>
            <w:pPr>
              <w:spacing w:after="0"/>
              <w:rPr>
                <w:sz w:val="1"/>
                <w:szCs w:val="1"/>
                <w:color w:val="auto"/>
              </w:rPr>
            </w:pPr>
          </w:p>
        </w:tc>
      </w:tr>
      <w:tr>
        <w:trPr>
          <w:trHeight w:val="48"/>
        </w:trPr>
        <w:tc>
          <w:tcPr>
            <w:tcW w:w="1440" w:type="dxa"/>
            <w:vAlign w:val="bottom"/>
            <w:gridSpan w:val="2"/>
            <w:vMerge w:val="continue"/>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60" w:type="dxa"/>
            <w:vAlign w:val="bottom"/>
            <w:vMerge w:val="restart"/>
          </w:tcPr>
          <w:p>
            <w:pPr>
              <w:jc w:val="center"/>
              <w:ind w:right="164"/>
              <w:spacing w:after="0"/>
              <w:rPr>
                <w:sz w:val="20"/>
                <w:szCs w:val="20"/>
                <w:color w:val="auto"/>
              </w:rPr>
            </w:pPr>
            <w:r>
              <w:rPr>
                <w:rFonts w:ascii="Arial" w:cs="Arial" w:eastAsia="Arial" w:hAnsi="Arial"/>
                <w:sz w:val="18"/>
                <w:szCs w:val="18"/>
                <w:color w:val="auto"/>
                <w:w w:val="94"/>
              </w:rPr>
              <w:t>SHARES</w:t>
            </w:r>
          </w:p>
        </w:tc>
        <w:tc>
          <w:tcPr>
            <w:tcW w:w="8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20" w:type="dxa"/>
            <w:vAlign w:val="bottom"/>
            <w:vMerge w:val="restart"/>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60" w:type="dxa"/>
            <w:vAlign w:val="bottom"/>
          </w:tcPr>
          <w:p>
            <w:pPr>
              <w:jc w:val="center"/>
              <w:ind w:right="164"/>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960" w:type="dxa"/>
            <w:vAlign w:val="bottom"/>
          </w:tcPr>
          <w:p>
            <w:pPr>
              <w:jc w:val="center"/>
              <w:ind w:right="164"/>
              <w:spacing w:after="0"/>
              <w:rPr>
                <w:sz w:val="20"/>
                <w:szCs w:val="20"/>
                <w:color w:val="auto"/>
              </w:rPr>
            </w:pPr>
            <w:r>
              <w:rPr>
                <w:rFonts w:ascii="Arial" w:cs="Arial" w:eastAsia="Arial" w:hAnsi="Arial"/>
                <w:sz w:val="18"/>
                <w:szCs w:val="18"/>
                <w:color w:val="auto"/>
                <w:w w:val="92"/>
              </w:rPr>
              <w:t>PERSON</w:t>
            </w:r>
          </w:p>
        </w:tc>
        <w:tc>
          <w:tcPr>
            <w:tcW w:w="8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020" w:type="dxa"/>
            <w:vAlign w:val="bottom"/>
          </w:tcPr>
          <w:p>
            <w:pPr>
              <w:ind w:left="180"/>
              <w:spacing w:after="0" w:line="244" w:lineRule="exact"/>
              <w:rPr>
                <w:sz w:val="20"/>
                <w:szCs w:val="20"/>
                <w:color w:val="auto"/>
              </w:rPr>
            </w:pPr>
            <w:r>
              <w:rPr>
                <w:rFonts w:ascii="Arial" w:cs="Arial" w:eastAsia="Arial" w:hAnsi="Arial"/>
                <w:sz w:val="22"/>
                <w:szCs w:val="22"/>
                <w:color w:val="auto"/>
              </w:rPr>
              <w:t>2,214,754 (1)</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960" w:type="dxa"/>
            <w:vAlign w:val="bottom"/>
            <w:vMerge w:val="restart"/>
          </w:tcPr>
          <w:p>
            <w:pPr>
              <w:jc w:val="center"/>
              <w:ind w:right="164"/>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8"/>
              </w:rPr>
              <w:t>2,214,754 (1)</w:t>
            </w: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w w:val="88"/>
              </w:rPr>
              <w:t>0.3% (1)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2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CO</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60" w:hanging="424"/>
        <w:spacing w:after="0" w:line="256"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Index Venture Growth Associates V Limited (“</w:t>
      </w:r>
      <w:r>
        <w:rPr>
          <w:rFonts w:ascii="Arial" w:cs="Arial" w:eastAsia="Arial" w:hAnsi="Arial"/>
          <w:sz w:val="18"/>
          <w:szCs w:val="18"/>
          <w:b w:val="1"/>
          <w:bCs w:val="1"/>
          <w:color w:val="auto"/>
        </w:rPr>
        <w:t>IVGA V</w:t>
      </w:r>
      <w:r>
        <w:rPr>
          <w:rFonts w:ascii="Arial" w:cs="Arial" w:eastAsia="Arial" w:hAnsi="Arial"/>
          <w:sz w:val="18"/>
          <w:szCs w:val="18"/>
          <w:color w:val="auto"/>
        </w:rPr>
        <w:t>”) may be deemed to beneficially own an aggregate of 2,214,754 shares of Class A Common, consisting of (i) 1,874,816 shares of Class A Common Stock held directly by Index Growth V, (ii) 273,496 shares of Class A Common Stock underlying Warrants held directly by Index Growth V, (iii) 57,984 shares of Class A Common Stock held directly by Yucca and (iv) 8,458 shares of Class A Common Stock underlying Warrants held directly by Yucca. The percent of class was calculated based on 729,550,661 shares of Class A Common Stock outstanding as of October 27, 2021, as set forth in the Issuer’s Quarterly Report on Form 10-Q filed with the Securities and Exchange Commission on October 29, 2021.</w:t>
      </w:r>
    </w:p>
    <w:p>
      <w:pPr>
        <w:sectPr>
          <w:pgSz w:w="11900" w:h="16838" w:orient="portrait"/>
          <w:cols w:equalWidth="0" w:num="1">
            <w:col w:w="11024"/>
          </w:cols>
          <w:pgMar w:left="436" w:top="270"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CUSIP No. 770700102</w:t>
            </w:r>
          </w:p>
        </w:tc>
        <w:tc>
          <w:tcPr>
            <w:tcW w:w="3780" w:type="dxa"/>
            <w:vAlign w:val="bottom"/>
          </w:tcPr>
          <w:p>
            <w:pPr>
              <w:ind w:left="820"/>
              <w:spacing w:after="0"/>
              <w:rPr>
                <w:sz w:val="20"/>
                <w:szCs w:val="20"/>
                <w:color w:val="auto"/>
              </w:rPr>
            </w:pPr>
            <w:r>
              <w:rPr>
                <w:rFonts w:ascii="Arial" w:cs="Arial" w:eastAsia="Arial" w:hAnsi="Arial"/>
                <w:sz w:val="18"/>
                <w:szCs w:val="18"/>
                <w:b w:val="1"/>
                <w:bCs w:val="1"/>
                <w:color w:val="auto"/>
              </w:rPr>
              <w:t>SCHEDULE 13G</w:t>
            </w:r>
          </w:p>
        </w:tc>
        <w:tc>
          <w:tcPr>
            <w:tcW w:w="3000" w:type="dxa"/>
            <w:vAlign w:val="bottom"/>
            <w:gridSpan w:val="2"/>
          </w:tcPr>
          <w:p>
            <w:pPr>
              <w:ind w:left="1580"/>
              <w:spacing w:after="0"/>
              <w:rPr>
                <w:sz w:val="20"/>
                <w:szCs w:val="20"/>
                <w:color w:val="auto"/>
              </w:rPr>
            </w:pPr>
            <w:r>
              <w:rPr>
                <w:rFonts w:ascii="Arial" w:cs="Arial" w:eastAsia="Arial" w:hAnsi="Arial"/>
                <w:sz w:val="18"/>
                <w:szCs w:val="18"/>
                <w:b w:val="1"/>
                <w:bCs w:val="1"/>
                <w:color w:val="auto"/>
                <w:w w:val="85"/>
              </w:rPr>
              <w:t>Page 9 of 14 Pages</w:t>
            </w:r>
          </w:p>
        </w:tc>
      </w:tr>
      <w:tr>
        <w:trPr>
          <w:trHeight w:val="148"/>
        </w:trPr>
        <w:tc>
          <w:tcPr>
            <w:tcW w:w="42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24"/>
        </w:trPr>
        <w:tc>
          <w:tcPr>
            <w:tcW w:w="424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688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688465"/>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-154305</wp:posOffset>
            </wp:positionV>
            <wp:extent cx="8890" cy="5400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00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180"/>
              <w:spacing w:after="0"/>
              <w:rPr>
                <w:sz w:val="20"/>
                <w:szCs w:val="20"/>
                <w:color w:val="auto"/>
              </w:rPr>
            </w:pPr>
            <w:r>
              <w:rPr>
                <w:rFonts w:ascii="Arial" w:cs="Arial" w:eastAsia="Arial" w:hAnsi="Arial"/>
                <w:sz w:val="22"/>
                <w:szCs w:val="22"/>
                <w:b w:val="1"/>
                <w:bCs w:val="1"/>
                <w:color w:val="auto"/>
              </w:rPr>
              <w:t>Yucca (Jersey) SLP</w:t>
            </w:r>
          </w:p>
        </w:tc>
        <w:tc>
          <w:tcPr>
            <w:tcW w:w="0" w:type="dxa"/>
            <w:vAlign w:val="bottom"/>
          </w:tcPr>
          <w:p>
            <w:pPr>
              <w:spacing w:after="0"/>
              <w:rPr>
                <w:sz w:val="1"/>
                <w:szCs w:val="1"/>
                <w:color w:val="auto"/>
              </w:rPr>
            </w:pPr>
          </w:p>
        </w:tc>
      </w:tr>
      <w:tr>
        <w:trPr>
          <w:trHeight w:val="164"/>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420" w:type="dxa"/>
            <w:vAlign w:val="bottom"/>
            <w:gridSpan w:val="5"/>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(b)</w:t>
            </w:r>
          </w:p>
        </w:tc>
        <w:tc>
          <w:tcPr>
            <w:tcW w:w="91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Jersey, Channel Islands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8"/>
              </w:rPr>
              <w:t>NUMBER OF</w:t>
            </w:r>
          </w:p>
        </w:tc>
        <w:tc>
          <w:tcPr>
            <w:tcW w:w="8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1,127,462 (1)</w:t>
            </w:r>
          </w:p>
        </w:tc>
        <w:tc>
          <w:tcPr>
            <w:tcW w:w="0" w:type="dxa"/>
            <w:vAlign w:val="bottom"/>
          </w:tcPr>
          <w:p>
            <w:pPr>
              <w:spacing w:after="0"/>
              <w:rPr>
                <w:sz w:val="1"/>
                <w:szCs w:val="1"/>
                <w:color w:val="auto"/>
              </w:rPr>
            </w:pPr>
          </w:p>
        </w:tc>
      </w:tr>
      <w:tr>
        <w:trPr>
          <w:trHeight w:val="48"/>
        </w:trPr>
        <w:tc>
          <w:tcPr>
            <w:tcW w:w="1440" w:type="dxa"/>
            <w:vAlign w:val="bottom"/>
            <w:gridSpan w:val="2"/>
            <w:vMerge w:val="continue"/>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60" w:type="dxa"/>
            <w:vAlign w:val="bottom"/>
            <w:vMerge w:val="restart"/>
          </w:tcPr>
          <w:p>
            <w:pPr>
              <w:jc w:val="center"/>
              <w:ind w:right="164"/>
              <w:spacing w:after="0"/>
              <w:rPr>
                <w:sz w:val="20"/>
                <w:szCs w:val="20"/>
                <w:color w:val="auto"/>
              </w:rPr>
            </w:pPr>
            <w:r>
              <w:rPr>
                <w:rFonts w:ascii="Arial" w:cs="Arial" w:eastAsia="Arial" w:hAnsi="Arial"/>
                <w:sz w:val="18"/>
                <w:szCs w:val="18"/>
                <w:color w:val="auto"/>
                <w:w w:val="94"/>
              </w:rPr>
              <w:t>SHARES</w:t>
            </w:r>
          </w:p>
        </w:tc>
        <w:tc>
          <w:tcPr>
            <w:tcW w:w="8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20" w:type="dxa"/>
            <w:vAlign w:val="bottom"/>
            <w:vMerge w:val="restart"/>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60" w:type="dxa"/>
            <w:vAlign w:val="bottom"/>
          </w:tcPr>
          <w:p>
            <w:pPr>
              <w:jc w:val="center"/>
              <w:ind w:right="164"/>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960" w:type="dxa"/>
            <w:vAlign w:val="bottom"/>
          </w:tcPr>
          <w:p>
            <w:pPr>
              <w:jc w:val="center"/>
              <w:ind w:right="164"/>
              <w:spacing w:after="0"/>
              <w:rPr>
                <w:sz w:val="20"/>
                <w:szCs w:val="20"/>
                <w:color w:val="auto"/>
              </w:rPr>
            </w:pPr>
            <w:r>
              <w:rPr>
                <w:rFonts w:ascii="Arial" w:cs="Arial" w:eastAsia="Arial" w:hAnsi="Arial"/>
                <w:sz w:val="18"/>
                <w:szCs w:val="18"/>
                <w:color w:val="auto"/>
                <w:w w:val="92"/>
              </w:rPr>
              <w:t>PERSON</w:t>
            </w:r>
          </w:p>
        </w:tc>
        <w:tc>
          <w:tcPr>
            <w:tcW w:w="8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020" w:type="dxa"/>
            <w:vAlign w:val="bottom"/>
          </w:tcPr>
          <w:p>
            <w:pPr>
              <w:ind w:left="180"/>
              <w:spacing w:after="0" w:line="244" w:lineRule="exact"/>
              <w:rPr>
                <w:sz w:val="20"/>
                <w:szCs w:val="20"/>
                <w:color w:val="auto"/>
              </w:rPr>
            </w:pPr>
            <w:r>
              <w:rPr>
                <w:rFonts w:ascii="Arial" w:cs="Arial" w:eastAsia="Arial" w:hAnsi="Arial"/>
                <w:sz w:val="22"/>
                <w:szCs w:val="22"/>
                <w:color w:val="auto"/>
              </w:rPr>
              <w:t>1,127,462 (1)</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960" w:type="dxa"/>
            <w:vAlign w:val="bottom"/>
            <w:vMerge w:val="restart"/>
          </w:tcPr>
          <w:p>
            <w:pPr>
              <w:jc w:val="center"/>
              <w:ind w:right="164"/>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8"/>
              </w:rPr>
              <w:t>1,127,462 (1)</w:t>
            </w: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2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w w:val="88"/>
              </w:rPr>
              <w:t>0.2% (1)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2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PN</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60" w:hanging="424"/>
        <w:spacing w:after="0" w:line="261"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Yucca (Jersey) SLP (“</w:t>
      </w:r>
      <w:r>
        <w:rPr>
          <w:rFonts w:ascii="Arial" w:cs="Arial" w:eastAsia="Arial" w:hAnsi="Arial"/>
          <w:sz w:val="18"/>
          <w:szCs w:val="18"/>
          <w:b w:val="1"/>
          <w:bCs w:val="1"/>
          <w:color w:val="auto"/>
        </w:rPr>
        <w:t>Yucca</w:t>
      </w:r>
      <w:r>
        <w:rPr>
          <w:rFonts w:ascii="Arial" w:cs="Arial" w:eastAsia="Arial" w:hAnsi="Arial"/>
          <w:sz w:val="18"/>
          <w:szCs w:val="18"/>
          <w:color w:val="auto"/>
        </w:rPr>
        <w:t>”) directly owns (i) 1,119,004 shares of the Issuer’s Class A Common Stock and (ii) 8,458 shares of Class A Common Stock underlying Warrants exercisable within 60 days of December 31, 2021. The percent of class was calculated based on 729,550,661 shares of Class A Common Stock outstanding as of October 27, 2021, as set forth in the Issuer’s Quarterly Report on Form 10-Q filed with the Securities and Exchange Commission on October 29, 2021.</w:t>
      </w:r>
    </w:p>
    <w:p>
      <w:pPr>
        <w:sectPr>
          <w:pgSz w:w="11900" w:h="16838" w:orient="portrait"/>
          <w:cols w:equalWidth="0" w:num="1">
            <w:col w:w="11024"/>
          </w:cols>
          <w:pgMar w:left="436" w:top="270" w:right="4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CUSIP No. 770700102</w:t>
      </w:r>
    </w:p>
    <w:p>
      <w:pPr>
        <w:spacing w:after="0" w:line="20" w:lineRule="exact"/>
        <w:rPr>
          <w:sz w:val="20"/>
          <w:szCs w:val="20"/>
          <w:color w:val="auto"/>
        </w:rPr>
      </w:pPr>
      <w:r>
        <w:rPr>
          <w:sz w:val="20"/>
          <w:szCs w:val="20"/>
          <w:color w:val="auto"/>
        </w:rPr>
        <w:br w:type="column"/>
      </w:r>
    </w:p>
    <w:p>
      <w:pPr>
        <w:jc w:val="center"/>
        <w:ind w:right="2380"/>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-206375</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10 of 14 Pages</w:t>
      </w:r>
    </w:p>
    <w:p>
      <w:pPr>
        <w:spacing w:after="0" w:line="222" w:lineRule="exact"/>
        <w:rPr>
          <w:sz w:val="20"/>
          <w:szCs w:val="20"/>
          <w:color w:val="auto"/>
        </w:rPr>
      </w:pPr>
    </w:p>
    <w:p>
      <w:pPr>
        <w:sectPr>
          <w:pgSz w:w="11900" w:h="16838" w:orient="portrait"/>
          <w:cols w:equalWidth="0" w:num="3">
            <w:col w:w="4340" w:space="720"/>
            <w:col w:w="3740" w:space="720"/>
            <w:col w:w="1500"/>
          </w:cols>
          <w:pgMar w:left="440" w:top="270" w:right="439" w:bottom="144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144" w:lineRule="exact"/>
        <w:rPr>
          <w:sz w:val="20"/>
          <w:szCs w:val="20"/>
          <w:color w:val="auto"/>
        </w:rPr>
      </w:pPr>
    </w:p>
    <w:p>
      <w:pPr>
        <w:sectPr>
          <w:pgSz w:w="11900" w:h="16838" w:orient="portrait"/>
          <w:cols w:equalWidth="0" w:num="2">
            <w:col w:w="1260" w:space="720"/>
            <w:col w:w="9040"/>
          </w:cols>
          <w:pgMar w:left="440" w:top="270" w:right="439" w:bottom="1440" w:gutter="0" w:footer="0" w:header="0"/>
          <w:type w:val="continuous"/>
        </w:sectPr>
      </w:pPr>
    </w:p>
    <w:p>
      <w:pPr>
        <w:ind w:left="1980" w:hanging="1093"/>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Robinhood Markets,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980" w:hanging="1093"/>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980" w:right="7380"/>
        <w:spacing w:after="0" w:line="342" w:lineRule="auto"/>
        <w:rPr>
          <w:rFonts w:ascii="Arial" w:cs="Arial" w:eastAsia="Arial" w:hAnsi="Arial"/>
          <w:sz w:val="18"/>
          <w:szCs w:val="18"/>
          <w:color w:val="auto"/>
        </w:rPr>
      </w:pPr>
      <w:r>
        <w:rPr>
          <w:rFonts w:ascii="Arial" w:cs="Arial" w:eastAsia="Arial" w:hAnsi="Arial"/>
          <w:sz w:val="16"/>
          <w:szCs w:val="16"/>
          <w:color w:val="auto"/>
        </w:rPr>
        <w:t>85 Willow Street Menlo Park, CA 94025</w:t>
      </w:r>
    </w:p>
    <w:p>
      <w:pPr>
        <w:spacing w:after="0" w:line="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21" w:lineRule="exact"/>
        <w:rPr>
          <w:sz w:val="20"/>
          <w:szCs w:val="20"/>
          <w:color w:val="auto"/>
        </w:rPr>
      </w:pPr>
    </w:p>
    <w:p>
      <w:pPr>
        <w:ind w:left="1180" w:hanging="293"/>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(c)</w:t>
      </w:r>
      <w:r>
        <w:rPr>
          <w:rFonts w:ascii="Arial" w:cs="Arial" w:eastAsia="Arial" w:hAnsi="Arial"/>
          <w:sz w:val="16"/>
          <w:szCs w:val="16"/>
          <w:color w:val="auto"/>
        </w:rPr>
        <w:t>Name of Persons Filing; Address; Citizenship:</w:t>
      </w:r>
    </w:p>
    <w:p>
      <w:pPr>
        <w:spacing w:after="0" w:line="144" w:lineRule="exact"/>
        <w:rPr>
          <w:rFonts w:ascii="Arial" w:cs="Arial" w:eastAsia="Arial" w:hAnsi="Arial"/>
          <w:sz w:val="18"/>
          <w:szCs w:val="18"/>
          <w:color w:val="auto"/>
        </w:rPr>
      </w:pPr>
    </w:p>
    <w:p>
      <w:pPr>
        <w:ind w:left="2780" w:hanging="439"/>
        <w:spacing w:after="0"/>
        <w:tabs>
          <w:tab w:leader="none" w:pos="27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Index Ventures VI, a Jersey, Channel Islands partnership.</w:t>
      </w:r>
    </w:p>
    <w:p>
      <w:pPr>
        <w:spacing w:after="0" w:line="130" w:lineRule="exact"/>
        <w:rPr>
          <w:rFonts w:ascii="Arial" w:cs="Arial" w:eastAsia="Arial" w:hAnsi="Arial"/>
          <w:sz w:val="18"/>
          <w:szCs w:val="18"/>
          <w:color w:val="auto"/>
        </w:rPr>
      </w:pPr>
    </w:p>
    <w:p>
      <w:pPr>
        <w:ind w:left="2780" w:hanging="439"/>
        <w:spacing w:after="0"/>
        <w:tabs>
          <w:tab w:leader="none" w:pos="27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Index Ventures VI Parallel, a Jersey, Channel Islands partnership.</w:t>
      </w:r>
    </w:p>
    <w:p>
      <w:pPr>
        <w:spacing w:after="0" w:line="130" w:lineRule="exact"/>
        <w:rPr>
          <w:rFonts w:ascii="Arial" w:cs="Arial" w:eastAsia="Arial" w:hAnsi="Arial"/>
          <w:sz w:val="18"/>
          <w:szCs w:val="18"/>
          <w:color w:val="auto"/>
        </w:rPr>
      </w:pPr>
    </w:p>
    <w:p>
      <w:pPr>
        <w:ind w:left="2780" w:hanging="439"/>
        <w:spacing w:after="0"/>
        <w:tabs>
          <w:tab w:leader="none" w:pos="27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IVA VI, a Jersey, Channel Islands corporation, the general partner of the Index VI Funds.</w:t>
      </w:r>
    </w:p>
    <w:p>
      <w:pPr>
        <w:spacing w:after="0" w:line="130" w:lineRule="exact"/>
        <w:rPr>
          <w:rFonts w:ascii="Arial" w:cs="Arial" w:eastAsia="Arial" w:hAnsi="Arial"/>
          <w:sz w:val="18"/>
          <w:szCs w:val="18"/>
          <w:color w:val="auto"/>
        </w:rPr>
      </w:pPr>
    </w:p>
    <w:p>
      <w:pPr>
        <w:ind w:left="2780" w:hanging="439"/>
        <w:spacing w:after="0"/>
        <w:tabs>
          <w:tab w:leader="none" w:pos="27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Index Growth III, a Jersey, Channel Islands partnership.</w:t>
      </w:r>
    </w:p>
    <w:p>
      <w:pPr>
        <w:spacing w:after="0" w:line="130" w:lineRule="exact"/>
        <w:rPr>
          <w:rFonts w:ascii="Arial" w:cs="Arial" w:eastAsia="Arial" w:hAnsi="Arial"/>
          <w:sz w:val="18"/>
          <w:szCs w:val="18"/>
          <w:color w:val="auto"/>
        </w:rPr>
      </w:pPr>
    </w:p>
    <w:p>
      <w:pPr>
        <w:ind w:left="2780" w:hanging="439"/>
        <w:spacing w:after="0"/>
        <w:tabs>
          <w:tab w:leader="none" w:pos="27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IVGA III, a Jersey, Channel Islands corporation, the general partner of Index Growth III.</w:t>
      </w:r>
    </w:p>
    <w:p>
      <w:pPr>
        <w:spacing w:after="0" w:line="130" w:lineRule="exact"/>
        <w:rPr>
          <w:rFonts w:ascii="Arial" w:cs="Arial" w:eastAsia="Arial" w:hAnsi="Arial"/>
          <w:sz w:val="18"/>
          <w:szCs w:val="18"/>
          <w:color w:val="auto"/>
        </w:rPr>
      </w:pPr>
    </w:p>
    <w:p>
      <w:pPr>
        <w:ind w:left="2780" w:hanging="439"/>
        <w:spacing w:after="0"/>
        <w:tabs>
          <w:tab w:leader="none" w:pos="27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Index Growth V, a Jersey, Channel Islands partnership.</w:t>
      </w:r>
    </w:p>
    <w:p>
      <w:pPr>
        <w:spacing w:after="0" w:line="130" w:lineRule="exact"/>
        <w:rPr>
          <w:rFonts w:ascii="Arial" w:cs="Arial" w:eastAsia="Arial" w:hAnsi="Arial"/>
          <w:sz w:val="18"/>
          <w:szCs w:val="18"/>
          <w:color w:val="auto"/>
        </w:rPr>
      </w:pPr>
    </w:p>
    <w:p>
      <w:pPr>
        <w:ind w:left="2780" w:hanging="439"/>
        <w:spacing w:after="0"/>
        <w:tabs>
          <w:tab w:leader="none" w:pos="27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IVGA V, a Jersey, Channel Islands corporation, the general partner of Index Growth V.</w:t>
      </w:r>
    </w:p>
    <w:p>
      <w:pPr>
        <w:spacing w:after="0" w:line="130" w:lineRule="exact"/>
        <w:rPr>
          <w:rFonts w:ascii="Arial" w:cs="Arial" w:eastAsia="Arial" w:hAnsi="Arial"/>
          <w:sz w:val="18"/>
          <w:szCs w:val="18"/>
          <w:color w:val="auto"/>
        </w:rPr>
      </w:pPr>
    </w:p>
    <w:p>
      <w:pPr>
        <w:ind w:left="2760" w:hanging="419"/>
        <w:spacing w:after="0"/>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Yucca, a Jersey, Channel Islands separate partnership.</w:t>
      </w:r>
    </w:p>
    <w:p>
      <w:pPr>
        <w:spacing w:after="0" w:line="131" w:lineRule="exact"/>
        <w:rPr>
          <w:sz w:val="20"/>
          <w:szCs w:val="20"/>
          <w:color w:val="auto"/>
        </w:rPr>
      </w:pPr>
    </w:p>
    <w:p>
      <w:pPr>
        <w:ind w:left="1980" w:right="420"/>
        <w:spacing w:after="0" w:line="277" w:lineRule="auto"/>
        <w:rPr>
          <w:sz w:val="20"/>
          <w:szCs w:val="20"/>
          <w:color w:val="auto"/>
        </w:rPr>
      </w:pPr>
      <w:r>
        <w:rPr>
          <w:rFonts w:ascii="Arial" w:cs="Arial" w:eastAsia="Arial" w:hAnsi="Arial"/>
          <w:sz w:val="18"/>
          <w:szCs w:val="18"/>
          <w:color w:val="auto"/>
        </w:rPr>
        <w:t>The address of the principal business office of each of the reporting persons is 44 Esplanade, St. Helier, Jersey, Channel Islands JE4 9WG.</w:t>
      </w:r>
    </w:p>
    <w:p>
      <w:pPr>
        <w:spacing w:after="0" w:line="76" w:lineRule="exact"/>
        <w:rPr>
          <w:sz w:val="20"/>
          <w:szCs w:val="20"/>
          <w:color w:val="auto"/>
        </w:rPr>
      </w:pPr>
    </w:p>
    <w:p>
      <w:pPr>
        <w:ind w:left="1980" w:hanging="1093"/>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Class A Common Stock, $0.0001 par value per share</w:t>
      </w:r>
    </w:p>
    <w:p>
      <w:pPr>
        <w:spacing w:after="0" w:line="117" w:lineRule="exact"/>
        <w:rPr>
          <w:rFonts w:ascii="Arial" w:cs="Arial" w:eastAsia="Arial" w:hAnsi="Arial"/>
          <w:sz w:val="18"/>
          <w:szCs w:val="18"/>
          <w:color w:val="auto"/>
        </w:rPr>
      </w:pPr>
    </w:p>
    <w:p>
      <w:pPr>
        <w:ind w:left="1980" w:right="7840" w:hanging="1093"/>
        <w:spacing w:after="0" w:line="500" w:lineRule="auto"/>
        <w:tabs>
          <w:tab w:leader="none" w:pos="1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CUSIP Number: 770700102</w:t>
      </w:r>
    </w:p>
    <w:p>
      <w:pPr>
        <w:spacing w:after="0" w:line="3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p>
      <w:pPr>
        <w:ind w:left="1340" w:hanging="440"/>
        <w:spacing w:after="0" w:line="207" w:lineRule="exact"/>
        <w:tabs>
          <w:tab w:leader="none" w:pos="134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340" w:hanging="440"/>
        <w:spacing w:after="0" w:line="207" w:lineRule="exact"/>
        <w:tabs>
          <w:tab w:leader="none" w:pos="134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340" w:hanging="440"/>
        <w:spacing w:after="0" w:line="207" w:lineRule="exact"/>
        <w:tabs>
          <w:tab w:leader="none" w:pos="134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340" w:hanging="440"/>
        <w:spacing w:after="0" w:line="207" w:lineRule="exact"/>
        <w:tabs>
          <w:tab w:leader="none" w:pos="134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340" w:hanging="440"/>
        <w:spacing w:after="0" w:line="207" w:lineRule="exact"/>
        <w:tabs>
          <w:tab w:leader="none" w:pos="134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340" w:hanging="440"/>
        <w:spacing w:after="0" w:line="207" w:lineRule="exact"/>
        <w:tabs>
          <w:tab w:leader="none" w:pos="134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340" w:hanging="440"/>
        <w:spacing w:after="0" w:line="207" w:lineRule="exact"/>
        <w:tabs>
          <w:tab w:leader="none" w:pos="134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1340" w:hanging="440"/>
        <w:spacing w:after="0" w:line="207" w:lineRule="exact"/>
        <w:tabs>
          <w:tab w:leader="none" w:pos="134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60" w:right="20" w:hanging="860"/>
        <w:spacing w:after="0" w:line="239" w:lineRule="exact"/>
        <w:tabs>
          <w:tab w:leader="none" w:pos="1328"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62" w:lineRule="exact"/>
        <w:rPr>
          <w:rFonts w:ascii="Arial" w:cs="Arial" w:eastAsia="Arial" w:hAnsi="Arial"/>
          <w:sz w:val="18"/>
          <w:szCs w:val="18"/>
          <w:color w:val="auto"/>
        </w:rPr>
      </w:pPr>
    </w:p>
    <w:p>
      <w:pPr>
        <w:ind w:left="1340" w:hanging="440"/>
        <w:spacing w:after="0" w:line="207" w:lineRule="exact"/>
        <w:tabs>
          <w:tab w:leader="none" w:pos="134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1340" w:hanging="440"/>
        <w:spacing w:after="0" w:line="207" w:lineRule="exact"/>
        <w:tabs>
          <w:tab w:leader="none" w:pos="134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w:t>
      </w:r>
    </w:p>
    <w:p>
      <w:pPr>
        <w:spacing w:after="0" w:line="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240.13d-1(b)(1)(ii)(J), please specify the type of institution: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ectPr>
          <w:pgSz w:w="11900" w:h="16838" w:orient="portrait"/>
          <w:cols w:equalWidth="0" w:num="1">
            <w:col w:w="11020"/>
          </w:cols>
          <w:pgMar w:left="440" w:top="270" w:right="4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CUSIP No. 770700102</w:t>
      </w:r>
    </w:p>
    <w:p>
      <w:pPr>
        <w:spacing w:after="0" w:line="20" w:lineRule="exact"/>
        <w:rPr>
          <w:sz w:val="20"/>
          <w:szCs w:val="20"/>
          <w:color w:val="auto"/>
        </w:rPr>
      </w:pPr>
      <w:r>
        <w:rPr>
          <w:sz w:val="20"/>
          <w:szCs w:val="20"/>
          <w:color w:val="auto"/>
        </w:rPr>
        <w:br w:type="column"/>
      </w:r>
    </w:p>
    <w:p>
      <w:pPr>
        <w:jc w:val="center"/>
        <w:ind w:right="2380"/>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-206375</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11 of 14 Pages</w:t>
      </w:r>
    </w:p>
    <w:p>
      <w:pPr>
        <w:spacing w:after="0" w:line="191" w:lineRule="exact"/>
        <w:rPr>
          <w:sz w:val="20"/>
          <w:szCs w:val="20"/>
          <w:color w:val="auto"/>
        </w:rPr>
      </w:pPr>
    </w:p>
    <w:p>
      <w:pPr>
        <w:sectPr>
          <w:pgSz w:w="11900" w:h="16838" w:orient="portrait"/>
          <w:cols w:equalWidth="0" w:num="3">
            <w:col w:w="4340" w:space="720"/>
            <w:col w:w="3740" w:space="720"/>
            <w:col w:w="1500"/>
          </w:cols>
          <w:pgMar w:left="440" w:top="270" w:right="439" w:bottom="1440" w:gutter="0" w:footer="0" w:header="0"/>
        </w:sect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w:t>
      </w:r>
    </w:p>
    <w:p>
      <w:pPr>
        <w:spacing w:after="0" w:line="50" w:lineRule="exact"/>
        <w:rPr>
          <w:sz w:val="20"/>
          <w:szCs w:val="20"/>
          <w:color w:val="auto"/>
        </w:rPr>
      </w:pPr>
    </w:p>
    <w:p>
      <w:pPr>
        <w:sectPr>
          <w:pgSz w:w="11900" w:h="16838" w:orient="portrait"/>
          <w:cols w:equalWidth="0" w:num="2">
            <w:col w:w="620" w:space="720"/>
            <w:col w:w="9680"/>
          </w:cols>
          <w:pgMar w:left="440" w:top="270" w:right="439" w:bottom="1440" w:gutter="0" w:footer="0" w:header="0"/>
          <w:type w:val="continuous"/>
        </w:sectPr>
      </w:pPr>
    </w:p>
    <w:p>
      <w:pPr>
        <w:ind w:left="1580" w:hanging="248"/>
        <w:spacing w:after="0"/>
        <w:tabs>
          <w:tab w:leader="none" w:pos="1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and (b)</w:t>
      </w:r>
      <w:r>
        <w:rPr>
          <w:rFonts w:ascii="Arial" w:cs="Arial" w:eastAsia="Arial" w:hAnsi="Arial"/>
          <w:sz w:val="16"/>
          <w:szCs w:val="16"/>
          <w:color w:val="auto"/>
        </w:rPr>
        <w:t>Amount beneficially owned:</w:t>
      </w:r>
    </w:p>
    <w:p>
      <w:pPr>
        <w:spacing w:after="0" w:line="9" w:lineRule="exact"/>
        <w:rPr>
          <w:rFonts w:ascii="Arial" w:cs="Arial" w:eastAsia="Arial" w:hAnsi="Arial"/>
          <w:sz w:val="18"/>
          <w:szCs w:val="18"/>
          <w:color w:val="auto"/>
        </w:rPr>
      </w:pPr>
    </w:p>
    <w:p>
      <w:pPr>
        <w:ind w:left="2640" w:right="1840" w:firstLine="2"/>
        <w:spacing w:after="0" w:line="290" w:lineRule="auto"/>
        <w:tabs>
          <w:tab w:leader="none" w:pos="2990" w:val="left"/>
        </w:tabs>
        <w:numPr>
          <w:ilvl w:val="1"/>
          <w:numId w:val="23"/>
        </w:numPr>
        <w:rPr>
          <w:rFonts w:ascii="Arial" w:cs="Arial" w:eastAsia="Arial" w:hAnsi="Arial"/>
          <w:sz w:val="17"/>
          <w:szCs w:val="17"/>
          <w:color w:val="auto"/>
        </w:rPr>
      </w:pPr>
      <w:r>
        <w:rPr>
          <w:rFonts w:ascii="Arial" w:cs="Arial" w:eastAsia="Arial" w:hAnsi="Arial"/>
          <w:sz w:val="17"/>
          <w:szCs w:val="17"/>
          <w:color w:val="auto"/>
        </w:rPr>
        <w:t>Index Ventures VI directly owns 70,022,080 shares of Class A Common Stock, which represents approximately 9.6% of the outstanding Class A Common Stock.</w:t>
      </w:r>
    </w:p>
    <w:p>
      <w:pPr>
        <w:spacing w:after="0" w:line="53" w:lineRule="exact"/>
        <w:rPr>
          <w:rFonts w:ascii="Arial" w:cs="Arial" w:eastAsia="Arial" w:hAnsi="Arial"/>
          <w:sz w:val="17"/>
          <w:szCs w:val="17"/>
          <w:color w:val="auto"/>
        </w:rPr>
      </w:pPr>
    </w:p>
    <w:p>
      <w:pPr>
        <w:ind w:left="3000" w:right="20" w:hanging="358"/>
        <w:spacing w:after="0" w:line="296" w:lineRule="auto"/>
        <w:tabs>
          <w:tab w:leader="none" w:pos="2986"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Index Ventures VI Parallel directly owns 1,413,380 shares of Class A Common Stock, which represents approximately 0.2% of the outstanding Class A Common Stock. (iii) IVA VI may be deemed to beneficially own an aggregate of 72,339,700 shares of Class A Common Stock, consisting of (i) 71,435,460 shares of Class A Common Stock held directly by the Index VI Funds and (ii) 904,240 shares of Class A Common Stock held directly by Yucca, which represents approximately 9.9% of the outstanding Class A Common Stock.</w:t>
      </w:r>
    </w:p>
    <w:p>
      <w:pPr>
        <w:spacing w:after="0" w:line="67" w:lineRule="exact"/>
        <w:rPr>
          <w:sz w:val="20"/>
          <w:szCs w:val="20"/>
          <w:color w:val="auto"/>
        </w:rPr>
      </w:pPr>
    </w:p>
    <w:p>
      <w:pPr>
        <w:ind w:left="3000" w:right="80" w:hanging="358"/>
        <w:spacing w:after="0" w:line="277" w:lineRule="auto"/>
        <w:tabs>
          <w:tab w:leader="none" w:pos="29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Index Growth III directly owns 10,296,520 shares of Class A Common Stock, which represents approximately 1.4% of the outstanding Class A Common Stock.</w:t>
      </w:r>
    </w:p>
    <w:p>
      <w:pPr>
        <w:spacing w:after="0" w:line="75" w:lineRule="exact"/>
        <w:rPr>
          <w:rFonts w:ascii="Arial" w:cs="Arial" w:eastAsia="Arial" w:hAnsi="Arial"/>
          <w:sz w:val="18"/>
          <w:szCs w:val="18"/>
          <w:color w:val="auto"/>
        </w:rPr>
      </w:pPr>
    </w:p>
    <w:p>
      <w:pPr>
        <w:ind w:left="3000" w:right="40" w:hanging="358"/>
        <w:spacing w:after="0" w:line="293" w:lineRule="auto"/>
        <w:tabs>
          <w:tab w:leader="none" w:pos="2987" w:val="left"/>
        </w:tabs>
        <w:numPr>
          <w:ilvl w:val="0"/>
          <w:numId w:val="24"/>
        </w:numPr>
        <w:rPr>
          <w:rFonts w:ascii="Arial" w:cs="Arial" w:eastAsia="Arial" w:hAnsi="Arial"/>
          <w:sz w:val="16"/>
          <w:szCs w:val="16"/>
          <w:color w:val="auto"/>
        </w:rPr>
      </w:pPr>
      <w:r>
        <w:rPr>
          <w:rFonts w:ascii="Arial" w:cs="Arial" w:eastAsia="Arial" w:hAnsi="Arial"/>
          <w:sz w:val="16"/>
          <w:szCs w:val="16"/>
          <w:color w:val="auto"/>
        </w:rPr>
        <w:t>IVGA III may be deemed to beneficially own an aggregate of 10,453,300 shares of Class A Common Stock, consisting of (i) 10,296,520 shares of Class A Common Stock held directly by Index Growth III and (ii) 156,780 shares of Class A Common Stock held directly by Yucca, which represents approximately 1.4% of the outstanding Class A Common Stock. Index Growth V directly owns (i) 1,874,816 shares of Class A Common Stock and (ii) 273,496 shares of Class A Common Stock underlying Warrants exercisable within 60 days of December 31, 2021, which represents approximately 0.3% of the outstanding Class A Common Stock.</w:t>
      </w:r>
    </w:p>
    <w:p>
      <w:pPr>
        <w:spacing w:after="0" w:line="69" w:lineRule="exact"/>
        <w:rPr>
          <w:rFonts w:ascii="Arial" w:cs="Arial" w:eastAsia="Arial" w:hAnsi="Arial"/>
          <w:sz w:val="16"/>
          <w:szCs w:val="16"/>
          <w:color w:val="auto"/>
        </w:rPr>
      </w:pPr>
    </w:p>
    <w:p>
      <w:pPr>
        <w:ind w:left="3000" w:right="60" w:hanging="358"/>
        <w:spacing w:after="0" w:line="296" w:lineRule="auto"/>
        <w:tabs>
          <w:tab w:leader="none" w:pos="299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IVGA V may be deemed to beneficially own an aggregate of 2,214,754 shares of Class A Common, consisting of (i) 1,874,816 shares of Class A Common Stock held directly by Index Growth V, (ii) 273,496 shares of Class A Common Stock underlying Warrants held directly by Index Growth V, (iii) 57,984 shares of Class A Common Stock held directly by Yucca and (iv) 8,458 shares of Class A Common Stock underlying Warrants held directly by Yucca, which represents approximately 0.3% of the outstanding Class A Common Stock.</w:t>
      </w:r>
    </w:p>
    <w:p>
      <w:pPr>
        <w:spacing w:after="0" w:line="67" w:lineRule="exact"/>
        <w:rPr>
          <w:sz w:val="20"/>
          <w:szCs w:val="20"/>
          <w:color w:val="auto"/>
        </w:rPr>
      </w:pPr>
    </w:p>
    <w:p>
      <w:pPr>
        <w:ind w:left="3000" w:right="40" w:hanging="359"/>
        <w:spacing w:after="0" w:line="272" w:lineRule="auto"/>
        <w:rPr>
          <w:sz w:val="20"/>
          <w:szCs w:val="20"/>
          <w:color w:val="auto"/>
        </w:rPr>
      </w:pPr>
      <w:r>
        <w:rPr>
          <w:rFonts w:ascii="Arial" w:cs="Arial" w:eastAsia="Arial" w:hAnsi="Arial"/>
          <w:sz w:val="17"/>
          <w:szCs w:val="17"/>
          <w:color w:val="auto"/>
        </w:rPr>
        <w:t>(viii)Yucca directly owns (i) 1,119,004 shares of the Issuer’s Class A Common Stock and (ii) 8,458 shares of Class A Common Stock underlying Warrants exercisable within 60 days of December 31, 2021, which represents approximately 0.2% of the outstanding Class A Common Stock. Yucca administers the co-investment vehicle that is contractually required to mirror the Index VI Funds, the Index Growth III (Jersey) and Index Growth V (Jersey) investments. As a result, each of IVGA III, IVGA V and IVA VI may be deemed to have dispositive and voting power over Yucca’s shares by virtue of their dispositive power over and voting power over the shares owned by the Index Venture Funds.</w:t>
      </w:r>
    </w:p>
    <w:p>
      <w:pPr>
        <w:spacing w:after="0" w:line="20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 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951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2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1"/>
              </w:rPr>
              <w:t>Reporting Person</w:t>
            </w:r>
          </w:p>
        </w:tc>
        <w:tc>
          <w:tcPr>
            <w:tcW w:w="5900" w:type="dxa"/>
            <w:vAlign w:val="bottom"/>
            <w:vMerge w:val="restart"/>
          </w:tcPr>
          <w:p>
            <w:pPr>
              <w:spacing w:after="0"/>
              <w:rPr>
                <w:sz w:val="14"/>
                <w:szCs w:val="14"/>
                <w:color w:val="auto"/>
              </w:rPr>
            </w:pPr>
          </w:p>
        </w:tc>
        <w:tc>
          <w:tcPr>
            <w:tcW w:w="3120" w:type="dxa"/>
            <w:vAlign w:val="bottom"/>
            <w:gridSpan w:val="8"/>
          </w:tcPr>
          <w:p>
            <w:pPr>
              <w:ind w:left="180"/>
              <w:spacing w:after="0"/>
              <w:rPr>
                <w:sz w:val="20"/>
                <w:szCs w:val="20"/>
                <w:color w:val="auto"/>
              </w:rPr>
            </w:pPr>
            <w:r>
              <w:rPr>
                <w:rFonts w:ascii="Arial" w:cs="Arial" w:eastAsia="Arial" w:hAnsi="Arial"/>
                <w:sz w:val="14"/>
                <w:szCs w:val="14"/>
                <w:b w:val="1"/>
                <w:bCs w:val="1"/>
                <w:color w:val="auto"/>
                <w:w w:val="97"/>
              </w:rPr>
              <w:t>Number of Shares of Class A Common Stock</w:t>
            </w:r>
          </w:p>
        </w:tc>
        <w:tc>
          <w:tcPr>
            <w:tcW w:w="0" w:type="dxa"/>
            <w:vAlign w:val="bottom"/>
          </w:tcPr>
          <w:p>
            <w:pPr>
              <w:spacing w:after="0"/>
              <w:rPr>
                <w:sz w:val="1"/>
                <w:szCs w:val="1"/>
                <w:color w:val="auto"/>
              </w:rPr>
            </w:pPr>
          </w:p>
        </w:tc>
      </w:tr>
      <w:tr>
        <w:trPr>
          <w:trHeight w:val="148"/>
        </w:trPr>
        <w:tc>
          <w:tcPr>
            <w:tcW w:w="1100" w:type="dxa"/>
            <w:vAlign w:val="bottom"/>
            <w:tcBorders>
              <w:bottom w:val="single" w:sz="8" w:color="auto"/>
            </w:tcBorders>
            <w:vMerge w:val="continue"/>
          </w:tcPr>
          <w:p>
            <w:pPr>
              <w:spacing w:after="0"/>
              <w:rPr>
                <w:sz w:val="12"/>
                <w:szCs w:val="12"/>
                <w:color w:val="auto"/>
              </w:rPr>
            </w:pPr>
          </w:p>
        </w:tc>
        <w:tc>
          <w:tcPr>
            <w:tcW w:w="5900" w:type="dxa"/>
            <w:vAlign w:val="bottom"/>
            <w:vMerge w:val="continue"/>
          </w:tcPr>
          <w:p>
            <w:pPr>
              <w:spacing w:after="0"/>
              <w:rPr>
                <w:sz w:val="12"/>
                <w:szCs w:val="12"/>
                <w:color w:val="auto"/>
              </w:rPr>
            </w:pPr>
          </w:p>
        </w:tc>
        <w:tc>
          <w:tcPr>
            <w:tcW w:w="1160" w:type="dxa"/>
            <w:vAlign w:val="bottom"/>
            <w:tcBorders>
              <w:top w:val="single" w:sz="8" w:color="auto"/>
            </w:tcBorders>
            <w:gridSpan w:val="2"/>
          </w:tcPr>
          <w:p>
            <w:pPr>
              <w:ind w:left="400"/>
              <w:spacing w:after="0" w:line="129" w:lineRule="exact"/>
              <w:rPr>
                <w:sz w:val="20"/>
                <w:szCs w:val="20"/>
                <w:color w:val="auto"/>
              </w:rPr>
            </w:pPr>
            <w:r>
              <w:rPr>
                <w:rFonts w:ascii="Arial" w:cs="Arial" w:eastAsia="Arial" w:hAnsi="Arial"/>
                <w:sz w:val="14"/>
                <w:szCs w:val="14"/>
                <w:b w:val="1"/>
                <w:bCs w:val="1"/>
                <w:color w:val="auto"/>
              </w:rPr>
              <w:t>(i)</w:t>
            </w:r>
          </w:p>
        </w:tc>
        <w:tc>
          <w:tcPr>
            <w:tcW w:w="46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(ii)</w:t>
            </w:r>
          </w:p>
        </w:tc>
        <w:tc>
          <w:tcPr>
            <w:tcW w:w="1200" w:type="dxa"/>
            <w:vAlign w:val="bottom"/>
            <w:tcBorders>
              <w:top w:val="single" w:sz="8" w:color="auto"/>
            </w:tcBorders>
            <w:gridSpan w:val="2"/>
          </w:tcPr>
          <w:p>
            <w:pPr>
              <w:ind w:left="360"/>
              <w:spacing w:after="0" w:line="129" w:lineRule="exact"/>
              <w:rPr>
                <w:sz w:val="20"/>
                <w:szCs w:val="20"/>
                <w:color w:val="auto"/>
              </w:rPr>
            </w:pPr>
            <w:r>
              <w:rPr>
                <w:rFonts w:ascii="Arial" w:cs="Arial" w:eastAsia="Arial" w:hAnsi="Arial"/>
                <w:sz w:val="14"/>
                <w:szCs w:val="14"/>
                <w:b w:val="1"/>
                <w:bCs w:val="1"/>
                <w:color w:val="auto"/>
              </w:rPr>
              <w:t>(iii)</w:t>
            </w: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(iv)</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Index Ventures VI</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70,022,080</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70,022,080</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Index Ventures VI Parallel</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1,413,380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1,413,380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IVA VI</w:t>
            </w:r>
          </w:p>
        </w:tc>
        <w:tc>
          <w:tcPr>
            <w:tcW w:w="11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w w:val="99"/>
              </w:rPr>
              <w:t>72,339,700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72,339,700</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Index Growth III</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10,296,520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10,296,520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IVGA III</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10,453,300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10,453,300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Index Growth V</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2,148,312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2,148,312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IVGA V</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2,214,754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2,214,754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Yucca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1,127,462</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1,127,462</w:t>
            </w: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spacing w:after="0"/>
        <w:tabs>
          <w:tab w:leader="none" w:pos="6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Sole power to vote or direct the vote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(ii)  Shared power to vote or to direct the vote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(iv) Shared power to dispose or to direct the disposition of</w:t>
      </w:r>
    </w:p>
    <w:p>
      <w:pPr>
        <w:sectPr>
          <w:pgSz w:w="11900" w:h="16838" w:orient="portrait"/>
          <w:cols w:equalWidth="0" w:num="1">
            <w:col w:w="11020"/>
          </w:cols>
          <w:pgMar w:left="440" w:top="270" w:right="439" w:bottom="1440" w:gutter="0" w:footer="0" w:header="0"/>
          <w:type w:val="continuous"/>
        </w:sectPr>
      </w:pPr>
    </w:p>
    <w:bookmarkStart w:id="11" w:name="page12"/>
    <w:bookmarkEnd w:id="11"/>
    <w:p>
      <w:pPr>
        <w:spacing w:after="0"/>
        <w:tabs>
          <w:tab w:leader="none" w:pos="504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770700102</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12 of 14 Pages</w:t>
      </w:r>
    </w:p>
    <w:p>
      <w:pPr>
        <w:spacing w:after="0" w:line="162" w:lineRule="exact"/>
        <w:rPr>
          <w:sz w:val="20"/>
          <w:szCs w:val="20"/>
          <w:color w:val="auto"/>
        </w:rPr>
      </w:pPr>
    </w:p>
    <w:p>
      <w:pPr>
        <w:ind w:left="1100" w:right="240"/>
        <w:spacing w:after="0" w:line="342" w:lineRule="auto"/>
        <w:rPr>
          <w:sz w:val="20"/>
          <w:szCs w:val="20"/>
          <w:color w:val="auto"/>
        </w:rPr>
      </w:pPr>
      <w:r>
        <w:rPr>
          <w:rFonts w:ascii="Arial" w:cs="Arial" w:eastAsia="Arial" w:hAnsi="Arial"/>
          <w:sz w:val="16"/>
          <w:szCs w:val="16"/>
          <w:color w:val="auto"/>
        </w:rPr>
        <w:t>The percent of class was calculated based on 729,550,661 shares of Class A Common Stock outstanding as of October 27, 2021, as set forth in the Issuer’s Quarterly Report on Form 10-Q filed with the Securities and Exchange Commission on October 29, 2021.</w:t>
      </w:r>
    </w:p>
    <w:p>
      <w:pPr>
        <w:spacing w:after="0" w:line="12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5" w:lineRule="exact"/>
        <w:rPr>
          <w:sz w:val="20"/>
          <w:szCs w:val="20"/>
          <w:color w:val="auto"/>
        </w:rPr>
      </w:pPr>
    </w:p>
    <w:p>
      <w:pPr>
        <w:ind w:left="1100" w:right="1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 of more than five percent of the class of securities, check the following [_].</w:t>
      </w:r>
    </w:p>
    <w:p>
      <w:pPr>
        <w:spacing w:after="0" w:line="18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ind w:left="1100" w:right="580" w:hanging="1106"/>
        <w:spacing w:after="0" w:line="282" w:lineRule="auto"/>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7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0" w:right="439" w:bottom="1440" w:gutter="0" w:footer="0" w:header="0"/>
        </w:sectPr>
      </w:pPr>
    </w:p>
    <w:bookmarkStart w:id="12" w:name="page13"/>
    <w:bookmarkEnd w:id="12"/>
    <w:p>
      <w:pPr>
        <w:spacing w:after="0"/>
        <w:tabs>
          <w:tab w:leader="none" w:pos="504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770700102</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13 of 14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INDEX VENTURES VI (JERSEY)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Index Venture Associates VI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INDEX VENTURES VI PARALLEL</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ENTREPRENEUR FUND (JERSEY)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Index Venture Associates VI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INDEX VENTURE ASSOCIATES VI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INDEX VENTURES GROWTH III (JERSEY)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Index Venture Growth Associates III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INDEX VENTURE GROWTH ASSOCIATES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III LIMITED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ectPr>
          <w:pgSz w:w="11900" w:h="16838" w:orient="portrait"/>
          <w:cols w:equalWidth="0" w:num="1">
            <w:col w:w="11020"/>
          </w:cols>
          <w:pgMar w:left="440" w:top="270" w:right="439" w:bottom="1440" w:gutter="0" w:footer="0" w:header="0"/>
        </w:sectPr>
      </w:pPr>
    </w:p>
    <w:bookmarkStart w:id="13" w:name="page14"/>
    <w:bookmarkEnd w:id="13"/>
    <w:p>
      <w:pPr>
        <w:spacing w:after="0"/>
        <w:tabs>
          <w:tab w:leader="none" w:pos="504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770700102</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14 of 14 Pages</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INDEX VENTURES GROWTH V (JERSEY)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Index Venture Growth Associates V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INDEX VENTURE GROWTH ASSOCIATES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 LIMITED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jc w:val="center"/>
        <w:ind w:left="410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YUCCA (JERSEY) SLP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Intertrust Employee Benefit Services Limited as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authorized signatory of Yucca (Jersey) SLP in its</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capacity as an Administrator of the Index Co-</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Investment Scheme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Genesis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Genesis Perez</w:t>
      </w:r>
    </w:p>
    <w:p>
      <w:pPr>
        <w:spacing w:after="0" w:line="23" w:lineRule="exact"/>
        <w:rPr>
          <w:sz w:val="20"/>
          <w:szCs w:val="20"/>
          <w:color w:val="auto"/>
        </w:rPr>
      </w:pPr>
    </w:p>
    <w:p>
      <w:pPr>
        <w:ind w:left="6980"/>
        <w:spacing w:after="0"/>
        <w:tabs>
          <w:tab w:leader="none" w:pos="7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Luke Aubert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Luke Aubert</w:t>
      </w:r>
    </w:p>
    <w:p>
      <w:pPr>
        <w:spacing w:after="0" w:line="23" w:lineRule="exact"/>
        <w:rPr>
          <w:sz w:val="20"/>
          <w:szCs w:val="20"/>
          <w:color w:val="auto"/>
        </w:rPr>
      </w:pPr>
    </w:p>
    <w:p>
      <w:pPr>
        <w:ind w:left="6980"/>
        <w:spacing w:after="0"/>
        <w:tabs>
          <w:tab w:leader="none" w:pos="7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YUCCA (JERSEY) SLP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EFG Fund Administration Limited as authorized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signatory of Yucca (Jersey) SLP in its capacity as an</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Administrator of the Index Ventures Growth III Co-</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Investment Scheme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ind w:left="6980"/>
        <w:spacing w:after="0"/>
        <w:tabs>
          <w:tab w:leader="none" w:pos="7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ectPr>
          <w:pgSz w:w="11900" w:h="16838" w:orient="portrait"/>
          <w:cols w:equalWidth="0" w:num="1">
            <w:col w:w="11020"/>
          </w:cols>
          <w:pgMar w:left="440" w:top="270" w:right="4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Each of the undersigned, pursuant to Rule 13d-1(k)(1) under the Act, hereby agrees and acknowledges that only one statement containing the information required by Schedule 13G need be filed with respect to the ownership by each of the undersigned of the Class A Common Stock and the information required by this Schedule 13G, to which this Agreement is attached as an exhibit, is filed on behalf of them. The undersigned further agree that any further amendments or supplements thereto shall also be filed on behalf of each of them.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INDEX VENTURES VI (JERSEY)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Index Venture Associates VI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INDEX VENTURES VI PARALLEL</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ENTREPRENEUR FUND (JERSEY)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Index Venture Associates VI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INDEX VENTURE ASSOCIATES VI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INDEX VENTURES GROWTH III (JERSEY)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Index Venture Growth Associates III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INDEX VENTURE GROWTH ASSOCIATES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III LIMITED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ectPr>
          <w:pgSz w:w="11900" w:h="16838" w:orient="portrait"/>
          <w:cols w:equalWidth="0" w:num="1">
            <w:col w:w="11020"/>
          </w:cols>
          <w:pgMar w:left="440" w:top="121" w:right="439" w:bottom="1440" w:gutter="0" w:footer="0" w:header="0"/>
        </w:sectPr>
      </w:pPr>
    </w:p>
    <w:bookmarkStart w:id="15" w:name="page16"/>
    <w:bookmarkEnd w:id="1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INDEX VENTURES GROWTH V (JERSEY)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Index Venture Growth Associates V Limited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INDEX VENTURE GROWTH ASSOCIATES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V 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jc w:val="center"/>
        <w:ind w:left="410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YUCCA (JERSEY) SLP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Intertrust Employee Benefit Services Limited 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authorized signatory of Yucca (Jersey) SLP in its</w:t>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capacity as an Administrator of the Index Co-</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Investment Scheme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Genesis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Genesis Perez</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Luke Aubert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Luke Aubert</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YUCCA (JERSEY) SLP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EFG Fund Administration Limited as authorized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signatory of Yucca (Jersey) SLP in its capacity as an</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Administrator of the Index Ventures Growth III Co-</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Investment Scheme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Nigel Greenwood</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sectPr>
      <w:pgSz w:w="11900" w:h="16838" w:orient="portrait"/>
      <w:cols w:equalWidth="0" w:num="1">
        <w:col w:w="9740"/>
      </w:cols>
      <w:pgMar w:left="1440" w:top="27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lvl w:ilvl="1">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9"/>
    </w:lvl>
  </w:abstractNum>
  <w:abstractNum w:abstractNumId="8">
    <w:nsid w:val="4E6AFB66"/>
    <w:multiLevelType w:val="hybridMultilevel"/>
    <w:lvl w:ilvl="0">
      <w:lvlJc w:val="left"/>
      <w:lvlText w:val="%1."/>
      <w:numFmt w:val="decimal"/>
      <w:start w:val="10"/>
    </w:lvl>
  </w:abstractNum>
  <w:abstractNum w:abstractNumId="9">
    <w:nsid w:val="25E45D32"/>
    <w:multiLevelType w:val="hybridMultilevel"/>
    <w:lvl w:ilvl="0">
      <w:lvlJc w:val="left"/>
      <w:lvlText w:val="%1."/>
      <w:numFmt w:val="decimal"/>
      <w:start w:val="11"/>
    </w:lvl>
  </w:abstractNum>
  <w:abstractNum w:abstractNumId="10">
    <w:nsid w:val="519B500D"/>
    <w:multiLevelType w:val="hybridMultilevel"/>
    <w:lvl w:ilvl="0">
      <w:lvlJc w:val="left"/>
      <w:lvlText w:val="%1."/>
      <w:numFmt w:val="decimal"/>
      <w:start w:val="12"/>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1"/>
    </w:lvl>
    <w:lvl w:ilvl="1">
      <w:lvlJc w:val="left"/>
      <w:lvlText w:val="(%2)"/>
      <w:numFmt w:val="lowerRoman"/>
      <w:start w:val="1"/>
    </w:lvl>
  </w:abstractNum>
  <w:abstractNum w:abstractNumId="20">
    <w:nsid w:val="2443A858"/>
    <w:multiLevelType w:val="hybridMultilevel"/>
    <w:lvl w:ilvl="0">
      <w:lvlJc w:val="left"/>
      <w:lvlText w:val="(%1)"/>
      <w:numFmt w:val="lowerLetter"/>
      <w:start w:val="4"/>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1"/>
    </w:lvl>
    <w:lvl w:ilvl="1">
      <w:lvlJc w:val="left"/>
      <w:lvlText w:val="(%2)"/>
      <w:numFmt w:val="lowerRoman"/>
      <w:start w:val="1"/>
    </w:lvl>
  </w:abstractNum>
  <w:abstractNum w:abstractNumId="23">
    <w:nsid w:val="75A2A8D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2022-02-14T06:48:16Z</dcterms:created>
  <dcterms:modified xsi:type="dcterms:W3CDTF">2022-02-14T06:48:16Z</dcterms:modified>
</cp:coreProperties>
</file>